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BA6F29" w14:paraId="638F40A3" w14:textId="77777777">
        <w:tc>
          <w:tcPr>
            <w:tcW w:w="9271" w:type="dxa"/>
            <w:shd w:val="clear" w:color="auto" w:fill="auto"/>
          </w:tcPr>
          <w:p w14:paraId="5965F1D1" w14:textId="0C126CDE" w:rsidR="00BA6F29" w:rsidRPr="00BA6F29" w:rsidRDefault="00BA6F29">
            <w:pPr>
              <w:widowControl w:val="0"/>
              <w:tabs>
                <w:tab w:val="clear" w:pos="567"/>
              </w:tabs>
              <w:suppressAutoHyphens/>
              <w:rPr>
                <w:rFonts w:eastAsia="Times New Roman"/>
                <w:szCs w:val="24"/>
                <w:lang w:val="bg-BG"/>
              </w:rPr>
            </w:pPr>
            <w:r w:rsidRPr="00BA6F29">
              <w:rPr>
                <w:rFonts w:eastAsia="Times New Roman"/>
                <w:szCs w:val="24"/>
                <w:lang w:val="bg-BG"/>
              </w:rPr>
              <w:t xml:space="preserve">Šis dokuments ir apstiprināts </w:t>
            </w:r>
            <w:proofErr w:type="spellStart"/>
            <w:r w:rsidRPr="00BA6F29">
              <w:rPr>
                <w:rFonts w:eastAsia="맑은 고딕" w:hint="eastAsia"/>
                <w:szCs w:val="24"/>
                <w:lang w:val="en-GB" w:eastAsia="ko-KR"/>
              </w:rPr>
              <w:t>Stoboclo</w:t>
            </w:r>
            <w:proofErr w:type="spellEnd"/>
            <w:r w:rsidRPr="00BA6F29">
              <w:rPr>
                <w:rFonts w:eastAsia="Times New Roman"/>
                <w:szCs w:val="24"/>
                <w:lang w:val="bg-BG"/>
              </w:rPr>
              <w:t xml:space="preserve"> zāļu apraksts, kurā ir izceltas izmaiņas kopš iepriekšējās procedūras, kas ietekmē zāļu aprakstu (</w:t>
            </w:r>
            <w:r w:rsidRPr="00BA6F29">
              <w:rPr>
                <w:rFonts w:eastAsia="맑은 고딕" w:hint="eastAsia"/>
                <w:szCs w:val="24"/>
                <w:lang w:val="en-GB" w:eastAsia="ko-KR"/>
              </w:rPr>
              <w:t>EMEA</w:t>
            </w:r>
            <w:r w:rsidRPr="00BA6F29">
              <w:rPr>
                <w:rFonts w:eastAsia="맑은 고딕" w:hint="eastAsia"/>
                <w:szCs w:val="24"/>
                <w:lang w:val="bg-BG" w:eastAsia="ko-KR"/>
              </w:rPr>
              <w:t>/</w:t>
            </w:r>
            <w:r w:rsidRPr="00BA6F29">
              <w:rPr>
                <w:rFonts w:eastAsia="맑은 고딕" w:hint="eastAsia"/>
                <w:szCs w:val="24"/>
                <w:lang w:val="en-GB" w:eastAsia="ko-KR"/>
              </w:rPr>
              <w:t>H</w:t>
            </w:r>
            <w:r w:rsidRPr="00BA6F29">
              <w:rPr>
                <w:rFonts w:eastAsia="맑은 고딕" w:hint="eastAsia"/>
                <w:szCs w:val="24"/>
                <w:lang w:val="bg-BG" w:eastAsia="ko-KR"/>
              </w:rPr>
              <w:t>/</w:t>
            </w:r>
            <w:r w:rsidRPr="00BA6F29">
              <w:rPr>
                <w:rFonts w:eastAsia="맑은 고딕" w:hint="eastAsia"/>
                <w:szCs w:val="24"/>
                <w:lang w:val="en-GB" w:eastAsia="ko-KR"/>
              </w:rPr>
              <w:t>C</w:t>
            </w:r>
            <w:r w:rsidRPr="00BA6F29">
              <w:rPr>
                <w:rFonts w:eastAsia="맑은 고딕" w:hint="eastAsia"/>
                <w:szCs w:val="24"/>
                <w:lang w:val="bg-BG" w:eastAsia="ko-KR"/>
              </w:rPr>
              <w:t>/006156/0000</w:t>
            </w:r>
            <w:r w:rsidRPr="00BA6F29">
              <w:rPr>
                <w:rFonts w:eastAsia="Times New Roman"/>
                <w:szCs w:val="24"/>
                <w:lang w:val="bg-BG"/>
              </w:rPr>
              <w:t>).</w:t>
            </w:r>
          </w:p>
          <w:p w14:paraId="36FACB59" w14:textId="77777777" w:rsidR="00BA6F29" w:rsidRPr="00BA6F29" w:rsidRDefault="00BA6F29">
            <w:pPr>
              <w:widowControl w:val="0"/>
              <w:tabs>
                <w:tab w:val="clear" w:pos="567"/>
              </w:tabs>
              <w:suppressAutoHyphens/>
              <w:rPr>
                <w:rFonts w:eastAsia="Times New Roman"/>
                <w:szCs w:val="24"/>
                <w:lang w:val="bg-BG"/>
              </w:rPr>
            </w:pPr>
          </w:p>
          <w:p w14:paraId="2F68D3BA" w14:textId="2F29D734" w:rsidR="00BA6F29" w:rsidRDefault="00BA6F29" w:rsidP="00BA6F29">
            <w:r>
              <w:rPr>
                <w:rFonts w:eastAsia="Times New Roman"/>
                <w:szCs w:val="24"/>
                <w:lang w:val="bg-BG"/>
              </w:rPr>
              <w:t xml:space="preserve">Plašāku informāciju skatīt Eiropas Zāļu aģentūras tīmekļa vietnē: </w:t>
            </w:r>
            <w:r w:rsidR="00451C8B">
              <w:rPr>
                <w:rStyle w:val="ab"/>
              </w:rPr>
              <w:fldChar w:fldCharType="begin"/>
            </w:r>
            <w:r w:rsidR="00451C8B">
              <w:rPr>
                <w:rStyle w:val="ab"/>
              </w:rPr>
              <w:instrText>HYPERLINK "</w:instrText>
            </w:r>
            <w:r w:rsidR="00451C8B" w:rsidRPr="0015044C">
              <w:rPr>
                <w:rStyle w:val="ab"/>
              </w:rPr>
              <w:instrText>https://www.ema.europa.eu/en/medicines/human/EPAR/</w:instrText>
            </w:r>
            <w:r w:rsidR="00451C8B">
              <w:rPr>
                <w:rStyle w:val="ab"/>
                <w:rFonts w:eastAsia="맑은 고딕" w:hint="eastAsia"/>
                <w:lang w:eastAsia="ko-KR"/>
              </w:rPr>
              <w:instrText>stoboclo</w:instrText>
            </w:r>
            <w:r w:rsidR="00451C8B">
              <w:rPr>
                <w:rStyle w:val="ab"/>
              </w:rPr>
              <w:instrText>"</w:instrText>
            </w:r>
            <w:r w:rsidR="00451C8B">
              <w:rPr>
                <w:rStyle w:val="ab"/>
              </w:rPr>
              <w:fldChar w:fldCharType="separate"/>
            </w:r>
            <w:r w:rsidR="00451C8B" w:rsidRPr="00445462">
              <w:rPr>
                <w:rStyle w:val="ab"/>
              </w:rPr>
              <w:t>https://www.ema.europa.eu/en/medicines/human/EPAR/</w:t>
            </w:r>
            <w:r w:rsidR="00451C8B" w:rsidRPr="00445462">
              <w:rPr>
                <w:rStyle w:val="ab"/>
                <w:rFonts w:hint="eastAsia"/>
                <w:lang w:eastAsia="ko-KR"/>
              </w:rPr>
              <w:t>stoboclo</w:t>
            </w:r>
            <w:r w:rsidR="00451C8B">
              <w:rPr>
                <w:rStyle w:val="ab"/>
              </w:rPr>
              <w:fldChar w:fldCharType="end"/>
            </w:r>
          </w:p>
        </w:tc>
      </w:tr>
    </w:tbl>
    <w:p w14:paraId="64D5E2B9" w14:textId="77777777" w:rsidR="008011D6" w:rsidRPr="00882AF5" w:rsidRDefault="008011D6" w:rsidP="008B4ED7">
      <w:pPr>
        <w:jc w:val="center"/>
      </w:pPr>
    </w:p>
    <w:p w14:paraId="7C67C46C" w14:textId="77777777" w:rsidR="008011D6" w:rsidRPr="00882AF5" w:rsidRDefault="008011D6" w:rsidP="008B4ED7">
      <w:pPr>
        <w:jc w:val="center"/>
      </w:pPr>
    </w:p>
    <w:p w14:paraId="33E74EAF" w14:textId="77777777" w:rsidR="008011D6" w:rsidRPr="00882AF5" w:rsidRDefault="008011D6" w:rsidP="008B4ED7">
      <w:pPr>
        <w:jc w:val="center"/>
      </w:pPr>
    </w:p>
    <w:p w14:paraId="4BC25555" w14:textId="77777777" w:rsidR="008011D6" w:rsidRPr="00882AF5" w:rsidRDefault="008011D6" w:rsidP="008B4ED7">
      <w:pPr>
        <w:jc w:val="center"/>
      </w:pPr>
    </w:p>
    <w:p w14:paraId="79507BD6" w14:textId="77777777" w:rsidR="008011D6" w:rsidRPr="00882AF5" w:rsidRDefault="008011D6" w:rsidP="008B4ED7">
      <w:pPr>
        <w:jc w:val="center"/>
      </w:pPr>
    </w:p>
    <w:p w14:paraId="1FABB868" w14:textId="77777777" w:rsidR="008011D6" w:rsidRPr="00882AF5" w:rsidRDefault="008011D6" w:rsidP="008B4ED7">
      <w:pPr>
        <w:jc w:val="center"/>
      </w:pPr>
    </w:p>
    <w:p w14:paraId="19CE2468" w14:textId="77777777" w:rsidR="008011D6" w:rsidRPr="00882AF5" w:rsidRDefault="008011D6" w:rsidP="008B4ED7">
      <w:pPr>
        <w:jc w:val="center"/>
      </w:pPr>
    </w:p>
    <w:p w14:paraId="14576D38" w14:textId="77777777" w:rsidR="008011D6" w:rsidRPr="00882AF5" w:rsidRDefault="008011D6" w:rsidP="008B4ED7">
      <w:pPr>
        <w:jc w:val="center"/>
      </w:pPr>
    </w:p>
    <w:p w14:paraId="7905C319" w14:textId="77777777" w:rsidR="008011D6" w:rsidRPr="00882AF5" w:rsidRDefault="008011D6" w:rsidP="008B4ED7">
      <w:pPr>
        <w:jc w:val="center"/>
        <w:rPr>
          <w:bCs/>
        </w:rPr>
      </w:pPr>
    </w:p>
    <w:p w14:paraId="6D1A9A67" w14:textId="77777777" w:rsidR="008011D6" w:rsidRPr="00882AF5" w:rsidRDefault="008011D6" w:rsidP="008B4ED7">
      <w:pPr>
        <w:jc w:val="center"/>
        <w:rPr>
          <w:bCs/>
        </w:rPr>
      </w:pPr>
    </w:p>
    <w:p w14:paraId="30A2593B" w14:textId="77777777" w:rsidR="008011D6" w:rsidRPr="00882AF5" w:rsidRDefault="008011D6" w:rsidP="008B4ED7">
      <w:pPr>
        <w:jc w:val="center"/>
        <w:rPr>
          <w:bCs/>
        </w:rPr>
      </w:pPr>
    </w:p>
    <w:p w14:paraId="5F45F0FE" w14:textId="77777777" w:rsidR="008011D6" w:rsidRPr="00882AF5" w:rsidRDefault="008011D6" w:rsidP="008B4ED7">
      <w:pPr>
        <w:jc w:val="center"/>
        <w:rPr>
          <w:bCs/>
        </w:rPr>
      </w:pPr>
    </w:p>
    <w:p w14:paraId="193B21D5" w14:textId="77777777" w:rsidR="008011D6" w:rsidRPr="00882AF5" w:rsidRDefault="008011D6" w:rsidP="008B4ED7">
      <w:pPr>
        <w:jc w:val="center"/>
        <w:rPr>
          <w:bCs/>
        </w:rPr>
      </w:pPr>
    </w:p>
    <w:p w14:paraId="0C8DAEE4" w14:textId="77777777" w:rsidR="008011D6" w:rsidRPr="00882AF5" w:rsidRDefault="008011D6" w:rsidP="008B4ED7">
      <w:pPr>
        <w:jc w:val="center"/>
        <w:rPr>
          <w:bCs/>
        </w:rPr>
      </w:pPr>
    </w:p>
    <w:p w14:paraId="327B1162" w14:textId="77777777" w:rsidR="008011D6" w:rsidRPr="00882AF5" w:rsidRDefault="008011D6" w:rsidP="008B4ED7">
      <w:pPr>
        <w:jc w:val="center"/>
        <w:rPr>
          <w:bCs/>
        </w:rPr>
      </w:pPr>
    </w:p>
    <w:p w14:paraId="3656AB0D" w14:textId="77777777" w:rsidR="008011D6" w:rsidRPr="00882AF5" w:rsidRDefault="008011D6" w:rsidP="008B4ED7">
      <w:pPr>
        <w:jc w:val="center"/>
        <w:rPr>
          <w:bCs/>
        </w:rPr>
      </w:pPr>
    </w:p>
    <w:p w14:paraId="35ECF262" w14:textId="77777777" w:rsidR="008011D6" w:rsidRPr="00882AF5" w:rsidRDefault="008011D6" w:rsidP="008B4ED7">
      <w:pPr>
        <w:jc w:val="center"/>
        <w:rPr>
          <w:bCs/>
        </w:rPr>
      </w:pPr>
    </w:p>
    <w:p w14:paraId="5E1B5937" w14:textId="77777777" w:rsidR="008011D6" w:rsidRPr="00882AF5" w:rsidRDefault="008011D6" w:rsidP="008B4ED7">
      <w:pPr>
        <w:jc w:val="center"/>
        <w:rPr>
          <w:bCs/>
        </w:rPr>
      </w:pPr>
    </w:p>
    <w:p w14:paraId="5A3A74FC" w14:textId="77777777" w:rsidR="008011D6" w:rsidRPr="00882AF5" w:rsidRDefault="008011D6" w:rsidP="008B4ED7">
      <w:pPr>
        <w:jc w:val="center"/>
        <w:rPr>
          <w:bCs/>
        </w:rPr>
      </w:pPr>
    </w:p>
    <w:p w14:paraId="0FA6D7DE" w14:textId="77777777" w:rsidR="008011D6" w:rsidRPr="00882AF5" w:rsidRDefault="008011D6" w:rsidP="008B4ED7">
      <w:pPr>
        <w:jc w:val="center"/>
        <w:rPr>
          <w:bCs/>
        </w:rPr>
      </w:pPr>
    </w:p>
    <w:p w14:paraId="0EB41DD8" w14:textId="77777777" w:rsidR="008011D6" w:rsidRPr="00882AF5" w:rsidRDefault="008011D6" w:rsidP="008B4ED7">
      <w:pPr>
        <w:jc w:val="center"/>
        <w:rPr>
          <w:bCs/>
        </w:rPr>
      </w:pPr>
    </w:p>
    <w:p w14:paraId="2EE991CE" w14:textId="77777777" w:rsidR="008011D6" w:rsidRPr="00882AF5" w:rsidRDefault="008011D6" w:rsidP="008B4ED7">
      <w:pPr>
        <w:jc w:val="center"/>
        <w:rPr>
          <w:bCs/>
        </w:rPr>
      </w:pPr>
    </w:p>
    <w:p w14:paraId="518B575D" w14:textId="77777777" w:rsidR="008011D6" w:rsidRPr="00882AF5" w:rsidRDefault="008011D6" w:rsidP="008B4ED7">
      <w:pPr>
        <w:jc w:val="center"/>
        <w:rPr>
          <w:bCs/>
        </w:rPr>
      </w:pPr>
    </w:p>
    <w:p w14:paraId="69A36838" w14:textId="77777777" w:rsidR="008011D6" w:rsidRPr="00882AF5" w:rsidRDefault="008011D6" w:rsidP="008B4ED7">
      <w:pPr>
        <w:jc w:val="center"/>
        <w:rPr>
          <w:b/>
          <w:bCs/>
        </w:rPr>
      </w:pPr>
      <w:r w:rsidRPr="00882AF5">
        <w:rPr>
          <w:b/>
        </w:rPr>
        <w:t>I PIELIKUMS</w:t>
      </w:r>
    </w:p>
    <w:p w14:paraId="3CE21997" w14:textId="77777777" w:rsidR="008011D6" w:rsidRPr="00882AF5" w:rsidRDefault="008011D6" w:rsidP="008B4ED7">
      <w:pPr>
        <w:jc w:val="center"/>
        <w:rPr>
          <w:bCs/>
        </w:rPr>
      </w:pPr>
    </w:p>
    <w:p w14:paraId="48FC8940" w14:textId="77777777" w:rsidR="008011D6" w:rsidRPr="00882AF5" w:rsidRDefault="008011D6" w:rsidP="00BF5188">
      <w:pPr>
        <w:pStyle w:val="TitleA"/>
      </w:pPr>
      <w:r w:rsidRPr="00882AF5">
        <w:t>ZĀĻU APRAKSTS</w:t>
      </w:r>
    </w:p>
    <w:p w14:paraId="1B01961A" w14:textId="5B2DA252" w:rsidR="000B6BEE" w:rsidRPr="00882AF5" w:rsidRDefault="00677635" w:rsidP="00677635">
      <w:r w:rsidRPr="00882AF5">
        <w:br w:type="page"/>
      </w:r>
      <w:r w:rsidR="00451C8B">
        <w:rPr>
          <w:noProof/>
          <w:lang w:eastAsia="lv-LV"/>
        </w:rPr>
        <w:lastRenderedPageBreak/>
        <w:pict w14:anchorId="1371B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7.25pt;height:14.25pt;visibility:visible;mso-wrap-style:square">
            <v:imagedata r:id="rId13" o:title="BT_1000x858px"/>
          </v:shape>
        </w:pict>
      </w:r>
      <w:r w:rsidR="000B6BEE" w:rsidRPr="00882AF5">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6E7E99A1" w14:textId="77777777" w:rsidR="000B6BEE" w:rsidRPr="00882AF5" w:rsidRDefault="000B6BEE" w:rsidP="00677635"/>
    <w:p w14:paraId="7A6C19AD" w14:textId="77777777" w:rsidR="000B6BEE" w:rsidRPr="00882AF5" w:rsidRDefault="000B6BEE" w:rsidP="00677635"/>
    <w:p w14:paraId="25D96487" w14:textId="2830FD24" w:rsidR="00992A6A" w:rsidRPr="00882AF5" w:rsidRDefault="00677635" w:rsidP="00677635">
      <w:r w:rsidRPr="00882AF5">
        <w:rPr>
          <w:b/>
        </w:rPr>
        <w:t>1.</w:t>
      </w:r>
      <w:r w:rsidRPr="00882AF5">
        <w:rPr>
          <w:b/>
        </w:rPr>
        <w:tab/>
        <w:t>ZĀĻU NOSAUKUMS</w:t>
      </w:r>
    </w:p>
    <w:p w14:paraId="1FF25388" w14:textId="77777777" w:rsidR="00992A6A" w:rsidRPr="00882AF5" w:rsidRDefault="00992A6A" w:rsidP="008B4ED7">
      <w:pPr>
        <w:keepNext/>
      </w:pPr>
    </w:p>
    <w:p w14:paraId="2E7B3CA2" w14:textId="2291A12F" w:rsidR="00992A6A" w:rsidRPr="00882AF5" w:rsidRDefault="00BA689C" w:rsidP="008B4ED7">
      <w:r w:rsidRPr="00882AF5">
        <w:t xml:space="preserve">Stoboclo </w:t>
      </w:r>
      <w:r w:rsidR="00992A6A" w:rsidRPr="00882AF5">
        <w:t>60 mg šķīdums injekcijām pilnšļircē</w:t>
      </w:r>
    </w:p>
    <w:p w14:paraId="48D1DD7B" w14:textId="77777777" w:rsidR="00BE114A" w:rsidRPr="00882AF5" w:rsidRDefault="00BE114A" w:rsidP="008B4ED7"/>
    <w:p w14:paraId="362A8E3A" w14:textId="77777777" w:rsidR="00992A6A" w:rsidRPr="00882AF5" w:rsidRDefault="00992A6A" w:rsidP="008B4ED7"/>
    <w:p w14:paraId="199F190B" w14:textId="77777777" w:rsidR="00992A6A" w:rsidRPr="00882AF5" w:rsidRDefault="00992A6A" w:rsidP="008B4ED7">
      <w:pPr>
        <w:keepNext/>
        <w:ind w:left="567" w:hanging="567"/>
      </w:pPr>
      <w:r w:rsidRPr="00882AF5">
        <w:rPr>
          <w:b/>
        </w:rPr>
        <w:t>2.</w:t>
      </w:r>
      <w:r w:rsidRPr="00882AF5">
        <w:rPr>
          <w:b/>
        </w:rPr>
        <w:tab/>
        <w:t>KVALITATĪVAIS UN KVANTITATĪVAIS SASTĀVS</w:t>
      </w:r>
    </w:p>
    <w:p w14:paraId="079089E6" w14:textId="77777777" w:rsidR="00992A6A" w:rsidRPr="00882AF5" w:rsidRDefault="00992A6A" w:rsidP="008B4ED7">
      <w:pPr>
        <w:keepNext/>
      </w:pPr>
    </w:p>
    <w:p w14:paraId="4F06FA4C" w14:textId="683AB1D4" w:rsidR="00992A6A" w:rsidRPr="00882AF5" w:rsidRDefault="00992A6A" w:rsidP="008B4ED7">
      <w:r w:rsidRPr="00882AF5">
        <w:t xml:space="preserve">Katra pilnšļirce satur 60 mg </w:t>
      </w:r>
      <w:r w:rsidR="00417EC9">
        <w:t>denozumab</w:t>
      </w:r>
      <w:r w:rsidRPr="00882AF5">
        <w:t>a (</w:t>
      </w:r>
      <w:r w:rsidRPr="00882AF5">
        <w:rPr>
          <w:i/>
        </w:rPr>
        <w:t>denosumab</w:t>
      </w:r>
      <w:r w:rsidRPr="00882AF5">
        <w:t>) 1 ml šķīduma (60 mg/ml).</w:t>
      </w:r>
    </w:p>
    <w:p w14:paraId="59BD02DC" w14:textId="77777777" w:rsidR="004103A2" w:rsidRPr="00882AF5" w:rsidRDefault="004103A2" w:rsidP="008B4ED7"/>
    <w:p w14:paraId="4323962D" w14:textId="2EC50FBF" w:rsidR="00992A6A" w:rsidRPr="00882AF5" w:rsidRDefault="00417EC9" w:rsidP="008B4ED7">
      <w:r>
        <w:t>Denozumab</w:t>
      </w:r>
      <w:r w:rsidR="00992A6A" w:rsidRPr="00882AF5">
        <w:t>s ir cilvēku monoklonāla IgG2 antiviela, ko iegūst zīdītāju šūnu līnijā (Ķīnas kāmju olnīcu šūnas) ar rekombinantās DNS tehnoloģijas palīdzību.</w:t>
      </w:r>
    </w:p>
    <w:p w14:paraId="47451789" w14:textId="77777777" w:rsidR="00992A6A" w:rsidRPr="00882AF5" w:rsidRDefault="00992A6A" w:rsidP="008B4ED7"/>
    <w:p w14:paraId="40A4BEC8" w14:textId="0C923974" w:rsidR="0081033D" w:rsidRPr="00882AF5" w:rsidRDefault="0081033D" w:rsidP="008B4ED7">
      <w:pPr>
        <w:keepNext/>
        <w:rPr>
          <w:u w:val="single"/>
        </w:rPr>
      </w:pPr>
      <w:r w:rsidRPr="00882AF5">
        <w:rPr>
          <w:u w:val="single"/>
        </w:rPr>
        <w:t>Palīgviela</w:t>
      </w:r>
      <w:r w:rsidR="003922D9">
        <w:rPr>
          <w:u w:val="single"/>
        </w:rPr>
        <w:t>s</w:t>
      </w:r>
      <w:r w:rsidRPr="00882AF5">
        <w:rPr>
          <w:u w:val="single"/>
        </w:rPr>
        <w:t xml:space="preserve"> ar zināmu iedarbību</w:t>
      </w:r>
    </w:p>
    <w:p w14:paraId="724EC6CC" w14:textId="77777777" w:rsidR="00C57400" w:rsidRPr="00882AF5" w:rsidRDefault="00C57400" w:rsidP="008B4ED7">
      <w:pPr>
        <w:keepNext/>
      </w:pPr>
    </w:p>
    <w:p w14:paraId="0B37DA99" w14:textId="56582281" w:rsidR="008603DE" w:rsidRPr="00882AF5" w:rsidRDefault="0081033D" w:rsidP="008B4ED7">
      <w:r w:rsidRPr="00882AF5">
        <w:t xml:space="preserve">Šīs zāles satur 47 mg sorbīta </w:t>
      </w:r>
      <w:r w:rsidR="006B104C" w:rsidRPr="00882AF5">
        <w:t xml:space="preserve">(E420) un 0,1 mg polisorbāta 20 (E432) </w:t>
      </w:r>
      <w:r w:rsidRPr="00882AF5">
        <w:t>katrā mililitrā šķīduma.</w:t>
      </w:r>
    </w:p>
    <w:p w14:paraId="78C9CE2F" w14:textId="77777777" w:rsidR="00992A6A" w:rsidRPr="00882AF5" w:rsidRDefault="00992A6A" w:rsidP="008B4ED7"/>
    <w:p w14:paraId="70F7E086" w14:textId="77777777" w:rsidR="00992A6A" w:rsidRPr="00882AF5" w:rsidRDefault="00992A6A" w:rsidP="008B4ED7">
      <w:r w:rsidRPr="00882AF5">
        <w:t>Pilnu palīgvielu sarakstu skatīt 6.1. apakšpunktā.</w:t>
      </w:r>
    </w:p>
    <w:p w14:paraId="706D73D5" w14:textId="77777777" w:rsidR="00992A6A" w:rsidRPr="00882AF5" w:rsidRDefault="00992A6A" w:rsidP="008B4ED7"/>
    <w:p w14:paraId="320195A9" w14:textId="77777777" w:rsidR="00992A6A" w:rsidRPr="00882AF5" w:rsidRDefault="00992A6A" w:rsidP="008B4ED7"/>
    <w:p w14:paraId="01D741CD" w14:textId="77777777" w:rsidR="00992A6A" w:rsidRPr="00882AF5" w:rsidRDefault="00992A6A" w:rsidP="008B4ED7">
      <w:pPr>
        <w:keepNext/>
        <w:ind w:left="567" w:hanging="567"/>
        <w:rPr>
          <w:b/>
        </w:rPr>
      </w:pPr>
      <w:r w:rsidRPr="00882AF5">
        <w:rPr>
          <w:b/>
        </w:rPr>
        <w:t>3.</w:t>
      </w:r>
      <w:r w:rsidRPr="00882AF5">
        <w:rPr>
          <w:b/>
        </w:rPr>
        <w:tab/>
        <w:t>ZĀĻU FORMA</w:t>
      </w:r>
    </w:p>
    <w:p w14:paraId="3A03FAF0" w14:textId="77777777" w:rsidR="00992A6A" w:rsidRPr="00882AF5" w:rsidRDefault="00992A6A" w:rsidP="008B4ED7">
      <w:pPr>
        <w:keepNext/>
      </w:pPr>
    </w:p>
    <w:p w14:paraId="45BE9C23" w14:textId="77777777" w:rsidR="00992A6A" w:rsidRPr="00882AF5" w:rsidRDefault="00992A6A" w:rsidP="008B4ED7">
      <w:r w:rsidRPr="00882AF5">
        <w:t>Šķīdums injekcijām (injekcija).</w:t>
      </w:r>
    </w:p>
    <w:p w14:paraId="3C78B81E" w14:textId="77777777" w:rsidR="00662C55" w:rsidRPr="00882AF5" w:rsidRDefault="00662C55" w:rsidP="008B4ED7"/>
    <w:p w14:paraId="7E3C22B9" w14:textId="2C3122C9" w:rsidR="008603DE" w:rsidRPr="00882AF5" w:rsidRDefault="00992A6A" w:rsidP="008B4ED7">
      <w:r w:rsidRPr="00882AF5">
        <w:t xml:space="preserve">Dzidrs, bezkrāsains vai </w:t>
      </w:r>
      <w:r w:rsidR="00E50875" w:rsidRPr="00882AF5">
        <w:t xml:space="preserve">blāvi </w:t>
      </w:r>
      <w:r w:rsidRPr="00882AF5">
        <w:t>dzeltens šķīdums</w:t>
      </w:r>
      <w:r w:rsidR="009D36BB" w:rsidRPr="00882AF5">
        <w:t xml:space="preserve"> ar pH 5,2</w:t>
      </w:r>
      <w:r w:rsidRPr="00882AF5">
        <w:t>.</w:t>
      </w:r>
    </w:p>
    <w:p w14:paraId="640D0C84" w14:textId="77777777" w:rsidR="00992A6A" w:rsidRPr="00882AF5" w:rsidRDefault="00992A6A" w:rsidP="008B4ED7"/>
    <w:p w14:paraId="63A600CA" w14:textId="77777777" w:rsidR="004103A2" w:rsidRPr="00882AF5" w:rsidRDefault="004103A2" w:rsidP="008B4ED7"/>
    <w:p w14:paraId="7279213E" w14:textId="77777777" w:rsidR="00992A6A" w:rsidRPr="00882AF5" w:rsidRDefault="00531950" w:rsidP="008B4ED7">
      <w:pPr>
        <w:keepNext/>
        <w:ind w:left="567" w:hanging="567"/>
        <w:rPr>
          <w:b/>
        </w:rPr>
      </w:pPr>
      <w:r w:rsidRPr="00882AF5">
        <w:rPr>
          <w:b/>
        </w:rPr>
        <w:t>4.</w:t>
      </w:r>
      <w:r w:rsidRPr="00882AF5">
        <w:rPr>
          <w:b/>
        </w:rPr>
        <w:tab/>
        <w:t>KLĪNISKĀ INFORMĀCIJA</w:t>
      </w:r>
    </w:p>
    <w:p w14:paraId="2BFD3BE3" w14:textId="77777777" w:rsidR="00992A6A" w:rsidRPr="00882AF5" w:rsidRDefault="00992A6A" w:rsidP="008B4ED7">
      <w:pPr>
        <w:keepNext/>
      </w:pPr>
    </w:p>
    <w:p w14:paraId="2CEF50C1" w14:textId="77777777" w:rsidR="00992A6A" w:rsidRPr="00882AF5" w:rsidRDefault="0040061E" w:rsidP="008B4ED7">
      <w:pPr>
        <w:keepNext/>
        <w:tabs>
          <w:tab w:val="clear" w:pos="567"/>
        </w:tabs>
        <w:ind w:left="567" w:hanging="567"/>
        <w:outlineLvl w:val="0"/>
        <w:rPr>
          <w:b/>
        </w:rPr>
      </w:pPr>
      <w:r w:rsidRPr="00882AF5">
        <w:rPr>
          <w:b/>
        </w:rPr>
        <w:t>4.1.</w:t>
      </w:r>
      <w:r w:rsidRPr="00882AF5">
        <w:rPr>
          <w:b/>
        </w:rPr>
        <w:tab/>
        <w:t>Terapeitiskās indikācijas</w:t>
      </w:r>
    </w:p>
    <w:p w14:paraId="73F9B50E" w14:textId="77777777" w:rsidR="00992A6A" w:rsidRPr="00882AF5" w:rsidRDefault="00992A6A" w:rsidP="008B4ED7">
      <w:pPr>
        <w:keepNext/>
      </w:pPr>
    </w:p>
    <w:p w14:paraId="4DA3DC16" w14:textId="58F9E448" w:rsidR="00992A6A" w:rsidRPr="00882AF5" w:rsidRDefault="00992A6A" w:rsidP="008B4ED7">
      <w:r w:rsidRPr="00882AF5">
        <w:t xml:space="preserve">Osteoporozes ārstēšana sievietēm pēcmenopauzes periodā un vīriešiem ar paaugstinātu lūzumu risku. Sievietēm pēcmenopauzes periodā </w:t>
      </w:r>
      <w:r w:rsidR="00417EC9">
        <w:t>denozumab</w:t>
      </w:r>
      <w:r w:rsidR="00DB48EF" w:rsidRPr="00882AF5">
        <w:t xml:space="preserve">s </w:t>
      </w:r>
      <w:r w:rsidRPr="00882AF5">
        <w:t>būtiski samazina vertebrālu, nevertebrālu un gūžas kaula lūzumu risku.</w:t>
      </w:r>
    </w:p>
    <w:p w14:paraId="223F1787" w14:textId="77777777" w:rsidR="00992A6A" w:rsidRPr="00882AF5" w:rsidRDefault="00992A6A" w:rsidP="008B4ED7"/>
    <w:p w14:paraId="69766038" w14:textId="6D940000" w:rsidR="00992A6A" w:rsidRPr="00882AF5" w:rsidRDefault="00992A6A" w:rsidP="008B4ED7">
      <w:r w:rsidRPr="00882AF5">
        <w:t xml:space="preserve">Ar hormonu ablāciju saistīta kaulaudu zuduma ārstēšana vīriešiem ar prostatas vēzi, </w:t>
      </w:r>
      <w:r w:rsidR="0071264A">
        <w:t xml:space="preserve">kuriem </w:t>
      </w:r>
      <w:r w:rsidRPr="00882AF5">
        <w:t xml:space="preserve">ir paaugstināts lūzumu risks (skatīt 5.1. apakšpunktu). Vīriešiem ar prostatas vēzi, kuri saņēmuši hormonu ablācijas terapiju, </w:t>
      </w:r>
      <w:r w:rsidR="00417EC9">
        <w:t>denozumab</w:t>
      </w:r>
      <w:r w:rsidR="00DB48EF" w:rsidRPr="00882AF5">
        <w:t>s</w:t>
      </w:r>
      <w:r w:rsidR="00DB48EF" w:rsidRPr="00882AF5" w:rsidDel="00DB48EF">
        <w:t xml:space="preserve"> </w:t>
      </w:r>
      <w:r w:rsidRPr="00882AF5">
        <w:t>būtiski samazina vertebrālo lūzumu risku.</w:t>
      </w:r>
    </w:p>
    <w:p w14:paraId="7D563DCD" w14:textId="77777777" w:rsidR="0081033D" w:rsidRPr="00882AF5" w:rsidRDefault="0081033D" w:rsidP="008B4ED7"/>
    <w:p w14:paraId="708DCC2B" w14:textId="61D0F33D" w:rsidR="0081033D" w:rsidRPr="00882AF5" w:rsidRDefault="0081033D" w:rsidP="008B4ED7">
      <w:r w:rsidRPr="00882AF5">
        <w:t xml:space="preserve">Ar ilgtermiņa sistēmisku glikokortikoīdu terapiju saistīta kaulaudu zuduma ārstēšana pieaugušiem pacientiem, </w:t>
      </w:r>
      <w:r w:rsidR="0071264A">
        <w:t xml:space="preserve">kuriem </w:t>
      </w:r>
      <w:r w:rsidRPr="00882AF5">
        <w:t>ir paaugstināts lūzumu risks (skatīt 5.1. apakšpunktu).</w:t>
      </w:r>
    </w:p>
    <w:p w14:paraId="0ADE80A4" w14:textId="77777777" w:rsidR="00992A6A" w:rsidRPr="00882AF5" w:rsidRDefault="00992A6A" w:rsidP="008B4ED7"/>
    <w:p w14:paraId="14F9C02A" w14:textId="77777777" w:rsidR="00992A6A" w:rsidRPr="00882AF5" w:rsidRDefault="0040061E" w:rsidP="008B4ED7">
      <w:pPr>
        <w:keepNext/>
        <w:ind w:left="567" w:hanging="567"/>
        <w:rPr>
          <w:b/>
        </w:rPr>
      </w:pPr>
      <w:r w:rsidRPr="00882AF5">
        <w:rPr>
          <w:b/>
        </w:rPr>
        <w:t>4.2.</w:t>
      </w:r>
      <w:r w:rsidRPr="00882AF5">
        <w:rPr>
          <w:b/>
        </w:rPr>
        <w:tab/>
        <w:t>Devas un lietošanas veids</w:t>
      </w:r>
    </w:p>
    <w:p w14:paraId="4C4DC1A8" w14:textId="77777777" w:rsidR="00992A6A" w:rsidRPr="00882AF5" w:rsidRDefault="00992A6A" w:rsidP="008B4ED7">
      <w:pPr>
        <w:keepNext/>
      </w:pPr>
    </w:p>
    <w:p w14:paraId="5E0B1EEC" w14:textId="77777777" w:rsidR="004439BF" w:rsidRPr="00882AF5" w:rsidRDefault="00992A6A" w:rsidP="008B4ED7">
      <w:pPr>
        <w:keepNext/>
        <w:rPr>
          <w:u w:val="single"/>
        </w:rPr>
      </w:pPr>
      <w:r w:rsidRPr="00882AF5">
        <w:rPr>
          <w:u w:val="single"/>
        </w:rPr>
        <w:t>Devas</w:t>
      </w:r>
    </w:p>
    <w:p w14:paraId="6BAE3C37" w14:textId="77777777" w:rsidR="00992A6A" w:rsidRPr="00882AF5" w:rsidRDefault="00992A6A" w:rsidP="008B4ED7">
      <w:pPr>
        <w:keepNext/>
      </w:pPr>
    </w:p>
    <w:p w14:paraId="16490D2F" w14:textId="28105316" w:rsidR="00992A6A" w:rsidRPr="00882AF5" w:rsidRDefault="00992A6A" w:rsidP="008B4ED7">
      <w:r w:rsidRPr="00882AF5">
        <w:t xml:space="preserve">Ieteicamā deva ir 60 mg </w:t>
      </w:r>
      <w:r w:rsidR="00417EC9">
        <w:t>denozumab</w:t>
      </w:r>
      <w:r w:rsidRPr="00882AF5">
        <w:t>a vienreizējas subkutānas injekcijas veidā ik pēc 6 mēnešiem, ko ievada augšstilbā, vēdera priekšējā sienā vai augšdelmā.</w:t>
      </w:r>
    </w:p>
    <w:p w14:paraId="0B8B79A7" w14:textId="77777777" w:rsidR="00992A6A" w:rsidRPr="00882AF5" w:rsidRDefault="00992A6A" w:rsidP="008B4ED7"/>
    <w:p w14:paraId="00C6AA47" w14:textId="5C31F3FB" w:rsidR="00992A6A" w:rsidRPr="00882AF5" w:rsidRDefault="00992A6A" w:rsidP="008B4ED7">
      <w:r w:rsidRPr="00882AF5">
        <w:t>Pacienti jānodrošina ar atbilstošu kalcija un D vitamīna daudzumu (skatīt 4.4. apakšpunktu).</w:t>
      </w:r>
    </w:p>
    <w:p w14:paraId="23501376" w14:textId="52075D7F" w:rsidR="005D370F" w:rsidRPr="00882AF5" w:rsidRDefault="005D370F" w:rsidP="008B4ED7"/>
    <w:p w14:paraId="6F585F8E" w14:textId="15504A5D" w:rsidR="005D370F" w:rsidRPr="00882AF5" w:rsidRDefault="005D370F" w:rsidP="008B4ED7">
      <w:r w:rsidRPr="00882AF5">
        <w:lastRenderedPageBreak/>
        <w:t xml:space="preserve">Ar </w:t>
      </w:r>
      <w:r w:rsidR="00417EC9">
        <w:t>denozumab</w:t>
      </w:r>
      <w:r w:rsidR="00DB48EF" w:rsidRPr="00882AF5">
        <w:t xml:space="preserve">u </w:t>
      </w:r>
      <w:r w:rsidRPr="00882AF5">
        <w:t>ārstētiem pacientiem jāizsniedz zāļu lietošanas instrukcija un pacienta atgādinājuma kartīte.</w:t>
      </w:r>
    </w:p>
    <w:p w14:paraId="607F1885" w14:textId="77777777" w:rsidR="0025669A" w:rsidRPr="00882AF5" w:rsidRDefault="0025669A" w:rsidP="008B4ED7"/>
    <w:p w14:paraId="75024C21" w14:textId="1F717AB9" w:rsidR="00CB6286" w:rsidRPr="00882AF5" w:rsidRDefault="00CB6286" w:rsidP="008B4ED7">
      <w:r w:rsidRPr="00882AF5">
        <w:t xml:space="preserve">Osteoporozes antirezorbtīvās ārstēšanas (ietverot gan </w:t>
      </w:r>
      <w:r w:rsidR="00417EC9">
        <w:t>denozumab</w:t>
      </w:r>
      <w:r w:rsidRPr="00882AF5">
        <w:t xml:space="preserve">u, gan bisfosfonātus) optimālais kopējais ilgums nav noteikts. Nepieciešamība turpināt ārstēšanu periodiski jāpārvērtē, pamatojoties uz </w:t>
      </w:r>
      <w:r w:rsidR="00417EC9">
        <w:t>denozumab</w:t>
      </w:r>
      <w:r w:rsidRPr="00882AF5">
        <w:t>a ieguvumiem un iespējamiem riskiem katram pacientam individuāli, īpaši pēc 5 vai vairāk gadu ilgas lietošanas (skatīt 4.4. apakšpunktu).</w:t>
      </w:r>
    </w:p>
    <w:p w14:paraId="742F929C" w14:textId="77777777" w:rsidR="00992A6A" w:rsidRPr="00882AF5" w:rsidRDefault="00992A6A" w:rsidP="008B4ED7"/>
    <w:p w14:paraId="03487E6F" w14:textId="19CAF636" w:rsidR="00C57400" w:rsidRPr="00882AF5" w:rsidRDefault="00C57400" w:rsidP="008B4ED7">
      <w:pPr>
        <w:keepNext/>
        <w:tabs>
          <w:tab w:val="clear" w:pos="567"/>
        </w:tabs>
        <w:rPr>
          <w:i/>
          <w:iCs/>
        </w:rPr>
      </w:pPr>
      <w:r w:rsidRPr="00882AF5">
        <w:rPr>
          <w:i/>
        </w:rPr>
        <w:t>Gados vecāki cilvēki (≥ 65 gadiem)</w:t>
      </w:r>
    </w:p>
    <w:p w14:paraId="0F272CBD" w14:textId="77777777" w:rsidR="00C57400" w:rsidRPr="00882AF5" w:rsidRDefault="00C57400" w:rsidP="008B4ED7">
      <w:r w:rsidRPr="00882AF5">
        <w:t>Gados vecākiem pacientiem devas pielāgošana nav nepieciešama.</w:t>
      </w:r>
    </w:p>
    <w:p w14:paraId="5FC4283C" w14:textId="77777777" w:rsidR="00C57400" w:rsidRPr="00882AF5" w:rsidRDefault="00C57400" w:rsidP="008B4ED7"/>
    <w:p w14:paraId="601857FE" w14:textId="15119D17" w:rsidR="00992A6A" w:rsidRPr="00882AF5" w:rsidRDefault="004439BF" w:rsidP="008B4ED7">
      <w:pPr>
        <w:keepNext/>
        <w:tabs>
          <w:tab w:val="clear" w:pos="567"/>
        </w:tabs>
        <w:rPr>
          <w:i/>
          <w:iCs/>
        </w:rPr>
      </w:pPr>
      <w:r w:rsidRPr="00882AF5">
        <w:rPr>
          <w:i/>
        </w:rPr>
        <w:t>Nieru darbības traucējumi</w:t>
      </w:r>
    </w:p>
    <w:p w14:paraId="20F485B7" w14:textId="77777777" w:rsidR="00992A6A" w:rsidRPr="00882AF5" w:rsidRDefault="00E22884" w:rsidP="008B4ED7">
      <w:r w:rsidRPr="00882AF5">
        <w:t>Pacientiem ar nieru darbības traucējumiem devas pielāgošana nav nepieciešama (skatīt 4.4. apakšpunktu par ieteikumiem attiecībā uz kalcija kontroli).</w:t>
      </w:r>
    </w:p>
    <w:p w14:paraId="5FBA7A2C" w14:textId="77777777" w:rsidR="00992A6A" w:rsidRPr="00882AF5" w:rsidRDefault="00992A6A" w:rsidP="008B4ED7"/>
    <w:p w14:paraId="0FEDC8C6" w14:textId="7830F86A" w:rsidR="0081033D" w:rsidRPr="00882AF5" w:rsidRDefault="0081033D" w:rsidP="00B67848">
      <w:r w:rsidRPr="00882AF5">
        <w:t>Nav pieejami dati par pacientiem ar ilgtermiņa sistēmisku glikokortikoīdu terapiju un smagiem nieru darbības traucējumiem</w:t>
      </w:r>
      <w:r w:rsidR="00796FF2">
        <w:rPr>
          <w:rFonts w:eastAsia="맑은 고딕" w:hint="eastAsia"/>
          <w:lang w:eastAsia="ko-KR"/>
        </w:rPr>
        <w:t xml:space="preserve">, </w:t>
      </w:r>
      <w:r w:rsidR="00B4615F" w:rsidRPr="00882AF5">
        <w:t xml:space="preserve">glomerulārās filtrācijas ātrums </w:t>
      </w:r>
      <w:r w:rsidR="008E383B">
        <w:rPr>
          <w:rFonts w:eastAsia="맑은 고딕" w:hint="eastAsia"/>
          <w:lang w:eastAsia="ko-KR"/>
        </w:rPr>
        <w:t>(</w:t>
      </w:r>
      <w:r w:rsidRPr="00882AF5">
        <w:t>GFĀ</w:t>
      </w:r>
      <w:r w:rsidR="00F35818">
        <w:t>)</w:t>
      </w:r>
      <w:r w:rsidRPr="00882AF5">
        <w:t> &lt; 30 ml/min.</w:t>
      </w:r>
    </w:p>
    <w:p w14:paraId="303BFECA" w14:textId="77777777" w:rsidR="0081033D" w:rsidRPr="00882AF5" w:rsidRDefault="0081033D" w:rsidP="008B4ED7"/>
    <w:p w14:paraId="08AA6154" w14:textId="77777777" w:rsidR="00992A6A" w:rsidRPr="00882AF5" w:rsidRDefault="004439BF" w:rsidP="008B4ED7">
      <w:pPr>
        <w:keepNext/>
        <w:tabs>
          <w:tab w:val="clear" w:pos="567"/>
        </w:tabs>
        <w:rPr>
          <w:i/>
          <w:iCs/>
        </w:rPr>
      </w:pPr>
      <w:r w:rsidRPr="00882AF5">
        <w:rPr>
          <w:i/>
        </w:rPr>
        <w:t>Aknu darbības traucējumi</w:t>
      </w:r>
    </w:p>
    <w:p w14:paraId="2C929951" w14:textId="4813D406" w:rsidR="00992A6A" w:rsidRPr="00882AF5" w:rsidRDefault="00992A6A" w:rsidP="008B4ED7">
      <w:r w:rsidRPr="00882AF5">
        <w:t xml:space="preserve">Pacientiem ar aknu darbības traucējumiem nav veikti pētījumi par </w:t>
      </w:r>
      <w:r w:rsidR="00417EC9">
        <w:t>denozumab</w:t>
      </w:r>
      <w:r w:rsidRPr="00882AF5">
        <w:t>a drošumu un efektivitāti (skatīt 5.2. apakšpunktu).</w:t>
      </w:r>
    </w:p>
    <w:p w14:paraId="1669EFA4" w14:textId="77777777" w:rsidR="00992A6A" w:rsidRPr="00882AF5" w:rsidRDefault="00992A6A" w:rsidP="008B4ED7"/>
    <w:p w14:paraId="791B32C7" w14:textId="77777777" w:rsidR="008603DE" w:rsidRPr="00882AF5" w:rsidRDefault="00992A6A" w:rsidP="008B4ED7">
      <w:pPr>
        <w:keepNext/>
        <w:tabs>
          <w:tab w:val="clear" w:pos="567"/>
        </w:tabs>
        <w:rPr>
          <w:i/>
          <w:iCs/>
        </w:rPr>
      </w:pPr>
      <w:r w:rsidRPr="00882AF5">
        <w:rPr>
          <w:i/>
        </w:rPr>
        <w:t>Pediatriskā populācija</w:t>
      </w:r>
    </w:p>
    <w:p w14:paraId="6456ADCA" w14:textId="1D03B465" w:rsidR="00BF0C34" w:rsidRPr="00882AF5" w:rsidRDefault="00867363" w:rsidP="006050AD">
      <w:r w:rsidRPr="00882AF5">
        <w:t xml:space="preserve">Stoboclo </w:t>
      </w:r>
      <w:r w:rsidR="00BF0C34" w:rsidRPr="00882AF5">
        <w:t>nedrīkst lietot &lt; 18 gadus veciem bērniem drošuma apsvērumu dēļ saistībā ar smagu hiperkalciēmiju un potenciāli nomāktu kaulu augšanu un zobu šķilšanos (skatīt 4.4. un 5.3. apakšpunktu). Pašlaik pieejamie dati par 2–17 gadus veciem bērniem ir sniegti 5.1. un 5.2. apakšpunktā.</w:t>
      </w:r>
    </w:p>
    <w:p w14:paraId="6C55FDC4" w14:textId="77777777" w:rsidR="00BF0C34" w:rsidRPr="00882AF5" w:rsidRDefault="00BF0C34" w:rsidP="00BF0C34"/>
    <w:p w14:paraId="41F910C9" w14:textId="77777777" w:rsidR="004439BF" w:rsidRPr="00882AF5" w:rsidRDefault="00992A6A" w:rsidP="008B4ED7">
      <w:pPr>
        <w:keepNext/>
        <w:rPr>
          <w:u w:val="single"/>
        </w:rPr>
      </w:pPr>
      <w:r w:rsidRPr="00882AF5">
        <w:rPr>
          <w:u w:val="single"/>
        </w:rPr>
        <w:t>Lietošanas veids</w:t>
      </w:r>
    </w:p>
    <w:p w14:paraId="0B05D5E6" w14:textId="77777777" w:rsidR="00992A6A" w:rsidRPr="00882AF5" w:rsidRDefault="00992A6A" w:rsidP="008B4ED7">
      <w:pPr>
        <w:keepNext/>
      </w:pPr>
    </w:p>
    <w:p w14:paraId="79EB9B16" w14:textId="77777777" w:rsidR="00C36B40" w:rsidRPr="00882AF5" w:rsidRDefault="00C36B40" w:rsidP="008B4ED7">
      <w:r w:rsidRPr="00882AF5">
        <w:t>Subkutānai lietošanai.</w:t>
      </w:r>
    </w:p>
    <w:p w14:paraId="5EA9A695" w14:textId="77777777" w:rsidR="00FE1158" w:rsidRPr="00882AF5" w:rsidRDefault="00FE1158" w:rsidP="008B4ED7"/>
    <w:p w14:paraId="2D688B41" w14:textId="61D7078B" w:rsidR="00992A6A" w:rsidRPr="00882AF5" w:rsidRDefault="00992A6A" w:rsidP="008B4ED7">
      <w:r w:rsidRPr="00882AF5">
        <w:t>Zāļu ievadīšanu var veikt personas, kur</w:t>
      </w:r>
      <w:r w:rsidR="00581560">
        <w:t>as</w:t>
      </w:r>
      <w:r w:rsidRPr="00882AF5">
        <w:t xml:space="preserve"> ir atbilstoši apmācīta</w:t>
      </w:r>
      <w:r w:rsidR="00581560">
        <w:t>s</w:t>
      </w:r>
      <w:r w:rsidRPr="00882AF5">
        <w:t xml:space="preserve"> </w:t>
      </w:r>
      <w:r w:rsidR="00581560">
        <w:t xml:space="preserve">veikt </w:t>
      </w:r>
      <w:r w:rsidRPr="00882AF5">
        <w:t>injekcij</w:t>
      </w:r>
      <w:r w:rsidR="00581560">
        <w:t>as</w:t>
      </w:r>
      <w:r w:rsidR="009D78A3">
        <w:t>.</w:t>
      </w:r>
    </w:p>
    <w:p w14:paraId="1EB31063" w14:textId="77777777" w:rsidR="00992A6A" w:rsidRPr="00882AF5" w:rsidRDefault="00992A6A" w:rsidP="008B4ED7"/>
    <w:p w14:paraId="7E6D68D2" w14:textId="0B441700" w:rsidR="0093094E" w:rsidRPr="00882AF5" w:rsidRDefault="00992A6A" w:rsidP="008B4ED7">
      <w:r w:rsidRPr="00882AF5">
        <w:t>Norādījumus par zāļu lietošanu, rīkošanos ar tām un likvidēšanu skatīt 6.6. apakšpunktā.</w:t>
      </w:r>
    </w:p>
    <w:p w14:paraId="484950CF" w14:textId="77777777" w:rsidR="00992A6A" w:rsidRPr="00882AF5" w:rsidRDefault="00992A6A" w:rsidP="008B4ED7"/>
    <w:p w14:paraId="3FADEB71" w14:textId="77777777" w:rsidR="00992A6A" w:rsidRPr="00882AF5" w:rsidRDefault="00C175EC" w:rsidP="008B4ED7">
      <w:pPr>
        <w:keepNext/>
        <w:ind w:left="567" w:hanging="567"/>
        <w:rPr>
          <w:b/>
        </w:rPr>
      </w:pPr>
      <w:r w:rsidRPr="00882AF5">
        <w:rPr>
          <w:b/>
        </w:rPr>
        <w:t>4.3.</w:t>
      </w:r>
      <w:r w:rsidRPr="00882AF5">
        <w:rPr>
          <w:b/>
        </w:rPr>
        <w:tab/>
        <w:t>Kontrindikācijas</w:t>
      </w:r>
    </w:p>
    <w:p w14:paraId="0E2E2A84" w14:textId="77777777" w:rsidR="004439BF" w:rsidRPr="00882AF5" w:rsidRDefault="004439BF" w:rsidP="008B4ED7">
      <w:pPr>
        <w:keepNext/>
      </w:pPr>
    </w:p>
    <w:p w14:paraId="1C21C2FA" w14:textId="77777777" w:rsidR="00992A6A" w:rsidRPr="00882AF5" w:rsidRDefault="004439BF" w:rsidP="008B4ED7">
      <w:r w:rsidRPr="00882AF5">
        <w:t>Paaugstināta jutība pret aktīvo vielu vai jebkuru no 6.1. apakšpunktā uzskaitītajām palīgvielām.</w:t>
      </w:r>
    </w:p>
    <w:p w14:paraId="5641AD10" w14:textId="77777777" w:rsidR="004439BF" w:rsidRPr="00882AF5" w:rsidRDefault="004439BF" w:rsidP="008B4ED7"/>
    <w:p w14:paraId="30991A27" w14:textId="77777777" w:rsidR="00992A6A" w:rsidRPr="00882AF5" w:rsidRDefault="00992A6A" w:rsidP="008B4ED7">
      <w:r w:rsidRPr="00882AF5">
        <w:t>Hipokalciēmija (skatīt 4.4. apakšpunktu).</w:t>
      </w:r>
    </w:p>
    <w:p w14:paraId="7C8D0DC0" w14:textId="77777777" w:rsidR="00992A6A" w:rsidRPr="00882AF5" w:rsidRDefault="00992A6A" w:rsidP="008B4ED7"/>
    <w:p w14:paraId="4A5578CF" w14:textId="77777777" w:rsidR="00992A6A" w:rsidRPr="00882AF5" w:rsidRDefault="00992A6A" w:rsidP="008B4ED7">
      <w:pPr>
        <w:keepNext/>
        <w:ind w:left="567" w:hanging="567"/>
        <w:rPr>
          <w:b/>
        </w:rPr>
      </w:pPr>
      <w:r w:rsidRPr="00882AF5">
        <w:rPr>
          <w:b/>
        </w:rPr>
        <w:t>4.4.</w:t>
      </w:r>
      <w:r w:rsidRPr="00882AF5">
        <w:rPr>
          <w:b/>
        </w:rPr>
        <w:tab/>
        <w:t>Īpaši brīdinājumi un piesardzība lietošanā</w:t>
      </w:r>
    </w:p>
    <w:p w14:paraId="4C0872FE" w14:textId="77777777" w:rsidR="00992A6A" w:rsidRPr="00882AF5" w:rsidRDefault="00992A6A" w:rsidP="008B4ED7">
      <w:pPr>
        <w:keepNext/>
      </w:pPr>
    </w:p>
    <w:p w14:paraId="6C9DCAF1" w14:textId="4C0F8E67" w:rsidR="00AC40D3" w:rsidRPr="00882AF5" w:rsidRDefault="00AC40D3" w:rsidP="00680B23">
      <w:pPr>
        <w:pStyle w:val="Style11ptunderlined"/>
      </w:pPr>
      <w:r w:rsidRPr="00882AF5">
        <w:t>Izsekojamība</w:t>
      </w:r>
    </w:p>
    <w:p w14:paraId="0BD6D239" w14:textId="77777777" w:rsidR="00AC40D3" w:rsidRPr="00882AF5" w:rsidRDefault="00AC40D3" w:rsidP="00E30E15">
      <w:pPr>
        <w:keepNext/>
      </w:pPr>
    </w:p>
    <w:p w14:paraId="54B837A7" w14:textId="1814DA6D" w:rsidR="00AC40D3" w:rsidRPr="00882AF5" w:rsidRDefault="00AC40D3" w:rsidP="00E30E15">
      <w:r w:rsidRPr="00882AF5">
        <w:t>Lai uzlabotu bioloģisko zāļu izsekojamību, ir skaidri jāreģistrē lietoto zāļu nosaukums un sērijas numurs.</w:t>
      </w:r>
    </w:p>
    <w:p w14:paraId="260A7445" w14:textId="77777777" w:rsidR="00AC40D3" w:rsidRPr="00882AF5" w:rsidRDefault="00AC40D3" w:rsidP="00E30E15"/>
    <w:p w14:paraId="7B305349" w14:textId="3A3BDFEE" w:rsidR="00992A6A" w:rsidRPr="00882AF5" w:rsidRDefault="00992A6A" w:rsidP="008B4ED7">
      <w:pPr>
        <w:keepNext/>
        <w:rPr>
          <w:u w:val="single"/>
        </w:rPr>
      </w:pPr>
      <w:r w:rsidRPr="00882AF5">
        <w:rPr>
          <w:u w:val="single"/>
        </w:rPr>
        <w:t>Papildu kalcijs un D vitamīns</w:t>
      </w:r>
    </w:p>
    <w:p w14:paraId="07F80FA2" w14:textId="77777777" w:rsidR="00556EDC" w:rsidRPr="00882AF5" w:rsidRDefault="00556EDC" w:rsidP="008B4ED7">
      <w:pPr>
        <w:keepNext/>
      </w:pPr>
    </w:p>
    <w:p w14:paraId="527C73EC" w14:textId="77777777" w:rsidR="00992A6A" w:rsidRPr="00882AF5" w:rsidRDefault="00992A6A" w:rsidP="008B4ED7">
      <w:r w:rsidRPr="00882AF5">
        <w:t>Visiem pacientiem ir svarīgi uzņemt atbilstošu kalcija un D vitamīna daudzumu.</w:t>
      </w:r>
    </w:p>
    <w:p w14:paraId="0B77F5CF" w14:textId="77777777" w:rsidR="00992A6A" w:rsidRPr="00882AF5" w:rsidRDefault="00992A6A" w:rsidP="008B4ED7"/>
    <w:p w14:paraId="141DCE35" w14:textId="77777777" w:rsidR="00992A6A" w:rsidRPr="00882AF5" w:rsidRDefault="00992A6A" w:rsidP="008B4ED7">
      <w:pPr>
        <w:keepNext/>
        <w:rPr>
          <w:u w:val="single"/>
        </w:rPr>
      </w:pPr>
      <w:r w:rsidRPr="00882AF5">
        <w:rPr>
          <w:u w:val="single"/>
        </w:rPr>
        <w:lastRenderedPageBreak/>
        <w:t>Piesardzība lietošanā</w:t>
      </w:r>
    </w:p>
    <w:p w14:paraId="567C9015" w14:textId="77777777" w:rsidR="00CD0319" w:rsidRPr="00882AF5" w:rsidRDefault="00CD0319" w:rsidP="008B4ED7">
      <w:pPr>
        <w:keepNext/>
      </w:pPr>
    </w:p>
    <w:p w14:paraId="03B064C0" w14:textId="77777777" w:rsidR="001D7336" w:rsidRPr="00882AF5" w:rsidRDefault="001D7336" w:rsidP="008B4ED7">
      <w:pPr>
        <w:keepNext/>
        <w:tabs>
          <w:tab w:val="clear" w:pos="567"/>
        </w:tabs>
        <w:rPr>
          <w:i/>
          <w:iCs/>
        </w:rPr>
      </w:pPr>
      <w:r w:rsidRPr="00882AF5">
        <w:rPr>
          <w:i/>
        </w:rPr>
        <w:t>Hipokalciēmija</w:t>
      </w:r>
    </w:p>
    <w:p w14:paraId="2115DB8A" w14:textId="08816738" w:rsidR="00E22884" w:rsidRPr="00882AF5" w:rsidRDefault="00941571" w:rsidP="008B4ED7">
      <w:r w:rsidRPr="00882AF5">
        <w:t>Ir svarīgi identificēt hipokalciēmijas riska pacientus. Hipokalciēmija jākoriģē pirms terapijas uzsākšanas, atbilstošā daudzumā uzņemot kalciju un D vitamīnu. Pirms katras devas ieteicama klīniska kalcija līmeņa kontrole un pacientiem, kuri ir predisponēti hipokalciēmijai</w:t>
      </w:r>
      <w:r w:rsidR="00266700">
        <w:t xml:space="preserve">- </w:t>
      </w:r>
      <w:r w:rsidRPr="00882AF5">
        <w:t>divu nedēļu laikā pēc sākuma devas. Ja ārstēšanas laikā kādam pacientam konstatē simptomus, kas norāda uz aizdomām par hipokalciēmiju (skatīt 4.8. apakšpunktu par simptomiem), jānosaka kalcija līmenis. Pacienti jāmudina ziņot par simptomiem, k</w:t>
      </w:r>
      <w:r w:rsidR="00266700">
        <w:t>u</w:t>
      </w:r>
      <w:r w:rsidR="00524C94">
        <w:t>ri</w:t>
      </w:r>
      <w:r w:rsidRPr="00882AF5">
        <w:t xml:space="preserve"> liecina par hipokalciēmiju.</w:t>
      </w:r>
    </w:p>
    <w:p w14:paraId="58A176FB" w14:textId="77777777" w:rsidR="00074CC8" w:rsidRPr="00882AF5" w:rsidRDefault="00074CC8" w:rsidP="00074CC8"/>
    <w:p w14:paraId="54C4CC27" w14:textId="74082D67" w:rsidR="004030F8" w:rsidRPr="00882AF5" w:rsidRDefault="004030F8" w:rsidP="004030F8">
      <w:r w:rsidRPr="00882AF5">
        <w:t xml:space="preserve">Pēcreģistrācijas periodā ziņots par smagu simptomātisku hipokalciēmiju (kuras rezultātā </w:t>
      </w:r>
      <w:r w:rsidR="00782C0E" w:rsidRPr="00882AF5">
        <w:t xml:space="preserve">bijusi nepieciešama </w:t>
      </w:r>
      <w:r w:rsidRPr="00882AF5">
        <w:t>hospitalizācija</w:t>
      </w:r>
      <w:r w:rsidR="00524C94">
        <w:t>, r</w:t>
      </w:r>
      <w:r w:rsidR="00782C0E" w:rsidRPr="00882AF5">
        <w:t>adušies</w:t>
      </w:r>
      <w:r w:rsidRPr="00882AF5">
        <w:t xml:space="preserve"> dzīvībai bīstami notikumi un letāli gadījumi). Vairākums gadījumu radās pirmajās nedēļās pēc terapijas uzsākšanas</w:t>
      </w:r>
      <w:r w:rsidR="009A6954">
        <w:t>, tomēr</w:t>
      </w:r>
      <w:r w:rsidR="00782C0E" w:rsidRPr="00882AF5">
        <w:t xml:space="preserve"> tie</w:t>
      </w:r>
      <w:r w:rsidRPr="00882AF5">
        <w:t xml:space="preserve"> radās arī vēlāk.</w:t>
      </w:r>
    </w:p>
    <w:p w14:paraId="60518594" w14:textId="77777777" w:rsidR="001C38B9" w:rsidRPr="00882AF5" w:rsidRDefault="001C38B9" w:rsidP="008B4ED7"/>
    <w:p w14:paraId="0EF3E09B" w14:textId="77777777" w:rsidR="0081033D" w:rsidRPr="00882AF5" w:rsidRDefault="0081033D" w:rsidP="008B4ED7">
      <w:r w:rsidRPr="00882AF5">
        <w:t>Vienlaicīga ārstēšana ar glikokortikoīdiem ir hipokalciēmijas papildu riska faktors.</w:t>
      </w:r>
    </w:p>
    <w:p w14:paraId="3CFC56B4" w14:textId="77777777" w:rsidR="0081033D" w:rsidRPr="00882AF5" w:rsidRDefault="0081033D" w:rsidP="008B4ED7"/>
    <w:p w14:paraId="3796FA4D" w14:textId="77777777" w:rsidR="0081033D" w:rsidRPr="00882AF5" w:rsidRDefault="0081033D" w:rsidP="008B4ED7">
      <w:pPr>
        <w:keepNext/>
        <w:tabs>
          <w:tab w:val="clear" w:pos="567"/>
        </w:tabs>
        <w:rPr>
          <w:i/>
          <w:iCs/>
        </w:rPr>
      </w:pPr>
      <w:r w:rsidRPr="00882AF5">
        <w:rPr>
          <w:i/>
        </w:rPr>
        <w:t>Nieru darbības traucējumi</w:t>
      </w:r>
    </w:p>
    <w:p w14:paraId="360D3DAE" w14:textId="49A9B641" w:rsidR="0081033D" w:rsidRPr="00882AF5" w:rsidRDefault="0081033D" w:rsidP="008B4ED7">
      <w:r w:rsidRPr="00882AF5">
        <w:t>Pacientiem ar smagiem nieru darbības traucējumiem (kreatinīna klīrenss &lt; 30 ml/min) vai pacientiem, kuriem tiek veikta dialīze, ir lielāks hipokalciēmijas attīstības risks. Hipokalciēmijas un pavadošā paratireoīdā hormona koncentrācijas palielināšanās risks paaugstinās līdz ar nieru darbības traucējumu smaguma pakāpes paaugstināšanos. Ir ziņots par smagiem un letāliem gadījumiem. Šiem pacientiem ir īpaši svarīga pietiekama kalcija, D vitamīna daudzuma uzņemšana un regulāra kalcija kontrole (skatīt iepriekš).</w:t>
      </w:r>
    </w:p>
    <w:p w14:paraId="350410A8" w14:textId="77777777" w:rsidR="0081033D" w:rsidRPr="00882AF5" w:rsidRDefault="0081033D" w:rsidP="008B4ED7"/>
    <w:p w14:paraId="77FFCBB4" w14:textId="77777777" w:rsidR="008603DE" w:rsidRPr="00882AF5" w:rsidRDefault="001D7336" w:rsidP="008B4ED7">
      <w:pPr>
        <w:keepNext/>
        <w:tabs>
          <w:tab w:val="clear" w:pos="567"/>
        </w:tabs>
        <w:rPr>
          <w:i/>
          <w:iCs/>
        </w:rPr>
      </w:pPr>
      <w:r w:rsidRPr="00882AF5">
        <w:rPr>
          <w:i/>
        </w:rPr>
        <w:t>Ādas infekcijas</w:t>
      </w:r>
    </w:p>
    <w:p w14:paraId="2B36ADF4" w14:textId="3BB9CB4A" w:rsidR="00992A6A" w:rsidRPr="00882AF5" w:rsidRDefault="00992A6A" w:rsidP="008B4ED7">
      <w:r w:rsidRPr="00882AF5">
        <w:t xml:space="preserve">Ar </w:t>
      </w:r>
      <w:r w:rsidR="00417EC9">
        <w:t>denozumab</w:t>
      </w:r>
      <w:r w:rsidRPr="00882AF5">
        <w:t>u ārstētiem pacientiem var veidoties ādas infekcijas (galvenokārt celulīts), kuru dēļ nepieciešama hospitalizācija (skatīt 4.8. apakšpunktu). Pacientiem jāiesaka meklēt tūlītēju medicīnisku palīdzību, ja viņiem parādās celulīta pazīmes vai simptomi.</w:t>
      </w:r>
    </w:p>
    <w:p w14:paraId="6BBC4354" w14:textId="77777777" w:rsidR="00992A6A" w:rsidRPr="00882AF5" w:rsidRDefault="00992A6A" w:rsidP="008B4ED7"/>
    <w:p w14:paraId="306FD79E" w14:textId="16025AA9" w:rsidR="00D5172C" w:rsidRPr="00882AF5" w:rsidRDefault="00D5172C" w:rsidP="008B4ED7">
      <w:pPr>
        <w:keepNext/>
        <w:tabs>
          <w:tab w:val="clear" w:pos="567"/>
        </w:tabs>
        <w:rPr>
          <w:i/>
          <w:iCs/>
        </w:rPr>
      </w:pPr>
      <w:r w:rsidRPr="00882AF5">
        <w:rPr>
          <w:i/>
        </w:rPr>
        <w:t>Žokļa osteonekroze (ŽON)</w:t>
      </w:r>
    </w:p>
    <w:p w14:paraId="4DAF83AB" w14:textId="61B898F1" w:rsidR="008603DE" w:rsidRPr="00882AF5" w:rsidRDefault="00D5172C" w:rsidP="008B4ED7">
      <w:r w:rsidRPr="00882AF5">
        <w:t xml:space="preserve">Reti tika ziņots par ŽON pacientiem, kuri saņēma </w:t>
      </w:r>
      <w:r w:rsidR="00417EC9">
        <w:t>denozumab</w:t>
      </w:r>
      <w:r w:rsidR="00867363" w:rsidRPr="00882AF5">
        <w:t>u</w:t>
      </w:r>
      <w:r w:rsidRPr="00882AF5">
        <w:t>, lai ārstētu osteoporozi (skatīt 4.8. apakšpunktu).</w:t>
      </w:r>
    </w:p>
    <w:p w14:paraId="615B0498" w14:textId="77777777" w:rsidR="00415DB2" w:rsidRPr="00882AF5" w:rsidRDefault="00415DB2" w:rsidP="008B4ED7"/>
    <w:p w14:paraId="7BCC3460" w14:textId="01D04533" w:rsidR="008603DE" w:rsidRPr="00882AF5" w:rsidRDefault="00226058" w:rsidP="008B4ED7">
      <w:r w:rsidRPr="00882AF5">
        <w:t xml:space="preserve">Pacientiem ar nesadzijušiem vaļējiem mīksto audu bojājumiem mutes dobumā ārstēšanas sākums/jauns ārstēšanas kurss jāatliek. Pacientiem ar riska faktoriem pirms ārstēšanas ar </w:t>
      </w:r>
      <w:r w:rsidR="00417EC9">
        <w:t>denozumab</w:t>
      </w:r>
      <w:r w:rsidRPr="00882AF5">
        <w:t>u ieteicama profilaktiska zobu pārbaude un ārstēšana</w:t>
      </w:r>
      <w:r w:rsidR="005A3D7F">
        <w:t xml:space="preserve">, </w:t>
      </w:r>
      <w:r w:rsidRPr="00882AF5">
        <w:t>kā arī profilaktis</w:t>
      </w:r>
      <w:r w:rsidR="0024416A">
        <w:t>ka</w:t>
      </w:r>
      <w:r w:rsidRPr="00882AF5">
        <w:t xml:space="preserve"> zobārstniecīb</w:t>
      </w:r>
      <w:r w:rsidR="0024416A">
        <w:t>a</w:t>
      </w:r>
      <w:r w:rsidRPr="00882AF5">
        <w:t xml:space="preserve"> un individuāls ieguvuma-riska</w:t>
      </w:r>
      <w:r w:rsidR="0021629A">
        <w:t xml:space="preserve"> izvērtējums</w:t>
      </w:r>
      <w:r w:rsidRPr="00882AF5">
        <w:t>.</w:t>
      </w:r>
    </w:p>
    <w:p w14:paraId="64023C10" w14:textId="77777777" w:rsidR="00226058" w:rsidRPr="00882AF5" w:rsidRDefault="00226058" w:rsidP="008B4ED7"/>
    <w:p w14:paraId="44C70EF3" w14:textId="77777777" w:rsidR="008603DE" w:rsidRPr="00882AF5" w:rsidRDefault="00226058" w:rsidP="00D16E20">
      <w:pPr>
        <w:keepNext/>
      </w:pPr>
      <w:r w:rsidRPr="00882AF5">
        <w:t>Izvērtējot pacienta ŽON attīstīšanās risku, jāapsver šādi riska faktori:</w:t>
      </w:r>
    </w:p>
    <w:p w14:paraId="239551A7" w14:textId="77777777" w:rsidR="003E24B7" w:rsidRPr="00882AF5" w:rsidRDefault="003E24B7" w:rsidP="008B4ED7">
      <w:pPr>
        <w:numPr>
          <w:ilvl w:val="0"/>
          <w:numId w:val="54"/>
        </w:numPr>
        <w:tabs>
          <w:tab w:val="clear" w:pos="567"/>
        </w:tabs>
        <w:ind w:left="567" w:hanging="567"/>
      </w:pPr>
      <w:r w:rsidRPr="00882AF5">
        <w:t>kaulu rezorbciju nomācošu zāļu iedarbības stiprums (stipras iedarbības savienojumiem augstāks risks), ievadīšanas veids (parenterālai ievadīšanai augstāks risks) un kaulu rezorbcijas terapijas kumulatīvā deva;</w:t>
      </w:r>
    </w:p>
    <w:p w14:paraId="326A312F" w14:textId="77777777" w:rsidR="008603DE" w:rsidRPr="00882AF5" w:rsidRDefault="00226058" w:rsidP="008B4ED7">
      <w:pPr>
        <w:numPr>
          <w:ilvl w:val="0"/>
          <w:numId w:val="54"/>
        </w:numPr>
        <w:tabs>
          <w:tab w:val="clear" w:pos="567"/>
        </w:tabs>
        <w:ind w:left="567" w:hanging="567"/>
      </w:pPr>
      <w:r w:rsidRPr="00882AF5">
        <w:t>vēzis, blakusslimības (piemēram, anēmija, koagulopātijas, infekcija), smēķēšana;</w:t>
      </w:r>
    </w:p>
    <w:p w14:paraId="2EEDB6C9" w14:textId="77777777" w:rsidR="00226058" w:rsidRPr="00882AF5" w:rsidRDefault="00226058" w:rsidP="00D16E20">
      <w:pPr>
        <w:keepNext/>
        <w:numPr>
          <w:ilvl w:val="0"/>
          <w:numId w:val="54"/>
        </w:numPr>
        <w:tabs>
          <w:tab w:val="clear" w:pos="567"/>
        </w:tabs>
        <w:ind w:left="567" w:hanging="567"/>
      </w:pPr>
      <w:r w:rsidRPr="00882AF5">
        <w:t>terapijā vienlaicīgi lietoti: kortikosteroīdi, ķīmijterapija, angioģenēzes inhibitori, staru terapija galvai un kaklam;</w:t>
      </w:r>
    </w:p>
    <w:p w14:paraId="708A0745" w14:textId="0E3F294A" w:rsidR="00226058" w:rsidRPr="00882AF5" w:rsidRDefault="00226058" w:rsidP="008B4ED7">
      <w:pPr>
        <w:numPr>
          <w:ilvl w:val="0"/>
          <w:numId w:val="54"/>
        </w:numPr>
        <w:tabs>
          <w:tab w:val="clear" w:pos="567"/>
        </w:tabs>
        <w:ind w:left="567" w:hanging="567"/>
      </w:pPr>
      <w:r w:rsidRPr="00882AF5">
        <w:t>slikta mutes dobuma higiēna, periodontālā slimība, slikti pieguļošas protēzes, stomatoloģiska slimība dzīves laikā, invazīvas zobārstniecības procedūras (piemēram, zobu ekstrakcijas).</w:t>
      </w:r>
    </w:p>
    <w:p w14:paraId="7A45E27E" w14:textId="77777777" w:rsidR="00226058" w:rsidRPr="00882AF5" w:rsidRDefault="00226058" w:rsidP="008B4ED7"/>
    <w:p w14:paraId="660EE280" w14:textId="1EECF494" w:rsidR="00043BA2" w:rsidRPr="00882AF5" w:rsidRDefault="00D5172C" w:rsidP="008B4ED7">
      <w:r w:rsidRPr="00882AF5">
        <w:t xml:space="preserve">Visi pacienti ir jāmudina uzturēt labu mutes dobuma higiēnu, veikt regulāru zobu apskati un nekavējoties ziņot par visiem mutes dobuma simptomiem, tādiem kā zobu kustēšanās, sāpes vai pietūkums, nedzīstošas čūlas vai izdalījumi ārstēšanas ar </w:t>
      </w:r>
      <w:r w:rsidR="00417EC9">
        <w:t>denozumab</w:t>
      </w:r>
      <w:r w:rsidRPr="00882AF5">
        <w:t>u laikā. Ārstēšanas laikā invazīvas zobārstniecības procedūras jāveic tikai pēc rūpīgas apsvēršanas un</w:t>
      </w:r>
      <w:r w:rsidR="00705B0A">
        <w:t>,</w:t>
      </w:r>
      <w:r w:rsidRPr="00882AF5">
        <w:t xml:space="preserve"> tuvojoties </w:t>
      </w:r>
      <w:r w:rsidR="00417EC9">
        <w:t>denozumab</w:t>
      </w:r>
      <w:r w:rsidRPr="00882AF5">
        <w:t>a ievadīšanas laikam</w:t>
      </w:r>
      <w:r w:rsidR="00705B0A">
        <w:t>,</w:t>
      </w:r>
      <w:r w:rsidRPr="00882AF5">
        <w:t xml:space="preserve"> no tām jāizvairās.</w:t>
      </w:r>
    </w:p>
    <w:p w14:paraId="64142389" w14:textId="77777777" w:rsidR="00D5172C" w:rsidRPr="00882AF5" w:rsidRDefault="00D5172C" w:rsidP="008B4ED7"/>
    <w:p w14:paraId="73A43335" w14:textId="036F8A91" w:rsidR="00D5172C" w:rsidRPr="00882AF5" w:rsidRDefault="00D5172C" w:rsidP="008B4ED7">
      <w:r w:rsidRPr="00882AF5">
        <w:t>Ārstēšanas plāns pacientiem, k</w:t>
      </w:r>
      <w:r w:rsidR="00E831FB">
        <w:t>uriem</w:t>
      </w:r>
      <w:r w:rsidRPr="00882AF5">
        <w:t xml:space="preserve"> attīstās ŽON, jānosaka ciešā sadarbībā ar ārstējošo ārstu un zobārstu vai mutes dobuma ķirurgu ar pieredzi ŽON. Jāapsver īslaicīga ārstēšanas pārtraukšana, līdz stāvoklis uzlabojas un, kur iespējams, mazinās veicinošie riska faktori.</w:t>
      </w:r>
    </w:p>
    <w:p w14:paraId="7D4D5C6E" w14:textId="77777777" w:rsidR="00BD493B" w:rsidRPr="00882AF5" w:rsidRDefault="00BD493B" w:rsidP="008B4ED7"/>
    <w:p w14:paraId="1BDFE29F" w14:textId="77777777" w:rsidR="00E54693" w:rsidRPr="00882AF5" w:rsidRDefault="00E54693" w:rsidP="008B4ED7">
      <w:pPr>
        <w:keepNext/>
        <w:tabs>
          <w:tab w:val="clear" w:pos="567"/>
        </w:tabs>
        <w:rPr>
          <w:i/>
          <w:iCs/>
        </w:rPr>
      </w:pPr>
      <w:r w:rsidRPr="00882AF5">
        <w:rPr>
          <w:i/>
        </w:rPr>
        <w:t>Ārējā dzirdes kanāla osteonekroze</w:t>
      </w:r>
    </w:p>
    <w:p w14:paraId="7705AE92" w14:textId="3A57C384" w:rsidR="00E54693" w:rsidRPr="00882AF5" w:rsidRDefault="00E54693" w:rsidP="008B4ED7">
      <w:r w:rsidRPr="00882AF5">
        <w:t xml:space="preserve">Lietojot </w:t>
      </w:r>
      <w:r w:rsidR="00417EC9">
        <w:t>denozumab</w:t>
      </w:r>
      <w:r w:rsidRPr="00882AF5">
        <w:t>u, ziņots par ārējā dzirdes kanāla osteonekrozi. Ārējā dzirdes kanāla osteonekrozes iespējamie riska faktori ietver steroīdu lietošanu un ķīmijterapiju, un/vai vietējus riska faktorus, tādus kā infekciju vai traumu. Ārējā dzirdes kanāla osteonekrozes iespējamība jāapsver pacientiem, k</w:t>
      </w:r>
      <w:r w:rsidR="00B3411C">
        <w:t>uri</w:t>
      </w:r>
      <w:r w:rsidRPr="00882AF5">
        <w:t xml:space="preserve"> saņem </w:t>
      </w:r>
      <w:r w:rsidR="00417EC9">
        <w:t>denozumab</w:t>
      </w:r>
      <w:r w:rsidRPr="00882AF5">
        <w:t>u</w:t>
      </w:r>
      <w:r w:rsidR="00B3411C">
        <w:t xml:space="preserve"> un</w:t>
      </w:r>
      <w:r w:rsidRPr="00882AF5">
        <w:t xml:space="preserve"> kuriem ir ausu simptomi, ieskaitot hroniskas ausu infekcijas.</w:t>
      </w:r>
    </w:p>
    <w:p w14:paraId="30071BD0" w14:textId="77777777" w:rsidR="00E54693" w:rsidRPr="00882AF5" w:rsidRDefault="00E54693" w:rsidP="008B4ED7"/>
    <w:p w14:paraId="1BC2CF4F" w14:textId="77777777" w:rsidR="00CD0319" w:rsidRPr="00882AF5" w:rsidRDefault="00CD0319" w:rsidP="008B4ED7">
      <w:pPr>
        <w:keepNext/>
        <w:tabs>
          <w:tab w:val="clear" w:pos="567"/>
        </w:tabs>
        <w:rPr>
          <w:i/>
          <w:iCs/>
        </w:rPr>
      </w:pPr>
      <w:r w:rsidRPr="00882AF5">
        <w:rPr>
          <w:i/>
        </w:rPr>
        <w:t>Augšstilba kaula netipiski lūzumi</w:t>
      </w:r>
    </w:p>
    <w:p w14:paraId="1B97CDE3" w14:textId="45EB9C10" w:rsidR="00CD0319" w:rsidRPr="00882AF5" w:rsidRDefault="00CD0319" w:rsidP="008B4ED7">
      <w:r w:rsidRPr="00882AF5">
        <w:t xml:space="preserve">Pacientiem, kas saņem </w:t>
      </w:r>
      <w:r w:rsidR="00417EC9">
        <w:t>denozumab</w:t>
      </w:r>
      <w:r w:rsidRPr="00882AF5">
        <w:t>u, ziņots par netipiskiem augšstilba kaula lūzumiem (skatīt 4.8. apakšpunktu). Netipiski augšstilba kaula lūzumi var būt augšstilba kaula subtrohantera un diafīžu rajonos ar mazu traumu vai bez tās. Šos gadījumus raksturo specifiskas radiogrāfiskas atrades. Par netipiskiem augšstilba kaula lūzumiem ziņots arī pacientiem ar noteiktiem komorbīdiem stāvokļiem (piemēram, D vitamīna trūkumu, reimatoīdo artrītu, hipofosfatāzi) un lietojot noteiktas zāles (piemēram, bisfosfonātus, glikokortikoīdus, protonu sūkņa inhibitorus). Šie gadījumi var būt arī bez antire</w:t>
      </w:r>
      <w:r w:rsidR="00882AF5" w:rsidRPr="00882AF5">
        <w:t>z</w:t>
      </w:r>
      <w:r w:rsidRPr="00882AF5">
        <w:t xml:space="preserve">orbtīvas terapijas. Līdzīgi lūzumi, par kuriem ziņots saistībā ar bisfosfonātiem, bieži ir bilaterāli; tāpēc ar </w:t>
      </w:r>
      <w:r w:rsidR="00417EC9">
        <w:t>denozumab</w:t>
      </w:r>
      <w:r w:rsidRPr="00882AF5">
        <w:t xml:space="preserve">u ārstētiem pacientiem, kam ir augšstilba ass lūzums, ir jāpārbauda kontralaterālais augšstilba kauls. Pacientiem ar aizdomām par netipisku augšstilba kaula lūzumu pacienta novērtēšanas laikā jāapsver </w:t>
      </w:r>
      <w:r w:rsidR="00417EC9">
        <w:t>denozumab</w:t>
      </w:r>
      <w:r w:rsidRPr="00882AF5">
        <w:t xml:space="preserve">a terapijas pārtraukšana, pamatojoties uz individuālo ieguvuma un riska izvērtējumu. Ārstēšanas ar </w:t>
      </w:r>
      <w:r w:rsidR="00417EC9">
        <w:t>denozumab</w:t>
      </w:r>
      <w:r w:rsidRPr="00882AF5">
        <w:t>u laikā pacientiem jāiesaka ziņot par jaunām vai neparastām augšstilba, gūžas kaula vai cirkšņa sāpēm. Pacientiem ar šādiem simptomiem jānovērtē nepilnīgs augšstilba kaula lūzums.</w:t>
      </w:r>
    </w:p>
    <w:p w14:paraId="29C23C2E" w14:textId="77777777" w:rsidR="00992A6A" w:rsidRPr="00882AF5" w:rsidRDefault="00992A6A" w:rsidP="008B4ED7"/>
    <w:p w14:paraId="1B8B8BD4" w14:textId="77777777" w:rsidR="008603DE" w:rsidRPr="00882AF5" w:rsidRDefault="00CB6286" w:rsidP="008B4ED7">
      <w:pPr>
        <w:keepNext/>
        <w:tabs>
          <w:tab w:val="clear" w:pos="567"/>
        </w:tabs>
        <w:rPr>
          <w:i/>
          <w:iCs/>
        </w:rPr>
      </w:pPr>
      <w:r w:rsidRPr="00882AF5">
        <w:rPr>
          <w:i/>
        </w:rPr>
        <w:t>Ilgtermiņa antirezorbtīvā ārstēšana</w:t>
      </w:r>
    </w:p>
    <w:p w14:paraId="537FF2B2" w14:textId="7ACEE9B3" w:rsidR="00CB6286" w:rsidRPr="00882AF5" w:rsidRDefault="00CB6286" w:rsidP="008B4ED7">
      <w:r w:rsidRPr="00882AF5">
        <w:t xml:space="preserve">Ilgtermiņa antirezorbtīvā ārstēšana (ietverot gan </w:t>
      </w:r>
      <w:r w:rsidR="00417EC9">
        <w:t>denozumab</w:t>
      </w:r>
      <w:r w:rsidRPr="00882AF5">
        <w:t xml:space="preserve">u, gan bisfosfonātus) var veicināt nelabvēlīga rezultāta riska paaugstināšanos, </w:t>
      </w:r>
      <w:r w:rsidR="00D55B3D">
        <w:t>piemēram,</w:t>
      </w:r>
      <w:r w:rsidRPr="00882AF5">
        <w:t xml:space="preserve"> žokļa osteonekroz</w:t>
      </w:r>
      <w:r w:rsidR="00D55B3D">
        <w:t>i</w:t>
      </w:r>
      <w:r w:rsidRPr="00882AF5">
        <w:t xml:space="preserve"> un netipisk</w:t>
      </w:r>
      <w:r w:rsidR="00D55B3D">
        <w:t>u</w:t>
      </w:r>
      <w:r w:rsidR="007F02B5">
        <w:t>s</w:t>
      </w:r>
      <w:r w:rsidRPr="00882AF5">
        <w:t xml:space="preserve"> augšstilba kaula lūzum</w:t>
      </w:r>
      <w:r w:rsidR="007F02B5">
        <w:t>us</w:t>
      </w:r>
      <w:r w:rsidRPr="00882AF5">
        <w:t xml:space="preserve"> ievērojama kaulu remodul</w:t>
      </w:r>
      <w:r w:rsidR="0047002A" w:rsidRPr="0047002A">
        <w:t>ācijas</w:t>
      </w:r>
      <w:r w:rsidRPr="00882AF5">
        <w:t xml:space="preserve"> nomākuma dēļ (skatīt 4.2. apakšpunktu).</w:t>
      </w:r>
    </w:p>
    <w:p w14:paraId="6E8E76B8" w14:textId="77777777" w:rsidR="00CB6286" w:rsidRPr="00882AF5" w:rsidRDefault="00CB6286" w:rsidP="008B4ED7"/>
    <w:p w14:paraId="6A6D6BCC" w14:textId="6EE87AB3" w:rsidR="008603DE" w:rsidRPr="00882AF5" w:rsidRDefault="005C47A5" w:rsidP="008B4ED7">
      <w:pPr>
        <w:keepNext/>
        <w:tabs>
          <w:tab w:val="clear" w:pos="567"/>
        </w:tabs>
        <w:rPr>
          <w:i/>
          <w:iCs/>
        </w:rPr>
      </w:pPr>
      <w:r w:rsidRPr="00882AF5">
        <w:rPr>
          <w:i/>
        </w:rPr>
        <w:t xml:space="preserve">Vienlaicīga ārstēšana ar citām </w:t>
      </w:r>
      <w:r w:rsidR="00417EC9">
        <w:rPr>
          <w:i/>
        </w:rPr>
        <w:t>denozumab</w:t>
      </w:r>
      <w:r w:rsidRPr="00882AF5">
        <w:rPr>
          <w:i/>
        </w:rPr>
        <w:t>u saturošām zālēm</w:t>
      </w:r>
    </w:p>
    <w:p w14:paraId="084EA833" w14:textId="1D3728AB" w:rsidR="00BF0C34" w:rsidRPr="00882AF5" w:rsidRDefault="00992A6A" w:rsidP="00BF0C34">
      <w:r w:rsidRPr="00882AF5">
        <w:t xml:space="preserve">Pacientus, kuri tiek ārstēti ar </w:t>
      </w:r>
      <w:r w:rsidR="00417EC9">
        <w:t>denozumab</w:t>
      </w:r>
      <w:r w:rsidRPr="00882AF5">
        <w:t xml:space="preserve">u, nedrīkst vienlaicīgi ārstēt ar citām </w:t>
      </w:r>
      <w:r w:rsidR="00417EC9">
        <w:t>denozumab</w:t>
      </w:r>
      <w:r w:rsidRPr="00882AF5">
        <w:t>u saturošām zālēm (ar skeletu saistītu gadījumu profilaksei pieaugušajiem ar norobežotu audzēju metastāzēm kaulos).</w:t>
      </w:r>
    </w:p>
    <w:p w14:paraId="0F474771" w14:textId="77777777" w:rsidR="004F7580" w:rsidRPr="00882AF5" w:rsidRDefault="004F7580" w:rsidP="00BF0C34"/>
    <w:p w14:paraId="5C42A851" w14:textId="62263305" w:rsidR="00BF0C34" w:rsidRPr="00882AF5" w:rsidRDefault="00BF0C34" w:rsidP="00D16E20">
      <w:pPr>
        <w:keepNext/>
        <w:rPr>
          <w:i/>
          <w:iCs/>
        </w:rPr>
      </w:pPr>
      <w:r w:rsidRPr="00882AF5">
        <w:rPr>
          <w:i/>
        </w:rPr>
        <w:t>Hiperkalciēmija pediatriskajiem pacientiem</w:t>
      </w:r>
    </w:p>
    <w:p w14:paraId="04400F62" w14:textId="681FE350" w:rsidR="00BF0C34" w:rsidRPr="00882AF5" w:rsidRDefault="00417EC9" w:rsidP="00BF0C34">
      <w:r>
        <w:t>Denozumab</w:t>
      </w:r>
      <w:r w:rsidR="00867363" w:rsidRPr="00882AF5">
        <w:t xml:space="preserve">u </w:t>
      </w:r>
      <w:r w:rsidR="00BF0C34" w:rsidRPr="00882AF5">
        <w:t>nedrīkst lietot pediatriskajiem pacientiem (vecums &lt; 18 gadi). Ir ziņots par nopietniem hiperkalciēmijas gadījumiem. Daži gadījumi klīniskajā pētījumā komplicējās ar akūtu nieru bojājumu.</w:t>
      </w:r>
    </w:p>
    <w:p w14:paraId="63F77154" w14:textId="77777777" w:rsidR="00C36B40" w:rsidRPr="00882AF5" w:rsidRDefault="00C36B40" w:rsidP="008B4ED7"/>
    <w:p w14:paraId="26C386F3" w14:textId="77777777" w:rsidR="00992A6A" w:rsidRPr="00882AF5" w:rsidRDefault="00992A6A" w:rsidP="008B4ED7">
      <w:pPr>
        <w:keepNext/>
        <w:tabs>
          <w:tab w:val="clear" w:pos="567"/>
        </w:tabs>
        <w:rPr>
          <w:i/>
          <w:iCs/>
        </w:rPr>
      </w:pPr>
      <w:r w:rsidRPr="00882AF5">
        <w:rPr>
          <w:i/>
        </w:rPr>
        <w:t>Brīdinājumi par palīgvielām</w:t>
      </w:r>
    </w:p>
    <w:p w14:paraId="361CCD2D" w14:textId="77777777" w:rsidR="0081033D" w:rsidRPr="00882AF5" w:rsidRDefault="0081033D" w:rsidP="008B4ED7">
      <w:r w:rsidRPr="00882AF5">
        <w:t>Šīs zāles satur 47 mg sorbīta katrā mililitrā šķīduma. Jāņem vērā papildu ietekme no vienlaicīgi lietotiem sorbītu (vai fruktozi) saturošiem produktiem un sorbīta (vai fruktozes) uzņemšanas ar uzturu.</w:t>
      </w:r>
    </w:p>
    <w:p w14:paraId="09F81A55" w14:textId="77777777" w:rsidR="00992A6A" w:rsidRPr="00882AF5" w:rsidRDefault="00992A6A" w:rsidP="008B4ED7"/>
    <w:p w14:paraId="187EDA86" w14:textId="57461548" w:rsidR="00A6016E" w:rsidRPr="00882AF5" w:rsidRDefault="00992A6A" w:rsidP="008B4ED7">
      <w:r w:rsidRPr="00882AF5">
        <w:t>Zāles satur mazāk par 1 mmol nātrija (23 mg)/60 mg – būtībā tās ir “nātriju nesaturošas”.</w:t>
      </w:r>
    </w:p>
    <w:p w14:paraId="2828E44E" w14:textId="77777777" w:rsidR="005F6FB1" w:rsidRPr="00882AF5" w:rsidRDefault="005F6FB1" w:rsidP="008B4ED7"/>
    <w:p w14:paraId="6819E1B5" w14:textId="5C44C2FD" w:rsidR="005F6FB1" w:rsidRPr="00882AF5" w:rsidRDefault="007D5DF2" w:rsidP="008B4ED7">
      <w:r w:rsidRPr="00882AF5">
        <w:t xml:space="preserve">Šīs zāles satur 0,1 mg polisorbāta 20 katrā šļircē, kas ir līdzvērtīgi </w:t>
      </w:r>
      <w:r w:rsidR="002C44F4" w:rsidRPr="00882AF5">
        <w:t>0,1 </w:t>
      </w:r>
      <w:r w:rsidRPr="00882AF5">
        <w:t>mg</w:t>
      </w:r>
      <w:r w:rsidR="002C44F4" w:rsidRPr="00882AF5">
        <w:t xml:space="preserve">/ml. </w:t>
      </w:r>
      <w:r w:rsidRPr="00882AF5">
        <w:t>Polisorbāti var izraisīt alerģiskas reakcijas. Pastāstiet ārstam, ja Jums</w:t>
      </w:r>
      <w:r w:rsidR="002C44F4" w:rsidRPr="00882AF5">
        <w:t xml:space="preserve"> </w:t>
      </w:r>
      <w:r w:rsidRPr="00882AF5">
        <w:t>ir alerģija.</w:t>
      </w:r>
    </w:p>
    <w:p w14:paraId="1EA8F239" w14:textId="77777777" w:rsidR="00992A6A" w:rsidRPr="00882AF5" w:rsidRDefault="00992A6A" w:rsidP="008B4ED7"/>
    <w:p w14:paraId="52614A46" w14:textId="77777777" w:rsidR="008011D6" w:rsidRPr="00882AF5" w:rsidRDefault="008011D6" w:rsidP="008B4ED7">
      <w:pPr>
        <w:keepNext/>
        <w:ind w:left="567" w:hanging="567"/>
        <w:rPr>
          <w:b/>
        </w:rPr>
      </w:pPr>
      <w:r w:rsidRPr="00882AF5">
        <w:rPr>
          <w:b/>
        </w:rPr>
        <w:t>4.5.</w:t>
      </w:r>
      <w:r w:rsidRPr="00882AF5">
        <w:rPr>
          <w:b/>
        </w:rPr>
        <w:tab/>
        <w:t>Mijiedarbība ar citām zālēm un citi mijiedarbības veidi</w:t>
      </w:r>
    </w:p>
    <w:p w14:paraId="796B49E6" w14:textId="77777777" w:rsidR="008011D6" w:rsidRPr="00882AF5" w:rsidRDefault="008011D6" w:rsidP="008B4ED7">
      <w:pPr>
        <w:keepNext/>
      </w:pPr>
    </w:p>
    <w:p w14:paraId="23FF0108" w14:textId="4E7387BE" w:rsidR="003B1662" w:rsidRPr="00882AF5" w:rsidRDefault="003B1662" w:rsidP="008B4ED7">
      <w:r w:rsidRPr="00882AF5">
        <w:t xml:space="preserve">Mijiedarbības pētījumā </w:t>
      </w:r>
      <w:r w:rsidR="00417EC9">
        <w:t>denozumab</w:t>
      </w:r>
      <w:r w:rsidRPr="00882AF5">
        <w:t xml:space="preserve">s neietekmēja midazolāma farmakokinētiku, ko metabolizē citohroms P450 3A4 (CYP3A4). Tas norāda, ka </w:t>
      </w:r>
      <w:r w:rsidR="00417EC9">
        <w:t>denozumab</w:t>
      </w:r>
      <w:r w:rsidRPr="00882AF5">
        <w:t>am nevajadzētu izmainīt zāļu farmakokinētiku, ko metabolizē CYP3A4.</w:t>
      </w:r>
    </w:p>
    <w:p w14:paraId="08D748C8" w14:textId="77777777" w:rsidR="008011D6" w:rsidRPr="00882AF5" w:rsidRDefault="008011D6" w:rsidP="008B4ED7"/>
    <w:p w14:paraId="460FCEF6" w14:textId="412B5279" w:rsidR="008603DE" w:rsidRPr="00882AF5" w:rsidRDefault="008011D6" w:rsidP="008B4ED7">
      <w:r w:rsidRPr="00882AF5">
        <w:t xml:space="preserve">Nav klīnisko datu par </w:t>
      </w:r>
      <w:r w:rsidR="00417EC9">
        <w:t>denozumab</w:t>
      </w:r>
      <w:r w:rsidRPr="00882AF5">
        <w:t>a un hormonu aizstājterapijas (estrogēna) vienlaikus terapiju, tomēr farmakodinamiskās mijiedarbības iespēja tiek uzskatīta par nelielu.</w:t>
      </w:r>
    </w:p>
    <w:p w14:paraId="678396F2" w14:textId="77777777" w:rsidR="008011D6" w:rsidRPr="00882AF5" w:rsidRDefault="008011D6" w:rsidP="008B4ED7"/>
    <w:p w14:paraId="3E42AB1D" w14:textId="64418903" w:rsidR="008603DE" w:rsidRPr="00882AF5" w:rsidRDefault="008011D6" w:rsidP="008B4ED7">
      <w:r w:rsidRPr="00882AF5">
        <w:t>Pamatojoties uz pētījuma datiem, ko ieguva</w:t>
      </w:r>
      <w:r w:rsidR="00AB10E1">
        <w:t>,</w:t>
      </w:r>
      <w:r w:rsidRPr="00882AF5">
        <w:t xml:space="preserve"> pārejot no vienas terapijas uz citu (no alendronāta uz </w:t>
      </w:r>
      <w:r w:rsidR="00417EC9">
        <w:t>denozumab</w:t>
      </w:r>
      <w:r w:rsidRPr="00882AF5">
        <w:t xml:space="preserve">u), sievietēm ar osteoporozi pēcmenopauzes periodā </w:t>
      </w:r>
      <w:r w:rsidR="00417EC9">
        <w:t>denozumab</w:t>
      </w:r>
      <w:r w:rsidRPr="00882AF5">
        <w:t>a farmakokinētiku un farmakodinamiku neietekmēja iepriekšēja terapija ar alendronātu.</w:t>
      </w:r>
    </w:p>
    <w:p w14:paraId="1EAB5247" w14:textId="77777777" w:rsidR="008011D6" w:rsidRPr="00882AF5" w:rsidRDefault="008011D6" w:rsidP="008B4ED7"/>
    <w:p w14:paraId="2D801FFF" w14:textId="77777777" w:rsidR="008011D6" w:rsidRPr="00882AF5" w:rsidRDefault="008011D6" w:rsidP="008B4ED7">
      <w:pPr>
        <w:keepNext/>
        <w:ind w:left="567" w:hanging="567"/>
        <w:rPr>
          <w:b/>
        </w:rPr>
      </w:pPr>
      <w:r w:rsidRPr="00882AF5">
        <w:rPr>
          <w:b/>
        </w:rPr>
        <w:t>4.6.</w:t>
      </w:r>
      <w:r w:rsidRPr="00882AF5">
        <w:rPr>
          <w:b/>
        </w:rPr>
        <w:tab/>
        <w:t>Fertilitāte, grūtniecība un barošana ar krūti</w:t>
      </w:r>
    </w:p>
    <w:p w14:paraId="275847F0" w14:textId="77777777" w:rsidR="008011D6" w:rsidRPr="00882AF5" w:rsidRDefault="008011D6" w:rsidP="008B4ED7">
      <w:pPr>
        <w:keepNext/>
      </w:pPr>
    </w:p>
    <w:p w14:paraId="00CC94EA" w14:textId="77777777" w:rsidR="008603DE" w:rsidRPr="00882AF5" w:rsidRDefault="00053CE5" w:rsidP="008B4ED7">
      <w:pPr>
        <w:keepNext/>
        <w:rPr>
          <w:u w:val="single"/>
        </w:rPr>
      </w:pPr>
      <w:r w:rsidRPr="00882AF5">
        <w:rPr>
          <w:u w:val="single"/>
        </w:rPr>
        <w:t>Grūtniecība</w:t>
      </w:r>
    </w:p>
    <w:p w14:paraId="43797680" w14:textId="77777777" w:rsidR="001D13A5" w:rsidRPr="00882AF5" w:rsidRDefault="001D13A5" w:rsidP="008B4ED7">
      <w:pPr>
        <w:keepNext/>
      </w:pPr>
    </w:p>
    <w:p w14:paraId="25C3EDC3" w14:textId="41321A19" w:rsidR="007039B1" w:rsidRPr="00882AF5" w:rsidRDefault="007039B1" w:rsidP="008B4ED7">
      <w:r w:rsidRPr="00882AF5">
        <w:t xml:space="preserve">Datu par </w:t>
      </w:r>
      <w:r w:rsidR="00417EC9">
        <w:t>denozumab</w:t>
      </w:r>
      <w:r w:rsidRPr="00882AF5">
        <w:t>a lietošanu grūtniecēm nav vai tie ir ierobežoti. Pētījumi ar dzīvniekiem liecina par reproduktīvo toksicitāti (skatīt 5.3. apakšpunktu).</w:t>
      </w:r>
    </w:p>
    <w:p w14:paraId="688507F0" w14:textId="77777777" w:rsidR="00A517BF" w:rsidRPr="00882AF5" w:rsidRDefault="00A517BF" w:rsidP="008B4ED7"/>
    <w:p w14:paraId="528E6192" w14:textId="10D1AB5A" w:rsidR="007039B1" w:rsidRPr="00882AF5" w:rsidRDefault="00417EC9" w:rsidP="008B4ED7">
      <w:r>
        <w:t>Denozumab</w:t>
      </w:r>
      <w:r w:rsidR="002C44F4" w:rsidRPr="00882AF5">
        <w:t xml:space="preserve">u </w:t>
      </w:r>
      <w:r w:rsidR="007039B1" w:rsidRPr="00882AF5">
        <w:t>neiesaka lietot grūtniecēm un sievietēm ar reproduktīv</w:t>
      </w:r>
      <w:r w:rsidR="00D2772D">
        <w:t>ā vecumā</w:t>
      </w:r>
      <w:r w:rsidR="007039B1" w:rsidRPr="00882AF5">
        <w:t xml:space="preserve">, ja netiek lietota kontracepcija. Sievietēm jāiesaka izvairīties no grūtniecības ārstēšanas ar </w:t>
      </w:r>
      <w:r>
        <w:t>denozumab</w:t>
      </w:r>
      <w:r w:rsidR="001F4651" w:rsidRPr="00882AF5">
        <w:t>u</w:t>
      </w:r>
      <w:r w:rsidR="001F4651" w:rsidRPr="00882AF5" w:rsidDel="001F4651">
        <w:t xml:space="preserve"> </w:t>
      </w:r>
      <w:r w:rsidR="007039B1" w:rsidRPr="00882AF5">
        <w:t xml:space="preserve">laikā un vismaz 5 mēnešus pēc tās. Visticamāk, </w:t>
      </w:r>
      <w:r>
        <w:t>denozumab</w:t>
      </w:r>
      <w:r w:rsidR="001F4651" w:rsidRPr="00882AF5">
        <w:t xml:space="preserve">a </w:t>
      </w:r>
      <w:r w:rsidR="007039B1" w:rsidRPr="00882AF5">
        <w:t>lielākā iedarbība būs grūtniecības otrā un trešā trimestra laikā, jo monoklonālo antivielu transports caur placentu notiek lineāri līdz ar grūtniecības progresēšanu, lielāko daudzumu pārnesot trešā trimestra laikā.</w:t>
      </w:r>
    </w:p>
    <w:p w14:paraId="3B4200A5" w14:textId="77777777" w:rsidR="007039B1" w:rsidRPr="00882AF5" w:rsidRDefault="007039B1" w:rsidP="008B4ED7"/>
    <w:p w14:paraId="6E1F9547" w14:textId="77777777" w:rsidR="00053CE5" w:rsidRPr="00882AF5" w:rsidRDefault="00053CE5" w:rsidP="008B4ED7">
      <w:pPr>
        <w:keepNext/>
        <w:rPr>
          <w:u w:val="single"/>
        </w:rPr>
      </w:pPr>
      <w:r w:rsidRPr="00882AF5">
        <w:rPr>
          <w:u w:val="single"/>
        </w:rPr>
        <w:t>Barošana ar krūti</w:t>
      </w:r>
    </w:p>
    <w:p w14:paraId="4CAEAEBE" w14:textId="77777777" w:rsidR="00071108" w:rsidRPr="00882AF5" w:rsidRDefault="00071108" w:rsidP="008B4ED7">
      <w:pPr>
        <w:keepNext/>
      </w:pPr>
    </w:p>
    <w:p w14:paraId="647282DE" w14:textId="348D08D4" w:rsidR="00053CE5" w:rsidRPr="00882AF5" w:rsidRDefault="00053CE5" w:rsidP="008B4ED7">
      <w:r w:rsidRPr="00882AF5">
        <w:t xml:space="preserve">Nav zināms, vai </w:t>
      </w:r>
      <w:r w:rsidR="00417EC9">
        <w:t>denozumab</w:t>
      </w:r>
      <w:r w:rsidRPr="00882AF5">
        <w:t>s izdalās mātes pienā cilvēkam. Pētījumi ar pelēm, kam veikta gēnu inženierija, atslēdzot RANKL ar gēnu izņemšanu ("</w:t>
      </w:r>
      <w:r w:rsidRPr="00882AF5">
        <w:rPr>
          <w:i/>
        </w:rPr>
        <w:t>knockout</w:t>
      </w:r>
      <w:r w:rsidRPr="00882AF5">
        <w:t xml:space="preserve"> pele"), liecina, ka RANKL (</w:t>
      </w:r>
      <w:r w:rsidR="00417EC9">
        <w:t>denozumab</w:t>
      </w:r>
      <w:r w:rsidRPr="00882AF5">
        <w:t xml:space="preserve">a mērķis, skatīt 5.1. apakšpunktu) trūkums grūtniecības laikā var kavēt krūšu dziedzeru nobriešanu, izraisot samazinātu laktāciju pēc dzemdībām (skatīt 5.3. apakšpunktu). Lēmums pārtraukt bērna barošanu ar krūti vai pārtraukt terapiju ar </w:t>
      </w:r>
      <w:r w:rsidR="00417EC9">
        <w:t>denozumab</w:t>
      </w:r>
      <w:r w:rsidR="001F4651" w:rsidRPr="00882AF5">
        <w:t>u</w:t>
      </w:r>
      <w:r w:rsidRPr="00882AF5">
        <w:t xml:space="preserve"> jāpieņem, izvērtējot krūts barošanas ieguvumu jaundzimušajam/zīdainim un </w:t>
      </w:r>
      <w:r w:rsidR="00417EC9">
        <w:t>denozumab</w:t>
      </w:r>
      <w:r w:rsidR="001F4651" w:rsidRPr="00882AF5">
        <w:t xml:space="preserve">a </w:t>
      </w:r>
      <w:r w:rsidRPr="00882AF5">
        <w:t>terapijas ieguvumu sievietei.</w:t>
      </w:r>
    </w:p>
    <w:p w14:paraId="1813624E" w14:textId="77777777" w:rsidR="00AF18CA" w:rsidRPr="00882AF5" w:rsidRDefault="00AF18CA" w:rsidP="008B4ED7"/>
    <w:p w14:paraId="3AAF1424" w14:textId="77777777" w:rsidR="008603DE" w:rsidRPr="00882AF5" w:rsidRDefault="008011D6" w:rsidP="008B4ED7">
      <w:pPr>
        <w:keepNext/>
        <w:rPr>
          <w:u w:val="single"/>
        </w:rPr>
      </w:pPr>
      <w:r w:rsidRPr="00882AF5">
        <w:rPr>
          <w:u w:val="single"/>
        </w:rPr>
        <w:t>Fertilitāte</w:t>
      </w:r>
    </w:p>
    <w:p w14:paraId="69A47FB1" w14:textId="77777777" w:rsidR="00071108" w:rsidRPr="00882AF5" w:rsidRDefault="00071108" w:rsidP="008B4ED7">
      <w:pPr>
        <w:keepNext/>
      </w:pPr>
    </w:p>
    <w:p w14:paraId="66C3A89A" w14:textId="21986A4F" w:rsidR="008011D6" w:rsidRPr="00882AF5" w:rsidRDefault="008011D6" w:rsidP="008B4ED7">
      <w:r w:rsidRPr="00882AF5">
        <w:t xml:space="preserve">Dati par </w:t>
      </w:r>
      <w:r w:rsidR="00417EC9">
        <w:t>denozumab</w:t>
      </w:r>
      <w:r w:rsidRPr="00882AF5">
        <w:t>a ietekmi uz fertilitāti cilvēkam nav pieejami. Pētījumi ar dzīvniekiem nenorāda uz tiešu vai netiešu kaitīgu ietekmi uz fertilitāti (skatīt 5.3. apakšpunktu).</w:t>
      </w:r>
    </w:p>
    <w:p w14:paraId="7B280D15" w14:textId="77777777" w:rsidR="008011D6" w:rsidRPr="00882AF5" w:rsidRDefault="008011D6" w:rsidP="008B4ED7"/>
    <w:p w14:paraId="4A8AE979" w14:textId="77777777" w:rsidR="008011D6" w:rsidRPr="00882AF5" w:rsidRDefault="00C175EC" w:rsidP="008B4ED7">
      <w:pPr>
        <w:keepNext/>
        <w:ind w:left="567" w:hanging="567"/>
        <w:rPr>
          <w:b/>
        </w:rPr>
      </w:pPr>
      <w:r w:rsidRPr="00882AF5">
        <w:rPr>
          <w:b/>
        </w:rPr>
        <w:t>4.7.</w:t>
      </w:r>
      <w:r w:rsidRPr="00882AF5">
        <w:rPr>
          <w:b/>
        </w:rPr>
        <w:tab/>
        <w:t>Ietekme uz spēju vadīt transportlīdzekļus un apkalpot mehānismus</w:t>
      </w:r>
    </w:p>
    <w:p w14:paraId="4E2B90C3" w14:textId="77777777" w:rsidR="008011D6" w:rsidRPr="00882AF5" w:rsidRDefault="008011D6" w:rsidP="008B4ED7">
      <w:pPr>
        <w:keepNext/>
      </w:pPr>
    </w:p>
    <w:p w14:paraId="785D5F74" w14:textId="6F332280" w:rsidR="008603DE" w:rsidRPr="00882AF5" w:rsidRDefault="00417EC9" w:rsidP="008B4ED7">
      <w:r>
        <w:t>Denozumab</w:t>
      </w:r>
      <w:r w:rsidR="001F4651" w:rsidRPr="00882AF5">
        <w:t xml:space="preserve">s </w:t>
      </w:r>
      <w:r w:rsidR="008011D6" w:rsidRPr="00882AF5">
        <w:t>neietekmē vai nedaudz ietekmē spēju vadīt transportlīdzekļus un apkalpot mehānismus.</w:t>
      </w:r>
    </w:p>
    <w:p w14:paraId="3123E472" w14:textId="77777777" w:rsidR="008011D6" w:rsidRPr="00882AF5" w:rsidRDefault="008011D6" w:rsidP="008B4ED7"/>
    <w:p w14:paraId="48FFB444" w14:textId="77777777" w:rsidR="00992A6A" w:rsidRPr="00882AF5" w:rsidRDefault="00EB1F77" w:rsidP="008B4ED7">
      <w:pPr>
        <w:keepNext/>
        <w:ind w:left="567" w:hanging="567"/>
        <w:rPr>
          <w:b/>
        </w:rPr>
      </w:pPr>
      <w:r w:rsidRPr="00882AF5">
        <w:rPr>
          <w:b/>
        </w:rPr>
        <w:t>4.8.</w:t>
      </w:r>
      <w:r w:rsidRPr="00882AF5">
        <w:rPr>
          <w:b/>
        </w:rPr>
        <w:tab/>
        <w:t>Nevēlamās blakusparādības</w:t>
      </w:r>
    </w:p>
    <w:p w14:paraId="14B38027" w14:textId="77777777" w:rsidR="00992A6A" w:rsidRPr="00882AF5" w:rsidRDefault="00992A6A" w:rsidP="008B4ED7">
      <w:pPr>
        <w:keepNext/>
      </w:pPr>
    </w:p>
    <w:p w14:paraId="45481DC7" w14:textId="77777777" w:rsidR="00E317CF" w:rsidRPr="00882AF5" w:rsidRDefault="00E317CF" w:rsidP="008B4ED7">
      <w:pPr>
        <w:keepNext/>
        <w:rPr>
          <w:u w:val="single"/>
        </w:rPr>
      </w:pPr>
      <w:r w:rsidRPr="00882AF5">
        <w:rPr>
          <w:u w:val="single"/>
        </w:rPr>
        <w:t>Drošuma profila kopsavilkums</w:t>
      </w:r>
    </w:p>
    <w:p w14:paraId="7AAB2B50" w14:textId="77777777" w:rsidR="00014F4A" w:rsidRPr="00882AF5" w:rsidRDefault="00014F4A" w:rsidP="008B4ED7">
      <w:pPr>
        <w:keepNext/>
      </w:pPr>
    </w:p>
    <w:p w14:paraId="13A99BF8" w14:textId="5F9BFCE7" w:rsidR="00E317CF" w:rsidRPr="00882AF5" w:rsidRDefault="00C9738C" w:rsidP="008B4ED7">
      <w:r w:rsidRPr="00882AF5">
        <w:t xml:space="preserve">Visbiežākās blakusparādības, lietojot </w:t>
      </w:r>
      <w:r w:rsidR="00417EC9">
        <w:t>denozumab</w:t>
      </w:r>
      <w:r w:rsidRPr="00882AF5">
        <w:t xml:space="preserve">u (novērotas vairāk nekā vienam pacientam no desmit) ir skeleta-muskuļu sāpes un sāpes ekstremitātēs. Pacientiem, </w:t>
      </w:r>
      <w:r w:rsidR="00AB10E1">
        <w:t>kuri</w:t>
      </w:r>
      <w:r w:rsidRPr="00882AF5">
        <w:t xml:space="preserve"> lieto </w:t>
      </w:r>
      <w:r w:rsidR="00417EC9">
        <w:t>denozumab</w:t>
      </w:r>
      <w:r w:rsidRPr="00882AF5">
        <w:t>u, novēroti retāki celulīta gadījumi, reti hipokalciēmijas, paaugstinātas jutības, žokļa osteonekrozes un netipiski augšstilba kaula lūzumu gadījumi (skatīt 4.4. un 4.8. apakšpunktu </w:t>
      </w:r>
      <w:r w:rsidR="00E613C5">
        <w:t>—</w:t>
      </w:r>
      <w:r w:rsidRPr="00882AF5">
        <w:t xml:space="preserve"> atsevišķu nevēlamo blakusparādību apraksts).</w:t>
      </w:r>
    </w:p>
    <w:p w14:paraId="6CD12EF7" w14:textId="77777777" w:rsidR="00E317CF" w:rsidRPr="00882AF5" w:rsidRDefault="00E317CF" w:rsidP="008B4ED7"/>
    <w:p w14:paraId="3003AA93" w14:textId="77777777" w:rsidR="00992A6A" w:rsidRPr="00882AF5" w:rsidRDefault="00992A6A" w:rsidP="008B4ED7">
      <w:pPr>
        <w:keepNext/>
        <w:rPr>
          <w:u w:val="single"/>
        </w:rPr>
      </w:pPr>
      <w:r w:rsidRPr="00882AF5">
        <w:rPr>
          <w:u w:val="single"/>
        </w:rPr>
        <w:t>Nevēlamo blakusparādību uzskaitījums tabulā</w:t>
      </w:r>
    </w:p>
    <w:p w14:paraId="17B39229" w14:textId="77777777" w:rsidR="001D13A5" w:rsidRPr="00882AF5" w:rsidRDefault="001D13A5" w:rsidP="008B4ED7">
      <w:pPr>
        <w:keepNext/>
      </w:pPr>
    </w:p>
    <w:p w14:paraId="5EFAF0AE" w14:textId="7E420E65" w:rsidR="00E317CF" w:rsidRPr="00882AF5" w:rsidRDefault="00E317CF" w:rsidP="008B4ED7">
      <w:r w:rsidRPr="00882AF5">
        <w:t>Zemāk 1. tabulā norādītie dati apraksta blakusparādības, par kurām ziņots II un III fāzes klīniskajos pētījumos pacientiem ar osteoporozi un krū</w:t>
      </w:r>
      <w:r w:rsidR="00AB10E1">
        <w:t>ts</w:t>
      </w:r>
      <w:r w:rsidRPr="00882AF5">
        <w:t xml:space="preserve"> vai prostatas vēzi, kuriem </w:t>
      </w:r>
      <w:r w:rsidR="00F3495B">
        <w:t xml:space="preserve">tiek </w:t>
      </w:r>
      <w:r w:rsidRPr="00882AF5">
        <w:t>veikta hormonu ablācija, un/vai spontānos ziņojumos.</w:t>
      </w:r>
    </w:p>
    <w:p w14:paraId="5BF02F7B" w14:textId="77777777" w:rsidR="00E317CF" w:rsidRPr="00882AF5" w:rsidRDefault="00E317CF" w:rsidP="008B4ED7"/>
    <w:p w14:paraId="285A6D95" w14:textId="4A5D936F" w:rsidR="008603DE" w:rsidRPr="00882AF5" w:rsidRDefault="00E317CF" w:rsidP="006050AD">
      <w:r w:rsidRPr="00882AF5">
        <w:t>Nevēlamo blakusparādību biežuma klasifikācijai (skatīt 1. tabulu) tika izmantots šāds iedalījums: ļoti bieži (≥ 1/10), bieži (≥ 1/100 līdz &lt; 1/10), retāk (≥ 1/1000 līdz &lt; 1/100), reti (≥ 1/10 000 līdz &lt; 1/1000), ļoti reti (&lt; 1/10 000) un nav zināmi (nevar noteikt pēc pieejamiem datiem). Katrā sastopamības biežuma grupā un orgānu sistēmas klasē nevēlamās blakusparādības sakārtotas to nopietnības samazinājuma secībā.</w:t>
      </w:r>
    </w:p>
    <w:p w14:paraId="302AB62F" w14:textId="77777777" w:rsidR="00834859" w:rsidRPr="00882AF5" w:rsidRDefault="00834859" w:rsidP="008B4ED7"/>
    <w:p w14:paraId="719C06BB" w14:textId="2CCFF770" w:rsidR="00E317CF" w:rsidRPr="00882AF5" w:rsidRDefault="00E317CF" w:rsidP="008B4ED7">
      <w:pPr>
        <w:keepNext/>
        <w:rPr>
          <w:b/>
          <w:bCs/>
        </w:rPr>
      </w:pPr>
      <w:r w:rsidRPr="00882AF5">
        <w:rPr>
          <w:b/>
        </w:rPr>
        <w:lastRenderedPageBreak/>
        <w:t xml:space="preserve">1. tabula. Ziņotās nevēlamās blakusparādības pacientiem ar osteoporozi un </w:t>
      </w:r>
      <w:r w:rsidR="00F32279">
        <w:rPr>
          <w:b/>
        </w:rPr>
        <w:t xml:space="preserve">pacientiem ar </w:t>
      </w:r>
      <w:r w:rsidRPr="00882AF5">
        <w:rPr>
          <w:b/>
        </w:rPr>
        <w:t xml:space="preserve">krūts vai prostatas vēzi, kuriem </w:t>
      </w:r>
      <w:r w:rsidR="00F3495B">
        <w:rPr>
          <w:b/>
        </w:rPr>
        <w:t xml:space="preserve">tiek </w:t>
      </w:r>
      <w:r w:rsidRPr="00882AF5">
        <w:rPr>
          <w:b/>
        </w:rPr>
        <w:t>veikta hormonu ablācija</w:t>
      </w:r>
    </w:p>
    <w:p w14:paraId="09BB3616" w14:textId="77777777" w:rsidR="00E317CF" w:rsidRPr="00882AF5"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1"/>
        <w:gridCol w:w="2527"/>
        <w:gridCol w:w="3651"/>
      </w:tblGrid>
      <w:tr w:rsidR="00E317CF" w:rsidRPr="00882AF5"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77777777" w:rsidR="00E317CF" w:rsidRPr="00882AF5" w:rsidRDefault="00E317CF" w:rsidP="008B4ED7">
            <w:pPr>
              <w:keepNext/>
              <w:rPr>
                <w:rFonts w:eastAsia="MS Mincho"/>
                <w:b/>
              </w:rPr>
            </w:pPr>
            <w:r w:rsidRPr="00882AF5">
              <w:rPr>
                <w:b/>
              </w:rPr>
              <w:t>MedDRA orgānu sistēmu klasifikācija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882AF5" w:rsidRDefault="00E317CF" w:rsidP="008B4ED7">
            <w:pPr>
              <w:keepNext/>
              <w:rPr>
                <w:rFonts w:eastAsia="MS Mincho"/>
                <w:bCs/>
                <w:u w:val="single"/>
              </w:rPr>
            </w:pPr>
            <w:r w:rsidRPr="00882AF5">
              <w:rPr>
                <w:b/>
              </w:rPr>
              <w:t>Biežuma kategorija</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882AF5" w:rsidRDefault="00E317CF" w:rsidP="008B4ED7">
            <w:pPr>
              <w:keepNext/>
              <w:rPr>
                <w:rFonts w:eastAsia="MS Mincho"/>
                <w:b/>
                <w:bCs/>
              </w:rPr>
            </w:pPr>
            <w:r w:rsidRPr="00882AF5">
              <w:rPr>
                <w:b/>
              </w:rPr>
              <w:t>Nevēlamās blakusparādības</w:t>
            </w:r>
          </w:p>
        </w:tc>
      </w:tr>
      <w:tr w:rsidR="008B4ED7" w:rsidRPr="00882AF5"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882AF5" w:rsidRDefault="008B4ED7" w:rsidP="008B4ED7">
            <w:pPr>
              <w:keepNext/>
            </w:pPr>
            <w:r w:rsidRPr="00882AF5">
              <w:t>Infekcijas un infestācijas</w:t>
            </w:r>
          </w:p>
        </w:tc>
        <w:tc>
          <w:tcPr>
            <w:tcW w:w="1360" w:type="pct"/>
            <w:tcBorders>
              <w:top w:val="single" w:sz="4" w:space="0" w:color="auto"/>
              <w:left w:val="single" w:sz="4" w:space="0" w:color="auto"/>
              <w:bottom w:val="nil"/>
              <w:right w:val="single" w:sz="4" w:space="0" w:color="auto"/>
            </w:tcBorders>
          </w:tcPr>
          <w:p w14:paraId="2E1A2BB9" w14:textId="47B2FBDE" w:rsidR="008B4ED7" w:rsidRPr="00882AF5" w:rsidRDefault="008B4ED7" w:rsidP="008B4ED7">
            <w:r w:rsidRPr="00882AF5">
              <w:t>Bieži</w:t>
            </w:r>
          </w:p>
        </w:tc>
        <w:tc>
          <w:tcPr>
            <w:tcW w:w="1965" w:type="pct"/>
            <w:tcBorders>
              <w:top w:val="single" w:sz="4" w:space="0" w:color="auto"/>
              <w:left w:val="single" w:sz="4" w:space="0" w:color="auto"/>
              <w:bottom w:val="nil"/>
              <w:right w:val="single" w:sz="4" w:space="0" w:color="auto"/>
            </w:tcBorders>
          </w:tcPr>
          <w:p w14:paraId="2FF3E894" w14:textId="729AE495" w:rsidR="008B4ED7" w:rsidRPr="00882AF5" w:rsidRDefault="008B4ED7" w:rsidP="008B4ED7">
            <w:r w:rsidRPr="00882AF5">
              <w:t>Urīnceļu infekcija</w:t>
            </w:r>
          </w:p>
        </w:tc>
      </w:tr>
      <w:tr w:rsidR="008B4ED7" w:rsidRPr="00882AF5"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882AF5"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882AF5" w:rsidRDefault="008B4ED7" w:rsidP="008B4ED7">
            <w:r w:rsidRPr="00882AF5">
              <w:t>Bieži</w:t>
            </w:r>
          </w:p>
        </w:tc>
        <w:tc>
          <w:tcPr>
            <w:tcW w:w="1965" w:type="pct"/>
            <w:tcBorders>
              <w:top w:val="nil"/>
              <w:left w:val="single" w:sz="4" w:space="0" w:color="auto"/>
              <w:bottom w:val="nil"/>
              <w:right w:val="single" w:sz="4" w:space="0" w:color="auto"/>
            </w:tcBorders>
          </w:tcPr>
          <w:p w14:paraId="5C25997E" w14:textId="4BFC85BD" w:rsidR="008B4ED7" w:rsidRPr="00882AF5" w:rsidRDefault="008B4ED7" w:rsidP="008B4ED7">
            <w:r w:rsidRPr="00882AF5">
              <w:t>Augšējo elpošanas ceļu infekcija</w:t>
            </w:r>
          </w:p>
        </w:tc>
      </w:tr>
      <w:tr w:rsidR="008B4ED7" w:rsidRPr="00882AF5"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882AF5"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882AF5" w:rsidRDefault="008B4ED7" w:rsidP="008B4ED7">
            <w:r w:rsidRPr="00882AF5">
              <w:t>Retāk</w:t>
            </w:r>
          </w:p>
        </w:tc>
        <w:tc>
          <w:tcPr>
            <w:tcW w:w="1965" w:type="pct"/>
            <w:tcBorders>
              <w:top w:val="nil"/>
              <w:left w:val="single" w:sz="4" w:space="0" w:color="auto"/>
              <w:bottom w:val="nil"/>
              <w:right w:val="single" w:sz="4" w:space="0" w:color="auto"/>
            </w:tcBorders>
          </w:tcPr>
          <w:p w14:paraId="4A66B450" w14:textId="77222E80" w:rsidR="008B4ED7" w:rsidRPr="00882AF5" w:rsidRDefault="008B4ED7" w:rsidP="008B4ED7">
            <w:r w:rsidRPr="00882AF5">
              <w:t>Divertikulīts</w:t>
            </w:r>
            <w:r w:rsidRPr="00882AF5">
              <w:rPr>
                <w:vertAlign w:val="superscript"/>
              </w:rPr>
              <w:t>1</w:t>
            </w:r>
          </w:p>
        </w:tc>
      </w:tr>
      <w:tr w:rsidR="008B4ED7" w:rsidRPr="00882AF5"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882AF5"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882AF5" w:rsidRDefault="008B4ED7" w:rsidP="008B4ED7">
            <w:r w:rsidRPr="00882AF5">
              <w:t>Retāk</w:t>
            </w:r>
          </w:p>
        </w:tc>
        <w:tc>
          <w:tcPr>
            <w:tcW w:w="1965" w:type="pct"/>
            <w:tcBorders>
              <w:top w:val="nil"/>
              <w:left w:val="single" w:sz="4" w:space="0" w:color="auto"/>
              <w:bottom w:val="nil"/>
              <w:right w:val="single" w:sz="4" w:space="0" w:color="auto"/>
            </w:tcBorders>
          </w:tcPr>
          <w:p w14:paraId="214A3109" w14:textId="33AFCA3B" w:rsidR="008B4ED7" w:rsidRPr="00882AF5" w:rsidRDefault="008B4ED7" w:rsidP="008B4ED7">
            <w:r w:rsidRPr="00882AF5">
              <w:t>Celulīts</w:t>
            </w:r>
            <w:r w:rsidRPr="00882AF5">
              <w:rPr>
                <w:vertAlign w:val="superscript"/>
              </w:rPr>
              <w:t>1</w:t>
            </w:r>
          </w:p>
        </w:tc>
      </w:tr>
      <w:tr w:rsidR="008B4ED7" w:rsidRPr="00882AF5"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882AF5"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882AF5" w:rsidRDefault="008B4ED7" w:rsidP="008B4ED7">
            <w:r w:rsidRPr="00882AF5">
              <w:t>Retāk</w:t>
            </w:r>
          </w:p>
        </w:tc>
        <w:tc>
          <w:tcPr>
            <w:tcW w:w="1965" w:type="pct"/>
            <w:tcBorders>
              <w:top w:val="nil"/>
              <w:left w:val="single" w:sz="4" w:space="0" w:color="auto"/>
              <w:bottom w:val="single" w:sz="4" w:space="0" w:color="auto"/>
              <w:right w:val="single" w:sz="4" w:space="0" w:color="auto"/>
            </w:tcBorders>
          </w:tcPr>
          <w:p w14:paraId="0A8668D1" w14:textId="6357A05C" w:rsidR="008B4ED7" w:rsidRPr="00882AF5" w:rsidRDefault="008B4ED7" w:rsidP="008B4ED7">
            <w:r w:rsidRPr="00882AF5">
              <w:t>Ausu infekcija</w:t>
            </w:r>
          </w:p>
        </w:tc>
      </w:tr>
      <w:tr w:rsidR="008B4ED7" w:rsidRPr="00882AF5"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882AF5" w:rsidRDefault="008B4ED7" w:rsidP="008B4ED7">
            <w:pPr>
              <w:keepNext/>
            </w:pPr>
            <w:r w:rsidRPr="00882AF5">
              <w:t>Imūnās sistēmas traucējumi</w:t>
            </w:r>
          </w:p>
        </w:tc>
        <w:tc>
          <w:tcPr>
            <w:tcW w:w="1360" w:type="pct"/>
            <w:tcBorders>
              <w:top w:val="single" w:sz="4" w:space="0" w:color="auto"/>
              <w:left w:val="single" w:sz="4" w:space="0" w:color="auto"/>
              <w:bottom w:val="nil"/>
              <w:right w:val="single" w:sz="4" w:space="0" w:color="auto"/>
            </w:tcBorders>
          </w:tcPr>
          <w:p w14:paraId="0AB13ABD" w14:textId="1289B774" w:rsidR="008B4ED7" w:rsidRPr="00882AF5" w:rsidRDefault="008B4ED7" w:rsidP="008B4ED7">
            <w:r w:rsidRPr="00882AF5">
              <w:t>Reti</w:t>
            </w:r>
          </w:p>
        </w:tc>
        <w:tc>
          <w:tcPr>
            <w:tcW w:w="1965" w:type="pct"/>
            <w:tcBorders>
              <w:top w:val="single" w:sz="4" w:space="0" w:color="auto"/>
              <w:left w:val="single" w:sz="4" w:space="0" w:color="auto"/>
              <w:bottom w:val="nil"/>
              <w:right w:val="single" w:sz="4" w:space="0" w:color="auto"/>
            </w:tcBorders>
          </w:tcPr>
          <w:p w14:paraId="12826C24" w14:textId="119FD2CC" w:rsidR="008B4ED7" w:rsidRPr="00882AF5" w:rsidRDefault="008B4ED7" w:rsidP="008B4ED7">
            <w:r w:rsidRPr="00882AF5">
              <w:t>Paaugstināta jutība pret zālēm</w:t>
            </w:r>
            <w:r w:rsidRPr="00882AF5">
              <w:rPr>
                <w:vertAlign w:val="superscript"/>
              </w:rPr>
              <w:t>1</w:t>
            </w:r>
          </w:p>
        </w:tc>
      </w:tr>
      <w:tr w:rsidR="008B4ED7" w:rsidRPr="00882AF5"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882AF5"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882AF5" w:rsidRDefault="008B4ED7" w:rsidP="008B4ED7">
            <w:r w:rsidRPr="00882AF5">
              <w:t>Reti</w:t>
            </w:r>
          </w:p>
        </w:tc>
        <w:tc>
          <w:tcPr>
            <w:tcW w:w="1965" w:type="pct"/>
            <w:tcBorders>
              <w:top w:val="nil"/>
              <w:left w:val="single" w:sz="4" w:space="0" w:color="auto"/>
              <w:bottom w:val="single" w:sz="4" w:space="0" w:color="auto"/>
              <w:right w:val="single" w:sz="4" w:space="0" w:color="auto"/>
            </w:tcBorders>
          </w:tcPr>
          <w:p w14:paraId="6122EB71" w14:textId="61DDB619" w:rsidR="008B4ED7" w:rsidRPr="00882AF5" w:rsidRDefault="008B4ED7" w:rsidP="008B4ED7">
            <w:r w:rsidRPr="00882AF5">
              <w:t>Anafilaktiska reakcija</w:t>
            </w:r>
            <w:r w:rsidRPr="00882AF5">
              <w:rPr>
                <w:vertAlign w:val="superscript"/>
              </w:rPr>
              <w:t>1</w:t>
            </w:r>
          </w:p>
        </w:tc>
      </w:tr>
      <w:tr w:rsidR="00E317CF" w:rsidRPr="00882AF5"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882AF5" w:rsidRDefault="00E317CF" w:rsidP="008B4ED7">
            <w:r w:rsidRPr="00882AF5">
              <w:t>Vielmaiņas un uztures traucējumi</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882AF5" w:rsidRDefault="00E317CF" w:rsidP="008B4ED7">
            <w:r w:rsidRPr="00882AF5">
              <w:t>Reti</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882AF5" w:rsidRDefault="00E317CF" w:rsidP="008B4ED7">
            <w:r w:rsidRPr="00882AF5">
              <w:t>Hipokalciēmija</w:t>
            </w:r>
            <w:r w:rsidRPr="00882AF5">
              <w:rPr>
                <w:vertAlign w:val="superscript"/>
              </w:rPr>
              <w:t>1</w:t>
            </w:r>
          </w:p>
        </w:tc>
      </w:tr>
      <w:tr w:rsidR="00E317CF" w:rsidRPr="00882AF5"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882AF5" w:rsidRDefault="00E317CF" w:rsidP="008B4ED7">
            <w:r w:rsidRPr="00882AF5">
              <w:t>Nervu sistēmas traucējumi</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882AF5" w:rsidRDefault="00E317CF" w:rsidP="008B4ED7">
            <w:r w:rsidRPr="00882AF5">
              <w:t>Bieži</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882AF5" w:rsidRDefault="00E317CF" w:rsidP="008B4ED7">
            <w:r w:rsidRPr="00882AF5">
              <w:t>Išiass</w:t>
            </w:r>
          </w:p>
        </w:tc>
      </w:tr>
      <w:tr w:rsidR="008B4ED7" w:rsidRPr="00882AF5"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882AF5" w:rsidRDefault="008B4ED7" w:rsidP="009D1537">
            <w:pPr>
              <w:keepNext/>
            </w:pPr>
            <w:r w:rsidRPr="00882AF5">
              <w:t>Kuņģa-zarnu trakta traucējumi</w:t>
            </w:r>
          </w:p>
        </w:tc>
        <w:tc>
          <w:tcPr>
            <w:tcW w:w="1360" w:type="pct"/>
            <w:tcBorders>
              <w:top w:val="single" w:sz="4" w:space="0" w:color="auto"/>
              <w:left w:val="single" w:sz="4" w:space="0" w:color="auto"/>
              <w:bottom w:val="nil"/>
              <w:right w:val="single" w:sz="4" w:space="0" w:color="auto"/>
            </w:tcBorders>
          </w:tcPr>
          <w:p w14:paraId="0BE6CBB1" w14:textId="4F84ED70" w:rsidR="008B4ED7" w:rsidRPr="00882AF5" w:rsidRDefault="008B4ED7" w:rsidP="009D1537">
            <w:pPr>
              <w:keepNext/>
            </w:pPr>
            <w:r w:rsidRPr="00882AF5">
              <w:t>Bieži</w:t>
            </w:r>
          </w:p>
        </w:tc>
        <w:tc>
          <w:tcPr>
            <w:tcW w:w="1965" w:type="pct"/>
            <w:tcBorders>
              <w:top w:val="single" w:sz="4" w:space="0" w:color="auto"/>
              <w:left w:val="single" w:sz="4" w:space="0" w:color="auto"/>
              <w:bottom w:val="nil"/>
              <w:right w:val="single" w:sz="4" w:space="0" w:color="auto"/>
            </w:tcBorders>
          </w:tcPr>
          <w:p w14:paraId="7EA97CCB" w14:textId="5C2B6EC3" w:rsidR="008B4ED7" w:rsidRPr="00882AF5" w:rsidRDefault="008B4ED7" w:rsidP="009D1537">
            <w:pPr>
              <w:keepNext/>
            </w:pPr>
            <w:r w:rsidRPr="00882AF5">
              <w:t>Aizcietējums</w:t>
            </w:r>
          </w:p>
        </w:tc>
      </w:tr>
      <w:tr w:rsidR="008B4ED7" w:rsidRPr="00882AF5"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882AF5"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882AF5" w:rsidRDefault="008B4ED7" w:rsidP="008B4ED7">
            <w:r w:rsidRPr="00882AF5">
              <w:t>Bieži</w:t>
            </w:r>
          </w:p>
        </w:tc>
        <w:tc>
          <w:tcPr>
            <w:tcW w:w="1965" w:type="pct"/>
            <w:tcBorders>
              <w:top w:val="nil"/>
              <w:left w:val="single" w:sz="4" w:space="0" w:color="auto"/>
              <w:bottom w:val="single" w:sz="4" w:space="0" w:color="auto"/>
              <w:right w:val="single" w:sz="4" w:space="0" w:color="auto"/>
            </w:tcBorders>
          </w:tcPr>
          <w:p w14:paraId="6A444A3B" w14:textId="2DE59900" w:rsidR="008B4ED7" w:rsidRPr="00882AF5" w:rsidRDefault="008B4ED7" w:rsidP="008B4ED7">
            <w:r w:rsidRPr="00882AF5">
              <w:t>Diskomforta sajūta vēderā</w:t>
            </w:r>
          </w:p>
        </w:tc>
      </w:tr>
      <w:tr w:rsidR="008B4ED7" w:rsidRPr="00882AF5"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882AF5" w:rsidRDefault="008B4ED7" w:rsidP="00C345B1">
            <w:pPr>
              <w:keepNext/>
            </w:pPr>
            <w:r w:rsidRPr="00882AF5">
              <w:t>Ādas un zemādas audu bojājumi</w:t>
            </w:r>
          </w:p>
        </w:tc>
        <w:tc>
          <w:tcPr>
            <w:tcW w:w="1360" w:type="pct"/>
            <w:tcBorders>
              <w:top w:val="single" w:sz="4" w:space="0" w:color="auto"/>
              <w:left w:val="single" w:sz="4" w:space="0" w:color="auto"/>
              <w:bottom w:val="nil"/>
              <w:right w:val="single" w:sz="4" w:space="0" w:color="auto"/>
            </w:tcBorders>
          </w:tcPr>
          <w:p w14:paraId="72ED77EF" w14:textId="11941F54" w:rsidR="008B4ED7" w:rsidRPr="00882AF5" w:rsidRDefault="008B4ED7" w:rsidP="00C345B1">
            <w:pPr>
              <w:keepNext/>
            </w:pPr>
            <w:r w:rsidRPr="00882AF5">
              <w:t>Bieži</w:t>
            </w:r>
          </w:p>
        </w:tc>
        <w:tc>
          <w:tcPr>
            <w:tcW w:w="1965" w:type="pct"/>
            <w:tcBorders>
              <w:top w:val="single" w:sz="4" w:space="0" w:color="auto"/>
              <w:left w:val="single" w:sz="4" w:space="0" w:color="auto"/>
              <w:bottom w:val="nil"/>
              <w:right w:val="single" w:sz="4" w:space="0" w:color="auto"/>
            </w:tcBorders>
          </w:tcPr>
          <w:p w14:paraId="156389F4" w14:textId="135076EC" w:rsidR="008B4ED7" w:rsidRPr="00882AF5" w:rsidRDefault="008B4ED7" w:rsidP="00C345B1">
            <w:pPr>
              <w:keepNext/>
            </w:pPr>
            <w:r w:rsidRPr="00882AF5">
              <w:t>Izsitumi</w:t>
            </w:r>
          </w:p>
        </w:tc>
      </w:tr>
      <w:tr w:rsidR="008B4ED7" w:rsidRPr="00882AF5"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882AF5" w:rsidRDefault="008B4ED7" w:rsidP="00C345B1">
            <w:pPr>
              <w:keepNext/>
            </w:pPr>
            <w:r w:rsidRPr="00882AF5">
              <w:t>Bieži</w:t>
            </w:r>
          </w:p>
        </w:tc>
        <w:tc>
          <w:tcPr>
            <w:tcW w:w="1965" w:type="pct"/>
            <w:tcBorders>
              <w:top w:val="nil"/>
              <w:left w:val="single" w:sz="4" w:space="0" w:color="auto"/>
              <w:bottom w:val="nil"/>
              <w:right w:val="single" w:sz="4" w:space="0" w:color="auto"/>
            </w:tcBorders>
          </w:tcPr>
          <w:p w14:paraId="3CB1C4E7" w14:textId="192CBCA6" w:rsidR="008B4ED7" w:rsidRPr="00882AF5" w:rsidRDefault="008B4ED7" w:rsidP="00C345B1">
            <w:pPr>
              <w:keepNext/>
            </w:pPr>
            <w:r w:rsidRPr="00882AF5">
              <w:t>Ekzēma</w:t>
            </w:r>
          </w:p>
        </w:tc>
      </w:tr>
      <w:tr w:rsidR="008B4ED7" w:rsidRPr="00882AF5"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882AF5" w:rsidRDefault="008B4ED7" w:rsidP="00C345B1">
            <w:pPr>
              <w:keepNext/>
            </w:pPr>
            <w:r w:rsidRPr="00882AF5">
              <w:t>Bieži</w:t>
            </w:r>
          </w:p>
        </w:tc>
        <w:tc>
          <w:tcPr>
            <w:tcW w:w="1965" w:type="pct"/>
            <w:tcBorders>
              <w:top w:val="nil"/>
              <w:left w:val="single" w:sz="4" w:space="0" w:color="auto"/>
              <w:bottom w:val="nil"/>
              <w:right w:val="single" w:sz="4" w:space="0" w:color="auto"/>
            </w:tcBorders>
          </w:tcPr>
          <w:p w14:paraId="3EDE6EC5" w14:textId="2DD2915F" w:rsidR="008B4ED7" w:rsidRPr="00882AF5" w:rsidRDefault="008B4ED7" w:rsidP="00C345B1">
            <w:pPr>
              <w:keepNext/>
            </w:pPr>
            <w:r w:rsidRPr="00882AF5">
              <w:t>Alopēcija</w:t>
            </w:r>
          </w:p>
        </w:tc>
      </w:tr>
      <w:tr w:rsidR="008B4ED7" w:rsidRPr="00882AF5"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882AF5" w:rsidRDefault="008B4ED7" w:rsidP="00C345B1">
            <w:pPr>
              <w:keepNext/>
            </w:pPr>
            <w:r w:rsidRPr="00882AF5">
              <w:t>Retāk</w:t>
            </w:r>
          </w:p>
        </w:tc>
        <w:tc>
          <w:tcPr>
            <w:tcW w:w="1965" w:type="pct"/>
            <w:tcBorders>
              <w:top w:val="nil"/>
              <w:left w:val="single" w:sz="4" w:space="0" w:color="auto"/>
              <w:bottom w:val="nil"/>
              <w:right w:val="single" w:sz="4" w:space="0" w:color="auto"/>
            </w:tcBorders>
          </w:tcPr>
          <w:p w14:paraId="0BEC9485" w14:textId="224F2B48" w:rsidR="008B4ED7" w:rsidRPr="00882AF5" w:rsidRDefault="008B4ED7" w:rsidP="00C345B1">
            <w:pPr>
              <w:keepNext/>
            </w:pPr>
            <w:r w:rsidRPr="00882AF5">
              <w:t>Zāļu izraisīti lihenoīdi izsitumi</w:t>
            </w:r>
            <w:r w:rsidRPr="00882AF5">
              <w:rPr>
                <w:vertAlign w:val="superscript"/>
              </w:rPr>
              <w:t>1</w:t>
            </w:r>
          </w:p>
        </w:tc>
      </w:tr>
      <w:tr w:rsidR="008B4ED7" w:rsidRPr="00882AF5"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882AF5"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882AF5" w:rsidRDefault="008B4ED7" w:rsidP="00C345B1">
            <w:pPr>
              <w:keepNext/>
            </w:pPr>
            <w:r w:rsidRPr="00882AF5">
              <w:t>Ļoti reti</w:t>
            </w:r>
          </w:p>
        </w:tc>
        <w:tc>
          <w:tcPr>
            <w:tcW w:w="1965" w:type="pct"/>
            <w:tcBorders>
              <w:top w:val="nil"/>
              <w:left w:val="single" w:sz="4" w:space="0" w:color="auto"/>
              <w:bottom w:val="single" w:sz="4" w:space="0" w:color="auto"/>
              <w:right w:val="single" w:sz="4" w:space="0" w:color="auto"/>
            </w:tcBorders>
          </w:tcPr>
          <w:p w14:paraId="54FE6680" w14:textId="4B73534A" w:rsidR="008B4ED7" w:rsidRPr="00882AF5" w:rsidRDefault="008B4ED7" w:rsidP="00C345B1">
            <w:pPr>
              <w:keepNext/>
            </w:pPr>
            <w:r w:rsidRPr="00882AF5">
              <w:t>Paaugstinātas jutības vaskulīts</w:t>
            </w:r>
          </w:p>
        </w:tc>
      </w:tr>
      <w:tr w:rsidR="008B4ED7" w:rsidRPr="00882AF5"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882AF5" w:rsidRDefault="008B4ED7" w:rsidP="00C345B1">
            <w:pPr>
              <w:keepNext/>
            </w:pPr>
            <w:r w:rsidRPr="00882AF5">
              <w:t>Skeleta-muskuļu un saistaudu sistēmas bojājumi</w:t>
            </w:r>
          </w:p>
        </w:tc>
        <w:tc>
          <w:tcPr>
            <w:tcW w:w="1360" w:type="pct"/>
            <w:tcBorders>
              <w:top w:val="single" w:sz="4" w:space="0" w:color="auto"/>
              <w:left w:val="single" w:sz="4" w:space="0" w:color="auto"/>
              <w:bottom w:val="nil"/>
              <w:right w:val="single" w:sz="4" w:space="0" w:color="auto"/>
            </w:tcBorders>
          </w:tcPr>
          <w:p w14:paraId="7D8B3165" w14:textId="5E7945F1" w:rsidR="008B4ED7" w:rsidRPr="00882AF5" w:rsidRDefault="008B4ED7" w:rsidP="00C345B1">
            <w:pPr>
              <w:keepNext/>
            </w:pPr>
            <w:r w:rsidRPr="00882AF5">
              <w:t>Ļoti bieži</w:t>
            </w:r>
          </w:p>
        </w:tc>
        <w:tc>
          <w:tcPr>
            <w:tcW w:w="1965" w:type="pct"/>
            <w:tcBorders>
              <w:top w:val="single" w:sz="4" w:space="0" w:color="auto"/>
              <w:left w:val="single" w:sz="4" w:space="0" w:color="auto"/>
              <w:bottom w:val="nil"/>
              <w:right w:val="single" w:sz="4" w:space="0" w:color="auto"/>
            </w:tcBorders>
          </w:tcPr>
          <w:p w14:paraId="6F074B16" w14:textId="493B2495" w:rsidR="008B4ED7" w:rsidRPr="00882AF5" w:rsidRDefault="008B4ED7" w:rsidP="00C345B1">
            <w:pPr>
              <w:keepNext/>
            </w:pPr>
            <w:r w:rsidRPr="00882AF5">
              <w:t>Sāpes ekstremitātēs</w:t>
            </w:r>
          </w:p>
        </w:tc>
      </w:tr>
      <w:tr w:rsidR="008B4ED7" w:rsidRPr="00882AF5"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882AF5" w:rsidRDefault="008B4ED7" w:rsidP="00C345B1">
            <w:pPr>
              <w:keepNext/>
            </w:pPr>
            <w:r w:rsidRPr="00882AF5">
              <w:t>Ļoti bieži</w:t>
            </w:r>
          </w:p>
        </w:tc>
        <w:tc>
          <w:tcPr>
            <w:tcW w:w="1965" w:type="pct"/>
            <w:tcBorders>
              <w:top w:val="nil"/>
              <w:left w:val="single" w:sz="4" w:space="0" w:color="auto"/>
              <w:bottom w:val="nil"/>
              <w:right w:val="single" w:sz="4" w:space="0" w:color="auto"/>
            </w:tcBorders>
          </w:tcPr>
          <w:p w14:paraId="173A8384" w14:textId="741E875D" w:rsidR="008B4ED7" w:rsidRPr="00882AF5" w:rsidRDefault="008B4ED7" w:rsidP="00C345B1">
            <w:pPr>
              <w:keepNext/>
            </w:pPr>
            <w:r w:rsidRPr="00882AF5">
              <w:t>Skeleta-muskuļu sāpes</w:t>
            </w:r>
            <w:r w:rsidRPr="00882AF5">
              <w:rPr>
                <w:vertAlign w:val="superscript"/>
              </w:rPr>
              <w:t>1</w:t>
            </w:r>
          </w:p>
        </w:tc>
      </w:tr>
      <w:tr w:rsidR="008B4ED7" w:rsidRPr="00882AF5"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882AF5" w:rsidRDefault="008B4ED7" w:rsidP="00C345B1">
            <w:pPr>
              <w:keepNext/>
            </w:pPr>
            <w:r w:rsidRPr="00882AF5">
              <w:t>Reti</w:t>
            </w:r>
          </w:p>
        </w:tc>
        <w:tc>
          <w:tcPr>
            <w:tcW w:w="1965" w:type="pct"/>
            <w:tcBorders>
              <w:top w:val="nil"/>
              <w:left w:val="single" w:sz="4" w:space="0" w:color="auto"/>
              <w:bottom w:val="nil"/>
              <w:right w:val="single" w:sz="4" w:space="0" w:color="auto"/>
            </w:tcBorders>
          </w:tcPr>
          <w:p w14:paraId="70106F44" w14:textId="4B5E71AD" w:rsidR="008B4ED7" w:rsidRPr="00882AF5" w:rsidRDefault="008B4ED7" w:rsidP="00C345B1">
            <w:pPr>
              <w:keepNext/>
            </w:pPr>
            <w:r w:rsidRPr="00882AF5">
              <w:t>Žokļa osteonekroze</w:t>
            </w:r>
            <w:r w:rsidRPr="00882AF5">
              <w:rPr>
                <w:vertAlign w:val="superscript"/>
              </w:rPr>
              <w:t>1</w:t>
            </w:r>
          </w:p>
        </w:tc>
      </w:tr>
      <w:tr w:rsidR="008B4ED7" w:rsidRPr="00882AF5"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882AF5"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882AF5" w:rsidRDefault="008B4ED7" w:rsidP="00C345B1">
            <w:pPr>
              <w:keepNext/>
            </w:pPr>
            <w:r w:rsidRPr="00882AF5">
              <w:t>Reti</w:t>
            </w:r>
          </w:p>
        </w:tc>
        <w:tc>
          <w:tcPr>
            <w:tcW w:w="1965" w:type="pct"/>
            <w:tcBorders>
              <w:top w:val="nil"/>
              <w:left w:val="single" w:sz="4" w:space="0" w:color="auto"/>
              <w:bottom w:val="nil"/>
              <w:right w:val="single" w:sz="4" w:space="0" w:color="auto"/>
            </w:tcBorders>
          </w:tcPr>
          <w:p w14:paraId="302A933C" w14:textId="27C0560F" w:rsidR="008B4ED7" w:rsidRPr="00882AF5" w:rsidRDefault="008B4ED7" w:rsidP="00C345B1">
            <w:pPr>
              <w:keepNext/>
            </w:pPr>
            <w:r w:rsidRPr="00882AF5">
              <w:t>Netipiski augšstilba kaula lūzumi</w:t>
            </w:r>
            <w:r w:rsidRPr="00882AF5">
              <w:rPr>
                <w:vertAlign w:val="superscript"/>
              </w:rPr>
              <w:t>1</w:t>
            </w:r>
          </w:p>
        </w:tc>
      </w:tr>
      <w:tr w:rsidR="008B4ED7" w:rsidRPr="00882AF5"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882AF5"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882AF5" w:rsidRDefault="008B4ED7" w:rsidP="00C345B1">
            <w:pPr>
              <w:keepNext/>
            </w:pPr>
            <w:r w:rsidRPr="00882AF5">
              <w:t>Nav zināmi</w:t>
            </w:r>
          </w:p>
        </w:tc>
        <w:tc>
          <w:tcPr>
            <w:tcW w:w="1965" w:type="pct"/>
            <w:tcBorders>
              <w:top w:val="nil"/>
              <w:left w:val="single" w:sz="4" w:space="0" w:color="auto"/>
              <w:bottom w:val="single" w:sz="4" w:space="0" w:color="auto"/>
              <w:right w:val="single" w:sz="4" w:space="0" w:color="auto"/>
            </w:tcBorders>
          </w:tcPr>
          <w:p w14:paraId="34DF5685" w14:textId="075D778F" w:rsidR="008B4ED7" w:rsidRPr="00882AF5" w:rsidRDefault="008B4ED7" w:rsidP="00C345B1">
            <w:pPr>
              <w:keepNext/>
            </w:pPr>
            <w:r w:rsidRPr="00882AF5">
              <w:t>Ārējā dzirdes kanāla osteonekroze</w:t>
            </w:r>
            <w:r w:rsidRPr="00882AF5">
              <w:rPr>
                <w:vertAlign w:val="superscript"/>
              </w:rPr>
              <w:t>2</w:t>
            </w:r>
          </w:p>
        </w:tc>
      </w:tr>
    </w:tbl>
    <w:p w14:paraId="5E35DC5C" w14:textId="02EDEF28" w:rsidR="00992A6A" w:rsidRPr="00882AF5" w:rsidRDefault="00992A6A" w:rsidP="00C345B1">
      <w:pPr>
        <w:keepNext/>
        <w:rPr>
          <w:sz w:val="20"/>
          <w:szCs w:val="20"/>
        </w:rPr>
      </w:pPr>
      <w:r w:rsidRPr="00882AF5">
        <w:rPr>
          <w:sz w:val="20"/>
          <w:vertAlign w:val="superscript"/>
        </w:rPr>
        <w:t>1</w:t>
      </w:r>
      <w:r w:rsidRPr="00882AF5">
        <w:rPr>
          <w:sz w:val="20"/>
        </w:rPr>
        <w:t xml:space="preserve"> Skatīt sadaļu </w:t>
      </w:r>
      <w:r w:rsidR="007E2BA5">
        <w:rPr>
          <w:sz w:val="20"/>
        </w:rPr>
        <w:t>“</w:t>
      </w:r>
      <w:r w:rsidRPr="00882AF5">
        <w:rPr>
          <w:sz w:val="20"/>
        </w:rPr>
        <w:t>Atsevišķu nevēlamo blakusparādību apraksts”.</w:t>
      </w:r>
    </w:p>
    <w:p w14:paraId="53539C5F" w14:textId="153A9185" w:rsidR="008603DE" w:rsidRPr="00882AF5" w:rsidRDefault="00E54693" w:rsidP="00C345B1">
      <w:pPr>
        <w:rPr>
          <w:sz w:val="20"/>
          <w:szCs w:val="20"/>
        </w:rPr>
      </w:pPr>
      <w:r w:rsidRPr="00882AF5">
        <w:rPr>
          <w:sz w:val="20"/>
          <w:vertAlign w:val="superscript"/>
        </w:rPr>
        <w:t>2</w:t>
      </w:r>
      <w:r w:rsidRPr="00882AF5">
        <w:rPr>
          <w:sz w:val="20"/>
        </w:rPr>
        <w:t xml:space="preserve"> Skatīt 4.4. apakšpunktu.</w:t>
      </w:r>
    </w:p>
    <w:p w14:paraId="49A2D861" w14:textId="77777777" w:rsidR="00E54693" w:rsidRPr="00882AF5" w:rsidRDefault="00E54693" w:rsidP="008B4ED7">
      <w:pPr>
        <w:pStyle w:val="a9"/>
        <w:rPr>
          <w:sz w:val="22"/>
        </w:rPr>
      </w:pPr>
    </w:p>
    <w:p w14:paraId="0753E259" w14:textId="472F28C9" w:rsidR="008603DE" w:rsidRPr="00882AF5" w:rsidRDefault="008011D6" w:rsidP="008B4ED7">
      <w:r w:rsidRPr="00882AF5">
        <w:t xml:space="preserve">Analizējot datus, kas iegūti visos II un III fāzes placebo kontrolētos pētījumos, konstatēts, ka par gripai līdzīgu slimību ziņots ar neapstrādātu sastopamības biežuma rādītāju 1,2% </w:t>
      </w:r>
      <w:r w:rsidR="00417EC9">
        <w:t>denozumab</w:t>
      </w:r>
      <w:r w:rsidRPr="00882AF5">
        <w:t>a terapijas grupā un 0,7% placebo grupā. Lai gan šī atšķirība tika konstatēta apvienoto datu analīzē, tā netika konstatēta</w:t>
      </w:r>
      <w:r w:rsidR="00E613C5">
        <w:t>,</w:t>
      </w:r>
      <w:r w:rsidRPr="00882AF5">
        <w:t xml:space="preserve"> izmantojot stratificēto datu analīzes metodi.</w:t>
      </w:r>
    </w:p>
    <w:p w14:paraId="381F3365" w14:textId="77777777" w:rsidR="008011D6" w:rsidRPr="00882AF5" w:rsidRDefault="008011D6" w:rsidP="008B4ED7"/>
    <w:p w14:paraId="200372F9" w14:textId="77777777" w:rsidR="008011D6" w:rsidRPr="00882AF5" w:rsidRDefault="008011D6" w:rsidP="008B4ED7">
      <w:pPr>
        <w:keepNext/>
        <w:rPr>
          <w:u w:val="single"/>
        </w:rPr>
      </w:pPr>
      <w:r w:rsidRPr="00882AF5">
        <w:rPr>
          <w:u w:val="single"/>
        </w:rPr>
        <w:t>Atsevišķu nevēlamo blakusparādību apraksts</w:t>
      </w:r>
    </w:p>
    <w:p w14:paraId="3F5E86A9" w14:textId="77777777" w:rsidR="008011D6" w:rsidRPr="00882AF5" w:rsidRDefault="008011D6" w:rsidP="008B4ED7">
      <w:pPr>
        <w:keepNext/>
      </w:pPr>
    </w:p>
    <w:p w14:paraId="2860D0D2" w14:textId="77777777" w:rsidR="008011D6" w:rsidRPr="00882AF5" w:rsidRDefault="008011D6" w:rsidP="008B4ED7">
      <w:pPr>
        <w:keepNext/>
        <w:tabs>
          <w:tab w:val="clear" w:pos="567"/>
        </w:tabs>
        <w:rPr>
          <w:i/>
          <w:iCs/>
        </w:rPr>
      </w:pPr>
      <w:r w:rsidRPr="00882AF5">
        <w:rPr>
          <w:i/>
        </w:rPr>
        <w:t>Hipokalciēmija</w:t>
      </w:r>
    </w:p>
    <w:p w14:paraId="2537D072" w14:textId="773C76AA" w:rsidR="008603DE" w:rsidRPr="00882AF5" w:rsidRDefault="008011D6" w:rsidP="008B4ED7">
      <w:r w:rsidRPr="00882AF5">
        <w:t xml:space="preserve">Divos III fāzes placebo kontrolētos klīniskos pētījumos, kuros tika iekļautas sievietes ar osteoporozi pēcmenopauzes periodā, apmēram 0,05% (2 no 4 050) sieviešu pēc </w:t>
      </w:r>
      <w:r w:rsidR="00417EC9">
        <w:t>denozumab</w:t>
      </w:r>
      <w:r w:rsidR="00094A93" w:rsidRPr="00882AF5">
        <w:t xml:space="preserve">a </w:t>
      </w:r>
      <w:r w:rsidRPr="00882AF5">
        <w:t xml:space="preserve">terapijas bija pazemināts kalcija līmenis serumā (zem 1,88 mmol/l). Par kalcija līmeņa pazemināšanos serumā (zem 1,88 mmol/l) netika ziņots ne divos III fāzes placebo kontrolētos pētījumos pacientiem, kuriem </w:t>
      </w:r>
      <w:r w:rsidR="00AD01DB">
        <w:t xml:space="preserve">tiek </w:t>
      </w:r>
      <w:r w:rsidRPr="00882AF5">
        <w:t>veikta hormonu ablācija, ne III fāzes placebo kontrolētā pētījumā vīriešiem ar osteoporozi.</w:t>
      </w:r>
    </w:p>
    <w:p w14:paraId="69447C2E" w14:textId="77777777" w:rsidR="00CD0319" w:rsidRPr="00882AF5" w:rsidRDefault="00CD0319" w:rsidP="008B4ED7"/>
    <w:p w14:paraId="035CD797" w14:textId="7A33E4A0" w:rsidR="007B6756" w:rsidRPr="00882AF5" w:rsidRDefault="007B6756" w:rsidP="008B4ED7">
      <w:r w:rsidRPr="00882AF5">
        <w:t>Pēcreģistrācijas periodā ziņots par retiem smagas simptomātiskas hipokalciēmijas gadījumiem, k</w:t>
      </w:r>
      <w:r w:rsidR="007A7C5C">
        <w:t>ā</w:t>
      </w:r>
      <w:r w:rsidRPr="00882AF5">
        <w:t xml:space="preserve"> rezultātā </w:t>
      </w:r>
      <w:r w:rsidR="00782C0E" w:rsidRPr="00882AF5">
        <w:t xml:space="preserve">bijusi nepieciešama </w:t>
      </w:r>
      <w:r w:rsidRPr="00882AF5">
        <w:t>hospitalizācij</w:t>
      </w:r>
      <w:r w:rsidR="00BD43AB">
        <w:t xml:space="preserve">a, </w:t>
      </w:r>
      <w:r w:rsidR="00782C0E" w:rsidRPr="00882AF5">
        <w:t>radušies</w:t>
      </w:r>
      <w:r w:rsidRPr="00882AF5">
        <w:t xml:space="preserve"> dzīvībai bīstami notikumi un letāli gadījumi</w:t>
      </w:r>
      <w:r w:rsidR="00806F6F">
        <w:t>,</w:t>
      </w:r>
      <w:r w:rsidR="0094383C" w:rsidRPr="0094383C">
        <w:t xml:space="preserve"> </w:t>
      </w:r>
      <w:r w:rsidR="0094383C" w:rsidRPr="00882AF5">
        <w:t>galvenokārt</w:t>
      </w:r>
      <w:r w:rsidR="0094383C">
        <w:t>,</w:t>
      </w:r>
      <w:r w:rsidR="0094383C" w:rsidRPr="00882AF5">
        <w:t xml:space="preserve"> pacientiem ar paaugstinātu hipokalciēmijas risku, kas saņem </w:t>
      </w:r>
      <w:r w:rsidR="00417EC9">
        <w:t>denozumab</w:t>
      </w:r>
      <w:r w:rsidR="0094383C">
        <w:t>u</w:t>
      </w:r>
      <w:r w:rsidR="003A3BA3">
        <w:t xml:space="preserve"> un</w:t>
      </w:r>
      <w:r w:rsidR="00806F6F" w:rsidRPr="00806F6F">
        <w:t xml:space="preserve"> </w:t>
      </w:r>
      <w:r w:rsidR="00806F6F" w:rsidRPr="00882AF5">
        <w:t>kur</w:t>
      </w:r>
      <w:r w:rsidR="00806F6F">
        <w:t>i</w:t>
      </w:r>
      <w:r w:rsidR="00806F6F" w:rsidRPr="00882AF5">
        <w:t xml:space="preserve"> </w:t>
      </w:r>
      <w:r w:rsidR="00806F6F">
        <w:t>pārsvarā</w:t>
      </w:r>
      <w:r w:rsidR="00806F6F" w:rsidRPr="00882AF5">
        <w:t xml:space="preserve"> rodas pirmajās nedēļās pēc ārstēšanas uzsākšanas</w:t>
      </w:r>
      <w:r w:rsidRPr="00882AF5">
        <w:t xml:space="preserve">. Smagas simptomātiskas hipokalciēmijas klīniskās izpausmes piemēri ietver QT intervāla pagarināšanos, tetāniju, krampjus un izmainītu psihisko stāvokli (skatīt 4.4. apakšpunktu). Hipokalciēmijas simptomi </w:t>
      </w:r>
      <w:r w:rsidR="00417EC9">
        <w:t>denozumab</w:t>
      </w:r>
      <w:r w:rsidRPr="00882AF5">
        <w:t>a klīniskajos pētījumos ietvēra parestēzijas vai muskuļu stīvumu, raustīšanos, spazmas un muskuļu krampjus.</w:t>
      </w:r>
    </w:p>
    <w:p w14:paraId="1BC77E65" w14:textId="77777777" w:rsidR="008011D6" w:rsidRPr="00882AF5" w:rsidRDefault="008011D6" w:rsidP="008B4ED7"/>
    <w:p w14:paraId="4F48A78E" w14:textId="77777777" w:rsidR="008011D6" w:rsidRPr="00882AF5" w:rsidRDefault="008011D6" w:rsidP="008B4ED7">
      <w:pPr>
        <w:keepNext/>
        <w:tabs>
          <w:tab w:val="clear" w:pos="567"/>
        </w:tabs>
        <w:rPr>
          <w:i/>
          <w:iCs/>
        </w:rPr>
      </w:pPr>
      <w:r w:rsidRPr="00882AF5">
        <w:rPr>
          <w:i/>
        </w:rPr>
        <w:t>Ādas infekcijas</w:t>
      </w:r>
    </w:p>
    <w:p w14:paraId="3150DBA3" w14:textId="17C71F1B" w:rsidR="008011D6" w:rsidRPr="00882AF5" w:rsidRDefault="008011D6" w:rsidP="008B4ED7">
      <w:r w:rsidRPr="00882AF5">
        <w:t xml:space="preserve">III fāzes placebo kontrolētos pētījumos kopējais ādas infekciju sastopamības biežums bija līdzīgs placebo un </w:t>
      </w:r>
      <w:r w:rsidR="00417EC9">
        <w:t>denozumab</w:t>
      </w:r>
      <w:r w:rsidRPr="00882AF5">
        <w:t xml:space="preserve">a terapijas grupā sievietēm ar osteoporozi pēcmenopauzes periodā (placebo [1,2%, 50 pacientiem no 4041], salīdzinot ar </w:t>
      </w:r>
      <w:r w:rsidR="00417EC9">
        <w:t>denozumab</w:t>
      </w:r>
      <w:r w:rsidR="00E43EEF" w:rsidRPr="00882AF5">
        <w:t>u</w:t>
      </w:r>
      <w:r w:rsidR="00E43EEF" w:rsidRPr="00882AF5" w:rsidDel="00E43EEF">
        <w:t xml:space="preserve"> </w:t>
      </w:r>
      <w:r w:rsidRPr="00882AF5">
        <w:t xml:space="preserve">[1,5%, 59 pacientiem no 4050]); vīriešiem </w:t>
      </w:r>
      <w:r w:rsidRPr="00882AF5">
        <w:lastRenderedPageBreak/>
        <w:t xml:space="preserve">ar osteoporozi (placebo [0,8%, 1 pacientam no 120], salīdzinot ar </w:t>
      </w:r>
      <w:r w:rsidR="00417EC9">
        <w:t>denozumab</w:t>
      </w:r>
      <w:r w:rsidR="00E43EEF" w:rsidRPr="00882AF5">
        <w:t>u</w:t>
      </w:r>
      <w:r w:rsidR="00E43EEF" w:rsidRPr="00882AF5" w:rsidDel="00E43EEF">
        <w:t xml:space="preserve"> </w:t>
      </w:r>
      <w:r w:rsidRPr="00882AF5">
        <w:t>[0%, 0 pacientiem no 120]); pacientiem ar krūts un prostatas vēzi, kuri saņēm</w:t>
      </w:r>
      <w:r w:rsidR="00AD01DB">
        <w:t>a</w:t>
      </w:r>
      <w:r w:rsidRPr="00882AF5">
        <w:t xml:space="preserve"> hormonu ablāciju (placebo [1,7%, 14 pacientiem no 845], salīdzinot ar </w:t>
      </w:r>
      <w:r w:rsidR="00417EC9">
        <w:t>denozumab</w:t>
      </w:r>
      <w:r w:rsidR="00E43EEF" w:rsidRPr="00882AF5">
        <w:t>u</w:t>
      </w:r>
      <w:r w:rsidR="00E43EEF" w:rsidRPr="00882AF5" w:rsidDel="00E43EEF">
        <w:t xml:space="preserve"> </w:t>
      </w:r>
      <w:r w:rsidRPr="00882AF5">
        <w:t xml:space="preserve">[1,4%, 12 pacientiem no 860]). Ādas infekcijas, kuru dēļ bija nepieciešama hospitalizācija, novēroja 0,1% (3 pacientēm no 4041) sieviešu ar osteoporozi pēcmenopauzes periodā placebo grupā, salīdzinot ar 0,4% (16 pacientēm no 4050) sieviešu, kuras saņēma </w:t>
      </w:r>
      <w:r w:rsidR="00417EC9">
        <w:t>denozumab</w:t>
      </w:r>
      <w:r w:rsidR="00E43EEF" w:rsidRPr="00882AF5">
        <w:t>u</w:t>
      </w:r>
      <w:r w:rsidRPr="00882AF5">
        <w:t xml:space="preserve">. Pārsvarā tie bija celulīta gadījumi. Ādas infekcijas, kas ziņotas kā nopietnas nevēlamas blakusparādības, krūts un prostatas vēža pētījumos novēroja vienādi bieži kā placebo (0,6%, 5 pacientiem no 845), tā </w:t>
      </w:r>
      <w:r w:rsidR="00417EC9">
        <w:t>denozumab</w:t>
      </w:r>
      <w:r w:rsidR="00E43EEF" w:rsidRPr="00882AF5">
        <w:t>a</w:t>
      </w:r>
      <w:r w:rsidR="00E43EEF" w:rsidRPr="00882AF5" w:rsidDel="00E43EEF">
        <w:t xml:space="preserve"> </w:t>
      </w:r>
      <w:r w:rsidRPr="00882AF5">
        <w:t>(0,6%, 5 pacientiem no 860) terapijas grupā.</w:t>
      </w:r>
    </w:p>
    <w:p w14:paraId="0606C905" w14:textId="77777777" w:rsidR="006606E8" w:rsidRPr="00882AF5" w:rsidRDefault="006606E8" w:rsidP="008B4ED7"/>
    <w:p w14:paraId="4D5A7F43" w14:textId="77777777" w:rsidR="006606E8" w:rsidRPr="00882AF5" w:rsidRDefault="006606E8" w:rsidP="008B4ED7">
      <w:pPr>
        <w:keepNext/>
        <w:tabs>
          <w:tab w:val="clear" w:pos="567"/>
        </w:tabs>
        <w:rPr>
          <w:i/>
          <w:iCs/>
        </w:rPr>
      </w:pPr>
      <w:r w:rsidRPr="00882AF5">
        <w:rPr>
          <w:i/>
        </w:rPr>
        <w:t>Žokļa osteonekroze</w:t>
      </w:r>
    </w:p>
    <w:p w14:paraId="23D0FAE5" w14:textId="35C525F0" w:rsidR="00CB6286" w:rsidRPr="00882AF5" w:rsidRDefault="00BD493B" w:rsidP="008B4ED7">
      <w:r w:rsidRPr="00882AF5">
        <w:t>Klīnisk</w:t>
      </w:r>
      <w:r w:rsidR="00727F68">
        <w:t>aj</w:t>
      </w:r>
      <w:r w:rsidRPr="00882AF5">
        <w:t xml:space="preserve">os pētījumos pacientiem ar osteoporozi un krūts vai prostatas vēzi, kuriem </w:t>
      </w:r>
      <w:r w:rsidR="00AD01DB">
        <w:t xml:space="preserve">tiek </w:t>
      </w:r>
      <w:r w:rsidRPr="00882AF5">
        <w:t xml:space="preserve">veikta hormonu ablācija, par ŽON ziņots reti – 16 pacientiem no kopumā 23 148 pacientiem (skatīt 4.4. apakšpunktu). Trīspadsmit no šiem ŽON gadījumiem radās sievietēm pēcmenopauzes periodā ar osteoporozi III fāzes klīniskā pētījuma pagarinājuma laikā pēc ārstēšanas ar </w:t>
      </w:r>
      <w:r w:rsidR="00417EC9">
        <w:t>denozumab</w:t>
      </w:r>
      <w:r w:rsidRPr="00882AF5">
        <w:t xml:space="preserve">u laikā līdz 10 gadiem. ŽON sastopamība pēc 3 gadu ārstēšanas ar </w:t>
      </w:r>
      <w:r w:rsidR="00417EC9">
        <w:t>denozumab</w:t>
      </w:r>
      <w:r w:rsidRPr="00882AF5">
        <w:t>u bija 0,04%, pēc 5 gadu ārstēšanas </w:t>
      </w:r>
      <w:r w:rsidR="00B724E8">
        <w:t>—</w:t>
      </w:r>
      <w:r w:rsidRPr="00882AF5">
        <w:t xml:space="preserve"> 0,06% un pēc 10 gadu ārstēšanas </w:t>
      </w:r>
      <w:r w:rsidR="00B724E8">
        <w:t>—</w:t>
      </w:r>
      <w:r w:rsidRPr="00882AF5">
        <w:t xml:space="preserve"> 0,44%. ŽON risks paaugstinās līdz ar </w:t>
      </w:r>
      <w:r w:rsidR="00417EC9">
        <w:t>denozumab</w:t>
      </w:r>
      <w:r w:rsidRPr="00882AF5">
        <w:t>a iedarbības ilgumu.</w:t>
      </w:r>
    </w:p>
    <w:p w14:paraId="015AC5BB" w14:textId="77777777" w:rsidR="00E43EEF" w:rsidRPr="00882AF5" w:rsidRDefault="00E43EEF" w:rsidP="008B4ED7"/>
    <w:p w14:paraId="1FD656C6" w14:textId="5BA1C612" w:rsidR="00E43EEF" w:rsidRPr="00882AF5" w:rsidRDefault="00E66D2C" w:rsidP="008B4ED7">
      <w:r>
        <w:t xml:space="preserve">ŽON risks tika arī novērtēts retrospektīvā kohortas pētījumā ar 76 192 sievietēm pēcmenopauzes periodā, kurām nesen tika uzsākta ārstēšana ar </w:t>
      </w:r>
      <w:r w:rsidR="00417EC9">
        <w:rPr>
          <w:rFonts w:eastAsia="맑은 고딕" w:hint="eastAsia"/>
          <w:lang w:eastAsia="ko-KR"/>
        </w:rPr>
        <w:t>denozumab</w:t>
      </w:r>
      <w:r w:rsidR="00B54DE0">
        <w:rPr>
          <w:rFonts w:eastAsia="맑은 고딕" w:hint="eastAsia"/>
          <w:lang w:eastAsia="ko-KR"/>
        </w:rPr>
        <w:t>u</w:t>
      </w:r>
      <w:r>
        <w:t xml:space="preserve">. ŽON sastopamība bija 0,32% (95% ticības intervāls [TI]: 0,26; 0,39) pacientiem, kas līdz 3 gadiem lietoja </w:t>
      </w:r>
      <w:r w:rsidR="00417EC9">
        <w:t>denozumab</w:t>
      </w:r>
      <w:r>
        <w:t xml:space="preserve">u, un 0,51% (95% TI: 0,39; 0,65) pacientiem, kas lietoja </w:t>
      </w:r>
      <w:r w:rsidR="00417EC9">
        <w:t>denozumab</w:t>
      </w:r>
      <w:r>
        <w:t>u līdz 5 gadiem apsekošanas periodā</w:t>
      </w:r>
      <w:r w:rsidR="008451F6" w:rsidRPr="00882AF5">
        <w:t>.</w:t>
      </w:r>
    </w:p>
    <w:p w14:paraId="2335D698" w14:textId="77777777" w:rsidR="00C2322D" w:rsidRPr="00882AF5" w:rsidRDefault="00C2322D" w:rsidP="008B4ED7"/>
    <w:p w14:paraId="63764FEC" w14:textId="77777777" w:rsidR="000675CA" w:rsidRPr="00882AF5" w:rsidRDefault="000675CA" w:rsidP="008B4ED7">
      <w:pPr>
        <w:keepNext/>
        <w:tabs>
          <w:tab w:val="clear" w:pos="567"/>
        </w:tabs>
        <w:rPr>
          <w:i/>
          <w:iCs/>
        </w:rPr>
      </w:pPr>
      <w:r w:rsidRPr="00882AF5">
        <w:rPr>
          <w:i/>
        </w:rPr>
        <w:t>Netipiski augšstilba kaula lūzumi</w:t>
      </w:r>
    </w:p>
    <w:p w14:paraId="4CE4EE3F" w14:textId="68388504" w:rsidR="000675CA" w:rsidRPr="00882AF5" w:rsidRDefault="000675CA" w:rsidP="008B4ED7">
      <w:r w:rsidRPr="00882AF5">
        <w:t xml:space="preserve">Osteoporozes klīnisko pētījumu programmā reti ziņots par ar </w:t>
      </w:r>
      <w:r w:rsidR="00417EC9">
        <w:t>denozumab</w:t>
      </w:r>
      <w:r w:rsidRPr="00882AF5">
        <w:t>a ārstētu pacientu netipiskiem augšstilba kaula lūzumiem (skatīt 4.4. apakšpunktu).</w:t>
      </w:r>
    </w:p>
    <w:p w14:paraId="0594B4BE" w14:textId="77777777" w:rsidR="008011D6" w:rsidRPr="00882AF5" w:rsidRDefault="008011D6" w:rsidP="008B4ED7"/>
    <w:p w14:paraId="34E685EF" w14:textId="77777777" w:rsidR="008603DE" w:rsidRPr="00882AF5" w:rsidRDefault="008011D6" w:rsidP="008B4ED7">
      <w:pPr>
        <w:keepNext/>
        <w:tabs>
          <w:tab w:val="clear" w:pos="567"/>
        </w:tabs>
        <w:rPr>
          <w:i/>
          <w:iCs/>
        </w:rPr>
      </w:pPr>
      <w:r w:rsidRPr="00882AF5">
        <w:rPr>
          <w:i/>
        </w:rPr>
        <w:t>Divertikulīts</w:t>
      </w:r>
    </w:p>
    <w:p w14:paraId="0AAD0269" w14:textId="3184B54A" w:rsidR="008011D6" w:rsidRPr="00882AF5" w:rsidRDefault="008011D6" w:rsidP="00BF0C34">
      <w:r w:rsidRPr="00882AF5">
        <w:t>Vienā III fāzes placebo kontrolētā klīnisk</w:t>
      </w:r>
      <w:r w:rsidR="00727F68">
        <w:t>aj</w:t>
      </w:r>
      <w:r w:rsidRPr="00882AF5">
        <w:t xml:space="preserve">ā pētījumā pacientiem ar prostatas vēzi, kuri saņēma androgēnu deprivācijas terapiju (ADT), novēroja nevienmērību divertikulīta gadījumu biežumā (1,2% </w:t>
      </w:r>
      <w:r w:rsidR="00417EC9">
        <w:t>denozumab</w:t>
      </w:r>
      <w:r w:rsidRPr="00882AF5">
        <w:t>a grupā, 0% placebo grupā). Divertikulīta sastopamības biežums bija salīdzināms starp terapijas grupu, kurā bija sievietes pēcmenopauzes periodā un vīrieši ar osteoporozi, un terapijas grupu, kurā sievietes saņēma aromatāzes inhibitoru terapiju nemetastātisk</w:t>
      </w:r>
      <w:r w:rsidR="00CF1012">
        <w:t>a</w:t>
      </w:r>
      <w:r w:rsidRPr="00882AF5">
        <w:t xml:space="preserve"> krūts dziedzera vē</w:t>
      </w:r>
      <w:r w:rsidR="00CF1012">
        <w:t>ža ārstēšanai</w:t>
      </w:r>
      <w:r w:rsidRPr="00882AF5">
        <w:t>.</w:t>
      </w:r>
    </w:p>
    <w:p w14:paraId="2A422ECB" w14:textId="77777777" w:rsidR="00992A6A" w:rsidRPr="00882AF5" w:rsidRDefault="00992A6A" w:rsidP="008B4ED7"/>
    <w:p w14:paraId="4809E183" w14:textId="77777777" w:rsidR="008603DE" w:rsidRPr="00882AF5" w:rsidRDefault="00992A6A" w:rsidP="008B4ED7">
      <w:pPr>
        <w:keepNext/>
        <w:tabs>
          <w:tab w:val="clear" w:pos="567"/>
        </w:tabs>
        <w:rPr>
          <w:i/>
          <w:iCs/>
        </w:rPr>
      </w:pPr>
      <w:r w:rsidRPr="00882AF5">
        <w:rPr>
          <w:i/>
        </w:rPr>
        <w:t>Ar zālēm saistītās paaugstinātas jutības reakcijas</w:t>
      </w:r>
    </w:p>
    <w:p w14:paraId="3E1D282B" w14:textId="4B2B9985" w:rsidR="008603DE" w:rsidRPr="00882AF5" w:rsidRDefault="008A3961" w:rsidP="008B4ED7">
      <w:r w:rsidRPr="00882AF5">
        <w:t xml:space="preserve">Pacientiem, kam lietoja </w:t>
      </w:r>
      <w:r w:rsidR="00417EC9">
        <w:t>denozumab</w:t>
      </w:r>
      <w:r w:rsidR="008451F6" w:rsidRPr="00882AF5">
        <w:t>u</w:t>
      </w:r>
      <w:r w:rsidRPr="00882AF5">
        <w:t>, pēcreģistrācijas periodā ziņots par retiem ar zālēm saistītiem paaugstinātas jutības gadījumiem, tostarp izsitumiem, nātreni, sejas pietūkumu, apsārtumu un anafilaktiskām reakcijām.</w:t>
      </w:r>
    </w:p>
    <w:p w14:paraId="7F9AE1B1" w14:textId="77777777" w:rsidR="007B6756" w:rsidRPr="00882AF5" w:rsidRDefault="007B6756" w:rsidP="008B4ED7"/>
    <w:p w14:paraId="73D14EF7" w14:textId="77777777" w:rsidR="007B6756" w:rsidRPr="00882AF5" w:rsidRDefault="007B6756" w:rsidP="008B4ED7">
      <w:pPr>
        <w:keepNext/>
        <w:tabs>
          <w:tab w:val="clear" w:pos="567"/>
        </w:tabs>
        <w:rPr>
          <w:i/>
          <w:iCs/>
        </w:rPr>
      </w:pPr>
      <w:r w:rsidRPr="00882AF5">
        <w:rPr>
          <w:i/>
        </w:rPr>
        <w:t>Skeleta-muskuļu sāpes</w:t>
      </w:r>
    </w:p>
    <w:p w14:paraId="3FCF49C0" w14:textId="30881172" w:rsidR="007B6756" w:rsidRPr="00882AF5" w:rsidRDefault="007B6756" w:rsidP="008B4ED7">
      <w:r w:rsidRPr="00882AF5">
        <w:t xml:space="preserve">Pacientiem, kam lietoja </w:t>
      </w:r>
      <w:r w:rsidR="00417EC9">
        <w:t>denozumab</w:t>
      </w:r>
      <w:r w:rsidR="00FE18DA" w:rsidRPr="00882AF5">
        <w:t>u</w:t>
      </w:r>
      <w:r w:rsidRPr="00882AF5">
        <w:t xml:space="preserve">, pēcreģistrācijas periodā ziņots par skeleta-muskuļu sāpēm, tai skaitā smagiem gadījumiem. Klīniskajos pētījumos skeleta-muskuļu sāpes </w:t>
      </w:r>
      <w:r w:rsidR="00417EC9">
        <w:t>denozumab</w:t>
      </w:r>
      <w:r w:rsidRPr="00882AF5">
        <w:t>a un placebo grupās bija ļoti biežas. Skeleta-muskuļu sāpes, kuru dēļ bija jāpārtrauc pētījuma ārstēšana, bija retākas.</w:t>
      </w:r>
    </w:p>
    <w:p w14:paraId="0E4D1382" w14:textId="77777777" w:rsidR="00F41B80" w:rsidRPr="00882AF5" w:rsidRDefault="00F41B80" w:rsidP="008B4ED7"/>
    <w:p w14:paraId="3DF22404" w14:textId="77777777" w:rsidR="00F41B80" w:rsidRPr="00882AF5" w:rsidRDefault="00F41B80" w:rsidP="008B4ED7">
      <w:pPr>
        <w:keepNext/>
        <w:tabs>
          <w:tab w:val="clear" w:pos="567"/>
        </w:tabs>
        <w:rPr>
          <w:i/>
          <w:iCs/>
        </w:rPr>
      </w:pPr>
      <w:r w:rsidRPr="00882AF5">
        <w:rPr>
          <w:i/>
        </w:rPr>
        <w:t>Zāļu izraisīti lihenoīdi izsitumi</w:t>
      </w:r>
    </w:p>
    <w:p w14:paraId="0D5C735D" w14:textId="12A17493" w:rsidR="00F41B80" w:rsidRPr="00882AF5" w:rsidRDefault="00A96BB4" w:rsidP="008B4ED7">
      <w:r w:rsidRPr="00882AF5">
        <w:t xml:space="preserve">Pēcreģistrācijas periodā pacientiem ziņots par zāļu izraisītiem lihenoīdiem izsitumiem (piemēram, par </w:t>
      </w:r>
      <w:r w:rsidRPr="00882AF5">
        <w:rPr>
          <w:i/>
        </w:rPr>
        <w:t>lichen planus</w:t>
      </w:r>
      <w:r w:rsidRPr="00882AF5">
        <w:t xml:space="preserve"> līdzīgām reakcijām).</w:t>
      </w:r>
    </w:p>
    <w:p w14:paraId="2EC27C52" w14:textId="77777777" w:rsidR="008011D6" w:rsidRPr="00882AF5" w:rsidRDefault="008011D6" w:rsidP="008B4ED7"/>
    <w:p w14:paraId="76281ED7" w14:textId="77777777" w:rsidR="008011D6" w:rsidRPr="00882AF5" w:rsidRDefault="008011D6" w:rsidP="008B4ED7">
      <w:pPr>
        <w:keepNext/>
        <w:rPr>
          <w:u w:val="single"/>
        </w:rPr>
      </w:pPr>
      <w:r w:rsidRPr="00882AF5">
        <w:rPr>
          <w:u w:val="single"/>
        </w:rPr>
        <w:t>Citas īpašās pacientu grupas</w:t>
      </w:r>
    </w:p>
    <w:p w14:paraId="7C342220" w14:textId="6E802633" w:rsidR="002409B1" w:rsidRPr="00882AF5" w:rsidRDefault="002409B1" w:rsidP="008B4ED7">
      <w:pPr>
        <w:keepNext/>
      </w:pPr>
    </w:p>
    <w:p w14:paraId="45465522" w14:textId="3C6A2D95" w:rsidR="00555733" w:rsidRPr="00882AF5" w:rsidRDefault="00555733" w:rsidP="008B4ED7">
      <w:pPr>
        <w:keepNext/>
        <w:rPr>
          <w:i/>
          <w:iCs/>
        </w:rPr>
      </w:pPr>
      <w:r w:rsidRPr="00882AF5">
        <w:rPr>
          <w:i/>
        </w:rPr>
        <w:t>Pediatriskā populācija</w:t>
      </w:r>
    </w:p>
    <w:p w14:paraId="506380AC" w14:textId="6F120AB8" w:rsidR="00555733" w:rsidRPr="00882AF5" w:rsidRDefault="00417EC9" w:rsidP="00434AA6">
      <w:r>
        <w:t>Denozumab</w:t>
      </w:r>
      <w:r w:rsidR="0020366D" w:rsidRPr="00882AF5">
        <w:t xml:space="preserve">u </w:t>
      </w:r>
      <w:r w:rsidR="00555733" w:rsidRPr="00882AF5">
        <w:t>nedrīkst lietot pediatriskajiem pacientiem (vecums &lt; 18 gadi). Ir ziņots par nopietniem hiperkalciēmijas gadījumiem (skatīt 5.1. apakšpunktu). Daži gadījumi klīniskajā pētījumā komplicējās ar akūtu nieru bojājumu.</w:t>
      </w:r>
    </w:p>
    <w:p w14:paraId="56B84DE3" w14:textId="77777777" w:rsidR="00555733" w:rsidRPr="00882AF5" w:rsidRDefault="00555733" w:rsidP="008B4ED7">
      <w:pPr>
        <w:keepNext/>
      </w:pPr>
    </w:p>
    <w:p w14:paraId="770E27EC" w14:textId="77777777" w:rsidR="008603DE" w:rsidRPr="00882AF5" w:rsidRDefault="002409B1" w:rsidP="008B4ED7">
      <w:pPr>
        <w:keepNext/>
        <w:tabs>
          <w:tab w:val="clear" w:pos="567"/>
        </w:tabs>
        <w:rPr>
          <w:i/>
          <w:iCs/>
        </w:rPr>
      </w:pPr>
      <w:r w:rsidRPr="00882AF5">
        <w:rPr>
          <w:i/>
        </w:rPr>
        <w:t>Nieru darbības traucējumi</w:t>
      </w:r>
    </w:p>
    <w:p w14:paraId="751E8423" w14:textId="77777777" w:rsidR="008011D6" w:rsidRPr="00882AF5" w:rsidRDefault="008011D6" w:rsidP="008B4ED7">
      <w:r w:rsidRPr="00882AF5">
        <w:t>Klīniskos pētījumos pacientiem ar smagiem nieru darbības traucējumiem (kreatinīna klīrenss &lt; 30 ml/min) vai pacientiem, kuriem tiek veikta dialīze, bija lielāks hipokalciēmijas rašanās risks, ja viņiem papildus netika parakstīts kalcijs. Pacientiem ar smagiem nieru darbības traucējumiem vai pacientiem, kuriem tiek veikta dialīze, svarīgi ir saņemt atbilstošu kalcija un D vitamīna daudzumu (skatīt 4.4. apakšpunktu).</w:t>
      </w:r>
    </w:p>
    <w:p w14:paraId="2EC03936" w14:textId="77777777" w:rsidR="008011D6" w:rsidRPr="00882AF5" w:rsidRDefault="008011D6" w:rsidP="008B4ED7"/>
    <w:p w14:paraId="1F5FA842" w14:textId="77777777" w:rsidR="00C108F9" w:rsidRPr="00882AF5" w:rsidRDefault="006E32CF" w:rsidP="008B4ED7">
      <w:pPr>
        <w:keepNext/>
        <w:rPr>
          <w:u w:val="single"/>
        </w:rPr>
      </w:pPr>
      <w:r w:rsidRPr="00882AF5">
        <w:rPr>
          <w:u w:val="single"/>
        </w:rPr>
        <w:t>Ziņošana par iespējamām nevēlamām blakusparādībām</w:t>
      </w:r>
    </w:p>
    <w:p w14:paraId="33C6A513" w14:textId="77777777" w:rsidR="006E32CF" w:rsidRPr="00882AF5" w:rsidRDefault="006E32CF" w:rsidP="008B4ED7">
      <w:pPr>
        <w:keepNext/>
        <w:tabs>
          <w:tab w:val="clear" w:pos="567"/>
        </w:tabs>
        <w:autoSpaceDE w:val="0"/>
        <w:autoSpaceDN w:val="0"/>
        <w:adjustRightInd w:val="0"/>
        <w:rPr>
          <w:u w:val="single"/>
          <w:lang w:eastAsia="en-GB"/>
        </w:rPr>
      </w:pPr>
    </w:p>
    <w:p w14:paraId="66B78D1C" w14:textId="24C9BED6" w:rsidR="006E32CF" w:rsidRPr="00882AF5" w:rsidRDefault="006E32CF" w:rsidP="008B4ED7">
      <w:r w:rsidRPr="00882AF5">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r>
        <w:fldChar w:fldCharType="begin"/>
      </w:r>
      <w:r>
        <w:instrText>HYPERLINK "https://www.ema.europa.eu/documents/template-form/qrd-appendix-v-adverse-drug-reaction-reporting-details_en.docx"</w:instrText>
      </w:r>
      <w:r>
        <w:fldChar w:fldCharType="separate"/>
      </w:r>
      <w:r>
        <w:rPr>
          <w:rStyle w:val="ab"/>
          <w:highlight w:val="lightGray"/>
        </w:rPr>
        <w:t>V pielikumā</w:t>
      </w:r>
      <w:r>
        <w:fldChar w:fldCharType="end"/>
      </w:r>
      <w:r>
        <w:rPr>
          <w:highlight w:val="lightGray"/>
        </w:rPr>
        <w:t xml:space="preserve"> minēto nacionālās ziņošanas sistēmas kontaktinformāciju</w:t>
      </w:r>
      <w:r w:rsidRPr="00882AF5">
        <w:t>.</w:t>
      </w:r>
    </w:p>
    <w:p w14:paraId="2AAD68C1" w14:textId="77777777" w:rsidR="006E32CF" w:rsidRPr="00882AF5" w:rsidRDefault="006E32CF" w:rsidP="008B4ED7"/>
    <w:p w14:paraId="59987812" w14:textId="77777777" w:rsidR="008011D6" w:rsidRPr="00882AF5" w:rsidRDefault="008011D6" w:rsidP="008B4ED7">
      <w:pPr>
        <w:keepNext/>
        <w:ind w:left="567" w:hanging="567"/>
        <w:rPr>
          <w:b/>
        </w:rPr>
      </w:pPr>
      <w:r w:rsidRPr="00882AF5">
        <w:rPr>
          <w:b/>
        </w:rPr>
        <w:t>4.9.</w:t>
      </w:r>
      <w:r w:rsidRPr="00882AF5">
        <w:rPr>
          <w:b/>
        </w:rPr>
        <w:tab/>
        <w:t>Pārdozēšana</w:t>
      </w:r>
    </w:p>
    <w:p w14:paraId="49434113" w14:textId="77777777" w:rsidR="008011D6" w:rsidRPr="00882AF5" w:rsidRDefault="008011D6" w:rsidP="008B4ED7">
      <w:pPr>
        <w:keepNext/>
      </w:pPr>
    </w:p>
    <w:p w14:paraId="34245D61" w14:textId="2232198D" w:rsidR="00992A6A" w:rsidRPr="00882AF5" w:rsidRDefault="00992A6A" w:rsidP="008B4ED7">
      <w:r w:rsidRPr="00882AF5">
        <w:t>Klīnisk</w:t>
      </w:r>
      <w:r w:rsidR="000F02E1">
        <w:t>aj</w:t>
      </w:r>
      <w:r w:rsidRPr="00882AF5">
        <w:t xml:space="preserve">os pētījumos netika iegūta pieredze par pārdozēšanu. Klīniskos pētījumos, lietojot </w:t>
      </w:r>
      <w:r w:rsidR="00417EC9">
        <w:t>denozumab</w:t>
      </w:r>
      <w:r w:rsidRPr="00882AF5">
        <w:t>u devās līdz 180 mg ik pēc 4 nedēļām (kumulatīvā deva līdz 1080 mg 6 mēnešu laikā), netika novērotas papildu nevēlamas blakusparādības.</w:t>
      </w:r>
    </w:p>
    <w:p w14:paraId="721F2628" w14:textId="77777777" w:rsidR="008011D6" w:rsidRPr="00882AF5" w:rsidRDefault="008011D6" w:rsidP="008B4ED7"/>
    <w:p w14:paraId="3007B728" w14:textId="77777777" w:rsidR="008011D6" w:rsidRPr="00882AF5" w:rsidRDefault="008011D6" w:rsidP="008B4ED7"/>
    <w:p w14:paraId="330A3F4A" w14:textId="77777777" w:rsidR="008011D6" w:rsidRPr="00882AF5" w:rsidRDefault="008011D6" w:rsidP="008B4ED7">
      <w:pPr>
        <w:keepNext/>
        <w:ind w:left="567" w:hanging="567"/>
        <w:rPr>
          <w:b/>
        </w:rPr>
      </w:pPr>
      <w:r w:rsidRPr="00882AF5">
        <w:rPr>
          <w:b/>
        </w:rPr>
        <w:t>5.</w:t>
      </w:r>
      <w:r w:rsidRPr="00882AF5">
        <w:rPr>
          <w:b/>
        </w:rPr>
        <w:tab/>
        <w:t>FARMAKOLOĢISKĀS ĪPAŠĪBAS</w:t>
      </w:r>
    </w:p>
    <w:p w14:paraId="2B2AD7D8" w14:textId="77777777" w:rsidR="008011D6" w:rsidRPr="00882AF5" w:rsidRDefault="008011D6" w:rsidP="008B4ED7">
      <w:pPr>
        <w:keepNext/>
      </w:pPr>
    </w:p>
    <w:p w14:paraId="25A74AC5" w14:textId="5DDA5259" w:rsidR="008011D6" w:rsidRPr="00882AF5" w:rsidRDefault="00C345B1" w:rsidP="008B4ED7">
      <w:pPr>
        <w:keepNext/>
        <w:ind w:left="567" w:hanging="567"/>
        <w:rPr>
          <w:b/>
        </w:rPr>
      </w:pPr>
      <w:r w:rsidRPr="00882AF5">
        <w:rPr>
          <w:b/>
        </w:rPr>
        <w:t>5.1.</w:t>
      </w:r>
      <w:r w:rsidRPr="00882AF5">
        <w:rPr>
          <w:b/>
        </w:rPr>
        <w:tab/>
        <w:t>Farmakodinamiskās īpašības</w:t>
      </w:r>
    </w:p>
    <w:p w14:paraId="1DEC1E1E" w14:textId="77777777" w:rsidR="008011D6" w:rsidRPr="00882AF5" w:rsidRDefault="008011D6" w:rsidP="008B4ED7">
      <w:pPr>
        <w:keepNext/>
      </w:pPr>
    </w:p>
    <w:p w14:paraId="064C215F" w14:textId="32FC7842" w:rsidR="008011D6" w:rsidRPr="00882AF5" w:rsidRDefault="008011D6" w:rsidP="008B4ED7">
      <w:r w:rsidRPr="00882AF5">
        <w:t>Farmakoterapeitiskā grupa: līdzekļi kaulu slimību ārstēšanai – citas kaulu struktūru un mineralizāciju ietekmējošas zāles, ATĶ kods: M05BX04</w:t>
      </w:r>
      <w:r w:rsidR="00705B0A">
        <w:t>.</w:t>
      </w:r>
    </w:p>
    <w:p w14:paraId="29CFCC30" w14:textId="77777777" w:rsidR="003A2F86" w:rsidRPr="00882AF5" w:rsidRDefault="003A2F86" w:rsidP="008B4ED7"/>
    <w:p w14:paraId="5B30D3CB" w14:textId="27D9F9E4" w:rsidR="003A2F86" w:rsidRPr="00882AF5" w:rsidRDefault="00DB31C1" w:rsidP="008B4ED7">
      <w:r>
        <w:rPr>
          <w:rFonts w:eastAsia="맑은 고딕" w:hint="eastAsia"/>
          <w:lang w:eastAsia="ko-KR"/>
        </w:rPr>
        <w:t>Stoboclo</w:t>
      </w:r>
      <w:r w:rsidR="00D74314" w:rsidRPr="00882AF5">
        <w:t xml:space="preserve"> ir līdzīgas bioloģiskas izcelsmes zāles. Sīkāka informācija ir pieejama Eiropas Zāļu aģentūras tīmekļa vietnē </w:t>
      </w:r>
      <w:r w:rsidR="005B72A7">
        <w:fldChar w:fldCharType="begin"/>
      </w:r>
      <w:r w:rsidR="005B72A7">
        <w:instrText>HYPERLINK "https://www.ema.europa.eu"</w:instrText>
      </w:r>
      <w:r w:rsidR="005B72A7">
        <w:fldChar w:fldCharType="separate"/>
      </w:r>
      <w:r w:rsidR="005B72A7" w:rsidRPr="00882AF5">
        <w:rPr>
          <w:rStyle w:val="ab"/>
        </w:rPr>
        <w:t>https://www.ema.europa.eu</w:t>
      </w:r>
      <w:r w:rsidR="005B72A7">
        <w:fldChar w:fldCharType="end"/>
      </w:r>
      <w:r w:rsidR="005B72A7" w:rsidRPr="00882AF5">
        <w:t>.</w:t>
      </w:r>
    </w:p>
    <w:p w14:paraId="31A8DD07" w14:textId="77777777" w:rsidR="008011D6" w:rsidRPr="00882AF5" w:rsidRDefault="008011D6" w:rsidP="008B4ED7"/>
    <w:p w14:paraId="36343321" w14:textId="77777777" w:rsidR="008011D6" w:rsidRPr="00882AF5" w:rsidRDefault="008011D6" w:rsidP="008B4ED7">
      <w:pPr>
        <w:keepNext/>
        <w:rPr>
          <w:u w:val="single"/>
        </w:rPr>
      </w:pPr>
      <w:r w:rsidRPr="00882AF5">
        <w:rPr>
          <w:u w:val="single"/>
        </w:rPr>
        <w:t>Darbības mehānisms</w:t>
      </w:r>
    </w:p>
    <w:p w14:paraId="0B9A4DD0" w14:textId="77777777" w:rsidR="002409B1" w:rsidRPr="00882AF5" w:rsidRDefault="002409B1" w:rsidP="008B4ED7">
      <w:pPr>
        <w:keepNext/>
        <w:rPr>
          <w:u w:val="single"/>
        </w:rPr>
      </w:pPr>
    </w:p>
    <w:p w14:paraId="39A7C95A" w14:textId="0D82538E" w:rsidR="008011D6" w:rsidRPr="00882AF5" w:rsidRDefault="00417EC9" w:rsidP="008B4ED7">
      <w:r>
        <w:t>Denozumab</w:t>
      </w:r>
      <w:r w:rsidR="008011D6" w:rsidRPr="00882AF5">
        <w:t>s ir cilvēku monoklonāl</w:t>
      </w:r>
      <w:r w:rsidR="000F02E1">
        <w:t>ā</w:t>
      </w:r>
      <w:r w:rsidR="008011D6" w:rsidRPr="00882AF5">
        <w:t xml:space="preserve"> antiviela (IgG2), kas </w:t>
      </w:r>
      <w:r w:rsidR="000F02E1">
        <w:t xml:space="preserve">ir vērsta pret un </w:t>
      </w:r>
      <w:r w:rsidR="008011D6" w:rsidRPr="00882AF5">
        <w:t xml:space="preserve">ar augstu afinitāti un specifiskumu </w:t>
      </w:r>
      <w:r w:rsidR="000F02E1" w:rsidRPr="00882AF5">
        <w:t xml:space="preserve">saistās </w:t>
      </w:r>
      <w:r w:rsidR="008011D6" w:rsidRPr="00882AF5">
        <w:t xml:space="preserve">pie RANKL, novēršot RANK receptora aktivizēšanos uz osteoklastu prekursoru un osteoklastu virsmas. Novēršot RANKL/RANK mijiedarbību, tiek inhibēta osteoklastu veidošanās, darbība un dzīvildze, </w:t>
      </w:r>
      <w:r w:rsidR="00971B2E" w:rsidRPr="00882AF5">
        <w:t>tādējādi</w:t>
      </w:r>
      <w:r w:rsidR="008011D6" w:rsidRPr="00882AF5">
        <w:t xml:space="preserve"> samazinot kaulu rezorbciju gan kortikālajos, gan trabekulārajos kaulos.</w:t>
      </w:r>
    </w:p>
    <w:p w14:paraId="74E462A6" w14:textId="77777777" w:rsidR="008011D6" w:rsidRPr="00882AF5" w:rsidRDefault="008011D6" w:rsidP="008B4ED7"/>
    <w:p w14:paraId="78A97C27" w14:textId="77777777" w:rsidR="008011D6" w:rsidRPr="00882AF5" w:rsidRDefault="008011D6" w:rsidP="008B4ED7">
      <w:pPr>
        <w:keepNext/>
        <w:rPr>
          <w:u w:val="single"/>
        </w:rPr>
      </w:pPr>
      <w:r w:rsidRPr="00882AF5">
        <w:rPr>
          <w:u w:val="single"/>
        </w:rPr>
        <w:t>Farmakodinamiskā iedarbība</w:t>
      </w:r>
    </w:p>
    <w:p w14:paraId="190CDC22" w14:textId="77777777" w:rsidR="002409B1" w:rsidRPr="00882AF5" w:rsidRDefault="002409B1" w:rsidP="008B4ED7">
      <w:pPr>
        <w:keepNext/>
      </w:pPr>
    </w:p>
    <w:p w14:paraId="1D65B07D" w14:textId="0BD9C72B" w:rsidR="008011D6" w:rsidRPr="00882AF5" w:rsidRDefault="008011D6" w:rsidP="008B4ED7">
      <w:r w:rsidRPr="00882AF5">
        <w:t xml:space="preserve">Terapija ar </w:t>
      </w:r>
      <w:r w:rsidR="00417EC9">
        <w:t>denozumab</w:t>
      </w:r>
      <w:r w:rsidR="005B72A7" w:rsidRPr="00882AF5">
        <w:t xml:space="preserve">u </w:t>
      </w:r>
      <w:r w:rsidRPr="00882AF5">
        <w:t xml:space="preserve">strauji samazināja kaulu vielmaiņas procesa ātrumu, sasniedzot maksimālu kaulu rezorbcijas marķiera </w:t>
      </w:r>
      <w:r w:rsidR="00854838">
        <w:t>—</w:t>
      </w:r>
      <w:r w:rsidRPr="00882AF5">
        <w:t xml:space="preserve"> 1. tipa C</w:t>
      </w:r>
      <w:r w:rsidRPr="00882AF5">
        <w:noBreakHyphen/>
        <w:t>telopeptīda (CTX) samazināšanos serumā (samazināšanās par 85%) uz 3 dienām, saglabājot samazināšanos visā dozēšanas intervālā. Katra dozēšanas intervāla beigās CTX samazināšanās bija daļēji vājinājusies no maksimālās samazināšanās ≥ 87% līdz apmēram ≥ 45% (robežās no 45</w:t>
      </w:r>
      <w:r w:rsidRPr="00882AF5">
        <w:noBreakHyphen/>
        <w:t xml:space="preserve">80%), kas norāda par </w:t>
      </w:r>
      <w:r w:rsidR="00417EC9">
        <w:t>denozumab</w:t>
      </w:r>
      <w:r w:rsidR="005B72A7" w:rsidRPr="00882AF5">
        <w:t xml:space="preserve">a </w:t>
      </w:r>
      <w:r w:rsidRPr="00882AF5">
        <w:t xml:space="preserve">iedarbības atgriezeniskumu attiecībā uz kaulu remodulēšanos pēc tā līmeņa samazināšanās serumā. Šo iedarbību var uzturēt, lietojot terapiju ilgstoši. Kaulu vielmaiņas marķieri pēc pēdējās devas pirmsterapijas līmeni parasti sasniedza 9 mēnešu laikā. Atsākot terapiju pēc kāda laika, </w:t>
      </w:r>
      <w:r w:rsidR="00417EC9">
        <w:t>denozumab</w:t>
      </w:r>
      <w:r w:rsidRPr="00882AF5">
        <w:t xml:space="preserve">a izraisītā CTX samazināšanās bija līdzīga tai, kādu novēroja pacientiem, kuri </w:t>
      </w:r>
      <w:r w:rsidR="00417EC9">
        <w:t>denozumab</w:t>
      </w:r>
      <w:r w:rsidRPr="00882AF5">
        <w:t>a terapiju uzsāka pirmo reizi.</w:t>
      </w:r>
    </w:p>
    <w:p w14:paraId="61305E5C" w14:textId="77777777" w:rsidR="008011D6" w:rsidRPr="00882AF5" w:rsidRDefault="008011D6" w:rsidP="008B4ED7"/>
    <w:p w14:paraId="17A0DD0B" w14:textId="77777777" w:rsidR="008011D6" w:rsidRPr="00882AF5" w:rsidRDefault="008011D6" w:rsidP="008B4ED7">
      <w:pPr>
        <w:keepNext/>
        <w:rPr>
          <w:u w:val="single"/>
        </w:rPr>
      </w:pPr>
      <w:r w:rsidRPr="00882AF5">
        <w:rPr>
          <w:u w:val="single"/>
        </w:rPr>
        <w:t>Imunogenitāte</w:t>
      </w:r>
    </w:p>
    <w:p w14:paraId="114CBEDF" w14:textId="77777777" w:rsidR="002409B1" w:rsidRPr="00882AF5" w:rsidRDefault="002409B1" w:rsidP="008B4ED7">
      <w:pPr>
        <w:keepNext/>
      </w:pPr>
    </w:p>
    <w:p w14:paraId="48433C9D" w14:textId="5ABE1A79" w:rsidR="008603DE" w:rsidRPr="00882AF5" w:rsidRDefault="00417EC9" w:rsidP="00D90457">
      <w:r>
        <w:t>Denozumab</w:t>
      </w:r>
      <w:r w:rsidR="00B204D7" w:rsidRPr="00882AF5">
        <w:t xml:space="preserve">a terapijas laikā var veidoties antivielas pret </w:t>
      </w:r>
      <w:r>
        <w:t>denozumab</w:t>
      </w:r>
      <w:r w:rsidR="00B204D7" w:rsidRPr="00882AF5">
        <w:t xml:space="preserve">u. </w:t>
      </w:r>
      <w:r w:rsidR="001776D8" w:rsidRPr="00882AF5">
        <w:t xml:space="preserve">Nav novērota </w:t>
      </w:r>
      <w:r w:rsidR="007A2AEB" w:rsidRPr="00882AF5">
        <w:t>acīmredzama sakarība starp a</w:t>
      </w:r>
      <w:r w:rsidR="001776D8" w:rsidRPr="00882AF5">
        <w:t>ntivielu veidošan</w:t>
      </w:r>
      <w:r w:rsidR="007A2AEB" w:rsidRPr="00882AF5">
        <w:t xml:space="preserve">os un </w:t>
      </w:r>
      <w:r w:rsidR="009C47C5" w:rsidRPr="00882AF5">
        <w:t>farmakokinētiku, klīnisko atbildes reakciju vai nevēlamiem notikumiem.</w:t>
      </w:r>
    </w:p>
    <w:p w14:paraId="56793770" w14:textId="77777777" w:rsidR="008011D6" w:rsidRPr="00882AF5" w:rsidRDefault="008011D6" w:rsidP="008B4ED7"/>
    <w:p w14:paraId="0350ACD1" w14:textId="77777777" w:rsidR="008011D6" w:rsidRPr="00882AF5" w:rsidRDefault="002409B1" w:rsidP="008B4ED7">
      <w:pPr>
        <w:keepNext/>
        <w:rPr>
          <w:u w:val="single"/>
        </w:rPr>
      </w:pPr>
      <w:r w:rsidRPr="00882AF5">
        <w:rPr>
          <w:u w:val="single"/>
        </w:rPr>
        <w:lastRenderedPageBreak/>
        <w:t>Klīniskā efektivitāte un drošums sievietēm ar osteoporozi pēcmenopauzes periodā</w:t>
      </w:r>
    </w:p>
    <w:p w14:paraId="49027B55" w14:textId="77777777" w:rsidR="002409B1" w:rsidRPr="00882AF5" w:rsidRDefault="002409B1" w:rsidP="008B4ED7">
      <w:pPr>
        <w:keepNext/>
      </w:pPr>
    </w:p>
    <w:p w14:paraId="7F424890" w14:textId="4A0A7524" w:rsidR="008603DE" w:rsidRPr="00882AF5" w:rsidRDefault="00417EC9" w:rsidP="008B4ED7">
      <w:r>
        <w:t>Denozumab</w:t>
      </w:r>
      <w:r w:rsidR="008011D6" w:rsidRPr="00882AF5">
        <w:t>a efektivitāte un drošums, lietojot to vienu reizi ik pēc 6 mēnešiem 3 gadus, tika pētīts sievietēm pēcmenopauzes periodā (7808 sievietes vecumā no 60</w:t>
      </w:r>
      <w:r w:rsidR="00854838">
        <w:t>–</w:t>
      </w:r>
      <w:r w:rsidR="008011D6" w:rsidRPr="00882AF5">
        <w:t>91 gadam, no kurām 23,6% pārsvarā bija vertebrāli lūzumi), kurām mugurkaula jostas daļas skriemeļu vai visas gūžas sākotnējā kaulu minerālā blīvuma (KMB) T-rādītājs bija starp -2,5 un -4,0, bet vidējā absolūtā 10 gadu lūzumu varbūtība lielajiem osteoporotiskajiem lūzumiem bija 18,60% (deciles: 7,9</w:t>
      </w:r>
      <w:r w:rsidR="00854838">
        <w:t>–</w:t>
      </w:r>
      <w:r w:rsidR="008011D6" w:rsidRPr="00882AF5">
        <w:t>32,4%) un gūžas kaula lūzumiem 7,22% (deciles: 1,4</w:t>
      </w:r>
      <w:r w:rsidR="00854838">
        <w:t>–</w:t>
      </w:r>
      <w:r w:rsidR="008011D6" w:rsidRPr="00882AF5">
        <w:t>14,9%). Sievietes ar citām slimībām vai terapiju, kas var ietekmēt kaulus, no šī pētījuma tika izslēgtas. Sievietes dienā papildus saņēma kalciju (vismaz 1000 mg) un D vitamīnu (vismaz 400 SV).</w:t>
      </w:r>
    </w:p>
    <w:p w14:paraId="2CE6C79B" w14:textId="77777777" w:rsidR="008011D6" w:rsidRPr="00882AF5" w:rsidRDefault="008011D6" w:rsidP="008B4ED7"/>
    <w:p w14:paraId="2C845290" w14:textId="77777777" w:rsidR="008011D6" w:rsidRPr="00882AF5" w:rsidRDefault="008011D6" w:rsidP="008B4ED7">
      <w:pPr>
        <w:keepNext/>
        <w:tabs>
          <w:tab w:val="clear" w:pos="567"/>
        </w:tabs>
        <w:rPr>
          <w:i/>
          <w:iCs/>
        </w:rPr>
      </w:pPr>
      <w:r w:rsidRPr="00882AF5">
        <w:rPr>
          <w:i/>
        </w:rPr>
        <w:t>Ietekme uz vertebrālajiem lūzumiem</w:t>
      </w:r>
    </w:p>
    <w:p w14:paraId="6B601C33" w14:textId="0E3CB01C" w:rsidR="008011D6" w:rsidRPr="00882AF5" w:rsidRDefault="00417EC9" w:rsidP="008B4ED7">
      <w:r>
        <w:t>Denozumab</w:t>
      </w:r>
      <w:r w:rsidR="001F71E8" w:rsidRPr="00882AF5">
        <w:t xml:space="preserve">s </w:t>
      </w:r>
      <w:r w:rsidR="008011D6" w:rsidRPr="00882AF5">
        <w:t>ievērojami samazināja jaunu vertebrālu lūzumu risku pēc 1, 2 un 3 gadiem (p &lt; 0,0001) (skatīt 2. tabulu).</w:t>
      </w:r>
    </w:p>
    <w:p w14:paraId="6126D214" w14:textId="77777777" w:rsidR="008011D6" w:rsidRPr="00882AF5" w:rsidRDefault="008011D6" w:rsidP="008B4ED7"/>
    <w:p w14:paraId="2956255B" w14:textId="493CE755" w:rsidR="008011D6" w:rsidRPr="00882AF5" w:rsidRDefault="008011D6" w:rsidP="008B4ED7">
      <w:pPr>
        <w:keepNext/>
        <w:rPr>
          <w:b/>
          <w:bCs/>
        </w:rPr>
      </w:pPr>
      <w:r w:rsidRPr="00882AF5">
        <w:rPr>
          <w:b/>
        </w:rPr>
        <w:t xml:space="preserve">2. tabula. </w:t>
      </w:r>
      <w:r w:rsidR="00417EC9">
        <w:rPr>
          <w:b/>
        </w:rPr>
        <w:t>Denozumab</w:t>
      </w:r>
      <w:r w:rsidR="008E721F" w:rsidRPr="00882AF5">
        <w:rPr>
          <w:b/>
        </w:rPr>
        <w:t xml:space="preserve">a </w:t>
      </w:r>
      <w:r w:rsidRPr="00882AF5">
        <w:rPr>
          <w:b/>
        </w:rPr>
        <w:t>ietekme uz jaunu vertebrālu lūzumu risku</w:t>
      </w:r>
    </w:p>
    <w:p w14:paraId="68E3D099" w14:textId="77777777" w:rsidR="008011D6" w:rsidRPr="00882AF5"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882AF5" w14:paraId="6F1B8E56" w14:textId="77777777" w:rsidTr="00C345B1">
        <w:trPr>
          <w:cantSplit/>
          <w:trHeight w:val="57"/>
          <w:tblHeader/>
        </w:trPr>
        <w:tc>
          <w:tcPr>
            <w:tcW w:w="694" w:type="pct"/>
            <w:vMerge w:val="restart"/>
          </w:tcPr>
          <w:p w14:paraId="06C674CC" w14:textId="77777777" w:rsidR="008011D6" w:rsidRPr="00882AF5" w:rsidRDefault="008011D6" w:rsidP="00C345B1">
            <w:pPr>
              <w:keepNext/>
            </w:pPr>
          </w:p>
        </w:tc>
        <w:tc>
          <w:tcPr>
            <w:tcW w:w="2202" w:type="pct"/>
            <w:gridSpan w:val="2"/>
          </w:tcPr>
          <w:p w14:paraId="067B6937" w14:textId="77777777" w:rsidR="008011D6" w:rsidRPr="00882AF5" w:rsidRDefault="008011D6" w:rsidP="00C345B1">
            <w:pPr>
              <w:keepNext/>
              <w:jc w:val="center"/>
            </w:pPr>
            <w:r w:rsidRPr="00882AF5">
              <w:t>Sieviešu ar lūzumu attiecība (%)</w:t>
            </w:r>
          </w:p>
        </w:tc>
        <w:tc>
          <w:tcPr>
            <w:tcW w:w="1052" w:type="pct"/>
            <w:vMerge w:val="restart"/>
          </w:tcPr>
          <w:p w14:paraId="2FC42324" w14:textId="77777777" w:rsidR="00511EFE" w:rsidRPr="00882AF5" w:rsidRDefault="008011D6" w:rsidP="00511EFE">
            <w:pPr>
              <w:keepNext/>
            </w:pPr>
            <w:r w:rsidRPr="00882AF5">
              <w:t>Absolūtā riska samazināšanās (%)</w:t>
            </w:r>
          </w:p>
          <w:p w14:paraId="17382032" w14:textId="1284F638" w:rsidR="008011D6" w:rsidRPr="00882AF5" w:rsidRDefault="008011D6" w:rsidP="00511EFE">
            <w:pPr>
              <w:keepNext/>
            </w:pPr>
            <w:r w:rsidRPr="00882AF5">
              <w:t>(95% TI)</w:t>
            </w:r>
          </w:p>
        </w:tc>
        <w:tc>
          <w:tcPr>
            <w:tcW w:w="1052" w:type="pct"/>
            <w:vMerge w:val="restart"/>
          </w:tcPr>
          <w:p w14:paraId="5436C8F3" w14:textId="77777777" w:rsidR="00511EFE" w:rsidRPr="00882AF5" w:rsidRDefault="008011D6" w:rsidP="00511EFE">
            <w:pPr>
              <w:keepNext/>
            </w:pPr>
            <w:r w:rsidRPr="00882AF5">
              <w:t>Relatīvā riska samazināšanās (%)</w:t>
            </w:r>
          </w:p>
          <w:p w14:paraId="7F2CA74F" w14:textId="54C7E200" w:rsidR="008011D6" w:rsidRPr="00882AF5" w:rsidRDefault="008011D6" w:rsidP="00511EFE">
            <w:pPr>
              <w:keepNext/>
            </w:pPr>
            <w:r w:rsidRPr="00882AF5">
              <w:t>(95% TI)</w:t>
            </w:r>
          </w:p>
        </w:tc>
      </w:tr>
      <w:tr w:rsidR="008011D6" w:rsidRPr="00882AF5" w14:paraId="2A358850" w14:textId="77777777" w:rsidTr="00C345B1">
        <w:trPr>
          <w:cantSplit/>
          <w:trHeight w:val="57"/>
          <w:tblHeader/>
        </w:trPr>
        <w:tc>
          <w:tcPr>
            <w:tcW w:w="694" w:type="pct"/>
            <w:vMerge/>
          </w:tcPr>
          <w:p w14:paraId="0F307733" w14:textId="77777777" w:rsidR="008011D6" w:rsidRPr="00882AF5" w:rsidRDefault="008011D6" w:rsidP="00C345B1">
            <w:pPr>
              <w:keepNext/>
            </w:pPr>
          </w:p>
        </w:tc>
        <w:tc>
          <w:tcPr>
            <w:tcW w:w="1101" w:type="pct"/>
          </w:tcPr>
          <w:p w14:paraId="39FFC535" w14:textId="77777777" w:rsidR="00511EFE" w:rsidRPr="00882AF5" w:rsidRDefault="008011D6" w:rsidP="00511EFE">
            <w:pPr>
              <w:keepNext/>
              <w:jc w:val="center"/>
            </w:pPr>
            <w:r w:rsidRPr="00882AF5">
              <w:t>Placebo</w:t>
            </w:r>
          </w:p>
          <w:p w14:paraId="765D8888" w14:textId="4B65305E" w:rsidR="008011D6" w:rsidRPr="00882AF5" w:rsidRDefault="008011D6" w:rsidP="00511EFE">
            <w:pPr>
              <w:keepNext/>
              <w:jc w:val="center"/>
            </w:pPr>
            <w:r w:rsidRPr="00882AF5">
              <w:t>n = 3906</w:t>
            </w:r>
          </w:p>
        </w:tc>
        <w:tc>
          <w:tcPr>
            <w:tcW w:w="1101" w:type="pct"/>
          </w:tcPr>
          <w:p w14:paraId="1BBFBB4F" w14:textId="40837475" w:rsidR="00511EFE" w:rsidRPr="00882AF5" w:rsidRDefault="00417EC9" w:rsidP="00511EFE">
            <w:pPr>
              <w:keepNext/>
              <w:jc w:val="center"/>
            </w:pPr>
            <w:r>
              <w:t>Denozumab</w:t>
            </w:r>
            <w:r w:rsidR="008E721F" w:rsidRPr="00882AF5">
              <w:t>s</w:t>
            </w:r>
          </w:p>
          <w:p w14:paraId="5B7765FA" w14:textId="2A441F7D" w:rsidR="008011D6" w:rsidRPr="00882AF5" w:rsidRDefault="008011D6" w:rsidP="00511EFE">
            <w:pPr>
              <w:keepNext/>
              <w:jc w:val="center"/>
            </w:pPr>
            <w:r w:rsidRPr="00882AF5">
              <w:t>n = 3902</w:t>
            </w:r>
          </w:p>
        </w:tc>
        <w:tc>
          <w:tcPr>
            <w:tcW w:w="1052" w:type="pct"/>
            <w:vMerge/>
          </w:tcPr>
          <w:p w14:paraId="0E8FFBAB" w14:textId="77777777" w:rsidR="008011D6" w:rsidRPr="00882AF5" w:rsidRDefault="008011D6" w:rsidP="00C345B1">
            <w:pPr>
              <w:keepNext/>
            </w:pPr>
          </w:p>
        </w:tc>
        <w:tc>
          <w:tcPr>
            <w:tcW w:w="1052" w:type="pct"/>
            <w:vMerge/>
          </w:tcPr>
          <w:p w14:paraId="44B68C6A" w14:textId="77777777" w:rsidR="008011D6" w:rsidRPr="00882AF5" w:rsidRDefault="008011D6" w:rsidP="00C345B1">
            <w:pPr>
              <w:keepNext/>
            </w:pPr>
          </w:p>
        </w:tc>
      </w:tr>
      <w:tr w:rsidR="008011D6" w:rsidRPr="00882AF5" w14:paraId="05BB97E3" w14:textId="77777777" w:rsidTr="00C345B1">
        <w:trPr>
          <w:cantSplit/>
          <w:trHeight w:val="57"/>
        </w:trPr>
        <w:tc>
          <w:tcPr>
            <w:tcW w:w="694" w:type="pct"/>
          </w:tcPr>
          <w:p w14:paraId="62BB3BAE" w14:textId="77777777" w:rsidR="008011D6" w:rsidRPr="00882AF5" w:rsidRDefault="008011D6" w:rsidP="00C345B1">
            <w:r w:rsidRPr="00882AF5">
              <w:t>0</w:t>
            </w:r>
            <w:r w:rsidRPr="00882AF5">
              <w:noBreakHyphen/>
              <w:t>1 gadi</w:t>
            </w:r>
          </w:p>
        </w:tc>
        <w:tc>
          <w:tcPr>
            <w:tcW w:w="1101" w:type="pct"/>
          </w:tcPr>
          <w:p w14:paraId="43ED5B27" w14:textId="77777777" w:rsidR="008011D6" w:rsidRPr="00882AF5" w:rsidRDefault="008011D6" w:rsidP="00C345B1">
            <w:pPr>
              <w:jc w:val="center"/>
            </w:pPr>
            <w:r w:rsidRPr="00882AF5">
              <w:t>2,2</w:t>
            </w:r>
          </w:p>
        </w:tc>
        <w:tc>
          <w:tcPr>
            <w:tcW w:w="1101" w:type="pct"/>
          </w:tcPr>
          <w:p w14:paraId="03CEB1F3" w14:textId="77777777" w:rsidR="008011D6" w:rsidRPr="00882AF5" w:rsidRDefault="008011D6" w:rsidP="00C345B1">
            <w:pPr>
              <w:jc w:val="center"/>
            </w:pPr>
            <w:r w:rsidRPr="00882AF5">
              <w:t>0,9</w:t>
            </w:r>
          </w:p>
        </w:tc>
        <w:tc>
          <w:tcPr>
            <w:tcW w:w="1052" w:type="pct"/>
          </w:tcPr>
          <w:p w14:paraId="2B8D7565" w14:textId="77777777" w:rsidR="008011D6" w:rsidRPr="00882AF5" w:rsidRDefault="008011D6" w:rsidP="00C345B1">
            <w:r w:rsidRPr="00882AF5">
              <w:t>1,4 (0,8; 1,9)</w:t>
            </w:r>
          </w:p>
        </w:tc>
        <w:tc>
          <w:tcPr>
            <w:tcW w:w="1052" w:type="pct"/>
          </w:tcPr>
          <w:p w14:paraId="6CDD6D6B" w14:textId="77777777" w:rsidR="008011D6" w:rsidRPr="00882AF5" w:rsidRDefault="008011D6" w:rsidP="00C345B1">
            <w:r w:rsidRPr="00882AF5">
              <w:t>61 (42, 74)**</w:t>
            </w:r>
          </w:p>
        </w:tc>
      </w:tr>
      <w:tr w:rsidR="008011D6" w:rsidRPr="00882AF5" w14:paraId="6C147A00" w14:textId="77777777" w:rsidTr="00C345B1">
        <w:trPr>
          <w:cantSplit/>
          <w:trHeight w:val="57"/>
        </w:trPr>
        <w:tc>
          <w:tcPr>
            <w:tcW w:w="694" w:type="pct"/>
          </w:tcPr>
          <w:p w14:paraId="08BE963E" w14:textId="77777777" w:rsidR="008011D6" w:rsidRPr="00882AF5" w:rsidRDefault="008011D6" w:rsidP="00C345B1">
            <w:r w:rsidRPr="00882AF5">
              <w:t>0</w:t>
            </w:r>
            <w:r w:rsidRPr="00882AF5">
              <w:noBreakHyphen/>
              <w:t>2 gadi</w:t>
            </w:r>
          </w:p>
        </w:tc>
        <w:tc>
          <w:tcPr>
            <w:tcW w:w="1101" w:type="pct"/>
          </w:tcPr>
          <w:p w14:paraId="12967389" w14:textId="77777777" w:rsidR="008011D6" w:rsidRPr="00882AF5" w:rsidRDefault="008011D6" w:rsidP="00C345B1">
            <w:pPr>
              <w:jc w:val="center"/>
            </w:pPr>
            <w:r w:rsidRPr="00882AF5">
              <w:t>5,0</w:t>
            </w:r>
          </w:p>
        </w:tc>
        <w:tc>
          <w:tcPr>
            <w:tcW w:w="1101" w:type="pct"/>
          </w:tcPr>
          <w:p w14:paraId="30DB0C49" w14:textId="77777777" w:rsidR="008011D6" w:rsidRPr="00882AF5" w:rsidRDefault="008011D6" w:rsidP="00C345B1">
            <w:pPr>
              <w:jc w:val="center"/>
            </w:pPr>
            <w:r w:rsidRPr="00882AF5">
              <w:t>1,4</w:t>
            </w:r>
          </w:p>
        </w:tc>
        <w:tc>
          <w:tcPr>
            <w:tcW w:w="1052" w:type="pct"/>
          </w:tcPr>
          <w:p w14:paraId="5E732B3A" w14:textId="77777777" w:rsidR="008011D6" w:rsidRPr="00882AF5" w:rsidRDefault="008011D6" w:rsidP="00C345B1">
            <w:r w:rsidRPr="00882AF5">
              <w:t>3,5 (2,7; 4,3)</w:t>
            </w:r>
          </w:p>
        </w:tc>
        <w:tc>
          <w:tcPr>
            <w:tcW w:w="1052" w:type="pct"/>
          </w:tcPr>
          <w:p w14:paraId="034E40B1" w14:textId="67412719" w:rsidR="008011D6" w:rsidRPr="00882AF5" w:rsidRDefault="008011D6" w:rsidP="00C345B1">
            <w:r w:rsidRPr="00882AF5">
              <w:t>71 (61, 79)**</w:t>
            </w:r>
          </w:p>
        </w:tc>
      </w:tr>
      <w:tr w:rsidR="008011D6" w:rsidRPr="00882AF5" w14:paraId="1948236D" w14:textId="77777777" w:rsidTr="00C345B1">
        <w:trPr>
          <w:cantSplit/>
          <w:trHeight w:val="57"/>
        </w:trPr>
        <w:tc>
          <w:tcPr>
            <w:tcW w:w="694" w:type="pct"/>
          </w:tcPr>
          <w:p w14:paraId="68993894" w14:textId="77777777" w:rsidR="008011D6" w:rsidRPr="00882AF5" w:rsidRDefault="008011D6" w:rsidP="00C345B1">
            <w:pPr>
              <w:keepNext/>
            </w:pPr>
            <w:r w:rsidRPr="00882AF5">
              <w:t>0</w:t>
            </w:r>
            <w:r w:rsidRPr="00882AF5">
              <w:noBreakHyphen/>
              <w:t>3 gadi</w:t>
            </w:r>
          </w:p>
        </w:tc>
        <w:tc>
          <w:tcPr>
            <w:tcW w:w="1101" w:type="pct"/>
          </w:tcPr>
          <w:p w14:paraId="591C69CB" w14:textId="77777777" w:rsidR="008011D6" w:rsidRPr="00882AF5" w:rsidRDefault="008011D6" w:rsidP="00C345B1">
            <w:pPr>
              <w:keepNext/>
              <w:jc w:val="center"/>
            </w:pPr>
            <w:r w:rsidRPr="00882AF5">
              <w:t>7,2</w:t>
            </w:r>
          </w:p>
        </w:tc>
        <w:tc>
          <w:tcPr>
            <w:tcW w:w="1101" w:type="pct"/>
          </w:tcPr>
          <w:p w14:paraId="32137D65" w14:textId="77777777" w:rsidR="008011D6" w:rsidRPr="00882AF5" w:rsidRDefault="008011D6" w:rsidP="00C345B1">
            <w:pPr>
              <w:keepNext/>
              <w:jc w:val="center"/>
            </w:pPr>
            <w:r w:rsidRPr="00882AF5">
              <w:t>2,3</w:t>
            </w:r>
          </w:p>
        </w:tc>
        <w:tc>
          <w:tcPr>
            <w:tcW w:w="1052" w:type="pct"/>
          </w:tcPr>
          <w:p w14:paraId="30BE4DB4" w14:textId="77777777" w:rsidR="008011D6" w:rsidRPr="00882AF5" w:rsidRDefault="008011D6" w:rsidP="00C345B1">
            <w:pPr>
              <w:keepNext/>
            </w:pPr>
            <w:r w:rsidRPr="00882AF5">
              <w:t>4,8 (3,9; 5,8)</w:t>
            </w:r>
          </w:p>
        </w:tc>
        <w:tc>
          <w:tcPr>
            <w:tcW w:w="1052" w:type="pct"/>
          </w:tcPr>
          <w:p w14:paraId="0FB7CD35" w14:textId="77777777" w:rsidR="008011D6" w:rsidRPr="00882AF5" w:rsidRDefault="008011D6" w:rsidP="00C345B1">
            <w:pPr>
              <w:keepNext/>
            </w:pPr>
            <w:r w:rsidRPr="00882AF5">
              <w:t>68 (59, 74)*</w:t>
            </w:r>
          </w:p>
        </w:tc>
      </w:tr>
    </w:tbl>
    <w:p w14:paraId="7F83D6C6" w14:textId="77777777" w:rsidR="008011D6" w:rsidRPr="00882AF5" w:rsidRDefault="008011D6" w:rsidP="00C345B1">
      <w:pPr>
        <w:rPr>
          <w:sz w:val="20"/>
          <w:szCs w:val="20"/>
        </w:rPr>
      </w:pPr>
      <w:r w:rsidRPr="00882AF5">
        <w:rPr>
          <w:sz w:val="20"/>
        </w:rPr>
        <w:t>*p &lt; 0,0001, **p &lt; 0,0001 – pētnieciskā analīze</w:t>
      </w:r>
    </w:p>
    <w:p w14:paraId="7FD36363" w14:textId="77777777" w:rsidR="008011D6" w:rsidRPr="00882AF5" w:rsidRDefault="008011D6" w:rsidP="008B4ED7"/>
    <w:p w14:paraId="6B98B7BC" w14:textId="77777777" w:rsidR="008011D6" w:rsidRPr="00882AF5" w:rsidRDefault="008011D6" w:rsidP="008B4ED7">
      <w:pPr>
        <w:keepNext/>
        <w:tabs>
          <w:tab w:val="clear" w:pos="567"/>
        </w:tabs>
        <w:rPr>
          <w:i/>
          <w:iCs/>
        </w:rPr>
      </w:pPr>
      <w:r w:rsidRPr="00882AF5">
        <w:rPr>
          <w:i/>
        </w:rPr>
        <w:t>Ietekme uz gūžas kaula lūzumiem</w:t>
      </w:r>
    </w:p>
    <w:p w14:paraId="5CCDA15B" w14:textId="357307B2" w:rsidR="008603DE" w:rsidRPr="00882AF5" w:rsidRDefault="00417EC9" w:rsidP="008B4ED7">
      <w:r>
        <w:t>Denozumab</w:t>
      </w:r>
      <w:r w:rsidR="008E721F" w:rsidRPr="00882AF5">
        <w:t xml:space="preserve">a </w:t>
      </w:r>
      <w:r w:rsidR="008011D6" w:rsidRPr="00882AF5">
        <w:t xml:space="preserve">terapija uzrādīja gūžas kaula lūzumu relatīvā riska samazināšanos par 40% (0,5% absolūtā riska samazināšanās) 3 gadu laikā (p &lt; 0,05). Gūžas kaula lūzumu sastopamības biežums pēc 3 gadiem bija 1,2% placebo grupā, salīdzinot ar 0,7% </w:t>
      </w:r>
      <w:r>
        <w:t>denozumab</w:t>
      </w:r>
      <w:r w:rsidR="00155D47" w:rsidRPr="00882AF5">
        <w:t>a</w:t>
      </w:r>
      <w:r w:rsidR="00155D47" w:rsidRPr="00882AF5" w:rsidDel="00155D47">
        <w:t xml:space="preserve"> </w:t>
      </w:r>
      <w:r w:rsidR="008011D6" w:rsidRPr="00882AF5">
        <w:t>terapijas grupā.</w:t>
      </w:r>
    </w:p>
    <w:p w14:paraId="57B3F5DA" w14:textId="77777777" w:rsidR="008011D6" w:rsidRPr="00882AF5" w:rsidRDefault="008011D6" w:rsidP="008B4ED7"/>
    <w:p w14:paraId="2DEB8536" w14:textId="18FB104F" w:rsidR="008011D6" w:rsidRPr="00882AF5" w:rsidRDefault="008011D6" w:rsidP="008B4ED7">
      <w:r w:rsidRPr="00882AF5">
        <w:rPr>
          <w:i/>
        </w:rPr>
        <w:t xml:space="preserve">Post-hoc </w:t>
      </w:r>
      <w:r w:rsidRPr="00882AF5">
        <w:t xml:space="preserve">analīzē sievietēm &gt; 75 gadiem, lietojot </w:t>
      </w:r>
      <w:r w:rsidR="00417EC9">
        <w:t>denozumab</w:t>
      </w:r>
      <w:r w:rsidR="00155D47" w:rsidRPr="00882AF5">
        <w:t xml:space="preserve">u, </w:t>
      </w:r>
      <w:r w:rsidRPr="00882AF5">
        <w:t>tika konstatēta 62% relatīvā riska samazināšanās (1,4% absolūtā riska samazināšanās, p &lt; 0,01).</w:t>
      </w:r>
    </w:p>
    <w:p w14:paraId="3F623A5D" w14:textId="77777777" w:rsidR="008011D6" w:rsidRPr="00882AF5" w:rsidRDefault="008011D6" w:rsidP="008B4ED7"/>
    <w:p w14:paraId="3665E225" w14:textId="77777777" w:rsidR="008011D6" w:rsidRPr="00882AF5" w:rsidRDefault="008011D6" w:rsidP="008B4ED7">
      <w:pPr>
        <w:keepNext/>
        <w:tabs>
          <w:tab w:val="clear" w:pos="567"/>
        </w:tabs>
        <w:rPr>
          <w:i/>
          <w:iCs/>
        </w:rPr>
      </w:pPr>
      <w:r w:rsidRPr="00882AF5">
        <w:rPr>
          <w:i/>
        </w:rPr>
        <w:t>Ietekme uz visiem klīniskiem lūzumiem</w:t>
      </w:r>
    </w:p>
    <w:p w14:paraId="7DA16F8B" w14:textId="72AD559A" w:rsidR="008011D6" w:rsidRPr="00882AF5" w:rsidRDefault="00417EC9" w:rsidP="008B4ED7">
      <w:r>
        <w:t>Denozumab</w:t>
      </w:r>
      <w:r w:rsidR="00155D47" w:rsidRPr="00882AF5">
        <w:t xml:space="preserve">s </w:t>
      </w:r>
      <w:r w:rsidR="008011D6" w:rsidRPr="00882AF5">
        <w:t>būtiski samazināja visu lūzumu tipu/grupu lūzumus (skatīt 3. tabulu).</w:t>
      </w:r>
    </w:p>
    <w:p w14:paraId="354119FD" w14:textId="77777777" w:rsidR="008011D6" w:rsidRPr="00882AF5" w:rsidRDefault="008011D6" w:rsidP="008B4ED7"/>
    <w:p w14:paraId="1D8EC75E" w14:textId="7EB9E9E8" w:rsidR="008011D6" w:rsidRPr="00882AF5"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882AF5">
        <w:rPr>
          <w:rFonts w:ascii="Times New Roman" w:hAnsi="Times New Roman"/>
          <w:b/>
          <w:color w:val="auto"/>
          <w:sz w:val="22"/>
        </w:rPr>
        <w:t xml:space="preserve">3. tabula. </w:t>
      </w:r>
      <w:r w:rsidR="00417EC9">
        <w:rPr>
          <w:rFonts w:ascii="Times New Roman" w:hAnsi="Times New Roman"/>
          <w:b/>
          <w:color w:val="auto"/>
          <w:sz w:val="22"/>
        </w:rPr>
        <w:t>Denozumab</w:t>
      </w:r>
      <w:r w:rsidR="00155D47" w:rsidRPr="00882AF5">
        <w:rPr>
          <w:rFonts w:ascii="Times New Roman" w:hAnsi="Times New Roman"/>
          <w:b/>
          <w:color w:val="auto"/>
          <w:sz w:val="22"/>
        </w:rPr>
        <w:t xml:space="preserve">a </w:t>
      </w:r>
      <w:r w:rsidRPr="00882AF5">
        <w:rPr>
          <w:rFonts w:ascii="Times New Roman" w:hAnsi="Times New Roman"/>
          <w:b/>
          <w:color w:val="auto"/>
          <w:sz w:val="22"/>
        </w:rPr>
        <w:t>ietekme uz klīnisko lūzumu risku 3 gados</w:t>
      </w:r>
    </w:p>
    <w:p w14:paraId="09832D6E" w14:textId="77777777" w:rsidR="008011D6" w:rsidRPr="00882AF5"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800"/>
        <w:gridCol w:w="1531"/>
        <w:gridCol w:w="1529"/>
      </w:tblGrid>
      <w:tr w:rsidR="008011D6" w:rsidRPr="00882AF5" w14:paraId="1252D415"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087284FE" w14:textId="77777777" w:rsidR="008011D6" w:rsidRPr="00882AF5" w:rsidRDefault="008011D6" w:rsidP="00C345B1">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882AF5" w:rsidRDefault="008011D6" w:rsidP="00C345B1">
            <w:pPr>
              <w:jc w:val="center"/>
            </w:pPr>
            <w:r w:rsidRPr="00882AF5">
              <w:t>Sieviešu ar lūzumu attiecība (%)</w:t>
            </w:r>
            <w:r w:rsidRPr="00882AF5">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882AF5" w:rsidRDefault="008011D6" w:rsidP="00511EFE">
            <w:r w:rsidRPr="00882AF5">
              <w:t>Absolūtā riska samazināšanās (%)</w:t>
            </w:r>
          </w:p>
          <w:p w14:paraId="179AFC77" w14:textId="48CF9B25" w:rsidR="008011D6" w:rsidRPr="00882AF5" w:rsidRDefault="008011D6" w:rsidP="00511EFE">
            <w:r w:rsidRPr="00882AF5">
              <w:t>(95% TI)</w:t>
            </w:r>
          </w:p>
        </w:tc>
        <w:tc>
          <w:tcPr>
            <w:tcW w:w="823"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882AF5" w:rsidRDefault="008011D6" w:rsidP="00511EFE">
            <w:r w:rsidRPr="00882AF5">
              <w:t>Relatīvā riska samazināšanās (%)</w:t>
            </w:r>
          </w:p>
          <w:p w14:paraId="75567EFE" w14:textId="7355C992" w:rsidR="008011D6" w:rsidRPr="00882AF5" w:rsidRDefault="008011D6" w:rsidP="00511EFE">
            <w:r w:rsidRPr="00882AF5">
              <w:t>(95% TI)</w:t>
            </w:r>
          </w:p>
        </w:tc>
      </w:tr>
      <w:tr w:rsidR="008011D6" w:rsidRPr="00882AF5" w14:paraId="78E4B21D"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0E9EDC35" w14:textId="77777777" w:rsidR="008011D6" w:rsidRPr="00882AF5"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95F3F31" w14:textId="77777777" w:rsidR="00511EFE" w:rsidRPr="00882AF5" w:rsidRDefault="008011D6" w:rsidP="00511EFE">
            <w:pPr>
              <w:jc w:val="center"/>
            </w:pPr>
            <w:r w:rsidRPr="00882AF5">
              <w:t>Placebo</w:t>
            </w:r>
          </w:p>
          <w:p w14:paraId="6CA51F62" w14:textId="546A65B2" w:rsidR="008011D6" w:rsidRPr="00882AF5" w:rsidRDefault="008011D6" w:rsidP="00511EFE">
            <w:pPr>
              <w:jc w:val="center"/>
            </w:pPr>
            <w:r w:rsidRPr="00882AF5">
              <w:t>n = 3906</w:t>
            </w:r>
          </w:p>
        </w:tc>
        <w:tc>
          <w:tcPr>
            <w:tcW w:w="969" w:type="pct"/>
            <w:tcBorders>
              <w:top w:val="single" w:sz="4" w:space="0" w:color="auto"/>
              <w:left w:val="single" w:sz="4" w:space="0" w:color="auto"/>
              <w:bottom w:val="single" w:sz="4" w:space="0" w:color="auto"/>
              <w:right w:val="single" w:sz="4" w:space="0" w:color="auto"/>
            </w:tcBorders>
          </w:tcPr>
          <w:p w14:paraId="184E4C69" w14:textId="3D4F57F3" w:rsidR="00511EFE" w:rsidRPr="00882AF5" w:rsidRDefault="00417EC9" w:rsidP="00511EFE">
            <w:pPr>
              <w:jc w:val="center"/>
            </w:pPr>
            <w:r>
              <w:t>Denozumab</w:t>
            </w:r>
            <w:r w:rsidR="00155D47" w:rsidRPr="00882AF5">
              <w:t>s</w:t>
            </w:r>
          </w:p>
          <w:p w14:paraId="64557642" w14:textId="0970D3E3" w:rsidR="008011D6" w:rsidRPr="00882AF5" w:rsidRDefault="008011D6" w:rsidP="00511EFE">
            <w:pPr>
              <w:jc w:val="center"/>
            </w:pPr>
            <w:r w:rsidRPr="00882AF5">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882AF5"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882AF5" w:rsidRDefault="008011D6" w:rsidP="00C345B1"/>
        </w:tc>
      </w:tr>
      <w:tr w:rsidR="008011D6" w:rsidRPr="00882AF5" w14:paraId="0145F82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891EF1A" w14:textId="77777777" w:rsidR="008011D6" w:rsidRPr="00882AF5" w:rsidRDefault="008011D6" w:rsidP="00C345B1">
            <w:r w:rsidRPr="00882AF5">
              <w:t>Jebkurš klīnisks lūzums</w:t>
            </w:r>
            <w:r w:rsidRPr="00882AF5">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118EC04B" w14:textId="77777777" w:rsidR="008011D6" w:rsidRPr="00882AF5" w:rsidRDefault="008011D6" w:rsidP="00C345B1">
            <w:pPr>
              <w:jc w:val="center"/>
            </w:pPr>
            <w:r w:rsidRPr="00882AF5">
              <w:t>10,2</w:t>
            </w:r>
          </w:p>
        </w:tc>
        <w:tc>
          <w:tcPr>
            <w:tcW w:w="969" w:type="pct"/>
            <w:tcBorders>
              <w:top w:val="single" w:sz="4" w:space="0" w:color="auto"/>
              <w:left w:val="single" w:sz="4" w:space="0" w:color="auto"/>
              <w:bottom w:val="single" w:sz="4" w:space="0" w:color="auto"/>
              <w:right w:val="single" w:sz="4" w:space="0" w:color="auto"/>
            </w:tcBorders>
          </w:tcPr>
          <w:p w14:paraId="2C73BCDD" w14:textId="77777777" w:rsidR="008011D6" w:rsidRPr="00882AF5" w:rsidRDefault="008011D6" w:rsidP="00C345B1">
            <w:pPr>
              <w:jc w:val="center"/>
            </w:pPr>
            <w:r w:rsidRPr="00882AF5">
              <w:t>7,2</w:t>
            </w:r>
          </w:p>
        </w:tc>
        <w:tc>
          <w:tcPr>
            <w:tcW w:w="824" w:type="pct"/>
            <w:tcBorders>
              <w:top w:val="single" w:sz="4" w:space="0" w:color="auto"/>
              <w:left w:val="single" w:sz="4" w:space="0" w:color="auto"/>
              <w:bottom w:val="single" w:sz="4" w:space="0" w:color="auto"/>
              <w:right w:val="single" w:sz="4" w:space="0" w:color="auto"/>
            </w:tcBorders>
          </w:tcPr>
          <w:p w14:paraId="6F2125ED" w14:textId="77777777" w:rsidR="008011D6" w:rsidRPr="00882AF5" w:rsidRDefault="008011D6" w:rsidP="00C345B1">
            <w:r w:rsidRPr="00882AF5">
              <w:t>2,9 (1,6; 4,2)</w:t>
            </w:r>
          </w:p>
        </w:tc>
        <w:tc>
          <w:tcPr>
            <w:tcW w:w="823" w:type="pct"/>
            <w:tcBorders>
              <w:top w:val="single" w:sz="4" w:space="0" w:color="auto"/>
              <w:left w:val="single" w:sz="4" w:space="0" w:color="auto"/>
              <w:bottom w:val="single" w:sz="4" w:space="0" w:color="auto"/>
              <w:right w:val="single" w:sz="4" w:space="0" w:color="auto"/>
            </w:tcBorders>
          </w:tcPr>
          <w:p w14:paraId="65B8E56A" w14:textId="77777777" w:rsidR="008011D6" w:rsidRPr="00882AF5" w:rsidRDefault="008011D6" w:rsidP="00C345B1">
            <w:r w:rsidRPr="00882AF5">
              <w:t>30 (19, 41)***</w:t>
            </w:r>
          </w:p>
        </w:tc>
      </w:tr>
      <w:tr w:rsidR="008011D6" w:rsidRPr="00882AF5" w14:paraId="129D2B9C"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44D2E61" w14:textId="77777777" w:rsidR="008011D6" w:rsidRPr="00882AF5" w:rsidRDefault="008011D6" w:rsidP="00C345B1">
            <w:r w:rsidRPr="00882AF5">
              <w:t>Klīniski vertebrāli lūzumi</w:t>
            </w:r>
          </w:p>
        </w:tc>
        <w:tc>
          <w:tcPr>
            <w:tcW w:w="775" w:type="pct"/>
            <w:tcBorders>
              <w:top w:val="single" w:sz="4" w:space="0" w:color="auto"/>
              <w:left w:val="single" w:sz="4" w:space="0" w:color="auto"/>
              <w:bottom w:val="single" w:sz="4" w:space="0" w:color="auto"/>
              <w:right w:val="single" w:sz="4" w:space="0" w:color="auto"/>
            </w:tcBorders>
          </w:tcPr>
          <w:p w14:paraId="4FF92D02" w14:textId="77777777" w:rsidR="008011D6" w:rsidRPr="00882AF5" w:rsidRDefault="008011D6" w:rsidP="00C345B1">
            <w:pPr>
              <w:jc w:val="center"/>
            </w:pPr>
            <w:r w:rsidRPr="00882AF5">
              <w:t>2,6</w:t>
            </w:r>
          </w:p>
        </w:tc>
        <w:tc>
          <w:tcPr>
            <w:tcW w:w="969" w:type="pct"/>
            <w:tcBorders>
              <w:top w:val="single" w:sz="4" w:space="0" w:color="auto"/>
              <w:left w:val="single" w:sz="4" w:space="0" w:color="auto"/>
              <w:bottom w:val="single" w:sz="4" w:space="0" w:color="auto"/>
              <w:right w:val="single" w:sz="4" w:space="0" w:color="auto"/>
            </w:tcBorders>
          </w:tcPr>
          <w:p w14:paraId="25408F27" w14:textId="77777777" w:rsidR="008011D6" w:rsidRPr="00882AF5" w:rsidRDefault="008011D6" w:rsidP="00C345B1">
            <w:pPr>
              <w:jc w:val="center"/>
            </w:pPr>
            <w:r w:rsidRPr="00882AF5">
              <w:t>0,8</w:t>
            </w:r>
          </w:p>
        </w:tc>
        <w:tc>
          <w:tcPr>
            <w:tcW w:w="824" w:type="pct"/>
            <w:tcBorders>
              <w:top w:val="single" w:sz="4" w:space="0" w:color="auto"/>
              <w:left w:val="single" w:sz="4" w:space="0" w:color="auto"/>
              <w:bottom w:val="single" w:sz="4" w:space="0" w:color="auto"/>
              <w:right w:val="single" w:sz="4" w:space="0" w:color="auto"/>
            </w:tcBorders>
          </w:tcPr>
          <w:p w14:paraId="38C09473" w14:textId="77777777" w:rsidR="008011D6" w:rsidRPr="00882AF5" w:rsidRDefault="008011D6" w:rsidP="00C345B1">
            <w:r w:rsidRPr="00882AF5">
              <w:t>1,8 (1,2; 2,4)</w:t>
            </w:r>
          </w:p>
        </w:tc>
        <w:tc>
          <w:tcPr>
            <w:tcW w:w="823" w:type="pct"/>
            <w:tcBorders>
              <w:top w:val="single" w:sz="4" w:space="0" w:color="auto"/>
              <w:left w:val="single" w:sz="4" w:space="0" w:color="auto"/>
              <w:bottom w:val="single" w:sz="4" w:space="0" w:color="auto"/>
              <w:right w:val="single" w:sz="4" w:space="0" w:color="auto"/>
            </w:tcBorders>
          </w:tcPr>
          <w:p w14:paraId="4F0BCBFB" w14:textId="77777777" w:rsidR="008011D6" w:rsidRPr="00882AF5" w:rsidRDefault="008011D6" w:rsidP="00C345B1">
            <w:r w:rsidRPr="00882AF5">
              <w:t>69 (53, 80)***</w:t>
            </w:r>
          </w:p>
        </w:tc>
      </w:tr>
      <w:tr w:rsidR="008011D6" w:rsidRPr="00882AF5" w14:paraId="3DEBD95D"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29EC7D4" w14:textId="77777777" w:rsidR="008011D6" w:rsidRPr="00882AF5" w:rsidRDefault="008011D6" w:rsidP="00C345B1">
            <w:r w:rsidRPr="00882AF5">
              <w:t>Nevertebrāli lūzumi</w:t>
            </w:r>
            <w:r w:rsidRPr="00882AF5">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1064E6C9" w14:textId="77777777" w:rsidR="008011D6" w:rsidRPr="00882AF5" w:rsidRDefault="008011D6" w:rsidP="00C345B1">
            <w:pPr>
              <w:jc w:val="center"/>
            </w:pPr>
            <w:r w:rsidRPr="00882AF5">
              <w:t>8,0</w:t>
            </w:r>
          </w:p>
        </w:tc>
        <w:tc>
          <w:tcPr>
            <w:tcW w:w="969" w:type="pct"/>
            <w:tcBorders>
              <w:top w:val="single" w:sz="4" w:space="0" w:color="auto"/>
              <w:left w:val="single" w:sz="4" w:space="0" w:color="auto"/>
              <w:bottom w:val="single" w:sz="4" w:space="0" w:color="auto"/>
              <w:right w:val="single" w:sz="4" w:space="0" w:color="auto"/>
            </w:tcBorders>
          </w:tcPr>
          <w:p w14:paraId="09F66D89" w14:textId="77777777" w:rsidR="008011D6" w:rsidRPr="00882AF5" w:rsidRDefault="008011D6" w:rsidP="00C345B1">
            <w:pPr>
              <w:jc w:val="center"/>
            </w:pPr>
            <w:r w:rsidRPr="00882AF5">
              <w:t>6,5</w:t>
            </w:r>
          </w:p>
        </w:tc>
        <w:tc>
          <w:tcPr>
            <w:tcW w:w="824" w:type="pct"/>
            <w:tcBorders>
              <w:top w:val="single" w:sz="4" w:space="0" w:color="auto"/>
              <w:left w:val="single" w:sz="4" w:space="0" w:color="auto"/>
              <w:bottom w:val="single" w:sz="4" w:space="0" w:color="auto"/>
              <w:right w:val="single" w:sz="4" w:space="0" w:color="auto"/>
            </w:tcBorders>
          </w:tcPr>
          <w:p w14:paraId="4DD4E34E" w14:textId="77777777" w:rsidR="008011D6" w:rsidRPr="00882AF5" w:rsidRDefault="008011D6" w:rsidP="00C345B1">
            <w:r w:rsidRPr="00882AF5">
              <w:t>1,5 (0,3; 2,7)</w:t>
            </w:r>
          </w:p>
        </w:tc>
        <w:tc>
          <w:tcPr>
            <w:tcW w:w="823" w:type="pct"/>
            <w:tcBorders>
              <w:top w:val="single" w:sz="4" w:space="0" w:color="auto"/>
              <w:left w:val="single" w:sz="4" w:space="0" w:color="auto"/>
              <w:bottom w:val="single" w:sz="4" w:space="0" w:color="auto"/>
              <w:right w:val="single" w:sz="4" w:space="0" w:color="auto"/>
            </w:tcBorders>
          </w:tcPr>
          <w:p w14:paraId="7B210C90" w14:textId="77777777" w:rsidR="008011D6" w:rsidRPr="00882AF5" w:rsidRDefault="008011D6" w:rsidP="00C345B1">
            <w:r w:rsidRPr="00882AF5">
              <w:t>20 (5, 33)**</w:t>
            </w:r>
          </w:p>
        </w:tc>
      </w:tr>
      <w:tr w:rsidR="008011D6" w:rsidRPr="00882AF5" w14:paraId="109D5B3A"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1BFE91BD" w14:textId="77777777" w:rsidR="008011D6" w:rsidRPr="00882AF5" w:rsidRDefault="008011D6" w:rsidP="00C345B1">
            <w:r w:rsidRPr="00882AF5">
              <w:t>Lieli nevertebrāli lūzumi</w:t>
            </w:r>
            <w:r w:rsidRPr="00882AF5">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1029C80B" w14:textId="77777777" w:rsidR="008011D6" w:rsidRPr="00882AF5" w:rsidRDefault="008011D6" w:rsidP="00C345B1">
            <w:pPr>
              <w:jc w:val="center"/>
            </w:pPr>
            <w:r w:rsidRPr="00882AF5">
              <w:t>6,4</w:t>
            </w:r>
          </w:p>
        </w:tc>
        <w:tc>
          <w:tcPr>
            <w:tcW w:w="969" w:type="pct"/>
            <w:tcBorders>
              <w:top w:val="single" w:sz="4" w:space="0" w:color="auto"/>
              <w:left w:val="single" w:sz="4" w:space="0" w:color="auto"/>
              <w:bottom w:val="single" w:sz="4" w:space="0" w:color="auto"/>
              <w:right w:val="single" w:sz="4" w:space="0" w:color="auto"/>
            </w:tcBorders>
          </w:tcPr>
          <w:p w14:paraId="2DEC134E" w14:textId="77777777" w:rsidR="008011D6" w:rsidRPr="00882AF5" w:rsidRDefault="008011D6" w:rsidP="00C345B1">
            <w:pPr>
              <w:jc w:val="center"/>
            </w:pPr>
            <w:r w:rsidRPr="00882AF5">
              <w:t>5,2</w:t>
            </w:r>
          </w:p>
        </w:tc>
        <w:tc>
          <w:tcPr>
            <w:tcW w:w="824" w:type="pct"/>
            <w:tcBorders>
              <w:top w:val="single" w:sz="4" w:space="0" w:color="auto"/>
              <w:left w:val="single" w:sz="4" w:space="0" w:color="auto"/>
              <w:bottom w:val="single" w:sz="4" w:space="0" w:color="auto"/>
              <w:right w:val="single" w:sz="4" w:space="0" w:color="auto"/>
            </w:tcBorders>
          </w:tcPr>
          <w:p w14:paraId="54AD71D9" w14:textId="77777777" w:rsidR="008011D6" w:rsidRPr="00882AF5" w:rsidRDefault="008011D6" w:rsidP="00C345B1">
            <w:r w:rsidRPr="00882AF5">
              <w:t>1,2 (0,1; 2,2)</w:t>
            </w:r>
          </w:p>
        </w:tc>
        <w:tc>
          <w:tcPr>
            <w:tcW w:w="823" w:type="pct"/>
            <w:tcBorders>
              <w:top w:val="single" w:sz="4" w:space="0" w:color="auto"/>
              <w:left w:val="single" w:sz="4" w:space="0" w:color="auto"/>
              <w:bottom w:val="single" w:sz="4" w:space="0" w:color="auto"/>
              <w:right w:val="single" w:sz="4" w:space="0" w:color="auto"/>
            </w:tcBorders>
          </w:tcPr>
          <w:p w14:paraId="1CF57BDC" w14:textId="77777777" w:rsidR="008011D6" w:rsidRPr="00882AF5" w:rsidRDefault="008011D6" w:rsidP="00C345B1">
            <w:r w:rsidRPr="00882AF5">
              <w:t>20 (3, 34)*</w:t>
            </w:r>
          </w:p>
        </w:tc>
      </w:tr>
      <w:tr w:rsidR="008011D6" w:rsidRPr="00125CBA" w14:paraId="2D85FDE8"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7FC16B4D" w14:textId="77777777" w:rsidR="008011D6" w:rsidRPr="00882AF5" w:rsidRDefault="008011D6" w:rsidP="00C345B1">
            <w:r w:rsidRPr="00882AF5">
              <w:t>Lieli osteoporotiski lūzumi</w:t>
            </w:r>
            <w:r w:rsidRPr="00882AF5">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3A3E61C2" w14:textId="77777777" w:rsidR="008011D6" w:rsidRPr="00882AF5" w:rsidRDefault="008011D6" w:rsidP="00C345B1">
            <w:pPr>
              <w:jc w:val="center"/>
            </w:pPr>
            <w:r w:rsidRPr="00882AF5">
              <w:t>8,0</w:t>
            </w:r>
          </w:p>
        </w:tc>
        <w:tc>
          <w:tcPr>
            <w:tcW w:w="969" w:type="pct"/>
            <w:tcBorders>
              <w:top w:val="single" w:sz="4" w:space="0" w:color="auto"/>
              <w:left w:val="single" w:sz="4" w:space="0" w:color="auto"/>
              <w:bottom w:val="single" w:sz="4" w:space="0" w:color="auto"/>
              <w:right w:val="single" w:sz="4" w:space="0" w:color="auto"/>
            </w:tcBorders>
          </w:tcPr>
          <w:p w14:paraId="063921D4" w14:textId="77777777" w:rsidR="008011D6" w:rsidRPr="00882AF5" w:rsidRDefault="008011D6" w:rsidP="00C345B1">
            <w:pPr>
              <w:jc w:val="center"/>
            </w:pPr>
            <w:r w:rsidRPr="00882AF5">
              <w:t>5,3</w:t>
            </w:r>
          </w:p>
        </w:tc>
        <w:tc>
          <w:tcPr>
            <w:tcW w:w="824" w:type="pct"/>
            <w:tcBorders>
              <w:top w:val="single" w:sz="4" w:space="0" w:color="auto"/>
              <w:left w:val="single" w:sz="4" w:space="0" w:color="auto"/>
              <w:bottom w:val="single" w:sz="4" w:space="0" w:color="auto"/>
              <w:right w:val="single" w:sz="4" w:space="0" w:color="auto"/>
            </w:tcBorders>
          </w:tcPr>
          <w:p w14:paraId="58D36707" w14:textId="77777777" w:rsidR="008011D6" w:rsidRPr="00882AF5" w:rsidRDefault="008011D6" w:rsidP="00C345B1">
            <w:r w:rsidRPr="00882AF5">
              <w:t>2,7 (1,6; 3,9)</w:t>
            </w:r>
          </w:p>
        </w:tc>
        <w:tc>
          <w:tcPr>
            <w:tcW w:w="823" w:type="pct"/>
            <w:tcBorders>
              <w:top w:val="single" w:sz="4" w:space="0" w:color="auto"/>
              <w:left w:val="single" w:sz="4" w:space="0" w:color="auto"/>
              <w:bottom w:val="single" w:sz="4" w:space="0" w:color="auto"/>
              <w:right w:val="single" w:sz="4" w:space="0" w:color="auto"/>
            </w:tcBorders>
          </w:tcPr>
          <w:p w14:paraId="41246D68" w14:textId="77777777" w:rsidR="008011D6" w:rsidRPr="00882AF5" w:rsidRDefault="008011D6" w:rsidP="00C345B1">
            <w:r w:rsidRPr="00882AF5">
              <w:t>35 (22, 45)***</w:t>
            </w:r>
          </w:p>
        </w:tc>
      </w:tr>
    </w:tbl>
    <w:p w14:paraId="086A7FEE" w14:textId="2462EA33" w:rsidR="008603DE" w:rsidRPr="00882AF5" w:rsidRDefault="008011D6" w:rsidP="00BF0C34">
      <w:pPr>
        <w:keepNext/>
        <w:rPr>
          <w:sz w:val="20"/>
          <w:szCs w:val="20"/>
        </w:rPr>
      </w:pPr>
      <w:r w:rsidRPr="00882AF5">
        <w:rPr>
          <w:sz w:val="20"/>
        </w:rPr>
        <w:t xml:space="preserve">*p ≤ 0,05, **p = 0,0106 </w:t>
      </w:r>
      <w:r w:rsidRPr="00882AF5">
        <w:rPr>
          <w:i/>
          <w:sz w:val="20"/>
        </w:rPr>
        <w:t>(daudzkārtējā korelācijā iekļautais sekundārais mērķa kritērijs),</w:t>
      </w:r>
      <w:r w:rsidRPr="00882AF5">
        <w:rPr>
          <w:sz w:val="20"/>
        </w:rPr>
        <w:t xml:space="preserve"> ***p ≤ 0,0001</w:t>
      </w:r>
    </w:p>
    <w:p w14:paraId="78BA8E59" w14:textId="77777777" w:rsidR="008011D6" w:rsidRPr="00882AF5" w:rsidRDefault="008011D6" w:rsidP="00C345B1">
      <w:pPr>
        <w:keepNext/>
        <w:rPr>
          <w:sz w:val="20"/>
          <w:szCs w:val="20"/>
        </w:rPr>
      </w:pPr>
      <w:r w:rsidRPr="00882AF5">
        <w:rPr>
          <w:sz w:val="20"/>
          <w:vertAlign w:val="superscript"/>
        </w:rPr>
        <w:t>+</w:t>
      </w:r>
      <w:r w:rsidRPr="00882AF5">
        <w:rPr>
          <w:sz w:val="20"/>
        </w:rPr>
        <w:t xml:space="preserve"> Notikumu biežums pamatojoties uz Kaplāna</w:t>
      </w:r>
      <w:r w:rsidRPr="00882AF5">
        <w:rPr>
          <w:sz w:val="20"/>
        </w:rPr>
        <w:noBreakHyphen/>
        <w:t>Meijera novērtējumu pēc 3 gadiem.</w:t>
      </w:r>
    </w:p>
    <w:p w14:paraId="27F3D1B6" w14:textId="77777777" w:rsidR="008011D6" w:rsidRPr="00882AF5" w:rsidRDefault="008011D6" w:rsidP="00C345B1">
      <w:pPr>
        <w:keepNext/>
        <w:rPr>
          <w:sz w:val="20"/>
          <w:szCs w:val="20"/>
        </w:rPr>
      </w:pPr>
      <w:r w:rsidRPr="00882AF5">
        <w:rPr>
          <w:sz w:val="20"/>
          <w:vertAlign w:val="superscript"/>
        </w:rPr>
        <w:t>1</w:t>
      </w:r>
      <w:r w:rsidRPr="00882AF5">
        <w:rPr>
          <w:sz w:val="20"/>
        </w:rPr>
        <w:t xml:space="preserve"> Iekļauti klīniski vertebrāli un nevertebrāli lūzumi.</w:t>
      </w:r>
    </w:p>
    <w:p w14:paraId="4FC103D0" w14:textId="77777777" w:rsidR="008011D6" w:rsidRPr="00882AF5" w:rsidRDefault="008011D6" w:rsidP="00C345B1">
      <w:pPr>
        <w:keepNext/>
        <w:rPr>
          <w:sz w:val="20"/>
          <w:szCs w:val="20"/>
        </w:rPr>
      </w:pPr>
      <w:r w:rsidRPr="00882AF5">
        <w:rPr>
          <w:sz w:val="20"/>
          <w:vertAlign w:val="superscript"/>
        </w:rPr>
        <w:t>2</w:t>
      </w:r>
      <w:r w:rsidRPr="00882AF5">
        <w:rPr>
          <w:sz w:val="20"/>
        </w:rPr>
        <w:t xml:space="preserve"> Izslēgti mugurkaula, galvaskausa, sejas, apakšžokļa, metakarpālie un roku, kāju pirkstu falangu lūzumi.</w:t>
      </w:r>
    </w:p>
    <w:p w14:paraId="3ABC3474" w14:textId="77777777" w:rsidR="008011D6" w:rsidRPr="00882AF5" w:rsidRDefault="008011D6" w:rsidP="00C345B1">
      <w:pPr>
        <w:keepNext/>
        <w:rPr>
          <w:sz w:val="20"/>
          <w:szCs w:val="20"/>
        </w:rPr>
      </w:pPr>
      <w:r w:rsidRPr="00882AF5">
        <w:rPr>
          <w:sz w:val="20"/>
          <w:vertAlign w:val="superscript"/>
        </w:rPr>
        <w:t>3</w:t>
      </w:r>
      <w:r w:rsidRPr="00882AF5">
        <w:rPr>
          <w:sz w:val="20"/>
        </w:rPr>
        <w:t xml:space="preserve"> Iekļauti iegurņa, distāli augšstilba kaula, proksimāli lielā lielakaula, ribu, proksimālie pleca kaula, apakšdelma kaula un gūžas kaula lūzumi.</w:t>
      </w:r>
    </w:p>
    <w:p w14:paraId="61352393" w14:textId="77777777" w:rsidR="008011D6" w:rsidRPr="00882AF5" w:rsidRDefault="008011D6" w:rsidP="00C345B1">
      <w:pPr>
        <w:rPr>
          <w:sz w:val="20"/>
          <w:szCs w:val="20"/>
        </w:rPr>
      </w:pPr>
      <w:r w:rsidRPr="00882AF5">
        <w:rPr>
          <w:sz w:val="20"/>
          <w:vertAlign w:val="superscript"/>
        </w:rPr>
        <w:t>4</w:t>
      </w:r>
      <w:r w:rsidRPr="00882AF5">
        <w:rPr>
          <w:sz w:val="20"/>
        </w:rPr>
        <w:t xml:space="preserve"> Iekļauti klīniski vertebrāli, gūžas kaula, apakšdelma un pleca kaula lūzumi, kas definēti atbilstoši PVO kritērijiem.</w:t>
      </w:r>
    </w:p>
    <w:p w14:paraId="4EA2ABA6" w14:textId="77777777" w:rsidR="008011D6" w:rsidRPr="00882AF5" w:rsidRDefault="008011D6" w:rsidP="008B4ED7"/>
    <w:p w14:paraId="519FD2B3" w14:textId="27EDEA0F" w:rsidR="008603DE" w:rsidRPr="00882AF5" w:rsidRDefault="008011D6" w:rsidP="008B4ED7">
      <w:r w:rsidRPr="00882AF5">
        <w:lastRenderedPageBreak/>
        <w:t>Sievietēm ar sākotnējo augšstilba kaula kakliņa KBM ≤ </w:t>
      </w:r>
      <w:r w:rsidRPr="00882AF5">
        <w:noBreakHyphen/>
        <w:t xml:space="preserve">2,5, </w:t>
      </w:r>
      <w:r w:rsidR="00417EC9">
        <w:t>denozumab</w:t>
      </w:r>
      <w:r w:rsidR="00155D47" w:rsidRPr="00882AF5">
        <w:t>a</w:t>
      </w:r>
      <w:r w:rsidR="00155D47" w:rsidRPr="00882AF5" w:rsidDel="00155D47">
        <w:t xml:space="preserve"> </w:t>
      </w:r>
      <w:r w:rsidRPr="00882AF5">
        <w:t>terapija samazināja nevertebrālu lūzumu risku (35% relatīvā riska samazināšanās, 4,1% absolūtā riska samazināšanās, p &lt; 0,001, pētnieciskā analīze).</w:t>
      </w:r>
    </w:p>
    <w:p w14:paraId="7B62FD3B" w14:textId="77777777" w:rsidR="008011D6" w:rsidRPr="00882AF5" w:rsidRDefault="008011D6" w:rsidP="008B4ED7"/>
    <w:p w14:paraId="1F99C954" w14:textId="6D3900B0" w:rsidR="008603DE" w:rsidRPr="00882AF5" w:rsidRDefault="008011D6" w:rsidP="008B4ED7">
      <w:r w:rsidRPr="00882AF5">
        <w:t xml:space="preserve">Lietojot </w:t>
      </w:r>
      <w:r w:rsidR="00417EC9">
        <w:t>denozumab</w:t>
      </w:r>
      <w:r w:rsidR="00155D47" w:rsidRPr="00882AF5">
        <w:t>u</w:t>
      </w:r>
      <w:r w:rsidRPr="00882AF5">
        <w:t>, 3 gadu laikā konsekventi samazinājās jaunu vertebrālu lūzumu, gūžas kaula lūzumu un nevertebrālu lūzumu sastopamība, neskatoties uz 10 gadu sākotnējo lūzumu risku.</w:t>
      </w:r>
    </w:p>
    <w:p w14:paraId="69CD6FF5" w14:textId="77777777" w:rsidR="008011D6" w:rsidRPr="00882AF5" w:rsidRDefault="008011D6" w:rsidP="008B4ED7"/>
    <w:p w14:paraId="094CFF0C" w14:textId="77777777" w:rsidR="008011D6" w:rsidRPr="00882AF5" w:rsidRDefault="008011D6" w:rsidP="008B4ED7">
      <w:pPr>
        <w:keepNext/>
        <w:tabs>
          <w:tab w:val="clear" w:pos="567"/>
        </w:tabs>
        <w:rPr>
          <w:i/>
          <w:iCs/>
        </w:rPr>
      </w:pPr>
      <w:r w:rsidRPr="00882AF5">
        <w:rPr>
          <w:i/>
        </w:rPr>
        <w:t>Ietekme uz kaulu minerālo blīvumu</w:t>
      </w:r>
    </w:p>
    <w:p w14:paraId="69E11831" w14:textId="2361C4DE" w:rsidR="008603DE" w:rsidRPr="00882AF5" w:rsidRDefault="00417EC9" w:rsidP="008B4ED7">
      <w:r>
        <w:t>Denozumab</w:t>
      </w:r>
      <w:r w:rsidR="00155D47" w:rsidRPr="00882AF5">
        <w:t xml:space="preserve">a </w:t>
      </w:r>
      <w:r w:rsidR="008011D6" w:rsidRPr="00882AF5">
        <w:t xml:space="preserve">terapija pēc 1, 2 un 3 gadiem būtiski paaugstināja KMB visās mērītajās klīniskajās vietās, salīdzinot ar placebo. </w:t>
      </w:r>
      <w:r>
        <w:t>Denozumab</w:t>
      </w:r>
      <w:r w:rsidR="00155D47" w:rsidRPr="00882AF5">
        <w:t>s</w:t>
      </w:r>
      <w:r w:rsidR="008011D6" w:rsidRPr="00882AF5">
        <w:t xml:space="preserve"> 3 gados paaugstināja KMB mugurkaula jostas daļas skriemeļos par 9,2%, visā gūžā par 6,0%, augšstilba kaula kakliņā par 4,8%, gūžas kaula trohanterā par 7,9%, spieķa kaula distālajā trešdaļā par 3,5% un skeletā kopumā par 4,1% (visam p &lt; 0,0001).</w:t>
      </w:r>
    </w:p>
    <w:p w14:paraId="7B6A0FC6" w14:textId="77777777" w:rsidR="008011D6" w:rsidRPr="00882AF5" w:rsidRDefault="008011D6" w:rsidP="008B4ED7"/>
    <w:p w14:paraId="2EEC286D" w14:textId="3AE212E2" w:rsidR="008011D6" w:rsidRPr="00882AF5" w:rsidRDefault="008011D6" w:rsidP="008B4ED7">
      <w:r w:rsidRPr="00882AF5">
        <w:t xml:space="preserve">Klīniskos pētījumos, kuros novērtēja </w:t>
      </w:r>
      <w:r w:rsidR="00417EC9">
        <w:t>denozumab</w:t>
      </w:r>
      <w:r w:rsidR="005A4E73" w:rsidRPr="00882AF5">
        <w:t>a</w:t>
      </w:r>
      <w:r w:rsidR="005A4E73" w:rsidRPr="00882AF5" w:rsidDel="005A4E73">
        <w:t xml:space="preserve"> </w:t>
      </w:r>
      <w:r w:rsidRPr="00882AF5">
        <w:t xml:space="preserve">terapijas pārtraukšanas ietekmi, KMB atgriezās apmēram tādā līmenī, kāds tas bija pirms terapijas uzsākšanas un 18 mēnešus pēc pēdējās devas saglabājās virs līmeņa, kādu novēroja ar placebo. Šie dati liecina, ka nepieciešama ilgstoša terapija ar </w:t>
      </w:r>
      <w:r w:rsidR="00417EC9">
        <w:t>denozumab</w:t>
      </w:r>
      <w:r w:rsidR="005A4E73" w:rsidRPr="00882AF5">
        <w:t>u</w:t>
      </w:r>
      <w:r w:rsidRPr="00882AF5">
        <w:t xml:space="preserve">, lai uzturētu zāļu iedarbību. No jauna atsākot terapiju ar </w:t>
      </w:r>
      <w:r w:rsidR="00417EC9">
        <w:t>denozumab</w:t>
      </w:r>
      <w:r w:rsidR="005A4E73" w:rsidRPr="00882AF5">
        <w:t>u</w:t>
      </w:r>
      <w:r w:rsidRPr="00882AF5">
        <w:t>, KMB pieaugums ir līdzīgs tam, kādu novēroja</w:t>
      </w:r>
      <w:r w:rsidR="005A4E73" w:rsidRPr="00882AF5">
        <w:t>,</w:t>
      </w:r>
      <w:r w:rsidRPr="00882AF5">
        <w:t xml:space="preserve"> </w:t>
      </w:r>
      <w:r w:rsidR="00417EC9">
        <w:t>denozumab</w:t>
      </w:r>
      <w:r w:rsidR="005A4E73" w:rsidRPr="00882AF5">
        <w:t>u</w:t>
      </w:r>
      <w:r w:rsidRPr="00882AF5">
        <w:t xml:space="preserve"> lietojot pirmoreiz.</w:t>
      </w:r>
    </w:p>
    <w:p w14:paraId="34D79D10" w14:textId="77777777" w:rsidR="00D475CF" w:rsidRPr="00882AF5" w:rsidRDefault="00D475CF" w:rsidP="008B4ED7"/>
    <w:p w14:paraId="4EB142E2" w14:textId="77777777" w:rsidR="00D475CF" w:rsidRPr="00882AF5" w:rsidRDefault="00D475CF" w:rsidP="008B4ED7">
      <w:pPr>
        <w:keepNext/>
        <w:tabs>
          <w:tab w:val="clear" w:pos="567"/>
        </w:tabs>
        <w:rPr>
          <w:i/>
          <w:iCs/>
        </w:rPr>
      </w:pPr>
      <w:r w:rsidRPr="00882AF5">
        <w:rPr>
          <w:i/>
        </w:rPr>
        <w:t>Atklāts pagarināts pētījums par osteoporozes ārstēšanu pēcmenopauzes periodā</w:t>
      </w:r>
    </w:p>
    <w:p w14:paraId="015FAA4D" w14:textId="08DBD89B" w:rsidR="00C2322D" w:rsidRPr="00882AF5" w:rsidRDefault="009214A2" w:rsidP="008B4ED7">
      <w:r w:rsidRPr="00882AF5">
        <w:t xml:space="preserve">Lai novērtētu </w:t>
      </w:r>
      <w:r w:rsidR="00417EC9">
        <w:t>denozumab</w:t>
      </w:r>
      <w:r w:rsidR="005A4E73" w:rsidRPr="00882AF5">
        <w:t>a</w:t>
      </w:r>
      <w:r w:rsidR="005A4E73" w:rsidRPr="00882AF5" w:rsidDel="005A4E73">
        <w:t xml:space="preserve"> </w:t>
      </w:r>
      <w:r w:rsidRPr="00882AF5">
        <w:t>drošumu un efektivitāti ilgtermiņā, 7 gadus ilgā starptautiskā daudzcentru atklātā vienas grupas pagarinātā pētījumā piekrita piedalīties kopumā 4550 sievietes (2343</w:t>
      </w:r>
      <w:r w:rsidR="00EB302E" w:rsidRPr="00882AF5">
        <w:t xml:space="preserve"> ar </w:t>
      </w:r>
      <w:r w:rsidR="00417EC9">
        <w:t>denozumab</w:t>
      </w:r>
      <w:r w:rsidR="00EB302E" w:rsidRPr="00882AF5">
        <w:t>u</w:t>
      </w:r>
      <w:r w:rsidR="00B83DC6" w:rsidRPr="00882AF5">
        <w:t xml:space="preserve"> </w:t>
      </w:r>
      <w:r w:rsidRPr="00882AF5">
        <w:t>un 2207</w:t>
      </w:r>
      <w:r w:rsidR="00EB302E" w:rsidRPr="00882AF5">
        <w:t> ar</w:t>
      </w:r>
      <w:r w:rsidRPr="00882AF5">
        <w:t xml:space="preserve"> placebo), kas iepriekš aprakstītajā pivotālajā pētījumā izlaida ne vairāk kā vienu devu pētāmo zāļu un veica pētījuma apmeklējumu 36. mēnesī. Pagarinātajā pētījumā visām sievietēm bija jāsaņem 60 mg </w:t>
      </w:r>
      <w:r w:rsidR="00417EC9">
        <w:t>denozumab</w:t>
      </w:r>
      <w:r w:rsidR="00EB302E" w:rsidRPr="00882AF5">
        <w:t>a</w:t>
      </w:r>
      <w:r w:rsidR="00EB302E" w:rsidRPr="00882AF5" w:rsidDel="00EB302E">
        <w:t xml:space="preserve"> </w:t>
      </w:r>
      <w:r w:rsidRPr="00882AF5">
        <w:t>ik pēc 6 mēnešiem, kā arī katru dienu kalcijs (vismaz 1 g) un D vitamīns (vismaz 400 SV). Kopumā 2626</w:t>
      </w:r>
      <w:r w:rsidR="00B40CE0" w:rsidRPr="00882AF5">
        <w:t> pacienšu</w:t>
      </w:r>
      <w:r w:rsidRPr="00882AF5">
        <w:t xml:space="preserve"> (58% sieviešu, kas bija iekļaut</w:t>
      </w:r>
      <w:r w:rsidR="00B40CE0" w:rsidRPr="00882AF5">
        <w:t>as</w:t>
      </w:r>
      <w:r w:rsidRPr="00882AF5">
        <w:t xml:space="preserve"> pagarinātajā pētījumā, t.i., 34% no pivotālā pētījumā iekļautajām sievietēm</w:t>
      </w:r>
      <w:r w:rsidR="00B40CE0" w:rsidRPr="00882AF5">
        <w:t>)</w:t>
      </w:r>
      <w:r w:rsidRPr="00882AF5">
        <w:t xml:space="preserve"> pabeidza pagarināto pētījumu.</w:t>
      </w:r>
    </w:p>
    <w:p w14:paraId="4E15096A" w14:textId="77777777" w:rsidR="00EF4A9D" w:rsidRPr="00882AF5" w:rsidRDefault="00EF4A9D" w:rsidP="008B4ED7"/>
    <w:p w14:paraId="1816FF41" w14:textId="751164E2" w:rsidR="00CB6286" w:rsidRPr="00882AF5" w:rsidRDefault="00EF4A9D" w:rsidP="00BF0C34">
      <w:r w:rsidRPr="00882AF5">
        <w:t>Pacient</w:t>
      </w:r>
      <w:r w:rsidR="00EB302E" w:rsidRPr="00882AF5">
        <w:t>ē</w:t>
      </w:r>
      <w:r w:rsidRPr="00882AF5">
        <w:t>m, kur</w:t>
      </w:r>
      <w:r w:rsidR="00D25A0F">
        <w:t>a</w:t>
      </w:r>
      <w:r w:rsidRPr="00882AF5">
        <w:t xml:space="preserve">s ar </w:t>
      </w:r>
      <w:r w:rsidR="00417EC9">
        <w:t>denozumab</w:t>
      </w:r>
      <w:r w:rsidR="00EB302E" w:rsidRPr="00882AF5">
        <w:t xml:space="preserve">u </w:t>
      </w:r>
      <w:r w:rsidRPr="00882AF5">
        <w:t>ārstēja līdz 10 gadiem, KMB palielinājās no galvenā pētījuma sākuma vērtības par 21,7% mugurkaula jostas daļas skriemeļos, 9,2% visā gūžā, 9,0% augšstilba kaula kakliņā, 13,0% trohanterā un par 2,8% spieķa kaula distālajā trešdaļā. Pacient</w:t>
      </w:r>
      <w:r w:rsidR="00E609D6" w:rsidRPr="00882AF5">
        <w:t>ē</w:t>
      </w:r>
      <w:r w:rsidRPr="00882AF5">
        <w:t>m, kur</w:t>
      </w:r>
      <w:r w:rsidR="00E609D6" w:rsidRPr="00882AF5">
        <w:t>a</w:t>
      </w:r>
      <w:r w:rsidRPr="00882AF5">
        <w:t>s ārstēja 10 gadus, vidējais mugurkaula jostas daļas skriemeļa KMB T</w:t>
      </w:r>
      <w:r w:rsidRPr="00882AF5">
        <w:noBreakHyphen/>
        <w:t>rādītājs pētījuma beigās bija −1,3.</w:t>
      </w:r>
    </w:p>
    <w:p w14:paraId="454B1417" w14:textId="77777777" w:rsidR="00EF4A9D" w:rsidRPr="00882AF5" w:rsidRDefault="00EF4A9D" w:rsidP="008B4ED7"/>
    <w:p w14:paraId="6C4E8806" w14:textId="3758233F" w:rsidR="00243D11" w:rsidRPr="00882AF5" w:rsidRDefault="009214A2" w:rsidP="008B4ED7">
      <w:r w:rsidRPr="00882AF5">
        <w:t>Lūzumu sastopamība tika vērtēta kā drošuma mērķa kritērijs, bet lūzumu profilakses efektivitāti nevar novērtēt, lielā pārtraukšanas skaita un atklātā pētījuma plāna dēļ. Pacient</w:t>
      </w:r>
      <w:r w:rsidR="003A7915" w:rsidRPr="00882AF5">
        <w:t>ē</w:t>
      </w:r>
      <w:r w:rsidRPr="00882AF5">
        <w:t xml:space="preserve">m, kam ārstēšanu ar </w:t>
      </w:r>
      <w:r w:rsidR="00417EC9">
        <w:t>denozumab</w:t>
      </w:r>
      <w:r w:rsidRPr="00882AF5">
        <w:t>u turpināja 10 gadus (n = 1278), jaunu vertebrālu un nevertebrālu lūzumu kumulatīvā sastopamība bija attiecīgi apmēram 6,8% un 13,1%. Pacient</w:t>
      </w:r>
      <w:r w:rsidR="003A7915" w:rsidRPr="00882AF5">
        <w:t xml:space="preserve">ēm, kuras </w:t>
      </w:r>
      <w:r w:rsidRPr="00882AF5">
        <w:t>kāda iemesla dēļ nepabeidza pētījumu, bija lielāki ar ārstēšanu saistītu lūzumu rādītāji.</w:t>
      </w:r>
    </w:p>
    <w:p w14:paraId="1BC54DEF" w14:textId="77777777" w:rsidR="009214A2" w:rsidRPr="00882AF5" w:rsidRDefault="009214A2" w:rsidP="008B4ED7"/>
    <w:p w14:paraId="7B4B981F" w14:textId="77777777" w:rsidR="008603DE" w:rsidRPr="00882AF5" w:rsidRDefault="00EF4A9D" w:rsidP="008B4ED7">
      <w:r w:rsidRPr="00882AF5">
        <w:t>Pagarinātā pētījuma laikā radās trīspadsmit atzīti žokļa osteonekrozes (ŽON) gadījumi un divi atzīti netipiski augšstilba kaula lūzumi.</w:t>
      </w:r>
    </w:p>
    <w:p w14:paraId="1E17D659" w14:textId="77777777" w:rsidR="009214A2" w:rsidRPr="00882AF5" w:rsidRDefault="009214A2" w:rsidP="008B4ED7"/>
    <w:p w14:paraId="1386DC31" w14:textId="77777777" w:rsidR="002C7BCD" w:rsidRPr="00882AF5" w:rsidRDefault="002C7BCD" w:rsidP="008B4ED7">
      <w:pPr>
        <w:keepNext/>
        <w:rPr>
          <w:u w:val="single"/>
        </w:rPr>
      </w:pPr>
      <w:r w:rsidRPr="00882AF5">
        <w:rPr>
          <w:u w:val="single"/>
        </w:rPr>
        <w:t>Klīniskā efektivitāte un drošums vīriešiem ar osteoporozi</w:t>
      </w:r>
    </w:p>
    <w:p w14:paraId="37B9FEB2" w14:textId="77777777" w:rsidR="00233FFD" w:rsidRPr="00882AF5" w:rsidRDefault="00233FFD" w:rsidP="008B4ED7">
      <w:pPr>
        <w:keepNext/>
      </w:pPr>
    </w:p>
    <w:p w14:paraId="756CC3A9" w14:textId="4B4CE627" w:rsidR="008603DE" w:rsidRPr="00882AF5" w:rsidRDefault="00417EC9" w:rsidP="008B4ED7">
      <w:r>
        <w:t>Denozumab</w:t>
      </w:r>
      <w:r w:rsidR="003A7915" w:rsidRPr="00882AF5">
        <w:t xml:space="preserve">a </w:t>
      </w:r>
      <w:r w:rsidR="00233FFD" w:rsidRPr="00882AF5">
        <w:t>efektivitāte un drošums, lietojot vienu reizi ik pēc 6 mēnešiem 1 gadu, tika pētīts 242 vīriešiem vecumā no 31</w:t>
      </w:r>
      <w:r w:rsidR="003A7915" w:rsidRPr="00882AF5">
        <w:t>–</w:t>
      </w:r>
      <w:r w:rsidR="00233FFD" w:rsidRPr="00882AF5">
        <w:t>84 gadiem. No pētījuma tika izslēgti pacienti ar</w:t>
      </w:r>
      <w:r w:rsidR="00EC75C2" w:rsidRPr="00882AF5">
        <w:t xml:space="preserve"> </w:t>
      </w:r>
      <w:r w:rsidR="00A83C1A">
        <w:t>a</w:t>
      </w:r>
      <w:r w:rsidR="00EC75C2" w:rsidRPr="00882AF5">
        <w:t xml:space="preserve">GFĀ </w:t>
      </w:r>
      <w:r w:rsidR="00233FFD" w:rsidRPr="00882AF5">
        <w:t>&lt; 30 ml/min/1,73 m</w:t>
      </w:r>
      <w:r w:rsidR="00233FFD" w:rsidRPr="00882AF5">
        <w:rPr>
          <w:vertAlign w:val="superscript"/>
        </w:rPr>
        <w:t>2</w:t>
      </w:r>
      <w:r w:rsidR="00233FFD" w:rsidRPr="00882AF5">
        <w:t>. Visi vīrieši katru dienu saņēma kalcija (vismaz 1000 mg) un D vitamīna (vismaz 800 SV) papildterapiju.</w:t>
      </w:r>
    </w:p>
    <w:p w14:paraId="689B11CB" w14:textId="77777777" w:rsidR="00233FFD" w:rsidRPr="00882AF5" w:rsidRDefault="00233FFD" w:rsidP="008B4ED7"/>
    <w:p w14:paraId="20068C10" w14:textId="361F0226" w:rsidR="008603DE" w:rsidRPr="00882AF5" w:rsidRDefault="00233FFD" w:rsidP="008B4ED7">
      <w:r w:rsidRPr="00882AF5">
        <w:t xml:space="preserve">Primārais efektivitātes kritērijs bija procentuālās izmaiņas jostas daļas mugurkaula skriemeļu KMB; efektivitāte attiecībā uz lūzumu netika vērtēta. Pēc 12 mēnešiem </w:t>
      </w:r>
      <w:r w:rsidR="00417EC9">
        <w:t>denozumab</w:t>
      </w:r>
      <w:r w:rsidR="007D5CB4" w:rsidRPr="00882AF5">
        <w:t xml:space="preserve">s </w:t>
      </w:r>
      <w:r w:rsidRPr="00882AF5">
        <w:t xml:space="preserve">būtiski palielināja KMB visās klīniski vērtētajās vietās salīdzinājumā ar placebo: 4,8% jostas daļas mugurkaula skriemeļos, 2,0% visā gūžā, 2,2% augšstilba kaula kakliņā, 2,3% gūžas grozītājā un 0,9% spieķa kaula distālā trešdaļā (visi p &lt; 0,05). Pēc 1 gada </w:t>
      </w:r>
      <w:r w:rsidR="00417EC9">
        <w:t>denozumab</w:t>
      </w:r>
      <w:r w:rsidR="007D5CB4" w:rsidRPr="00882AF5">
        <w:t xml:space="preserve">s </w:t>
      </w:r>
      <w:r w:rsidRPr="00882AF5">
        <w:t>palielināja jostas daļas mugurkaula skriemeļu KMB, salīdzinot ar sākotnējo, 94,7% vīriešu. Pēc 6 mēnešiem novēroja nozīmīgu KMB palielināšanos jostas daļas mugurkaula skriemeļos, visā gūžā, augšstilba kaula kakliņā un gūžas grozītājā (p &lt;0,0001).</w:t>
      </w:r>
    </w:p>
    <w:p w14:paraId="36380A32" w14:textId="77777777" w:rsidR="00233FFD" w:rsidRPr="00882AF5" w:rsidRDefault="00233FFD" w:rsidP="008B4ED7"/>
    <w:p w14:paraId="1EEBE57A" w14:textId="77777777" w:rsidR="002C7BCD" w:rsidRPr="00882AF5" w:rsidRDefault="00233FFD" w:rsidP="008B4ED7">
      <w:pPr>
        <w:keepNext/>
        <w:rPr>
          <w:u w:val="single"/>
        </w:rPr>
      </w:pPr>
      <w:r w:rsidRPr="00882AF5">
        <w:rPr>
          <w:u w:val="single"/>
        </w:rPr>
        <w:lastRenderedPageBreak/>
        <w:t>Kaulu histoloģija sievietēm pēcmenopauzes periodā un vīriešiem ar osteoporozi</w:t>
      </w:r>
    </w:p>
    <w:p w14:paraId="5ACF2D78" w14:textId="77777777" w:rsidR="00233FFD" w:rsidRPr="00882AF5" w:rsidRDefault="00233FFD" w:rsidP="008B4ED7">
      <w:pPr>
        <w:keepNext/>
      </w:pPr>
    </w:p>
    <w:p w14:paraId="59103E9E" w14:textId="7456F8A0" w:rsidR="008603DE" w:rsidRPr="00882AF5" w:rsidRDefault="009214A2" w:rsidP="008B4ED7">
      <w:r w:rsidRPr="00882AF5">
        <w:t xml:space="preserve">Kaulu histoloģiju noteica 62 sievietēm pēcmenopauzes periodā ar osteoporozi vai ar mazu kaulaudu masu, kurām osteoporoze nekad nebija ārstēta vai kuras pārgāja no iepriekšējas alendronāta terapijas uz </w:t>
      </w:r>
      <w:r w:rsidR="00417EC9">
        <w:t>denozumab</w:t>
      </w:r>
      <w:r w:rsidR="00205AB2" w:rsidRPr="00882AF5">
        <w:t xml:space="preserve">u </w:t>
      </w:r>
      <w:r w:rsidRPr="00882AF5">
        <w:t>un turpināja to 1</w:t>
      </w:r>
      <w:r w:rsidR="00205AB2" w:rsidRPr="00882AF5">
        <w:t>–</w:t>
      </w:r>
      <w:r w:rsidRPr="00882AF5">
        <w:t>3 gadus. Pagarinātā pētījuma sievietēm p</w:t>
      </w:r>
      <w:r w:rsidR="009D6ABE">
        <w:t>ēc</w:t>
      </w:r>
      <w:r w:rsidRPr="00882AF5">
        <w:t xml:space="preserve">menopauzes periodā ar osteoporozi kaulu biopsijas apakšpētījumā piedalījās piecdesmit deviņas sievietes 24. mēnesī (n = 41) un/vai 84. mēnesī (n = 22). Kaulu histoloģija tika novērtēta arī </w:t>
      </w:r>
      <w:r w:rsidR="00205AB2" w:rsidRPr="00882AF5">
        <w:t>17 </w:t>
      </w:r>
      <w:r w:rsidRPr="00882AF5">
        <w:t xml:space="preserve">vīriešiem ar osteoporozi pēc 1 gada ārstēšanas ar </w:t>
      </w:r>
      <w:r w:rsidR="00417EC9">
        <w:t>denozumab</w:t>
      </w:r>
      <w:r w:rsidR="00205AB2" w:rsidRPr="00882AF5">
        <w:t>u</w:t>
      </w:r>
      <w:r w:rsidRPr="00882AF5">
        <w:t xml:space="preserve">. Kaulu biopsijas rezultāti uzrādīja normālu kaula struktūru un kvalitāti bez liecībām par mineralizācijas defektiem, izlocītu kaulu vai kaulu smadzeņu fibrozi. Histomorfometrijas atrades pagarinātā pētījumā sievietēm pēcmenopauzes periodā ar osteoporozi liecināja, ka </w:t>
      </w:r>
      <w:r w:rsidR="00417EC9">
        <w:t>denozumab</w:t>
      </w:r>
      <w:r w:rsidR="00205AB2" w:rsidRPr="00882AF5">
        <w:t>a</w:t>
      </w:r>
      <w:r w:rsidR="00205AB2" w:rsidRPr="00882AF5" w:rsidDel="00205AB2">
        <w:t xml:space="preserve"> </w:t>
      </w:r>
      <w:r w:rsidRPr="00882AF5">
        <w:t>antirezorbtīvā iedarbība, mērīta ar aktivācijas biežumu un kaulu veidošanās ātrumu, laika gaitā saglabājās.</w:t>
      </w:r>
    </w:p>
    <w:p w14:paraId="5F3F0E0F" w14:textId="77777777" w:rsidR="00233FFD" w:rsidRPr="00882AF5" w:rsidRDefault="00233FFD" w:rsidP="008B4ED7"/>
    <w:p w14:paraId="110B4D6A" w14:textId="77777777" w:rsidR="00992A6A" w:rsidRPr="00882AF5" w:rsidRDefault="002C7BCD" w:rsidP="008B4ED7">
      <w:pPr>
        <w:keepNext/>
        <w:rPr>
          <w:u w:val="single"/>
        </w:rPr>
      </w:pPr>
      <w:r w:rsidRPr="00882AF5">
        <w:rPr>
          <w:u w:val="single"/>
        </w:rPr>
        <w:t>Klīniskā efektivitāte un drošums pacientiem ar kaulaudu zudumu, kas saistīts ar androgēnu deprivāciju</w:t>
      </w:r>
    </w:p>
    <w:p w14:paraId="79A58790" w14:textId="77777777" w:rsidR="002C7BCD" w:rsidRPr="00882AF5" w:rsidRDefault="002C7BCD" w:rsidP="008B4ED7">
      <w:pPr>
        <w:keepNext/>
      </w:pPr>
    </w:p>
    <w:p w14:paraId="5E4E9805" w14:textId="478D1A92" w:rsidR="008603DE" w:rsidRPr="00882AF5" w:rsidRDefault="00417EC9" w:rsidP="008B4ED7">
      <w:r>
        <w:t>Denozumab</w:t>
      </w:r>
      <w:r w:rsidR="005C6834" w:rsidRPr="00882AF5">
        <w:t xml:space="preserve">a </w:t>
      </w:r>
      <w:r w:rsidR="00992A6A" w:rsidRPr="00882AF5">
        <w:t>drošums un efektivitāte, lietojot to vienu reizi ik pēc 6 mēnešiem 3 gadus, tika pētīts ADT saņēmušiem vīriešiem ar histoloģiski apstiprinātu nemetastātisku prostatas vēzi (1468 vīrieši vecumā no 48</w:t>
      </w:r>
      <w:r w:rsidR="005C6834" w:rsidRPr="00882AF5">
        <w:t>–</w:t>
      </w:r>
      <w:r w:rsidR="00992A6A" w:rsidRPr="00882AF5">
        <w:t>97 gadiem), kuriem bija paaugstināts lūzumu risks (definēts kā &gt; 70 gadi vai &lt; 70 gadi un mugurkaula jostas daļas skriemeļu, visas gūžas vai augšstilba kaula kakliņa KMB T</w:t>
      </w:r>
      <w:r w:rsidR="00992A6A" w:rsidRPr="00882AF5">
        <w:noBreakHyphen/>
        <w:t>rādītājs &lt; </w:t>
      </w:r>
      <w:r w:rsidR="00992A6A" w:rsidRPr="00882AF5">
        <w:noBreakHyphen/>
        <w:t>1,0, vai osteoporotiski lūzumi). Visi vīrieši papildus saņēma vienreiz dienā kalciju (vismaz 1000 mg) un D vitamīnu (vismaz 400 SV).</w:t>
      </w:r>
    </w:p>
    <w:p w14:paraId="082AE9A3" w14:textId="77777777" w:rsidR="00992A6A" w:rsidRPr="00882AF5" w:rsidRDefault="00992A6A" w:rsidP="008B4ED7"/>
    <w:p w14:paraId="7151C251" w14:textId="0B41240A" w:rsidR="00992A6A" w:rsidRPr="00882AF5" w:rsidRDefault="00417EC9" w:rsidP="008B4ED7">
      <w:r>
        <w:t>Denozumab</w:t>
      </w:r>
      <w:r w:rsidR="005C6834" w:rsidRPr="00882AF5">
        <w:t>s</w:t>
      </w:r>
      <w:r w:rsidR="00992A6A" w:rsidRPr="00882AF5">
        <w:t>, salīdzinot ar placebo, pēc 3 gadiem ievērojami paaugstināja KMB mērītajās klīniskajās vietās: par 7,9% mugurkaula jostas daļas skriemeļos, par 5,7% visā gūžā, par 4,9% augšstilba kaula kakliņā, par 6,9% gūžas kaula trohanterā, par 6,9% spieķa kaula distālajā trešdaļā un par 4,7% visā skeletā (visam p &lt; 0,0001). Prospektīvi plānotā pētnieciskā analīzē tika konstatēts būtisks KMB pieaugums mugurkaula jostas daļas skriemeļos, visā gūžā, augšstilba kaula kakliņā un augšstilba kaula trohanterā jau 1 mēnesī pēc sākuma devas ievadīšanas.</w:t>
      </w:r>
    </w:p>
    <w:p w14:paraId="68988ECA" w14:textId="77777777" w:rsidR="00992A6A" w:rsidRPr="00882AF5" w:rsidRDefault="00992A6A" w:rsidP="008B4ED7"/>
    <w:p w14:paraId="3FAAD4D8" w14:textId="7DC8EC11" w:rsidR="008603DE" w:rsidRPr="00882AF5" w:rsidRDefault="00417EC9" w:rsidP="008B4ED7">
      <w:r>
        <w:t>Denozumab</w:t>
      </w:r>
      <w:r w:rsidR="00104061" w:rsidRPr="00882AF5">
        <w:t xml:space="preserve">a </w:t>
      </w:r>
      <w:r w:rsidR="00D475CF" w:rsidRPr="00882AF5">
        <w:t>terapija uzrādīja ievērojamu jaunu vertebrālu lūzumu relatīvā riska samazināšanos: par 85% (1,6% absolūtā riska samazināšanās) pēc 1 gada, par 69% (2,2% absolūtā riska samazināšanās) pēc 2 gadiem un par 62% (2,4% absolūtā riska samazināšanās) pēc 3 gadiem (visam p &lt; 0,01).</w:t>
      </w:r>
    </w:p>
    <w:p w14:paraId="17B426CE" w14:textId="77777777" w:rsidR="00992A6A" w:rsidRPr="00882AF5" w:rsidRDefault="00992A6A" w:rsidP="008B4ED7"/>
    <w:p w14:paraId="7541797C" w14:textId="77777777" w:rsidR="00992A6A" w:rsidRPr="00882AF5" w:rsidRDefault="000239F8" w:rsidP="008B4ED7">
      <w:pPr>
        <w:keepNext/>
        <w:rPr>
          <w:u w:val="single"/>
        </w:rPr>
      </w:pPr>
      <w:r w:rsidRPr="00882AF5">
        <w:rPr>
          <w:u w:val="single"/>
        </w:rPr>
        <w:t>Klīniskā efektivitāte un drošums pacientiem ar kaulaudu zudumu, kas saistīts ar adjuvantu aromatāzes inhibitoru terapiju</w:t>
      </w:r>
    </w:p>
    <w:p w14:paraId="6BDE8347" w14:textId="77777777" w:rsidR="000239F8" w:rsidRPr="00882AF5" w:rsidRDefault="000239F8" w:rsidP="008B4ED7">
      <w:pPr>
        <w:keepNext/>
      </w:pPr>
    </w:p>
    <w:p w14:paraId="525F3719" w14:textId="201533DA" w:rsidR="008603DE" w:rsidRPr="00882AF5" w:rsidRDefault="00417EC9" w:rsidP="008B4ED7">
      <w:r>
        <w:t>Denozumab</w:t>
      </w:r>
      <w:r w:rsidR="00104061" w:rsidRPr="00882AF5">
        <w:t xml:space="preserve">a </w:t>
      </w:r>
      <w:r w:rsidR="00992A6A" w:rsidRPr="00882AF5">
        <w:t>efektivitātes un drošuma pētījumi, lietojot to reizi 6 mēnešos 2 gadus, tika veikti sievietēm ar nemetastātisku krūts vēzi (252 sievietes vecumā no 35–84 gadiem), kurām sākotnējais KMB T-rādītājs mugurkaula jostas daļas skriemeļos, visā gūžā vai augšstilba kaula kakliņā bija starp –1,0 un –2,5. Visas sievietes dienā papildus saņēma kalciju (vismaz 1000 mg) un D vitamīnu (vismaz 400 SV).</w:t>
      </w:r>
    </w:p>
    <w:p w14:paraId="29D1A11C" w14:textId="77777777" w:rsidR="00992A6A" w:rsidRPr="00882AF5" w:rsidRDefault="00992A6A" w:rsidP="008B4ED7"/>
    <w:p w14:paraId="6A1E7FA5" w14:textId="6872E66B" w:rsidR="008603DE" w:rsidRPr="00882AF5" w:rsidRDefault="00992A6A" w:rsidP="008B4ED7">
      <w:r w:rsidRPr="00882AF5">
        <w:t xml:space="preserve">Primārais efektivitātes kritērijs bija procentuālās izmaiņas jostas daļas mugurkaula skriemeļu KMB; efektivitāte attiecībā uz lūzumu netika vērtēta. </w:t>
      </w:r>
      <w:r w:rsidR="00417EC9">
        <w:t>Denozumab</w:t>
      </w:r>
      <w:r w:rsidR="00104061" w:rsidRPr="00882AF5">
        <w:t xml:space="preserve">a </w:t>
      </w:r>
      <w:r w:rsidRPr="00882AF5">
        <w:t>terapija pēc 2 gadiem būtiski paaugstināja KMB visās mērītajās klīniskajās vietās, salīdzinot ar placebo: par 7,6% mugurkaula jostas daļas skriemeļos, par 4,7% visā gūžā, par 3,6% augšstilba kaula kakliņā, par 5,9% gūžas kaula trohanterā, par 6,1% spieķa kaula distālajā trešdaļā un par 4,2% visā skeletā (visam p &lt; 0,0001).</w:t>
      </w:r>
    </w:p>
    <w:p w14:paraId="2F13B9EE" w14:textId="77777777" w:rsidR="0081033D" w:rsidRPr="00882AF5" w:rsidRDefault="0081033D" w:rsidP="008B4ED7"/>
    <w:p w14:paraId="22D0A2E6" w14:textId="77777777" w:rsidR="0081033D" w:rsidRPr="00882AF5" w:rsidRDefault="0081033D" w:rsidP="008B4ED7">
      <w:pPr>
        <w:keepNext/>
        <w:rPr>
          <w:u w:val="single"/>
        </w:rPr>
      </w:pPr>
      <w:r w:rsidRPr="00882AF5">
        <w:rPr>
          <w:u w:val="single"/>
        </w:rPr>
        <w:t>Ar sistēmisku glikokortikoīdu terapiju saistīta kaulaudu zuduma ārstēšana</w:t>
      </w:r>
    </w:p>
    <w:p w14:paraId="39061750" w14:textId="77777777" w:rsidR="0081033D" w:rsidRPr="00882AF5" w:rsidRDefault="0081033D" w:rsidP="008B4ED7">
      <w:pPr>
        <w:keepNext/>
      </w:pPr>
    </w:p>
    <w:p w14:paraId="39B93606" w14:textId="1AFE87DE" w:rsidR="008603DE" w:rsidRPr="00882AF5" w:rsidRDefault="00417EC9" w:rsidP="008B4ED7">
      <w:r>
        <w:t>Denozumab</w:t>
      </w:r>
      <w:r w:rsidR="003A1DB8" w:rsidRPr="00882AF5">
        <w:t xml:space="preserve">a </w:t>
      </w:r>
      <w:r w:rsidR="0081033D" w:rsidRPr="00882AF5">
        <w:t>efektivitāte un drošums, iekšķīgi lietojot ≥ 7,5 mg prednizona (vai līdzvērtīgu zāļu) dienas devu, tika pētīts 795 pacientiem (70% sieviešu un 30% vīriešu) vecumā no 20 līdz 94 gadiem.</w:t>
      </w:r>
    </w:p>
    <w:p w14:paraId="115A557B" w14:textId="77777777" w:rsidR="0081033D" w:rsidRPr="00882AF5" w:rsidRDefault="0081033D" w:rsidP="008B4ED7"/>
    <w:p w14:paraId="518E063B" w14:textId="31AEFFD4" w:rsidR="008603DE" w:rsidRPr="00882AF5" w:rsidRDefault="0081033D" w:rsidP="008B4ED7">
      <w:r w:rsidRPr="00882AF5">
        <w:t xml:space="preserve">Tika pētītas 2 pacientu apakšgrupas: glikokortikoīdu turpināšana (≥ 7,5 mg prednizona vai līdzvērtīgu zāļu dienā ≥ 3 mēnešus pirms iesaistīšanās pētījumā; n = 505) un glikokortikoīdu uzsākšana (≥ 7,5 mg prednizona vai līdzvērtīgu zāļu dienā &lt; 3 mēnešus pirms iesaistīšanās pētījumā; n = 290). Pacienti tika randomizēti (1:1), lai saņemtu 60 mg </w:t>
      </w:r>
      <w:r w:rsidR="00417EC9">
        <w:t>denozumab</w:t>
      </w:r>
      <w:r w:rsidR="003A1DB8" w:rsidRPr="00882AF5">
        <w:t>a</w:t>
      </w:r>
      <w:r w:rsidR="003A1DB8" w:rsidRPr="00882AF5" w:rsidDel="003A1DB8">
        <w:t xml:space="preserve"> </w:t>
      </w:r>
      <w:r w:rsidRPr="00882AF5">
        <w:t xml:space="preserve">ar zemādas injekciju reizi 6 mēnešos vai 5 mg </w:t>
      </w:r>
      <w:r w:rsidRPr="00882AF5">
        <w:lastRenderedPageBreak/>
        <w:t>iekšķīgi lietojamu risedronātu reizi dienā (aktīvā kontrole) 2 gadus. Pacienti katru dienu papildus saņēma kalciju (vismaz 1000 mg) un D vitamīnu (vismaz 800 SV).</w:t>
      </w:r>
    </w:p>
    <w:p w14:paraId="5091E843" w14:textId="77777777" w:rsidR="0081033D" w:rsidRPr="00882AF5" w:rsidRDefault="0081033D" w:rsidP="008B4ED7"/>
    <w:p w14:paraId="08884296" w14:textId="77777777" w:rsidR="008603DE" w:rsidRPr="00882AF5" w:rsidRDefault="0081033D" w:rsidP="008B4ED7">
      <w:pPr>
        <w:keepNext/>
        <w:tabs>
          <w:tab w:val="clear" w:pos="567"/>
        </w:tabs>
        <w:rPr>
          <w:i/>
          <w:iCs/>
        </w:rPr>
      </w:pPr>
      <w:r w:rsidRPr="00882AF5">
        <w:rPr>
          <w:i/>
        </w:rPr>
        <w:t>Ietekme uz kaulu minerālo blīvumu (KMB)</w:t>
      </w:r>
    </w:p>
    <w:p w14:paraId="6E6F2BB6" w14:textId="30834FBA" w:rsidR="0081033D" w:rsidRPr="00882AF5" w:rsidRDefault="0081033D" w:rsidP="008B4ED7">
      <w:r w:rsidRPr="00882AF5">
        <w:t xml:space="preserve">Apakšgrupā, kas turpināja glikokortikoīdu lietošanu, lietojot </w:t>
      </w:r>
      <w:r w:rsidR="00417EC9">
        <w:t>denozumab</w:t>
      </w:r>
      <w:r w:rsidR="00B77260" w:rsidRPr="00882AF5">
        <w:t>u</w:t>
      </w:r>
      <w:r w:rsidRPr="00882AF5">
        <w:t>, bija lielāks mugurkaula jostas daļas KMB pieaugums, salīdzinot ar risedronātu, pēc 1 gada (</w:t>
      </w:r>
      <w:r w:rsidR="00417EC9">
        <w:t>denozumab</w:t>
      </w:r>
      <w:r w:rsidR="00B77260" w:rsidRPr="00882AF5">
        <w:t xml:space="preserve">s </w:t>
      </w:r>
      <w:r w:rsidRPr="00882AF5">
        <w:t>3,6%, risedronāts 2,0%; p &lt; 0,001) un pēc 2 gadiem (</w:t>
      </w:r>
      <w:r w:rsidR="00417EC9">
        <w:t>denozumab</w:t>
      </w:r>
      <w:r w:rsidR="00A83C1A">
        <w:t>s</w:t>
      </w:r>
      <w:r w:rsidR="00B77260" w:rsidRPr="00882AF5">
        <w:t xml:space="preserve"> </w:t>
      </w:r>
      <w:r w:rsidRPr="00882AF5">
        <w:t xml:space="preserve">4,5%, risedronāts 2,2%; p &lt; 0,001). Apakšgrupā, kas uzsāka glikokortikoīdu lietošanu, lietojot </w:t>
      </w:r>
      <w:r w:rsidR="00417EC9">
        <w:t>denozumab</w:t>
      </w:r>
      <w:r w:rsidR="00B77260" w:rsidRPr="00882AF5">
        <w:t>u</w:t>
      </w:r>
      <w:r w:rsidRPr="00882AF5">
        <w:t>, bija lielāks mugurkaula jostas daļas KMB pieaugums, salīdzinot ar risedronātu, pēc 1 gada (</w:t>
      </w:r>
      <w:r w:rsidR="00417EC9">
        <w:t>denozumab</w:t>
      </w:r>
      <w:r w:rsidR="00B77260" w:rsidRPr="00882AF5">
        <w:t xml:space="preserve">s </w:t>
      </w:r>
      <w:r w:rsidRPr="00882AF5">
        <w:t>3,1%, risedronāts 0,8%; p &lt; 0,001) un pēc 2 gadiem (</w:t>
      </w:r>
      <w:r w:rsidR="00417EC9">
        <w:t>denozumab</w:t>
      </w:r>
      <w:r w:rsidR="00B77260" w:rsidRPr="00882AF5">
        <w:t xml:space="preserve">s </w:t>
      </w:r>
      <w:r w:rsidRPr="00882AF5">
        <w:t>4,6%, risedronāts 1,5%; p &lt; 0,001).</w:t>
      </w:r>
    </w:p>
    <w:p w14:paraId="39ECE04D" w14:textId="77777777" w:rsidR="0081033D" w:rsidRPr="00882AF5" w:rsidRDefault="0081033D" w:rsidP="008B4ED7"/>
    <w:p w14:paraId="4F65B520" w14:textId="38965628" w:rsidR="008603DE" w:rsidRPr="00882AF5" w:rsidRDefault="0081033D" w:rsidP="008B4ED7">
      <w:r w:rsidRPr="00882AF5">
        <w:t xml:space="preserve">Turklāt salīdzinājumā ar risedronātu, lietojot </w:t>
      </w:r>
      <w:r w:rsidR="00417EC9">
        <w:t>denozumab</w:t>
      </w:r>
      <w:r w:rsidR="005909CC" w:rsidRPr="00882AF5">
        <w:t>u</w:t>
      </w:r>
      <w:r w:rsidRPr="00882AF5">
        <w:t>, bija ievērojami lielāks vidējais procentuālais KMB pieaugums visā gūžā, augšstilba kaula kakliņā un augšstilba kaula trohanterā, salīdzinot ar sākotnējo stāvokli.</w:t>
      </w:r>
    </w:p>
    <w:p w14:paraId="0BE26D96" w14:textId="77777777" w:rsidR="0081033D" w:rsidRPr="00882AF5" w:rsidRDefault="0081033D" w:rsidP="008B4ED7"/>
    <w:p w14:paraId="0892C89F" w14:textId="519F56CA" w:rsidR="0081033D" w:rsidRPr="00882AF5" w:rsidRDefault="0081033D" w:rsidP="008B4ED7">
      <w:r w:rsidRPr="00882AF5">
        <w:t>Pētījumā netika novērota atšķirība saistībā ar lūzumiem. Pēc 1 gada jaunu radioloģiski apstiprinātu vertebrālu lūzumu sastopamība bija 2,7% (</w:t>
      </w:r>
      <w:r w:rsidR="00417EC9">
        <w:t>denozumab</w:t>
      </w:r>
      <w:r w:rsidRPr="00882AF5">
        <w:t>am) un 3,2% (risedronātam). Nevertebrālu lūzumu sastopamība pacientiem bija 4,3% (</w:t>
      </w:r>
      <w:r w:rsidR="00417EC9">
        <w:t>denozumab</w:t>
      </w:r>
      <w:r w:rsidRPr="00882AF5">
        <w:t>am) un 2,5% (risedronātam). Pēc 2 gadiem attiecīgie rādītāji jauniem radioloģiski apstiprinātiem vertebrāliem lūzumiem bija 4,1% un 5,8% un nevertebrāliem lūzumiem tie bija 5,3% un 3,8%. Lielākā daļa lūzumu bija apakšgrupā, kas turpināja glikokortikoīdu lietošanu.</w:t>
      </w:r>
    </w:p>
    <w:p w14:paraId="022726ED" w14:textId="77777777" w:rsidR="00D475CF" w:rsidRPr="00882AF5" w:rsidRDefault="00D475CF" w:rsidP="008B4ED7"/>
    <w:p w14:paraId="330CF730" w14:textId="77777777" w:rsidR="00D475CF" w:rsidRPr="00882AF5" w:rsidRDefault="00D475CF" w:rsidP="008B4ED7">
      <w:pPr>
        <w:keepNext/>
        <w:rPr>
          <w:u w:val="single"/>
        </w:rPr>
      </w:pPr>
      <w:r w:rsidRPr="00882AF5">
        <w:rPr>
          <w:u w:val="single"/>
        </w:rPr>
        <w:t>Pediatriskā populācija</w:t>
      </w:r>
    </w:p>
    <w:p w14:paraId="1373C2E9" w14:textId="77777777" w:rsidR="00DD1080" w:rsidRPr="00882AF5" w:rsidRDefault="00DD1080" w:rsidP="008B4ED7">
      <w:pPr>
        <w:keepNext/>
      </w:pPr>
    </w:p>
    <w:p w14:paraId="548E4930" w14:textId="68D1556D" w:rsidR="00A6401A" w:rsidRPr="00882AF5" w:rsidRDefault="00A6401A" w:rsidP="00A6401A">
      <w:r w:rsidRPr="00882AF5">
        <w:t xml:space="preserve">Tika veikts vienas grupas 3. fāzes pētījums, kurā tika novērtēta efektivitāte, drošums un farmakokinētika 2–17 gadus veciem bērniem ar </w:t>
      </w:r>
      <w:r w:rsidRPr="00882AF5">
        <w:rPr>
          <w:i/>
        </w:rPr>
        <w:t>osteogenesis imperfecta</w:t>
      </w:r>
      <w:r w:rsidRPr="00882AF5">
        <w:t xml:space="preserve">; 52,3% pacientu bija vīriešu dzimuma, 88,2% pacientu bija baltās rases pārstāvji. Kopumā 153 pacienti sākotnēji subkutāni (s.c.) ik pēc 6 mēnešiem 36 mēnešu periodā saņēma </w:t>
      </w:r>
      <w:r w:rsidR="00417EC9">
        <w:t>denozumab</w:t>
      </w:r>
      <w:r w:rsidRPr="00882AF5">
        <w:t>u 1 mg/kg līdz maksimāli 60 mg. Sešdesmit pacienti pārgāja uz devas saņemšanu ik pēc 3 mēnešiem.</w:t>
      </w:r>
    </w:p>
    <w:p w14:paraId="1D1B765E" w14:textId="77777777" w:rsidR="00A47BFC" w:rsidRPr="00882AF5" w:rsidRDefault="00A47BFC" w:rsidP="00A6401A"/>
    <w:p w14:paraId="719A89FB" w14:textId="252CF124" w:rsidR="00A6401A" w:rsidRPr="00882AF5" w:rsidRDefault="00A6401A" w:rsidP="00A6401A">
      <w:r w:rsidRPr="00882AF5">
        <w:t>12. mēnesī pēc devu saņemšanas ik pēc 3 mēnešiem mazāko kvadrātu (MK) vidējās vērtības (standartkļūda, SK) izmaiņas mugurkaula jostas daļas KMB Z rādītājam salīdzinājumā ar sākotnējo vērtību bija 1,01 (0,12).</w:t>
      </w:r>
    </w:p>
    <w:p w14:paraId="09A73E60" w14:textId="77777777" w:rsidR="00A47BFC" w:rsidRPr="00882AF5" w:rsidRDefault="00A47BFC" w:rsidP="00A6401A"/>
    <w:p w14:paraId="50AC5054" w14:textId="25396736" w:rsidR="00A6401A" w:rsidRPr="00882AF5" w:rsidRDefault="000B1429" w:rsidP="00A6401A">
      <w:r w:rsidRPr="00882AF5">
        <w:t>Visbiežākās nevēlamās blakusparādības, par kurām tika ziņots, saņemot devas ik pēc 6 mēnešiem, bija artralģija (45,8%), sāpes ekstremitātēs (37,9%), muguras sāpes (32,7%) un hiperkalciūrija (32,0%). Tika ziņots par hiperkalciēmiju, saņemot devas ik pēc 6 mēnešiem (19%) un ik pēc 3 mēnešiem (36,7%). Tika ziņots par nopietnām nevēlamām blakusparādībām — hiperkalciēmiju (13,3%), saņemot devas ik pēc 3 mēnešiem.</w:t>
      </w:r>
    </w:p>
    <w:p w14:paraId="044D64D3" w14:textId="77777777" w:rsidR="00A47BFC" w:rsidRPr="00882AF5" w:rsidRDefault="00A47BFC" w:rsidP="00A6401A"/>
    <w:p w14:paraId="7D9280F3" w14:textId="2B5254C1" w:rsidR="00A6401A" w:rsidRPr="00882AF5" w:rsidRDefault="00A6401A" w:rsidP="00A6401A">
      <w:r w:rsidRPr="00882AF5">
        <w:t>Pagarinājuma pētījumā (n = 75) tika novērotas nopietnas nevēlamās blakusparādības — hiperkalciēmija (18,5%), saņemot devas ik pēc 3 mēnešiem.</w:t>
      </w:r>
    </w:p>
    <w:p w14:paraId="1EB16075" w14:textId="77777777" w:rsidR="00A47BFC" w:rsidRPr="00882AF5" w:rsidRDefault="00A47BFC" w:rsidP="00A6401A"/>
    <w:p w14:paraId="190EFC94" w14:textId="511CBEEA" w:rsidR="00A6401A" w:rsidRPr="00882AF5" w:rsidRDefault="00A6401A" w:rsidP="00A6401A">
      <w:r w:rsidRPr="00882AF5">
        <w:t>Pētījumi tika priekšlaikus pārtraukti, jo radās dzīvību apdraudoši stāvokļi un bija nepieciešama hospitalizācija hiperkalciēmijas dēļ (skatīt 4.2. apakšpunktu).</w:t>
      </w:r>
    </w:p>
    <w:p w14:paraId="5DAEDA58" w14:textId="77777777" w:rsidR="006C15EE" w:rsidRPr="00882AF5" w:rsidRDefault="006C15EE" w:rsidP="008B4ED7"/>
    <w:p w14:paraId="5B092049" w14:textId="41C732D4" w:rsidR="00D475CF" w:rsidRPr="00882AF5" w:rsidRDefault="00D475CF" w:rsidP="008B4ED7">
      <w:r w:rsidRPr="00882AF5">
        <w:t xml:space="preserve">Eiropas Zāļu aģentūra ir atsaukusi savu prasību iesniegt pētījumu rezultātus, kas iegūti visās pediatriskās populācijas apakšgrupās, lietojot </w:t>
      </w:r>
      <w:r w:rsidR="00417EC9">
        <w:t>denozumab</w:t>
      </w:r>
      <w:r w:rsidR="00F37E55" w:rsidRPr="00882AF5">
        <w:t xml:space="preserve">u </w:t>
      </w:r>
      <w:r w:rsidRPr="00882AF5">
        <w:t>ar dzimumhormonu ablācijas terapiju saistīta kaulaudu zuduma ārstēšanā, un osteoporozes ārstēšanā pediatriskās populācijas apakšgrupās līdz 2 gadu vecumam. Informāciju par lietošanu pediatriskā populācijā skatīt 4.2. apakšpunktā.</w:t>
      </w:r>
    </w:p>
    <w:p w14:paraId="082880D7" w14:textId="77777777" w:rsidR="00992A6A" w:rsidRPr="00882AF5" w:rsidRDefault="00992A6A" w:rsidP="008B4ED7"/>
    <w:p w14:paraId="14E3764D" w14:textId="77777777" w:rsidR="00992A6A" w:rsidRPr="00882AF5" w:rsidRDefault="00A77D74" w:rsidP="008B4ED7">
      <w:pPr>
        <w:keepNext/>
        <w:ind w:left="567" w:hanging="567"/>
        <w:rPr>
          <w:b/>
        </w:rPr>
      </w:pPr>
      <w:r w:rsidRPr="00882AF5">
        <w:rPr>
          <w:b/>
        </w:rPr>
        <w:t>5.2.</w:t>
      </w:r>
      <w:r w:rsidRPr="00882AF5">
        <w:rPr>
          <w:b/>
        </w:rPr>
        <w:tab/>
        <w:t>Farmakokinētiskās īpašības</w:t>
      </w:r>
    </w:p>
    <w:p w14:paraId="753E124E" w14:textId="77777777" w:rsidR="00992A6A" w:rsidRPr="00882AF5" w:rsidRDefault="00992A6A" w:rsidP="008B4ED7">
      <w:pPr>
        <w:keepNext/>
      </w:pPr>
    </w:p>
    <w:p w14:paraId="69512C3A" w14:textId="77777777" w:rsidR="00992A6A" w:rsidRPr="00882AF5" w:rsidRDefault="00992A6A" w:rsidP="008B4ED7">
      <w:pPr>
        <w:keepNext/>
        <w:rPr>
          <w:u w:val="single"/>
        </w:rPr>
      </w:pPr>
      <w:r w:rsidRPr="00882AF5">
        <w:rPr>
          <w:u w:val="single"/>
        </w:rPr>
        <w:t>Uzsūkšanās</w:t>
      </w:r>
    </w:p>
    <w:p w14:paraId="6A1A8A81" w14:textId="77777777" w:rsidR="00DD1080" w:rsidRPr="00882AF5" w:rsidRDefault="00DD1080" w:rsidP="008B4ED7">
      <w:pPr>
        <w:keepNext/>
      </w:pPr>
    </w:p>
    <w:p w14:paraId="1740641D" w14:textId="11F5CF00" w:rsidR="00992A6A" w:rsidRPr="00882AF5" w:rsidRDefault="00992A6A" w:rsidP="008B4ED7">
      <w:r w:rsidRPr="00882AF5">
        <w:t xml:space="preserve">Pēc subkutānas 1,0 mg/kg devas ievadīšanas, kas aptuveni atbilst apstiprinātajai devai 60 mg, iedarbība, pamatojoties uz AUC, bija 78%, salīdzinot ar tādas pašas devas ievadīšanu intravenozi. Pēc </w:t>
      </w:r>
      <w:r w:rsidRPr="00882AF5">
        <w:lastRenderedPageBreak/>
        <w:t xml:space="preserve">60 mg subkutānas devas ievadīšanas maksimālā </w:t>
      </w:r>
      <w:r w:rsidR="00417EC9">
        <w:t>denozumab</w:t>
      </w:r>
      <w:r w:rsidRPr="00882AF5">
        <w:t>a koncentrācija serumā (C</w:t>
      </w:r>
      <w:r w:rsidRPr="00882AF5">
        <w:rPr>
          <w:vertAlign w:val="subscript"/>
        </w:rPr>
        <w:t>max</w:t>
      </w:r>
      <w:r w:rsidRPr="00882AF5">
        <w:t>) 6 µg/ml (robežas no 1</w:t>
      </w:r>
      <w:r w:rsidR="004F7EEF">
        <w:t>–</w:t>
      </w:r>
      <w:r w:rsidRPr="00882AF5">
        <w:t>17 µg/ml) tika sasniegta 10 dienās (robežās no 2</w:t>
      </w:r>
      <w:r w:rsidRPr="00882AF5">
        <w:noBreakHyphen/>
        <w:t>28 dienām).</w:t>
      </w:r>
    </w:p>
    <w:p w14:paraId="1C4D5992" w14:textId="77777777" w:rsidR="00992A6A" w:rsidRPr="00882AF5" w:rsidRDefault="00992A6A" w:rsidP="008B4ED7"/>
    <w:p w14:paraId="5E71EFE2" w14:textId="77777777" w:rsidR="00992A6A" w:rsidRPr="00882AF5" w:rsidRDefault="00992A6A" w:rsidP="008B4ED7">
      <w:pPr>
        <w:keepNext/>
        <w:rPr>
          <w:u w:val="single"/>
        </w:rPr>
      </w:pPr>
      <w:r w:rsidRPr="00882AF5">
        <w:rPr>
          <w:u w:val="single"/>
        </w:rPr>
        <w:t>Biotransformācija</w:t>
      </w:r>
    </w:p>
    <w:p w14:paraId="540C93A2" w14:textId="77777777" w:rsidR="00DD1080" w:rsidRPr="00882AF5" w:rsidRDefault="00DD1080" w:rsidP="008B4ED7">
      <w:pPr>
        <w:keepNext/>
      </w:pPr>
    </w:p>
    <w:p w14:paraId="0188823A" w14:textId="5A0BDADB" w:rsidR="00992A6A" w:rsidRPr="00882AF5" w:rsidRDefault="00417EC9" w:rsidP="008B4ED7">
      <w:r>
        <w:t>Denozumab</w:t>
      </w:r>
      <w:r w:rsidR="00992A6A" w:rsidRPr="00882AF5">
        <w:t>s sastāv tikai no aminoskābēm un ogļhidrātiem kā dabīgais im</w:t>
      </w:r>
      <w:r w:rsidR="008C12CD">
        <w:t>ūn</w:t>
      </w:r>
      <w:r w:rsidR="00992A6A" w:rsidRPr="00882AF5">
        <w:t xml:space="preserve">globulīns, un maz ticams, ka tā eliminācija noritēs caur aknu metabolisko mehānismu. Sagaidāms, ka </w:t>
      </w:r>
      <w:r>
        <w:t>denozumab</w:t>
      </w:r>
      <w:r w:rsidR="00992A6A" w:rsidRPr="00882AF5">
        <w:t>a metabolisms un eliminācija ies pa im</w:t>
      </w:r>
      <w:r w:rsidR="008C12CD">
        <w:t>ū</w:t>
      </w:r>
      <w:r w:rsidR="00992A6A" w:rsidRPr="00882AF5">
        <w:t>nglobulīna klīrensa ceļu, kā rezultātā tas sadalīsies par nelieliem peptīdiem un atsevišķām aminoskābēm.</w:t>
      </w:r>
    </w:p>
    <w:p w14:paraId="6CF88C69" w14:textId="77777777" w:rsidR="00992A6A" w:rsidRPr="00882AF5" w:rsidRDefault="00992A6A" w:rsidP="008B4ED7"/>
    <w:p w14:paraId="162F91D5" w14:textId="77777777" w:rsidR="00992A6A" w:rsidRPr="00882AF5" w:rsidRDefault="00992A6A" w:rsidP="008B4ED7">
      <w:pPr>
        <w:keepNext/>
        <w:rPr>
          <w:u w:val="single"/>
        </w:rPr>
      </w:pPr>
      <w:r w:rsidRPr="00882AF5">
        <w:rPr>
          <w:u w:val="single"/>
        </w:rPr>
        <w:t>Eliminācija</w:t>
      </w:r>
    </w:p>
    <w:p w14:paraId="39FA56CB" w14:textId="77777777" w:rsidR="00DD1080" w:rsidRPr="00882AF5" w:rsidRDefault="00DD1080" w:rsidP="008B4ED7">
      <w:pPr>
        <w:keepNext/>
      </w:pPr>
    </w:p>
    <w:p w14:paraId="53E08F59" w14:textId="13D7F082" w:rsidR="00992A6A" w:rsidRPr="00882AF5" w:rsidRDefault="00992A6A" w:rsidP="008B4ED7">
      <w:r w:rsidRPr="00882AF5">
        <w:t>Pēc C</w:t>
      </w:r>
      <w:r w:rsidRPr="00882AF5">
        <w:rPr>
          <w:vertAlign w:val="subscript"/>
        </w:rPr>
        <w:t>max</w:t>
      </w:r>
      <w:r w:rsidRPr="00882AF5">
        <w:t xml:space="preserve"> sasniegšanas koncentrācija serumā pazeminājās ar eliminācijas pusperiodu 26 dienas (robežās no 6</w:t>
      </w:r>
      <w:r w:rsidR="00492F05" w:rsidRPr="00882AF5">
        <w:t>–</w:t>
      </w:r>
      <w:r w:rsidRPr="00882AF5">
        <w:t>52 dienām) 3 mēnešos (robežās no 1,5</w:t>
      </w:r>
      <w:r w:rsidR="00492F05" w:rsidRPr="00882AF5">
        <w:t>–</w:t>
      </w:r>
      <w:r w:rsidRPr="00882AF5">
        <w:t xml:space="preserve">4,5 mēnešiem). Piecdesmit trīs procentiem (53%) pacientu 6 mēnešus pēc devas ievadīšanas </w:t>
      </w:r>
      <w:r w:rsidR="00417EC9">
        <w:t>denozumab</w:t>
      </w:r>
      <w:r w:rsidRPr="00882AF5">
        <w:t>s serumā bija nenosakāmā daudzumā.</w:t>
      </w:r>
    </w:p>
    <w:p w14:paraId="68E82EDC" w14:textId="77777777" w:rsidR="00992A6A" w:rsidRPr="00882AF5" w:rsidRDefault="00992A6A" w:rsidP="008B4ED7"/>
    <w:p w14:paraId="2E5A8C7C" w14:textId="379AA011" w:rsidR="00992A6A" w:rsidRPr="00882AF5" w:rsidRDefault="00992A6A" w:rsidP="008B4ED7">
      <w:r w:rsidRPr="00882AF5">
        <w:t xml:space="preserve">Pēc daudzām subkutānām 60 mg devām, ko ievadīja vienu reizi ik pēc 6 mēnešiem, nenovēroja </w:t>
      </w:r>
      <w:r w:rsidR="00417EC9">
        <w:t>denozumab</w:t>
      </w:r>
      <w:r w:rsidRPr="00882AF5">
        <w:t xml:space="preserve">a uzkrāšanos vai izmaiņas tā farmakokinētikā šajā laikā. </w:t>
      </w:r>
      <w:r w:rsidR="00417EC9">
        <w:t>Denozumab</w:t>
      </w:r>
      <w:r w:rsidRPr="00882AF5">
        <w:t xml:space="preserve">a farmakokinētiku neietekmēja saistošo antivielu veidošanās pret </w:t>
      </w:r>
      <w:r w:rsidR="00417EC9">
        <w:t>denozumab</w:t>
      </w:r>
      <w:r w:rsidRPr="00882AF5">
        <w:t>u, un tā bija vienāda vīriešiem un sievietēm. Vecums (28</w:t>
      </w:r>
      <w:r w:rsidR="001B0114">
        <w:t>–</w:t>
      </w:r>
      <w:r w:rsidRPr="00882AF5">
        <w:t xml:space="preserve">87 gadi), rase un slimība (maza kaulu masa vai osteoporoze; prostatas vai krūts vēzis) būtiski neietekmēja </w:t>
      </w:r>
      <w:r w:rsidR="00417EC9">
        <w:t>denozumab</w:t>
      </w:r>
      <w:r w:rsidRPr="00882AF5">
        <w:t>a farmakokinētiku.</w:t>
      </w:r>
    </w:p>
    <w:p w14:paraId="62CC2D5D" w14:textId="77777777" w:rsidR="00992A6A" w:rsidRPr="00882AF5" w:rsidRDefault="00992A6A" w:rsidP="008B4ED7"/>
    <w:p w14:paraId="4DF52B17" w14:textId="5818DD41" w:rsidR="008603DE" w:rsidRPr="00882AF5" w:rsidRDefault="00992A6A" w:rsidP="008B4ED7">
      <w:r w:rsidRPr="00882AF5">
        <w:t>Pamatojoties uz AUC un C</w:t>
      </w:r>
      <w:r w:rsidRPr="00882AF5">
        <w:rPr>
          <w:vertAlign w:val="subscript"/>
        </w:rPr>
        <w:t>max</w:t>
      </w:r>
      <w:r w:rsidRPr="00882AF5">
        <w:t>, tika novērota saistība starp lielāku ķermeņa masu un mazāku iedarbību. Tomēr šī saistība nav uzskatāma par klīniski nozīmīgu, jo farmakodinamiskā iedarbība, pamatojoties uz kaulu vielmaiņas marķieriem un KMB pieaugumu, bija konsekventa plašā ķermeņa masas diap</w:t>
      </w:r>
      <w:r w:rsidR="008C12CD">
        <w:t>a</w:t>
      </w:r>
      <w:r w:rsidRPr="00882AF5">
        <w:t>zonā.</w:t>
      </w:r>
    </w:p>
    <w:p w14:paraId="5182F72F" w14:textId="77777777" w:rsidR="00992A6A" w:rsidRPr="00882AF5" w:rsidRDefault="00992A6A" w:rsidP="008B4ED7"/>
    <w:p w14:paraId="28519A25" w14:textId="77777777" w:rsidR="00992A6A" w:rsidRPr="00882AF5" w:rsidRDefault="00992A6A" w:rsidP="008B4ED7">
      <w:pPr>
        <w:keepNext/>
        <w:rPr>
          <w:u w:val="single"/>
        </w:rPr>
      </w:pPr>
      <w:r w:rsidRPr="00882AF5">
        <w:rPr>
          <w:u w:val="single"/>
        </w:rPr>
        <w:t>Linearitāte/nelinearitāte</w:t>
      </w:r>
    </w:p>
    <w:p w14:paraId="5D934FA3" w14:textId="77777777" w:rsidR="00DD1080" w:rsidRPr="00882AF5" w:rsidRDefault="00DD1080" w:rsidP="008B4ED7">
      <w:pPr>
        <w:keepNext/>
      </w:pPr>
    </w:p>
    <w:p w14:paraId="77630404" w14:textId="41FB7994" w:rsidR="00992A6A" w:rsidRPr="00882AF5" w:rsidRDefault="00992A6A" w:rsidP="008B4ED7">
      <w:r w:rsidRPr="00882AF5">
        <w:t xml:space="preserve">Devu diapazona pētījumā </w:t>
      </w:r>
      <w:r w:rsidR="00417EC9">
        <w:t>denozumab</w:t>
      </w:r>
      <w:r w:rsidRPr="00882AF5">
        <w:t>s uzrādīja nelineāru, no devas atkarīgu farmakokinētiku ar zemāku klīrensu pie augstām devām vai koncentrācijām, bet apmēram proporcionālu devas iedarbības palielināšanos, lietojot 60 mg un lielākas devas.</w:t>
      </w:r>
    </w:p>
    <w:p w14:paraId="2C9E0B8F" w14:textId="77777777" w:rsidR="00992A6A" w:rsidRPr="00882AF5" w:rsidRDefault="00992A6A" w:rsidP="008B4ED7"/>
    <w:p w14:paraId="462E3B66" w14:textId="77777777" w:rsidR="00992A6A" w:rsidRPr="00882AF5" w:rsidRDefault="00992A6A" w:rsidP="008B4ED7">
      <w:pPr>
        <w:keepNext/>
        <w:rPr>
          <w:u w:val="single"/>
        </w:rPr>
      </w:pPr>
      <w:r w:rsidRPr="00882AF5">
        <w:rPr>
          <w:u w:val="single"/>
        </w:rPr>
        <w:t>Nieru darbības traucējumi</w:t>
      </w:r>
    </w:p>
    <w:p w14:paraId="76A998B6" w14:textId="77777777" w:rsidR="00DD1080" w:rsidRPr="00882AF5" w:rsidRDefault="00DD1080" w:rsidP="008B4ED7">
      <w:pPr>
        <w:keepNext/>
      </w:pPr>
    </w:p>
    <w:p w14:paraId="63546418" w14:textId="6773EE97" w:rsidR="00992A6A" w:rsidRPr="00882AF5" w:rsidRDefault="00992A6A" w:rsidP="008B4ED7">
      <w:r w:rsidRPr="00882AF5">
        <w:t>Pētījumā ar 55 pacientiem, kuriem bija dažādas smaguma pakāpes nieru darbības traucējumi, tai skaitā hemodialīzes pacienti</w:t>
      </w:r>
      <w:r w:rsidR="00492F05" w:rsidRPr="00882AF5">
        <w:t>em</w:t>
      </w:r>
      <w:r w:rsidRPr="00882AF5">
        <w:t xml:space="preserve">, šo traucējumu smaguma pakāpe neietekmēja </w:t>
      </w:r>
      <w:r w:rsidR="00417EC9">
        <w:t>denozumab</w:t>
      </w:r>
      <w:r w:rsidRPr="00882AF5">
        <w:t>a farmakokinētiku.</w:t>
      </w:r>
    </w:p>
    <w:p w14:paraId="3790CECD" w14:textId="77777777" w:rsidR="00992A6A" w:rsidRPr="00882AF5" w:rsidRDefault="00992A6A" w:rsidP="008B4ED7"/>
    <w:p w14:paraId="495A5F65" w14:textId="77777777" w:rsidR="00992A6A" w:rsidRPr="00882AF5" w:rsidRDefault="00992A6A" w:rsidP="008B4ED7">
      <w:pPr>
        <w:keepNext/>
        <w:rPr>
          <w:u w:val="single"/>
        </w:rPr>
      </w:pPr>
      <w:r w:rsidRPr="00882AF5">
        <w:rPr>
          <w:u w:val="single"/>
        </w:rPr>
        <w:t>Aknu darbības traucējumi</w:t>
      </w:r>
    </w:p>
    <w:p w14:paraId="2B0A8620" w14:textId="77777777" w:rsidR="00DD1080" w:rsidRPr="00882AF5" w:rsidRDefault="00DD1080" w:rsidP="008B4ED7">
      <w:pPr>
        <w:keepNext/>
      </w:pPr>
    </w:p>
    <w:p w14:paraId="4DC84AB2" w14:textId="6595102A" w:rsidR="00992A6A" w:rsidRPr="00882AF5" w:rsidRDefault="00992A6A" w:rsidP="008B4ED7">
      <w:r w:rsidRPr="00882AF5">
        <w:t xml:space="preserve">Pacientiem ar aknu darbības traucējumiem specifiski pētījumi nav veikti. Kopumā monoklonālo antivielu eliminācija nenotiek caur aknu metabolisko mehānismu. Nav sagaidāms, ka </w:t>
      </w:r>
      <w:r w:rsidR="00417EC9">
        <w:t>denozumab</w:t>
      </w:r>
      <w:r w:rsidRPr="00882AF5">
        <w:t>a farmakokinētiku ietekmēs aknu darbības traucējumi.</w:t>
      </w:r>
    </w:p>
    <w:p w14:paraId="17E67D09" w14:textId="77777777" w:rsidR="00992A6A" w:rsidRPr="00882AF5" w:rsidRDefault="00992A6A" w:rsidP="008B4ED7"/>
    <w:p w14:paraId="00578B1B" w14:textId="77777777" w:rsidR="00992A6A" w:rsidRPr="00882AF5" w:rsidRDefault="00992A6A" w:rsidP="008B4ED7">
      <w:pPr>
        <w:keepNext/>
        <w:rPr>
          <w:u w:val="single"/>
        </w:rPr>
      </w:pPr>
      <w:r w:rsidRPr="00882AF5">
        <w:rPr>
          <w:u w:val="single"/>
        </w:rPr>
        <w:t>Pediatriskā populācija</w:t>
      </w:r>
    </w:p>
    <w:p w14:paraId="0552E5AF" w14:textId="2CE804F8" w:rsidR="00992A6A" w:rsidRPr="00882AF5" w:rsidRDefault="00992A6A" w:rsidP="008B4ED7"/>
    <w:p w14:paraId="5F8CF38B" w14:textId="2299F805" w:rsidR="00A6401A" w:rsidRPr="00882AF5" w:rsidRDefault="00417EC9" w:rsidP="00A6401A">
      <w:r>
        <w:t>Denozumab</w:t>
      </w:r>
      <w:r w:rsidR="00492F05" w:rsidRPr="00882AF5">
        <w:t xml:space="preserve">u </w:t>
      </w:r>
      <w:r w:rsidR="00A6401A" w:rsidRPr="00882AF5">
        <w:t>nedrīkst lietot pediatriskai populācijai (skatīt 4.2. un 5.1. apakšpunktu).</w:t>
      </w:r>
    </w:p>
    <w:p w14:paraId="1BFA9E52" w14:textId="77777777" w:rsidR="00A47BFC" w:rsidRPr="00882AF5" w:rsidRDefault="00A47BFC" w:rsidP="00A6401A"/>
    <w:p w14:paraId="2C832B51" w14:textId="520A943D" w:rsidR="00A6401A" w:rsidRPr="00882AF5" w:rsidRDefault="00A6401A" w:rsidP="00A6401A">
      <w:r w:rsidRPr="00882AF5">
        <w:t xml:space="preserve">3. fāzes pētījumā pediatriskiem pacientiem ar </w:t>
      </w:r>
      <w:r w:rsidRPr="00882AF5">
        <w:rPr>
          <w:i/>
        </w:rPr>
        <w:t>osteogenesis imperfecta</w:t>
      </w:r>
      <w:r w:rsidRPr="00882AF5">
        <w:t xml:space="preserve"> (n = 153) maksimālā </w:t>
      </w:r>
      <w:r w:rsidR="00417EC9">
        <w:t>denozumab</w:t>
      </w:r>
      <w:r w:rsidRPr="00882AF5">
        <w:t xml:space="preserve">a koncentrācija serumā visām vecuma grupām tika novērota 10. dienā. Saņemot devas ik pēc 3 mēnešiem un ik pēc 6 mēnešiem, tika novērots, ka vidējā </w:t>
      </w:r>
      <w:r w:rsidR="00417EC9">
        <w:t>denozumab</w:t>
      </w:r>
      <w:r w:rsidRPr="00882AF5">
        <w:t>a koncentrācija serumā tieši pirms nākamās devas saņemšanas bija augstāka bērniem vecumā no 11 līdz 17 gadiem, bet bērniem vecumā no 2 līdz 6 gadiem bija zemākā vidējā koncentrācija tieši pirms nākamās devas saņemšanas.</w:t>
      </w:r>
    </w:p>
    <w:p w14:paraId="58421881" w14:textId="200723C6" w:rsidR="00992A6A" w:rsidRPr="00882AF5" w:rsidRDefault="00992A6A" w:rsidP="008B4ED7"/>
    <w:p w14:paraId="7AB2F3F6" w14:textId="77777777" w:rsidR="00053CE5" w:rsidRPr="00882AF5" w:rsidRDefault="00A77D74" w:rsidP="008B4ED7">
      <w:pPr>
        <w:keepNext/>
        <w:ind w:left="567" w:hanging="567"/>
        <w:rPr>
          <w:b/>
        </w:rPr>
      </w:pPr>
      <w:r w:rsidRPr="00882AF5">
        <w:rPr>
          <w:b/>
        </w:rPr>
        <w:lastRenderedPageBreak/>
        <w:t>5.3.</w:t>
      </w:r>
      <w:r w:rsidRPr="00882AF5">
        <w:rPr>
          <w:b/>
        </w:rPr>
        <w:tab/>
        <w:t>Preklīniskie dati par drošumu</w:t>
      </w:r>
    </w:p>
    <w:p w14:paraId="3E46222C" w14:textId="77777777" w:rsidR="00053CE5" w:rsidRPr="00882AF5" w:rsidRDefault="00053CE5" w:rsidP="008B4ED7">
      <w:pPr>
        <w:keepNext/>
      </w:pPr>
    </w:p>
    <w:p w14:paraId="2399CAED" w14:textId="7AE5C4FE" w:rsidR="008603DE" w:rsidRPr="00882AF5" w:rsidRDefault="00053CE5" w:rsidP="008B4ED7">
      <w:r w:rsidRPr="00882AF5">
        <w:t xml:space="preserve">Vienreizējas devas un atkārtotu devu toksicitātes pētījumos ar </w:t>
      </w:r>
      <w:r w:rsidRPr="00882AF5">
        <w:rPr>
          <w:i/>
        </w:rPr>
        <w:t>Macaca fascicularis</w:t>
      </w:r>
      <w:r w:rsidRPr="00882AF5">
        <w:t xml:space="preserve"> sugas pērtiķiem </w:t>
      </w:r>
      <w:r w:rsidR="00417EC9">
        <w:t>denozumab</w:t>
      </w:r>
      <w:r w:rsidRPr="00882AF5">
        <w:t xml:space="preserve">a lietošanai devās, kas izraisa 100 līdz 150 reizes lielāku sistēmisko iedarbību nekā ieteiktā deva cilvēkam, nebija ietekmes uz sirds un asinsvadu sistēmas fizioloģiju, </w:t>
      </w:r>
      <w:r w:rsidR="00673ACE" w:rsidRPr="00882AF5">
        <w:t xml:space="preserve">mātīšu </w:t>
      </w:r>
      <w:r w:rsidRPr="00882AF5">
        <w:t xml:space="preserve">un </w:t>
      </w:r>
      <w:r w:rsidR="00673ACE" w:rsidRPr="00882AF5">
        <w:t xml:space="preserve">tēviņu </w:t>
      </w:r>
      <w:r w:rsidRPr="00882AF5">
        <w:t>auglību, kā arī neizraisīja specifisku mērķa orgānu toksicitāti.</w:t>
      </w:r>
    </w:p>
    <w:p w14:paraId="5E0AB0E0" w14:textId="77777777" w:rsidR="00053CE5" w:rsidRPr="00882AF5" w:rsidRDefault="00053CE5" w:rsidP="008B4ED7"/>
    <w:p w14:paraId="5B3065DA" w14:textId="6D746AA6" w:rsidR="008603DE" w:rsidRPr="00882AF5" w:rsidRDefault="00053CE5" w:rsidP="008B4ED7">
      <w:r w:rsidRPr="00882AF5">
        <w:t xml:space="preserve">Lai izpētītu </w:t>
      </w:r>
      <w:r w:rsidR="00417EC9">
        <w:t>denozumab</w:t>
      </w:r>
      <w:r w:rsidRPr="00882AF5">
        <w:t xml:space="preserve">a iespējamo genotoksicitāti, standarttesti netika izvērtēti, jo tādi pētījumi šai molekulai nav būtiski. Tomēr, ņemot vērā tā īpašības, maz ticams, ka </w:t>
      </w:r>
      <w:r w:rsidR="00417EC9">
        <w:t>denozumab</w:t>
      </w:r>
      <w:r w:rsidRPr="00882AF5">
        <w:t>am būtu jebkāds genotoksicitātes potenciāls.</w:t>
      </w:r>
    </w:p>
    <w:p w14:paraId="6AC04C49" w14:textId="77777777" w:rsidR="00053CE5" w:rsidRPr="00882AF5" w:rsidRDefault="00053CE5" w:rsidP="008B4ED7"/>
    <w:p w14:paraId="6E3B8287" w14:textId="262C4D74" w:rsidR="008603DE" w:rsidRPr="00882AF5" w:rsidRDefault="00053CE5" w:rsidP="008B4ED7">
      <w:r w:rsidRPr="00882AF5">
        <w:t xml:space="preserve">Ilgtermiņa pētījumos ar dzīvniekiem </w:t>
      </w:r>
      <w:r w:rsidR="00417EC9">
        <w:t>denozumab</w:t>
      </w:r>
      <w:r w:rsidRPr="00882AF5">
        <w:t>a kancerogēnais potenciāls netika vērtēts.</w:t>
      </w:r>
    </w:p>
    <w:p w14:paraId="7C0B7877" w14:textId="77777777" w:rsidR="00053CE5" w:rsidRPr="00882AF5" w:rsidRDefault="00053CE5" w:rsidP="008B4ED7"/>
    <w:p w14:paraId="5F195E25" w14:textId="7B0D6548" w:rsidR="00053CE5" w:rsidRPr="00882AF5" w:rsidRDefault="00053CE5" w:rsidP="008B4ED7">
      <w:r w:rsidRPr="00882AF5">
        <w:t xml:space="preserve">Preklīniskajos pētījumos, kas veikti ar </w:t>
      </w:r>
      <w:r w:rsidR="007E2BA5">
        <w:t>“</w:t>
      </w:r>
      <w:r w:rsidRPr="00882AF5">
        <w:rPr>
          <w:i/>
        </w:rPr>
        <w:t>knockout</w:t>
      </w:r>
      <w:r w:rsidRPr="00882AF5">
        <w:t xml:space="preserve">” pelēm, kurām atslēgts RANK vai RANKL, novēroja limfmezglu attīstības traucējumus augļiem. Tāpat </w:t>
      </w:r>
      <w:r w:rsidR="007E2BA5">
        <w:t>“</w:t>
      </w:r>
      <w:r w:rsidRPr="00882AF5">
        <w:rPr>
          <w:i/>
        </w:rPr>
        <w:t>knockout</w:t>
      </w:r>
      <w:r w:rsidRPr="00882AF5">
        <w:t>” pelēm, kurām atslēgts RANK vai RANKL, piena dziedzeru nobriešanas (daiviņu–alveolāro dziedzeru attīstības grūtniecības laikā) kavēšanas dēļ novēroja laktācijas trūkumu.</w:t>
      </w:r>
    </w:p>
    <w:p w14:paraId="6B3DA773" w14:textId="77777777" w:rsidR="00053CE5" w:rsidRPr="00882AF5" w:rsidRDefault="00053CE5" w:rsidP="008B4ED7"/>
    <w:p w14:paraId="374DEA34" w14:textId="0CA42B64" w:rsidR="008603DE" w:rsidRPr="00882AF5" w:rsidRDefault="00053CE5" w:rsidP="008B4ED7">
      <w:r w:rsidRPr="00882AF5">
        <w:t xml:space="preserve">Pētījumā </w:t>
      </w:r>
      <w:r w:rsidRPr="00666FDE">
        <w:rPr>
          <w:i/>
          <w:iCs/>
        </w:rPr>
        <w:t>Macaca fascicularis</w:t>
      </w:r>
      <w:r w:rsidRPr="00882AF5">
        <w:t xml:space="preserve"> sugas pērtiķiem </w:t>
      </w:r>
      <w:r w:rsidR="00417EC9">
        <w:t>denozumab</w:t>
      </w:r>
      <w:r w:rsidRPr="00882AF5">
        <w:t>a ievadīšana laikā, kas līdzvērtīgs grūsnības pirmajam trimestrim, devās, kas 99 reizes (60 mg ik pēc 6 mēnešiem) pārsniedza cilvēka devas iedarbību pēc AUC, neliecināja par maternālo toksicitāti vai kaitējumu auglim. Šajā pētījumā augļa limfmezgli netika izmeklēti.</w:t>
      </w:r>
    </w:p>
    <w:p w14:paraId="431E9772" w14:textId="77777777" w:rsidR="00053CE5" w:rsidRPr="00882AF5" w:rsidRDefault="00053CE5" w:rsidP="008B4ED7"/>
    <w:p w14:paraId="07A4BFFE" w14:textId="1121636A" w:rsidR="008603DE" w:rsidRPr="00882AF5" w:rsidRDefault="00053CE5" w:rsidP="008B4ED7">
      <w:r w:rsidRPr="00882AF5">
        <w:t xml:space="preserve">Citā pētījumā </w:t>
      </w:r>
      <w:r w:rsidRPr="00882AF5">
        <w:rPr>
          <w:i/>
        </w:rPr>
        <w:t>Macaca fascicularis</w:t>
      </w:r>
      <w:r w:rsidRPr="00882AF5">
        <w:t xml:space="preserve"> sugas pērtiķiem, kam visā grūsnības laikā ievadīja </w:t>
      </w:r>
      <w:r w:rsidR="00417EC9">
        <w:t>denozumab</w:t>
      </w:r>
      <w:r w:rsidRPr="00882AF5">
        <w:t>u devās, kas 119 reizes (60 mg ik pēc 6 mēnešiem) pārsniedza cilvēka devas iedarbību pēc AUC, palielinājās nedzīvi dzimušo mazuļu skaits un pēcdzemdību mirstība; patoloģiska kaulu augšana izraisīja samazinātu kaulu stiprību, samazinātu hematopoēzi un nelīdzenus zobus; nebija perifēro limfmezglu; un samazinājās jaundzimušo augšana. Reproduktīvajai iedarbībai netika noteikts nenovērotās nelabvēlīgās iedarbības līmenis. 6 mēnešus pēc dzimšanas ar kauliem saistītās izmaiņas uzlabojās, un nebija ietekmes uz zobu šķilšanos.</w:t>
      </w:r>
      <w:r w:rsidR="001B61A7" w:rsidRPr="00882AF5">
        <w:t xml:space="preserve"> </w:t>
      </w:r>
      <w:r w:rsidRPr="00882AF5">
        <w:t>Tomēr ietekme uz limfmezgliem un zobu nelīdzenumu saglabājās, un vienam dzīvniekam novēroja minimālu līdz vidēju vairāku audu mineralizēšanos (saistība ar ārstēšanu neskaidra). Nebija pierādījumu par kaitējumu mātei pirms dzemdībām; nevēlama ietekme uz māti dzemdību laikā bija reta. Mātes piena dziedzeru attīstība bija normāla.</w:t>
      </w:r>
    </w:p>
    <w:p w14:paraId="56662300" w14:textId="77777777" w:rsidR="00053CE5" w:rsidRPr="00882AF5" w:rsidRDefault="00053CE5" w:rsidP="008B4ED7"/>
    <w:p w14:paraId="2759ABE4" w14:textId="277F428D" w:rsidR="00053CE5" w:rsidRPr="00882AF5" w:rsidRDefault="00053CE5" w:rsidP="008B4ED7">
      <w:r w:rsidRPr="00882AF5">
        <w:t xml:space="preserve">Preklīniskajos kaulu kvalitātes pētījumos ar pērtiķiem, lietojot </w:t>
      </w:r>
      <w:r w:rsidR="00417EC9">
        <w:t>denozumab</w:t>
      </w:r>
      <w:r w:rsidRPr="00882AF5">
        <w:t xml:space="preserve">u ilgstoši, kaulu vielmaiņas samazināšanās bija saistīta ar kaulu stipruma uzlabošanos un normālu kaula histoloģiju. Pērtiķiem pēc ovarektomijas, kuri terapijā saņēma </w:t>
      </w:r>
      <w:r w:rsidR="00417EC9">
        <w:t>denozumab</w:t>
      </w:r>
      <w:r w:rsidRPr="00882AF5">
        <w:t>u, pārejoši pazeminājās kalcija līmenis serumā un pārejoši paaugstinājās paratireoīdā hormona līmenis serumā.</w:t>
      </w:r>
    </w:p>
    <w:p w14:paraId="36240B17" w14:textId="77777777" w:rsidR="00053CE5" w:rsidRPr="00882AF5" w:rsidRDefault="00053CE5" w:rsidP="008B4ED7"/>
    <w:p w14:paraId="1FCA5337" w14:textId="5828DD62" w:rsidR="008603DE" w:rsidRPr="00882AF5" w:rsidRDefault="00053CE5" w:rsidP="008B4ED7">
      <w:r w:rsidRPr="00882AF5">
        <w:t>Peļu tēviņiem ar gēnu inženierijas metodi iekļautu huRANKL (</w:t>
      </w:r>
      <w:r w:rsidR="007E2BA5">
        <w:t>“</w:t>
      </w:r>
      <w:r w:rsidRPr="00882AF5">
        <w:rPr>
          <w:i/>
        </w:rPr>
        <w:t>knock-in</w:t>
      </w:r>
      <w:r w:rsidRPr="00882AF5">
        <w:t xml:space="preserve">” peles), kuri tika pakļauti transkortikālam lūzumam, </w:t>
      </w:r>
      <w:r w:rsidR="00417EC9">
        <w:t>denozumab</w:t>
      </w:r>
      <w:r w:rsidRPr="00882AF5">
        <w:t>s aizkavēja skrimšļa pārvietošanos un kaula rētas remodulēšanos, salīdzinot ar kontroles grupu, bet tam nebija nelabvēlīgas ietekmes uz kaula biomehānisko stiprību.</w:t>
      </w:r>
    </w:p>
    <w:p w14:paraId="2FE72100" w14:textId="77777777" w:rsidR="00053CE5" w:rsidRPr="00882AF5" w:rsidRDefault="00053CE5" w:rsidP="008B4ED7"/>
    <w:p w14:paraId="50E9C36F" w14:textId="386B84D7" w:rsidR="008603DE" w:rsidRPr="00882AF5" w:rsidRDefault="007E2BA5" w:rsidP="008B4ED7">
      <w:r>
        <w:t>“</w:t>
      </w:r>
      <w:r w:rsidR="00053CE5" w:rsidRPr="00882AF5">
        <w:rPr>
          <w:i/>
        </w:rPr>
        <w:t>Knockout</w:t>
      </w:r>
      <w:r w:rsidR="00053CE5" w:rsidRPr="00882AF5">
        <w:t>” pelēm (skatīt 4.6. apakšpunktu), kurām atslēgts RANK vai RANKL, konstatēja samazinātu ķermeņa svaru, samazinātu kaulu augšanu un zobu šķilšanās iztrūkumu. Neonatālā vecuma žurkām, inhibējot RANKL (</w:t>
      </w:r>
      <w:r w:rsidR="00417EC9">
        <w:t>denozumab</w:t>
      </w:r>
      <w:r w:rsidR="00053CE5" w:rsidRPr="00882AF5">
        <w:t>a terapijas mērķa vieta) ar osteoprotegerīna un Fc (OPG</w:t>
      </w:r>
      <w:r w:rsidR="00053CE5" w:rsidRPr="00882AF5">
        <w:noBreakHyphen/>
        <w:t xml:space="preserve">Fc) savienojuma devām, tika nomākta kaulu augšana un zobu šķilšanās. Šīs pārmaiņas bija daļēji atgriezeniskas modelī, kur dozēšana ar RANKL inhibitoriem tika pārtraukta. Pusaugu vecuma primātiem, kuriem lietoja </w:t>
      </w:r>
      <w:r w:rsidR="00417EC9">
        <w:t>denozumab</w:t>
      </w:r>
      <w:r w:rsidR="00053CE5" w:rsidRPr="00882AF5">
        <w:t xml:space="preserve">u devās, kas 27 un 150 reizes (10 un 50 mg/kg deva) pārsniedza klīnisko iedarbību, bija patoloģiskas augšanas plātnītes. Tādēļ </w:t>
      </w:r>
      <w:r w:rsidR="00417EC9">
        <w:t>denozumab</w:t>
      </w:r>
      <w:r w:rsidR="00053CE5" w:rsidRPr="00882AF5">
        <w:t>a terapija var traucēt kaulu augšanu bērniem ar atvērtām augšanas plātnītēm un kavēt zobu šķilšanos.</w:t>
      </w:r>
    </w:p>
    <w:p w14:paraId="32FB4946" w14:textId="77777777" w:rsidR="008011D6" w:rsidRPr="00882AF5" w:rsidRDefault="008011D6" w:rsidP="008B4ED7"/>
    <w:p w14:paraId="6D36D500" w14:textId="77777777" w:rsidR="008011D6" w:rsidRPr="00882AF5" w:rsidRDefault="008011D6" w:rsidP="008B4ED7"/>
    <w:p w14:paraId="6B964148" w14:textId="77777777" w:rsidR="008011D6" w:rsidRPr="00882AF5" w:rsidRDefault="008011D6" w:rsidP="008B4ED7">
      <w:pPr>
        <w:keepNext/>
        <w:ind w:left="567" w:hanging="567"/>
        <w:rPr>
          <w:b/>
        </w:rPr>
      </w:pPr>
      <w:r w:rsidRPr="00882AF5">
        <w:rPr>
          <w:b/>
        </w:rPr>
        <w:lastRenderedPageBreak/>
        <w:t>6.</w:t>
      </w:r>
      <w:r w:rsidRPr="00882AF5">
        <w:rPr>
          <w:b/>
        </w:rPr>
        <w:tab/>
        <w:t>FARMACEITISKĀ INFORMĀCIJA</w:t>
      </w:r>
    </w:p>
    <w:p w14:paraId="7E5350BA" w14:textId="77777777" w:rsidR="008011D6" w:rsidRPr="00882AF5" w:rsidRDefault="008011D6" w:rsidP="008B4ED7">
      <w:pPr>
        <w:keepNext/>
      </w:pPr>
    </w:p>
    <w:p w14:paraId="5D4CED39" w14:textId="77777777" w:rsidR="008011D6" w:rsidRPr="00882AF5" w:rsidRDefault="00A77D74" w:rsidP="008B4ED7">
      <w:pPr>
        <w:keepNext/>
        <w:ind w:left="567" w:hanging="567"/>
        <w:rPr>
          <w:b/>
        </w:rPr>
      </w:pPr>
      <w:r w:rsidRPr="00882AF5">
        <w:rPr>
          <w:b/>
        </w:rPr>
        <w:t>6.1.</w:t>
      </w:r>
      <w:r w:rsidRPr="00882AF5">
        <w:rPr>
          <w:b/>
        </w:rPr>
        <w:tab/>
        <w:t>Palīgvielu saraksts</w:t>
      </w:r>
    </w:p>
    <w:p w14:paraId="6B359512" w14:textId="77777777" w:rsidR="008011D6" w:rsidRPr="00882AF5" w:rsidRDefault="008011D6" w:rsidP="008B4ED7">
      <w:pPr>
        <w:keepNext/>
      </w:pPr>
    </w:p>
    <w:p w14:paraId="01A4CCED" w14:textId="3CB2F837" w:rsidR="00992A6A" w:rsidRPr="00882AF5" w:rsidRDefault="00C572D9" w:rsidP="008B4ED7">
      <w:pPr>
        <w:keepNext/>
      </w:pPr>
      <w:r w:rsidRPr="00882AF5">
        <w:t>E</w:t>
      </w:r>
      <w:r w:rsidR="00992A6A" w:rsidRPr="00882AF5">
        <w:t>tiķskābe*</w:t>
      </w:r>
    </w:p>
    <w:p w14:paraId="2A565D77" w14:textId="38E91884" w:rsidR="008011D6" w:rsidRPr="00882AF5" w:rsidRDefault="008011D6" w:rsidP="008B4ED7">
      <w:pPr>
        <w:keepNext/>
      </w:pPr>
      <w:r w:rsidRPr="00882AF5">
        <w:t xml:space="preserve">Nātrija </w:t>
      </w:r>
      <w:r w:rsidR="00C718C0" w:rsidRPr="00882AF5">
        <w:t>acetāt</w:t>
      </w:r>
      <w:r w:rsidR="00EC784C" w:rsidRPr="00882AF5">
        <w:t xml:space="preserve">a </w:t>
      </w:r>
      <w:r w:rsidR="00C718C0" w:rsidRPr="00882AF5">
        <w:t xml:space="preserve">trihidrāts </w:t>
      </w:r>
      <w:r w:rsidRPr="00882AF5">
        <w:t>(pH pielāgošanai)*</w:t>
      </w:r>
    </w:p>
    <w:p w14:paraId="4E4C6F01" w14:textId="77777777" w:rsidR="008603DE" w:rsidRPr="00882AF5" w:rsidRDefault="008011D6" w:rsidP="008B4ED7">
      <w:pPr>
        <w:keepNext/>
      </w:pPr>
      <w:r w:rsidRPr="00882AF5">
        <w:t>Sorbīts (E420)</w:t>
      </w:r>
    </w:p>
    <w:p w14:paraId="654B575C" w14:textId="3DBFD742" w:rsidR="008011D6" w:rsidRPr="00882AF5" w:rsidRDefault="008011D6" w:rsidP="008B4ED7">
      <w:pPr>
        <w:keepNext/>
      </w:pPr>
      <w:r w:rsidRPr="00882AF5">
        <w:t>Polisorbāts 20</w:t>
      </w:r>
      <w:r w:rsidR="00EC784C" w:rsidRPr="00882AF5">
        <w:t xml:space="preserve"> (E432)</w:t>
      </w:r>
    </w:p>
    <w:p w14:paraId="16634C6D" w14:textId="77777777" w:rsidR="008011D6" w:rsidRPr="00882AF5" w:rsidRDefault="008011D6" w:rsidP="008B4ED7">
      <w:pPr>
        <w:keepNext/>
      </w:pPr>
      <w:r w:rsidRPr="00882AF5">
        <w:t>Ūdens injekcijām</w:t>
      </w:r>
    </w:p>
    <w:p w14:paraId="7A77A991" w14:textId="615E652E" w:rsidR="008603DE" w:rsidRPr="00882AF5" w:rsidRDefault="008011D6" w:rsidP="008B4ED7">
      <w:r w:rsidRPr="00882AF5">
        <w:t xml:space="preserve">* Acetāta buferis veidots, sajaucot etiķskābi ar nātrija </w:t>
      </w:r>
      <w:r w:rsidR="00FA795F" w:rsidRPr="00882AF5">
        <w:t>acetāta trihidrātu</w:t>
      </w:r>
    </w:p>
    <w:p w14:paraId="5BB113D0" w14:textId="77777777" w:rsidR="00456592" w:rsidRPr="00882AF5" w:rsidRDefault="00456592" w:rsidP="008B4ED7"/>
    <w:p w14:paraId="33520162" w14:textId="77777777" w:rsidR="008011D6" w:rsidRPr="00882AF5" w:rsidRDefault="00A77D74" w:rsidP="008B4ED7">
      <w:pPr>
        <w:keepNext/>
        <w:ind w:left="567" w:hanging="567"/>
        <w:rPr>
          <w:b/>
        </w:rPr>
      </w:pPr>
      <w:r w:rsidRPr="00882AF5">
        <w:rPr>
          <w:b/>
        </w:rPr>
        <w:t>6.2.</w:t>
      </w:r>
      <w:r w:rsidRPr="00882AF5">
        <w:rPr>
          <w:b/>
        </w:rPr>
        <w:tab/>
        <w:t>Nesaderība</w:t>
      </w:r>
    </w:p>
    <w:p w14:paraId="6C0BD8E0" w14:textId="77777777" w:rsidR="008011D6" w:rsidRPr="00882AF5" w:rsidRDefault="008011D6" w:rsidP="008B4ED7">
      <w:pPr>
        <w:keepNext/>
      </w:pPr>
    </w:p>
    <w:p w14:paraId="1D8C0622" w14:textId="77777777" w:rsidR="00992A6A" w:rsidRPr="00882AF5" w:rsidRDefault="00992A6A" w:rsidP="008B4ED7">
      <w:r w:rsidRPr="00882AF5">
        <w:t>Saderības pētījumu trūkuma dēļ šīs zāles nedrīkst sajaukt (lietot maisījumā) ar citām zālēm.</w:t>
      </w:r>
    </w:p>
    <w:p w14:paraId="1FD40A77" w14:textId="77777777" w:rsidR="008011D6" w:rsidRPr="00882AF5" w:rsidRDefault="008011D6" w:rsidP="008B4ED7"/>
    <w:p w14:paraId="24A22EFB" w14:textId="77777777" w:rsidR="008011D6" w:rsidRPr="00882AF5" w:rsidRDefault="00A77D74" w:rsidP="008B4ED7">
      <w:pPr>
        <w:keepNext/>
        <w:ind w:left="567" w:hanging="567"/>
        <w:rPr>
          <w:b/>
        </w:rPr>
      </w:pPr>
      <w:r w:rsidRPr="00882AF5">
        <w:rPr>
          <w:b/>
        </w:rPr>
        <w:t>6.3.</w:t>
      </w:r>
      <w:r w:rsidRPr="00882AF5">
        <w:rPr>
          <w:b/>
        </w:rPr>
        <w:tab/>
        <w:t>Uzglabāšanas laiks</w:t>
      </w:r>
    </w:p>
    <w:p w14:paraId="7CF10C0D" w14:textId="77777777" w:rsidR="008011D6" w:rsidRPr="00882AF5" w:rsidRDefault="008011D6" w:rsidP="008B4ED7">
      <w:pPr>
        <w:keepNext/>
      </w:pPr>
    </w:p>
    <w:p w14:paraId="466849C1" w14:textId="7D5C7EC2" w:rsidR="008011D6" w:rsidRPr="00882AF5" w:rsidRDefault="00FA795F" w:rsidP="008B4ED7">
      <w:r w:rsidRPr="00882AF5">
        <w:t>4</w:t>
      </w:r>
      <w:r w:rsidR="003C6C78" w:rsidRPr="00882AF5">
        <w:t> gadi.</w:t>
      </w:r>
    </w:p>
    <w:p w14:paraId="29E254D8" w14:textId="77777777" w:rsidR="008011D6" w:rsidRPr="00882AF5" w:rsidRDefault="008011D6" w:rsidP="008B4ED7"/>
    <w:p w14:paraId="6ADDB33D" w14:textId="0FD3F829" w:rsidR="008011D6" w:rsidRPr="00882AF5" w:rsidRDefault="003F5BA9" w:rsidP="008B4ED7">
      <w:r w:rsidRPr="00882AF5">
        <w:t xml:space="preserve">Pēc izņemšanas no ledusskapja </w:t>
      </w:r>
      <w:r w:rsidR="002933A5" w:rsidRPr="00882AF5">
        <w:t xml:space="preserve">Stoboclo </w:t>
      </w:r>
      <w:r w:rsidRPr="00882AF5">
        <w:t>var uzglabāt istabas temperatūrā (līdz 25°C) līdz 30 dienām oriģinālā iepakojumā. T</w:t>
      </w:r>
      <w:r w:rsidR="00D758A2">
        <w:rPr>
          <w:rFonts w:eastAsia="맑은 고딕" w:hint="eastAsia"/>
          <w:lang w:eastAsia="ko-KR"/>
        </w:rPr>
        <w:t>as</w:t>
      </w:r>
      <w:r w:rsidRPr="00882AF5">
        <w:t xml:space="preserve"> jāizlieto </w:t>
      </w:r>
      <w:r w:rsidR="002933A5" w:rsidRPr="00882AF5">
        <w:t xml:space="preserve">1 mēneša </w:t>
      </w:r>
      <w:r w:rsidRPr="00882AF5">
        <w:t>laikā.</w:t>
      </w:r>
    </w:p>
    <w:p w14:paraId="56322405" w14:textId="77777777" w:rsidR="008011D6" w:rsidRPr="00882AF5" w:rsidRDefault="008011D6" w:rsidP="008B4ED7"/>
    <w:p w14:paraId="5C9CAD34" w14:textId="77777777" w:rsidR="008011D6" w:rsidRPr="00882AF5" w:rsidRDefault="00A77D74" w:rsidP="008B4ED7">
      <w:pPr>
        <w:keepNext/>
        <w:ind w:left="567" w:hanging="567"/>
        <w:rPr>
          <w:b/>
        </w:rPr>
      </w:pPr>
      <w:r w:rsidRPr="00882AF5">
        <w:rPr>
          <w:b/>
        </w:rPr>
        <w:t>6.4.</w:t>
      </w:r>
      <w:r w:rsidRPr="00882AF5">
        <w:rPr>
          <w:b/>
        </w:rPr>
        <w:tab/>
        <w:t>Īpaši uzglabāšanas nosacījumi</w:t>
      </w:r>
    </w:p>
    <w:p w14:paraId="01AD987C" w14:textId="77777777" w:rsidR="008011D6" w:rsidRPr="00882AF5" w:rsidRDefault="008011D6" w:rsidP="008B4ED7">
      <w:pPr>
        <w:keepNext/>
      </w:pPr>
    </w:p>
    <w:p w14:paraId="7BBF726F" w14:textId="77777777" w:rsidR="008011D6" w:rsidRPr="00882AF5" w:rsidRDefault="008011D6" w:rsidP="008B4ED7">
      <w:r w:rsidRPr="00882AF5">
        <w:t>Uzglabāt ledusskapī (2°C – 8°C).</w:t>
      </w:r>
    </w:p>
    <w:p w14:paraId="7A95FEAA" w14:textId="77777777" w:rsidR="008011D6" w:rsidRPr="00882AF5" w:rsidRDefault="008011D6" w:rsidP="008B4ED7">
      <w:r w:rsidRPr="00882AF5">
        <w:t>Nesasaldēt.</w:t>
      </w:r>
    </w:p>
    <w:p w14:paraId="6757B7B7" w14:textId="715F15D9" w:rsidR="008011D6" w:rsidRPr="00882AF5" w:rsidRDefault="008011D6" w:rsidP="008B4ED7">
      <w:r w:rsidRPr="00882AF5">
        <w:t>Uzglabāt pilnšļirci ārējā iepakojumā, lai pasargātu no gaismas.</w:t>
      </w:r>
    </w:p>
    <w:p w14:paraId="2B2FE057" w14:textId="77777777" w:rsidR="008011D6" w:rsidRPr="00882AF5" w:rsidRDefault="008011D6" w:rsidP="008B4ED7"/>
    <w:p w14:paraId="66BE42EB" w14:textId="77777777" w:rsidR="008011D6" w:rsidRPr="00882AF5" w:rsidRDefault="00A77D74" w:rsidP="008B4ED7">
      <w:pPr>
        <w:keepNext/>
        <w:ind w:left="567" w:hanging="567"/>
        <w:rPr>
          <w:b/>
        </w:rPr>
      </w:pPr>
      <w:r w:rsidRPr="00882AF5">
        <w:rPr>
          <w:b/>
        </w:rPr>
        <w:t>6.5.</w:t>
      </w:r>
      <w:r w:rsidRPr="00882AF5">
        <w:rPr>
          <w:b/>
        </w:rPr>
        <w:tab/>
        <w:t>Iepakojuma veids un saturs</w:t>
      </w:r>
    </w:p>
    <w:p w14:paraId="2C1A1EFE" w14:textId="77777777" w:rsidR="008011D6" w:rsidRPr="00882AF5" w:rsidRDefault="008011D6" w:rsidP="008B4ED7">
      <w:pPr>
        <w:keepNext/>
      </w:pPr>
    </w:p>
    <w:p w14:paraId="0123C627" w14:textId="591424C0" w:rsidR="008011D6" w:rsidRPr="00882AF5" w:rsidRDefault="008011D6" w:rsidP="008B4ED7">
      <w:r w:rsidRPr="00882AF5">
        <w:t xml:space="preserve">Viens ml šķīduma vienreizējas lietošanas pilnšļircē, kas izgatavota no I klases </w:t>
      </w:r>
      <w:r w:rsidR="004B3FB2" w:rsidRPr="00882AF5">
        <w:t xml:space="preserve">borsilikāta </w:t>
      </w:r>
      <w:r w:rsidRPr="00882AF5">
        <w:t>stikla</w:t>
      </w:r>
      <w:r w:rsidR="004B3FB2" w:rsidRPr="00882AF5">
        <w:t xml:space="preserve">, </w:t>
      </w:r>
      <w:r w:rsidRPr="00882AF5">
        <w:t xml:space="preserve">ar </w:t>
      </w:r>
      <w:r w:rsidR="00352CD6" w:rsidRPr="00882AF5">
        <w:t xml:space="preserve">(brombutila) gumijas aizbāzni un </w:t>
      </w:r>
      <w:r w:rsidRPr="00882AF5">
        <w:t>nerūsējoša tērauda 27. izmēra adatu, ar adatas aizsarg</w:t>
      </w:r>
      <w:r w:rsidR="00352CD6" w:rsidRPr="00882AF5">
        <w:t>u</w:t>
      </w:r>
      <w:r w:rsidRPr="00882AF5">
        <w:t>.</w:t>
      </w:r>
    </w:p>
    <w:p w14:paraId="03B854AB" w14:textId="77777777" w:rsidR="008011D6" w:rsidRPr="00882AF5" w:rsidRDefault="008011D6" w:rsidP="008B4ED7"/>
    <w:p w14:paraId="5194C982" w14:textId="52463945" w:rsidR="008011D6" w:rsidRPr="00882AF5" w:rsidRDefault="008011D6" w:rsidP="008B4ED7">
      <w:r w:rsidRPr="00882AF5">
        <w:t>Iepakojumā viena pilnšļirce</w:t>
      </w:r>
      <w:r w:rsidR="00455413" w:rsidRPr="00882AF5">
        <w:t xml:space="preserve"> ar </w:t>
      </w:r>
      <w:r w:rsidRPr="00882AF5">
        <w:t>adatas aizsarg</w:t>
      </w:r>
      <w:r w:rsidR="00455413" w:rsidRPr="00882AF5">
        <w:t>u</w:t>
      </w:r>
      <w:r w:rsidRPr="00882AF5">
        <w:t>.</w:t>
      </w:r>
    </w:p>
    <w:p w14:paraId="29951378" w14:textId="77777777" w:rsidR="00456592" w:rsidRPr="00882AF5" w:rsidRDefault="00456592" w:rsidP="008B4ED7"/>
    <w:p w14:paraId="5718B83C" w14:textId="77777777" w:rsidR="00456592" w:rsidRPr="00882AF5" w:rsidRDefault="00A77D74" w:rsidP="008B4ED7">
      <w:pPr>
        <w:keepNext/>
        <w:ind w:left="567" w:hanging="567"/>
        <w:rPr>
          <w:b/>
        </w:rPr>
      </w:pPr>
      <w:r w:rsidRPr="00882AF5">
        <w:rPr>
          <w:b/>
        </w:rPr>
        <w:t>6.6.</w:t>
      </w:r>
      <w:r w:rsidRPr="00882AF5">
        <w:rPr>
          <w:b/>
        </w:rPr>
        <w:tab/>
        <w:t>Īpaši norādījumi atkritumu likvidēšanai un citi norādījumi par rīkošanos</w:t>
      </w:r>
    </w:p>
    <w:p w14:paraId="6A60C73C" w14:textId="77777777" w:rsidR="00456592" w:rsidRPr="00882AF5" w:rsidRDefault="00456592" w:rsidP="008B4ED7">
      <w:pPr>
        <w:keepNext/>
      </w:pPr>
    </w:p>
    <w:p w14:paraId="1DC84927" w14:textId="46ED9D30" w:rsidR="008603DE" w:rsidRPr="00882AF5" w:rsidRDefault="008011D6" w:rsidP="008B4ED7">
      <w:pPr>
        <w:numPr>
          <w:ilvl w:val="0"/>
          <w:numId w:val="54"/>
        </w:numPr>
        <w:tabs>
          <w:tab w:val="clear" w:pos="567"/>
        </w:tabs>
        <w:ind w:left="567" w:hanging="567"/>
      </w:pPr>
      <w:r w:rsidRPr="00882AF5">
        <w:t xml:space="preserve">Pirms ievadīšanas šķīdums ir jāpārbauda. Neinjicēt šķīdumu, ja tas satur </w:t>
      </w:r>
      <w:r w:rsidR="00EB1A26" w:rsidRPr="00882AF5">
        <w:t xml:space="preserve">redzamas </w:t>
      </w:r>
      <w:r w:rsidRPr="00882AF5">
        <w:t>daļiņas, ir duļķains vai mainījis krāsu.</w:t>
      </w:r>
    </w:p>
    <w:p w14:paraId="27AB166A" w14:textId="77777777" w:rsidR="008603DE" w:rsidRPr="00882AF5" w:rsidRDefault="008011D6" w:rsidP="008B4ED7">
      <w:pPr>
        <w:numPr>
          <w:ilvl w:val="0"/>
          <w:numId w:val="54"/>
        </w:numPr>
        <w:tabs>
          <w:tab w:val="clear" w:pos="567"/>
        </w:tabs>
        <w:ind w:left="567" w:hanging="567"/>
      </w:pPr>
      <w:r w:rsidRPr="00882AF5">
        <w:t>Nekratīt.</w:t>
      </w:r>
    </w:p>
    <w:p w14:paraId="6987B1A7" w14:textId="77777777" w:rsidR="008603DE" w:rsidRPr="00882AF5" w:rsidRDefault="008011D6" w:rsidP="008B4ED7">
      <w:pPr>
        <w:numPr>
          <w:ilvl w:val="0"/>
          <w:numId w:val="54"/>
        </w:numPr>
        <w:tabs>
          <w:tab w:val="clear" w:pos="567"/>
        </w:tabs>
        <w:ind w:left="567" w:hanging="567"/>
      </w:pPr>
      <w:r w:rsidRPr="00882AF5">
        <w:t>Lai izvairītos no diskomforta sajūtas injekcijas vietā, pilnšļircei pirms injekcijas jāsasniedz istabas temperatūra (līdz 25°C) un injekcija jāveic lēnām.</w:t>
      </w:r>
    </w:p>
    <w:p w14:paraId="15B74902" w14:textId="77777777" w:rsidR="008603DE" w:rsidRPr="00882AF5" w:rsidRDefault="008011D6" w:rsidP="008B4ED7">
      <w:pPr>
        <w:numPr>
          <w:ilvl w:val="0"/>
          <w:numId w:val="54"/>
        </w:numPr>
        <w:tabs>
          <w:tab w:val="clear" w:pos="567"/>
        </w:tabs>
        <w:ind w:left="567" w:hanging="567"/>
      </w:pPr>
      <w:r w:rsidRPr="00882AF5">
        <w:t>Injicēt visu pilnšļirces saturu.</w:t>
      </w:r>
    </w:p>
    <w:p w14:paraId="227A76B8" w14:textId="23A1DE85" w:rsidR="00EB1A26" w:rsidRPr="00882AF5" w:rsidRDefault="005D04D2" w:rsidP="008B4ED7">
      <w:pPr>
        <w:numPr>
          <w:ilvl w:val="0"/>
          <w:numId w:val="54"/>
        </w:numPr>
        <w:tabs>
          <w:tab w:val="clear" w:pos="567"/>
        </w:tabs>
        <w:ind w:left="567" w:hanging="567"/>
      </w:pPr>
      <w:r w:rsidRPr="00882AF5">
        <w:t>Detalizēti norādījumi par Stoboclo sagatavošanu un iev</w:t>
      </w:r>
      <w:r w:rsidR="00BF3CEF" w:rsidRPr="00882AF5">
        <w:t>ad</w:t>
      </w:r>
      <w:r w:rsidRPr="00882AF5">
        <w:t xml:space="preserve">īšanu ir ietverti </w:t>
      </w:r>
      <w:r w:rsidR="00BF3CEF" w:rsidRPr="00882AF5">
        <w:t>iepakojumā.</w:t>
      </w:r>
    </w:p>
    <w:p w14:paraId="33789670" w14:textId="77777777" w:rsidR="008011D6" w:rsidRPr="00882AF5" w:rsidRDefault="008011D6" w:rsidP="008B4ED7"/>
    <w:p w14:paraId="34300FD2" w14:textId="77777777" w:rsidR="00992A6A" w:rsidRPr="00882AF5" w:rsidRDefault="00992A6A" w:rsidP="008B4ED7">
      <w:r w:rsidRPr="00882AF5">
        <w:t>Neizlietotās zāles vai izlietotie materiāli jāiznīcina atbilstoši vietējām prasībām.</w:t>
      </w:r>
    </w:p>
    <w:p w14:paraId="32DBA98E" w14:textId="77777777" w:rsidR="008011D6" w:rsidRPr="00882AF5" w:rsidRDefault="008011D6" w:rsidP="008B4ED7"/>
    <w:p w14:paraId="30048441" w14:textId="77777777" w:rsidR="008011D6" w:rsidRPr="00882AF5" w:rsidRDefault="008011D6" w:rsidP="008B4ED7"/>
    <w:p w14:paraId="38527905" w14:textId="77777777" w:rsidR="008011D6" w:rsidRPr="00882AF5" w:rsidRDefault="008011D6" w:rsidP="008B4ED7">
      <w:pPr>
        <w:keepNext/>
        <w:ind w:left="567" w:hanging="567"/>
        <w:rPr>
          <w:b/>
        </w:rPr>
      </w:pPr>
      <w:r w:rsidRPr="00882AF5">
        <w:rPr>
          <w:b/>
        </w:rPr>
        <w:t>7.</w:t>
      </w:r>
      <w:r w:rsidRPr="00882AF5">
        <w:rPr>
          <w:b/>
        </w:rPr>
        <w:tab/>
        <w:t>REĢISTRĀCIJAS APLIECĪBAS ĪPAŠNIEKS</w:t>
      </w:r>
    </w:p>
    <w:p w14:paraId="4EF992A0" w14:textId="77777777" w:rsidR="008011D6" w:rsidRPr="00882AF5" w:rsidRDefault="008011D6" w:rsidP="008B4ED7">
      <w:pPr>
        <w:keepNext/>
      </w:pPr>
    </w:p>
    <w:p w14:paraId="7784D74B" w14:textId="77777777" w:rsidR="000857D6" w:rsidRPr="00882AF5" w:rsidRDefault="000857D6" w:rsidP="000857D6">
      <w:pPr>
        <w:keepNext/>
      </w:pPr>
      <w:r w:rsidRPr="00882AF5">
        <w:t>Celltrion Healthcare Hungary Kft.</w:t>
      </w:r>
    </w:p>
    <w:p w14:paraId="3E44553A" w14:textId="77777777" w:rsidR="000857D6" w:rsidRPr="00882AF5" w:rsidRDefault="000857D6" w:rsidP="000857D6">
      <w:pPr>
        <w:keepNext/>
      </w:pPr>
      <w:r w:rsidRPr="00882AF5">
        <w:t>1062 Budapest</w:t>
      </w:r>
    </w:p>
    <w:p w14:paraId="5E866B02" w14:textId="77777777" w:rsidR="000857D6" w:rsidRPr="00882AF5" w:rsidRDefault="000857D6" w:rsidP="000857D6">
      <w:pPr>
        <w:keepNext/>
      </w:pPr>
      <w:r w:rsidRPr="00882AF5">
        <w:t>Váci út 1-3. WestEnd Office Building B torony</w:t>
      </w:r>
    </w:p>
    <w:p w14:paraId="65C41CDE" w14:textId="2288E9AB" w:rsidR="000857D6" w:rsidRPr="00882AF5" w:rsidRDefault="00506414" w:rsidP="000857D6">
      <w:r w:rsidRPr="00882AF5">
        <w:t>Ungārija</w:t>
      </w:r>
    </w:p>
    <w:p w14:paraId="5A844093" w14:textId="77777777" w:rsidR="008011D6" w:rsidRPr="00882AF5" w:rsidRDefault="008011D6" w:rsidP="008B4ED7"/>
    <w:p w14:paraId="1EAE3ED7" w14:textId="77777777" w:rsidR="008011D6" w:rsidRPr="00882AF5" w:rsidRDefault="008011D6" w:rsidP="008B4ED7"/>
    <w:p w14:paraId="1DAD861D" w14:textId="77777777" w:rsidR="008603DE" w:rsidRPr="00882AF5" w:rsidRDefault="008011D6" w:rsidP="008B4ED7">
      <w:pPr>
        <w:keepNext/>
        <w:ind w:left="567" w:hanging="567"/>
        <w:rPr>
          <w:b/>
        </w:rPr>
      </w:pPr>
      <w:r w:rsidRPr="00882AF5">
        <w:rPr>
          <w:b/>
        </w:rPr>
        <w:lastRenderedPageBreak/>
        <w:t>8.</w:t>
      </w:r>
      <w:r w:rsidRPr="00882AF5">
        <w:rPr>
          <w:b/>
        </w:rPr>
        <w:tab/>
        <w:t>REĢISTRĀCIJAS APLIECĪBAS NUMURI</w:t>
      </w:r>
    </w:p>
    <w:p w14:paraId="24FECF5E" w14:textId="77777777" w:rsidR="008011D6" w:rsidRPr="00882AF5" w:rsidRDefault="008011D6" w:rsidP="008B4ED7">
      <w:pPr>
        <w:keepNext/>
      </w:pPr>
    </w:p>
    <w:p w14:paraId="498767DD" w14:textId="629F7474" w:rsidR="00242A90" w:rsidRPr="00882AF5" w:rsidRDefault="0059550D" w:rsidP="00242A90">
      <w:r w:rsidRPr="0059550D">
        <w:t>EU/1/24/1905/001</w:t>
      </w:r>
    </w:p>
    <w:p w14:paraId="3C112450" w14:textId="77777777" w:rsidR="00456592" w:rsidRPr="00882AF5" w:rsidRDefault="00456592" w:rsidP="008B4ED7">
      <w:pPr>
        <w:tabs>
          <w:tab w:val="clear" w:pos="567"/>
        </w:tabs>
      </w:pPr>
    </w:p>
    <w:p w14:paraId="78AADA1D" w14:textId="77777777" w:rsidR="008011D6" w:rsidRPr="00882AF5" w:rsidRDefault="008011D6" w:rsidP="008B4ED7">
      <w:pPr>
        <w:tabs>
          <w:tab w:val="clear" w:pos="567"/>
        </w:tabs>
      </w:pPr>
    </w:p>
    <w:p w14:paraId="4D7E8E8F" w14:textId="77777777" w:rsidR="008011D6" w:rsidRPr="00882AF5" w:rsidRDefault="008011D6" w:rsidP="008B4ED7">
      <w:pPr>
        <w:keepNext/>
        <w:ind w:left="567" w:hanging="567"/>
        <w:rPr>
          <w:b/>
        </w:rPr>
      </w:pPr>
      <w:r w:rsidRPr="00882AF5">
        <w:rPr>
          <w:b/>
        </w:rPr>
        <w:t>9.</w:t>
      </w:r>
      <w:r w:rsidRPr="00882AF5">
        <w:rPr>
          <w:b/>
        </w:rPr>
        <w:tab/>
        <w:t>PIRMĀS REĢISTRĀCIJAS/PĀRREĢISTRĀCIJAS DATUMS</w:t>
      </w:r>
    </w:p>
    <w:p w14:paraId="0B2FDFE4" w14:textId="77777777" w:rsidR="008011D6" w:rsidRPr="00882AF5" w:rsidRDefault="008011D6" w:rsidP="008B4ED7">
      <w:pPr>
        <w:keepNext/>
      </w:pPr>
    </w:p>
    <w:p w14:paraId="70916769" w14:textId="59333271" w:rsidR="00C36B40" w:rsidRPr="00882AF5" w:rsidRDefault="00C36B40" w:rsidP="00666FDE">
      <w:pPr>
        <w:keepNext/>
        <w:tabs>
          <w:tab w:val="clear" w:pos="567"/>
        </w:tabs>
      </w:pPr>
      <w:r w:rsidRPr="00882AF5">
        <w:t xml:space="preserve">Reģistrācijas datums: </w:t>
      </w:r>
      <w:ins w:id="0" w:author="만든 이">
        <w:r w:rsidR="00454E04" w:rsidRPr="00454E04">
          <w:t>14 februāris 2025</w:t>
        </w:r>
      </w:ins>
    </w:p>
    <w:p w14:paraId="1539263A" w14:textId="77777777" w:rsidR="00022A78" w:rsidRPr="00882AF5" w:rsidRDefault="00022A78" w:rsidP="008B4ED7">
      <w:pPr>
        <w:tabs>
          <w:tab w:val="clear" w:pos="567"/>
        </w:tabs>
      </w:pPr>
    </w:p>
    <w:p w14:paraId="4C7C34F1" w14:textId="77777777" w:rsidR="008011D6" w:rsidRPr="00882AF5" w:rsidRDefault="008011D6" w:rsidP="008B4ED7">
      <w:pPr>
        <w:tabs>
          <w:tab w:val="clear" w:pos="567"/>
        </w:tabs>
      </w:pPr>
    </w:p>
    <w:p w14:paraId="5407F264" w14:textId="77777777" w:rsidR="008011D6" w:rsidRPr="00882AF5" w:rsidRDefault="008011D6" w:rsidP="008B4ED7">
      <w:pPr>
        <w:keepNext/>
        <w:ind w:left="567" w:hanging="567"/>
        <w:rPr>
          <w:b/>
        </w:rPr>
      </w:pPr>
      <w:r w:rsidRPr="00882AF5">
        <w:rPr>
          <w:b/>
        </w:rPr>
        <w:t>10.</w:t>
      </w:r>
      <w:r w:rsidRPr="00882AF5">
        <w:rPr>
          <w:b/>
        </w:rPr>
        <w:tab/>
        <w:t>TEKSTA PĀRSKATĪŠANAS DATUMS</w:t>
      </w:r>
    </w:p>
    <w:p w14:paraId="4FEAD54C" w14:textId="77777777" w:rsidR="008011D6" w:rsidRPr="00882AF5" w:rsidRDefault="008011D6" w:rsidP="008B4ED7">
      <w:pPr>
        <w:keepNext/>
      </w:pPr>
    </w:p>
    <w:p w14:paraId="5565EDB2" w14:textId="216F63A3" w:rsidR="008011D6" w:rsidRPr="00882AF5" w:rsidRDefault="008011D6" w:rsidP="00C345B1">
      <w:pPr>
        <w:keepNext/>
        <w:tabs>
          <w:tab w:val="clear" w:pos="567"/>
        </w:tabs>
      </w:pPr>
      <w:r w:rsidRPr="00882AF5">
        <w:t xml:space="preserve">Sīkāka informācija par šīm zālēm ir pieejama Eiropas Zāļu aģentūras tīmekļa vietnē </w:t>
      </w:r>
      <w:r w:rsidR="00C462AB">
        <w:fldChar w:fldCharType="begin"/>
      </w:r>
      <w:r w:rsidR="00C462AB">
        <w:instrText>HYPERLINK "https://www.ema.europa.eu/%3c"</w:instrText>
      </w:r>
      <w:r w:rsidR="00C462AB">
        <w:fldChar w:fldCharType="separate"/>
      </w:r>
      <w:r w:rsidR="00C462AB">
        <w:rPr>
          <w:rStyle w:val="ab"/>
        </w:rPr>
        <w:t>https://www.ema.europa.eu</w:t>
      </w:r>
      <w:r w:rsidR="00C462AB">
        <w:fldChar w:fldCharType="end"/>
      </w:r>
      <w:r w:rsidRPr="00882AF5">
        <w:t>.</w:t>
      </w:r>
    </w:p>
    <w:p w14:paraId="425C9CBB" w14:textId="77777777" w:rsidR="0050635E" w:rsidRPr="00882AF5" w:rsidRDefault="0050635E" w:rsidP="008B4ED7">
      <w:pPr>
        <w:tabs>
          <w:tab w:val="clear" w:pos="567"/>
        </w:tabs>
      </w:pPr>
    </w:p>
    <w:p w14:paraId="75F58E51" w14:textId="77777777" w:rsidR="00C5731C" w:rsidRPr="00882AF5" w:rsidRDefault="00C5731C" w:rsidP="008B4ED7">
      <w:pPr>
        <w:jc w:val="center"/>
      </w:pPr>
      <w:r w:rsidRPr="00882AF5">
        <w:br w:type="page"/>
      </w:r>
    </w:p>
    <w:p w14:paraId="6861B834" w14:textId="77777777" w:rsidR="00C5731C" w:rsidRPr="00882AF5" w:rsidRDefault="00C5731C" w:rsidP="008B4ED7">
      <w:pPr>
        <w:jc w:val="center"/>
      </w:pPr>
    </w:p>
    <w:p w14:paraId="07E4899F" w14:textId="77777777" w:rsidR="00C5731C" w:rsidRPr="00882AF5" w:rsidRDefault="00C5731C" w:rsidP="008B4ED7">
      <w:pPr>
        <w:jc w:val="center"/>
      </w:pPr>
    </w:p>
    <w:p w14:paraId="65804D5C" w14:textId="77777777" w:rsidR="00C5731C" w:rsidRPr="00882AF5" w:rsidRDefault="00C5731C" w:rsidP="008B4ED7">
      <w:pPr>
        <w:jc w:val="center"/>
      </w:pPr>
    </w:p>
    <w:p w14:paraId="0624AFE5" w14:textId="77777777" w:rsidR="00C5731C" w:rsidRPr="00882AF5" w:rsidRDefault="00C5731C" w:rsidP="008B4ED7">
      <w:pPr>
        <w:jc w:val="center"/>
      </w:pPr>
    </w:p>
    <w:p w14:paraId="487CA621" w14:textId="77777777" w:rsidR="00C5731C" w:rsidRPr="00882AF5" w:rsidRDefault="00C5731C" w:rsidP="008B4ED7">
      <w:pPr>
        <w:jc w:val="center"/>
      </w:pPr>
    </w:p>
    <w:p w14:paraId="70FE13D5" w14:textId="77777777" w:rsidR="00C5731C" w:rsidRPr="00882AF5" w:rsidRDefault="00C5731C" w:rsidP="008B4ED7">
      <w:pPr>
        <w:jc w:val="center"/>
      </w:pPr>
    </w:p>
    <w:p w14:paraId="5E4BB608" w14:textId="77777777" w:rsidR="00C5731C" w:rsidRPr="00882AF5" w:rsidRDefault="00C5731C" w:rsidP="008B4ED7">
      <w:pPr>
        <w:jc w:val="center"/>
      </w:pPr>
    </w:p>
    <w:p w14:paraId="1993413A" w14:textId="77777777" w:rsidR="00C5731C" w:rsidRPr="00882AF5" w:rsidRDefault="00C5731C" w:rsidP="008B4ED7">
      <w:pPr>
        <w:jc w:val="center"/>
      </w:pPr>
    </w:p>
    <w:p w14:paraId="413A0C43" w14:textId="77777777" w:rsidR="00C5731C" w:rsidRPr="00882AF5" w:rsidRDefault="00C5731C" w:rsidP="008B4ED7">
      <w:pPr>
        <w:jc w:val="center"/>
      </w:pPr>
    </w:p>
    <w:p w14:paraId="6AF53709" w14:textId="77777777" w:rsidR="00C5731C" w:rsidRPr="00882AF5" w:rsidRDefault="00C5731C" w:rsidP="008B4ED7">
      <w:pPr>
        <w:jc w:val="center"/>
      </w:pPr>
    </w:p>
    <w:p w14:paraId="5C4D4629" w14:textId="77777777" w:rsidR="00C5731C" w:rsidRPr="00882AF5" w:rsidRDefault="00C5731C" w:rsidP="008B4ED7">
      <w:pPr>
        <w:jc w:val="center"/>
      </w:pPr>
    </w:p>
    <w:p w14:paraId="1B897055" w14:textId="77777777" w:rsidR="00C5731C" w:rsidRPr="00882AF5" w:rsidRDefault="00C5731C" w:rsidP="008B4ED7">
      <w:pPr>
        <w:jc w:val="center"/>
      </w:pPr>
    </w:p>
    <w:p w14:paraId="02A733C4" w14:textId="77777777" w:rsidR="00C5731C" w:rsidRPr="00882AF5" w:rsidRDefault="00C5731C" w:rsidP="008B4ED7">
      <w:pPr>
        <w:jc w:val="center"/>
      </w:pPr>
    </w:p>
    <w:p w14:paraId="6379933C" w14:textId="77777777" w:rsidR="00C5731C" w:rsidRPr="00882AF5" w:rsidRDefault="00C5731C" w:rsidP="008B4ED7">
      <w:pPr>
        <w:jc w:val="center"/>
      </w:pPr>
    </w:p>
    <w:p w14:paraId="4A124502" w14:textId="77777777" w:rsidR="00C5731C" w:rsidRPr="00882AF5" w:rsidRDefault="00C5731C" w:rsidP="008B4ED7">
      <w:pPr>
        <w:jc w:val="center"/>
      </w:pPr>
    </w:p>
    <w:p w14:paraId="39EE30E6" w14:textId="77777777" w:rsidR="00C5731C" w:rsidRPr="00882AF5" w:rsidRDefault="00C5731C" w:rsidP="008B4ED7">
      <w:pPr>
        <w:jc w:val="center"/>
      </w:pPr>
    </w:p>
    <w:p w14:paraId="01D6B2DD" w14:textId="77777777" w:rsidR="00C5731C" w:rsidRPr="00882AF5" w:rsidRDefault="00C5731C" w:rsidP="008B4ED7">
      <w:pPr>
        <w:jc w:val="center"/>
      </w:pPr>
    </w:p>
    <w:p w14:paraId="24986A74" w14:textId="77777777" w:rsidR="00C5731C" w:rsidRPr="00882AF5" w:rsidRDefault="00C5731C" w:rsidP="008B4ED7">
      <w:pPr>
        <w:jc w:val="center"/>
      </w:pPr>
    </w:p>
    <w:p w14:paraId="0638B764" w14:textId="77777777" w:rsidR="00C5731C" w:rsidRPr="00882AF5" w:rsidRDefault="00C5731C" w:rsidP="008B4ED7">
      <w:pPr>
        <w:jc w:val="center"/>
      </w:pPr>
    </w:p>
    <w:p w14:paraId="48E03A3D" w14:textId="77777777" w:rsidR="00C5731C" w:rsidRPr="00882AF5" w:rsidRDefault="00C5731C" w:rsidP="008B4ED7">
      <w:pPr>
        <w:jc w:val="center"/>
      </w:pPr>
    </w:p>
    <w:p w14:paraId="5D2717DD" w14:textId="77777777" w:rsidR="00C5731C" w:rsidRPr="00882AF5" w:rsidRDefault="00C5731C" w:rsidP="008B4ED7">
      <w:pPr>
        <w:jc w:val="center"/>
      </w:pPr>
    </w:p>
    <w:p w14:paraId="3FCB7418" w14:textId="77777777" w:rsidR="001A371B" w:rsidRPr="00882AF5" w:rsidRDefault="001A371B" w:rsidP="008B4ED7">
      <w:pPr>
        <w:jc w:val="center"/>
      </w:pPr>
    </w:p>
    <w:p w14:paraId="7B318B64" w14:textId="77777777" w:rsidR="00C5731C" w:rsidRPr="00882AF5" w:rsidRDefault="00C5731C" w:rsidP="008B4ED7">
      <w:pPr>
        <w:jc w:val="center"/>
        <w:rPr>
          <w:b/>
          <w:bCs/>
        </w:rPr>
      </w:pPr>
      <w:r w:rsidRPr="00882AF5">
        <w:rPr>
          <w:b/>
        </w:rPr>
        <w:t>II PIELIKUMS</w:t>
      </w:r>
    </w:p>
    <w:p w14:paraId="36BD70E4" w14:textId="77777777" w:rsidR="00C5731C" w:rsidRPr="00882AF5" w:rsidRDefault="00C5731C" w:rsidP="00EA44AD">
      <w:pPr>
        <w:jc w:val="center"/>
      </w:pPr>
    </w:p>
    <w:p w14:paraId="1CA0B485" w14:textId="3F5B9FBB" w:rsidR="00C5731C" w:rsidRPr="00882AF5" w:rsidRDefault="00C5731C" w:rsidP="00447E6B">
      <w:pPr>
        <w:pStyle w:val="TitleB"/>
        <w:ind w:left="1701" w:right="1418" w:hanging="709"/>
      </w:pPr>
      <w:r w:rsidRPr="00882AF5">
        <w:t>A.</w:t>
      </w:r>
      <w:r w:rsidRPr="00882AF5">
        <w:tab/>
        <w:t>BIOLOĢISKI AKTĪVĀS VIELAS RAŽOTĀJI UN RAŽOTĀJI, KAS ATBILD PAR SĒRIJAS IZLAIDI</w:t>
      </w:r>
    </w:p>
    <w:p w14:paraId="5C3A160D" w14:textId="77777777" w:rsidR="00C5731C" w:rsidRPr="00882AF5" w:rsidRDefault="00C5731C" w:rsidP="00EA44AD">
      <w:pPr>
        <w:jc w:val="center"/>
      </w:pPr>
    </w:p>
    <w:p w14:paraId="3B6CD25B" w14:textId="77777777" w:rsidR="00C5731C" w:rsidRPr="00882AF5" w:rsidRDefault="00C5731C" w:rsidP="00447E6B">
      <w:pPr>
        <w:pStyle w:val="TitleB"/>
        <w:ind w:left="1701" w:right="1418" w:hanging="709"/>
      </w:pPr>
      <w:r w:rsidRPr="00882AF5">
        <w:t>B.</w:t>
      </w:r>
      <w:r w:rsidRPr="00882AF5">
        <w:tab/>
        <w:t>IZSNIEGŠANAS KĀRTĪBAS UN LIETOŠANAS NOSACĪJUMI VAI IEROBEŽOJUMI</w:t>
      </w:r>
    </w:p>
    <w:p w14:paraId="58CEBA89" w14:textId="77777777" w:rsidR="00C5731C" w:rsidRPr="00882AF5" w:rsidRDefault="00C5731C" w:rsidP="00EA44AD">
      <w:pPr>
        <w:jc w:val="center"/>
      </w:pPr>
    </w:p>
    <w:p w14:paraId="0DD6EC92" w14:textId="77777777" w:rsidR="00C5731C" w:rsidRPr="00882AF5" w:rsidRDefault="00C5731C" w:rsidP="00447E6B">
      <w:pPr>
        <w:pStyle w:val="TitleB"/>
        <w:ind w:left="1701" w:right="1418" w:hanging="709"/>
      </w:pPr>
      <w:r w:rsidRPr="00882AF5">
        <w:t>C.</w:t>
      </w:r>
      <w:r w:rsidRPr="00882AF5">
        <w:tab/>
        <w:t>CITI REĢISTRĀCIJAS NOSACĪJUMI UN PRASĪBAS</w:t>
      </w:r>
    </w:p>
    <w:p w14:paraId="093E4581" w14:textId="77777777" w:rsidR="00C5731C" w:rsidRPr="00882AF5" w:rsidRDefault="00C5731C" w:rsidP="00EA44AD">
      <w:pPr>
        <w:jc w:val="center"/>
      </w:pPr>
    </w:p>
    <w:p w14:paraId="34FD1CA3" w14:textId="77777777" w:rsidR="008603DE" w:rsidRPr="00882AF5" w:rsidRDefault="00C5731C" w:rsidP="00447E6B">
      <w:pPr>
        <w:pStyle w:val="TitleB"/>
        <w:ind w:left="1701" w:right="1418" w:hanging="709"/>
      </w:pPr>
      <w:r w:rsidRPr="00882AF5">
        <w:t>D.</w:t>
      </w:r>
      <w:r w:rsidRPr="00882AF5">
        <w:tab/>
        <w:t>NOSACĪJUMI VAI IEROBEŽOJUMI ATTIECĪBĀ UZ DROŠU UN EFEKTĪVU ZĀĻU LIETOŠANU</w:t>
      </w:r>
    </w:p>
    <w:p w14:paraId="6D406A96" w14:textId="77777777" w:rsidR="00C5731C" w:rsidRPr="00882AF5" w:rsidRDefault="00C5731C" w:rsidP="008B4ED7">
      <w:pPr>
        <w:jc w:val="center"/>
      </w:pPr>
    </w:p>
    <w:p w14:paraId="5B45E05F" w14:textId="77777777" w:rsidR="00C5731C" w:rsidRPr="00882AF5" w:rsidRDefault="00C5731C" w:rsidP="008B4ED7">
      <w:pPr>
        <w:jc w:val="center"/>
      </w:pPr>
    </w:p>
    <w:p w14:paraId="22BD7B4C" w14:textId="150152BF" w:rsidR="00C5731C" w:rsidRPr="00882AF5" w:rsidRDefault="00C5731C" w:rsidP="00BF5188">
      <w:pPr>
        <w:pStyle w:val="TitleB"/>
      </w:pPr>
      <w:r w:rsidRPr="00882AF5">
        <w:br w:type="page"/>
      </w:r>
      <w:r w:rsidRPr="00882AF5">
        <w:lastRenderedPageBreak/>
        <w:t>A.</w:t>
      </w:r>
      <w:r w:rsidRPr="00882AF5">
        <w:tab/>
        <w:t>BIOLOĢISKI AKTĪVĀS VIELAS RAŽOTĀJI UN RAŽOTĀJI, KAS ATBILD PAR SĒRIJAS IZLAIDI</w:t>
      </w:r>
    </w:p>
    <w:p w14:paraId="5A2FE3D5" w14:textId="77777777" w:rsidR="00C5731C" w:rsidRPr="00882AF5" w:rsidRDefault="00C5731C" w:rsidP="008B4ED7">
      <w:pPr>
        <w:keepNext/>
      </w:pPr>
    </w:p>
    <w:p w14:paraId="7A443852" w14:textId="494E28A0" w:rsidR="00C5731C" w:rsidRPr="00882AF5" w:rsidRDefault="00C5731C" w:rsidP="008B4ED7">
      <w:pPr>
        <w:keepNext/>
        <w:rPr>
          <w:u w:val="single"/>
        </w:rPr>
      </w:pPr>
      <w:r w:rsidRPr="00882AF5">
        <w:rPr>
          <w:u w:val="single"/>
        </w:rPr>
        <w:t>Bioloģiski aktīvās vielas ražotāj</w:t>
      </w:r>
      <w:r w:rsidR="001C37FA" w:rsidRPr="00882AF5">
        <w:rPr>
          <w:u w:val="single"/>
        </w:rPr>
        <w:t>a</w:t>
      </w:r>
      <w:r w:rsidRPr="00882AF5">
        <w:rPr>
          <w:u w:val="single"/>
        </w:rPr>
        <w:t xml:space="preserve"> nosaukums un adrese</w:t>
      </w:r>
    </w:p>
    <w:p w14:paraId="263188BE" w14:textId="77777777" w:rsidR="00C5731C" w:rsidRPr="00882AF5" w:rsidRDefault="00C5731C" w:rsidP="008B4ED7">
      <w:pPr>
        <w:keepNext/>
      </w:pPr>
    </w:p>
    <w:p w14:paraId="4C00DE6F" w14:textId="77777777" w:rsidR="001C37FA" w:rsidRPr="00882AF5" w:rsidRDefault="001C37FA" w:rsidP="001C37FA">
      <w:pPr>
        <w:keepNext/>
      </w:pPr>
      <w:r w:rsidRPr="00882AF5">
        <w:t xml:space="preserve">CELLTRION, Inc. </w:t>
      </w:r>
    </w:p>
    <w:p w14:paraId="58622D8D" w14:textId="77777777" w:rsidR="001C37FA" w:rsidRPr="00882AF5" w:rsidRDefault="001C37FA" w:rsidP="001C37FA">
      <w:pPr>
        <w:keepNext/>
      </w:pPr>
      <w:r w:rsidRPr="00882AF5">
        <w:t>20, Academy-ro 51 beon-gil,</w:t>
      </w:r>
    </w:p>
    <w:p w14:paraId="497A6346" w14:textId="77777777" w:rsidR="001C37FA" w:rsidRPr="00882AF5" w:rsidRDefault="001C37FA" w:rsidP="001C37FA">
      <w:pPr>
        <w:keepNext/>
      </w:pPr>
      <w:r w:rsidRPr="00882AF5">
        <w:t>Yeonsu-gu, Incheon, 22014</w:t>
      </w:r>
    </w:p>
    <w:p w14:paraId="773F413A" w14:textId="7848FDD6" w:rsidR="001C37FA" w:rsidRPr="00882AF5" w:rsidRDefault="00506414" w:rsidP="001C37FA">
      <w:r w:rsidRPr="00882AF5">
        <w:t>Korejas Republika</w:t>
      </w:r>
    </w:p>
    <w:p w14:paraId="22A3DE1F" w14:textId="77777777" w:rsidR="001D1E25" w:rsidRPr="00882AF5" w:rsidRDefault="001D1E25" w:rsidP="008B4ED7">
      <w:pPr>
        <w:tabs>
          <w:tab w:val="clear" w:pos="567"/>
        </w:tabs>
      </w:pPr>
    </w:p>
    <w:p w14:paraId="038D106D" w14:textId="77777777" w:rsidR="00C5731C" w:rsidRPr="00882AF5" w:rsidRDefault="00C5731C" w:rsidP="008B4ED7">
      <w:pPr>
        <w:keepNext/>
        <w:rPr>
          <w:u w:val="single"/>
        </w:rPr>
      </w:pPr>
      <w:r w:rsidRPr="00882AF5">
        <w:rPr>
          <w:u w:val="single"/>
        </w:rPr>
        <w:t>Ražotāju, kas atbild par sērijas izlaidi, nosaukums un adrese</w:t>
      </w:r>
    </w:p>
    <w:p w14:paraId="55BBCBCF" w14:textId="77777777" w:rsidR="00C5731C" w:rsidRPr="00882AF5" w:rsidRDefault="00C5731C" w:rsidP="008B4ED7">
      <w:pPr>
        <w:keepNext/>
      </w:pPr>
    </w:p>
    <w:p w14:paraId="2D74DF60" w14:textId="77777777" w:rsidR="00506414" w:rsidRPr="00882AF5" w:rsidRDefault="00506414" w:rsidP="00506414">
      <w:pPr>
        <w:keepNext/>
      </w:pPr>
      <w:r w:rsidRPr="00882AF5">
        <w:t>Nuvisan France S.A.R.L</w:t>
      </w:r>
    </w:p>
    <w:p w14:paraId="77AA25B7" w14:textId="77777777" w:rsidR="00506414" w:rsidRPr="00882AF5" w:rsidRDefault="00506414" w:rsidP="00506414">
      <w:pPr>
        <w:keepNext/>
      </w:pPr>
      <w:r w:rsidRPr="00882AF5">
        <w:t>2400 Route des Colles,</w:t>
      </w:r>
    </w:p>
    <w:p w14:paraId="5575C508" w14:textId="77777777" w:rsidR="00506414" w:rsidRPr="00882AF5" w:rsidRDefault="00506414" w:rsidP="00506414">
      <w:pPr>
        <w:keepNext/>
      </w:pPr>
      <w:r w:rsidRPr="00882AF5">
        <w:t>Biot, 06410</w:t>
      </w:r>
    </w:p>
    <w:p w14:paraId="22149EF2" w14:textId="064A7B2F" w:rsidR="00506414" w:rsidRPr="00882AF5" w:rsidRDefault="00506414" w:rsidP="00506414">
      <w:r w:rsidRPr="00882AF5">
        <w:t>Francija</w:t>
      </w:r>
    </w:p>
    <w:p w14:paraId="0C2277FE" w14:textId="77777777" w:rsidR="00506414" w:rsidRPr="00882AF5" w:rsidRDefault="00506414" w:rsidP="00506414"/>
    <w:p w14:paraId="21620917" w14:textId="77777777" w:rsidR="00506414" w:rsidRPr="00882AF5" w:rsidRDefault="00506414" w:rsidP="00506414">
      <w:pPr>
        <w:keepNext/>
      </w:pPr>
      <w:r w:rsidRPr="00882AF5">
        <w:t>Midas Pharma GmbH</w:t>
      </w:r>
    </w:p>
    <w:p w14:paraId="49038B93" w14:textId="77777777" w:rsidR="00506414" w:rsidRPr="00882AF5" w:rsidRDefault="00506414" w:rsidP="00506414">
      <w:pPr>
        <w:keepNext/>
      </w:pPr>
      <w:r w:rsidRPr="00882AF5">
        <w:t>Rheinstrasse 49, West,</w:t>
      </w:r>
    </w:p>
    <w:p w14:paraId="280E668A" w14:textId="77777777" w:rsidR="00506414" w:rsidRPr="00882AF5" w:rsidRDefault="00506414" w:rsidP="00506414">
      <w:pPr>
        <w:keepNext/>
      </w:pPr>
      <w:r w:rsidRPr="00882AF5">
        <w:t>Ingelheim Am Rhein,</w:t>
      </w:r>
    </w:p>
    <w:p w14:paraId="4B807155" w14:textId="77777777" w:rsidR="00506414" w:rsidRPr="00882AF5" w:rsidRDefault="00506414" w:rsidP="00506414">
      <w:pPr>
        <w:keepNext/>
      </w:pPr>
      <w:r w:rsidRPr="00882AF5">
        <w:t>Rhineland-Palatinate, 55218</w:t>
      </w:r>
    </w:p>
    <w:p w14:paraId="1988A25F" w14:textId="2DE14337" w:rsidR="00506414" w:rsidRPr="00882AF5" w:rsidRDefault="00506414" w:rsidP="00506414">
      <w:r w:rsidRPr="00882AF5">
        <w:t>Vācija</w:t>
      </w:r>
    </w:p>
    <w:p w14:paraId="29C9DDD8" w14:textId="77777777" w:rsidR="00506414" w:rsidRPr="00882AF5" w:rsidRDefault="00506414" w:rsidP="00506414"/>
    <w:p w14:paraId="40507E50" w14:textId="77777777" w:rsidR="00506414" w:rsidRPr="00882AF5" w:rsidRDefault="00506414" w:rsidP="00506414">
      <w:pPr>
        <w:keepNext/>
      </w:pPr>
      <w:r w:rsidRPr="00882AF5">
        <w:t>Kymos S.L.</w:t>
      </w:r>
    </w:p>
    <w:p w14:paraId="6B0A8A8B" w14:textId="77777777" w:rsidR="00506414" w:rsidRPr="00882AF5" w:rsidRDefault="00506414" w:rsidP="00506414">
      <w:pPr>
        <w:keepNext/>
      </w:pPr>
      <w:r w:rsidRPr="00882AF5">
        <w:t>Ronda de Can Fatjó, 7B</w:t>
      </w:r>
    </w:p>
    <w:p w14:paraId="0E71DB47" w14:textId="77777777" w:rsidR="00506414" w:rsidRPr="00882AF5" w:rsidRDefault="00506414" w:rsidP="00506414">
      <w:pPr>
        <w:keepNext/>
      </w:pPr>
      <w:r w:rsidRPr="00882AF5">
        <w:t>Parc Tecnològic del Vallès,</w:t>
      </w:r>
    </w:p>
    <w:p w14:paraId="40F5F21C" w14:textId="77777777" w:rsidR="00506414" w:rsidRPr="00882AF5" w:rsidRDefault="00506414" w:rsidP="00506414">
      <w:pPr>
        <w:keepNext/>
      </w:pPr>
      <w:r w:rsidRPr="00882AF5">
        <w:t xml:space="preserve">Cerdanyola del Vallès, </w:t>
      </w:r>
    </w:p>
    <w:p w14:paraId="3655E24E" w14:textId="77777777" w:rsidR="00506414" w:rsidRPr="00882AF5" w:rsidRDefault="00506414" w:rsidP="00506414">
      <w:pPr>
        <w:keepNext/>
      </w:pPr>
      <w:r w:rsidRPr="00882AF5">
        <w:t>Barcelona, 08290</w:t>
      </w:r>
    </w:p>
    <w:p w14:paraId="17D7A4C7" w14:textId="50FB3ACF" w:rsidR="00506414" w:rsidRPr="00882AF5" w:rsidRDefault="00506414" w:rsidP="00506414">
      <w:r w:rsidRPr="00882AF5">
        <w:t>Spānija</w:t>
      </w:r>
    </w:p>
    <w:p w14:paraId="480ABE86" w14:textId="77777777" w:rsidR="007E53D0" w:rsidRPr="00882AF5" w:rsidRDefault="007E53D0" w:rsidP="008B4ED7">
      <w:pPr>
        <w:tabs>
          <w:tab w:val="clear" w:pos="567"/>
        </w:tabs>
      </w:pPr>
    </w:p>
    <w:p w14:paraId="5F3BFA10" w14:textId="77777777" w:rsidR="00C5731C" w:rsidRPr="00882AF5" w:rsidRDefault="00C5731C" w:rsidP="008B4ED7">
      <w:pPr>
        <w:tabs>
          <w:tab w:val="clear" w:pos="567"/>
        </w:tabs>
      </w:pPr>
      <w:r w:rsidRPr="00882AF5">
        <w:t>Drukātajā lietošanas instrukcijā jānorāda ražotāja, kas atbild par attiecīgās sērijas izlaidi, nosaukums un adrese.</w:t>
      </w:r>
    </w:p>
    <w:p w14:paraId="1AF51A6C" w14:textId="77777777" w:rsidR="00C5731C" w:rsidRPr="00882AF5" w:rsidRDefault="00C5731C" w:rsidP="008B4ED7">
      <w:pPr>
        <w:tabs>
          <w:tab w:val="clear" w:pos="567"/>
        </w:tabs>
      </w:pPr>
    </w:p>
    <w:p w14:paraId="48035635" w14:textId="77777777" w:rsidR="00C5731C" w:rsidRPr="00882AF5" w:rsidRDefault="00C5731C" w:rsidP="008B4ED7">
      <w:pPr>
        <w:tabs>
          <w:tab w:val="clear" w:pos="567"/>
        </w:tabs>
      </w:pPr>
    </w:p>
    <w:p w14:paraId="430F1934" w14:textId="77777777" w:rsidR="00C5731C" w:rsidRPr="00882AF5" w:rsidRDefault="00C5731C" w:rsidP="00BF5188">
      <w:pPr>
        <w:pStyle w:val="TitleB"/>
      </w:pPr>
      <w:r w:rsidRPr="00882AF5">
        <w:t>B.</w:t>
      </w:r>
      <w:r w:rsidRPr="00882AF5">
        <w:tab/>
        <w:t>IZSNIEGŠANAS KĀRTĪBAS UN LIETOŠANAS NOSACĪJUMI VAI IEROBEŽOJUMI</w:t>
      </w:r>
    </w:p>
    <w:p w14:paraId="3546B396" w14:textId="77777777" w:rsidR="00C5731C" w:rsidRPr="00882AF5" w:rsidRDefault="00C5731C" w:rsidP="008B4ED7">
      <w:pPr>
        <w:keepNext/>
      </w:pPr>
    </w:p>
    <w:p w14:paraId="74645735" w14:textId="77777777" w:rsidR="00C5731C" w:rsidRPr="00882AF5" w:rsidRDefault="00C5731C" w:rsidP="008B4ED7">
      <w:pPr>
        <w:tabs>
          <w:tab w:val="clear" w:pos="567"/>
        </w:tabs>
      </w:pPr>
      <w:r w:rsidRPr="00882AF5">
        <w:t>Recepšu zāles.</w:t>
      </w:r>
    </w:p>
    <w:p w14:paraId="487284AA" w14:textId="77777777" w:rsidR="00BE114A" w:rsidRPr="00882AF5" w:rsidRDefault="00BE114A" w:rsidP="008B4ED7">
      <w:pPr>
        <w:tabs>
          <w:tab w:val="clear" w:pos="567"/>
        </w:tabs>
      </w:pPr>
    </w:p>
    <w:p w14:paraId="6C5843B3" w14:textId="77777777" w:rsidR="00C5731C" w:rsidRPr="00882AF5" w:rsidRDefault="00C5731C" w:rsidP="008B4ED7">
      <w:pPr>
        <w:tabs>
          <w:tab w:val="clear" w:pos="567"/>
        </w:tabs>
      </w:pPr>
    </w:p>
    <w:p w14:paraId="112A10FB" w14:textId="77777777" w:rsidR="00C5731C" w:rsidRPr="00882AF5" w:rsidRDefault="00C5731C" w:rsidP="00BF5188">
      <w:pPr>
        <w:pStyle w:val="TitleB"/>
      </w:pPr>
      <w:r w:rsidRPr="00882AF5">
        <w:t>C.</w:t>
      </w:r>
      <w:r w:rsidRPr="00882AF5">
        <w:tab/>
        <w:t>CITI REĢISTRĀCIJAS NOSACĪJUMI UN PRASĪBAS</w:t>
      </w:r>
    </w:p>
    <w:p w14:paraId="15DA36D7" w14:textId="77777777" w:rsidR="00C5731C" w:rsidRPr="00882AF5" w:rsidRDefault="00C5731C" w:rsidP="008B4ED7">
      <w:pPr>
        <w:keepNext/>
      </w:pPr>
    </w:p>
    <w:p w14:paraId="6F769EC9" w14:textId="09D51D75" w:rsidR="00C5731C" w:rsidRPr="00882AF5" w:rsidRDefault="00C5731C" w:rsidP="00C345B1">
      <w:pPr>
        <w:keepNext/>
        <w:numPr>
          <w:ilvl w:val="0"/>
          <w:numId w:val="55"/>
        </w:numPr>
        <w:ind w:left="567" w:hanging="567"/>
        <w:rPr>
          <w:b/>
          <w:bCs/>
        </w:rPr>
      </w:pPr>
      <w:r w:rsidRPr="00882AF5">
        <w:rPr>
          <w:b/>
        </w:rPr>
        <w:t>Periodiski atjaunojamais drošuma ziņojums (PSUR)</w:t>
      </w:r>
    </w:p>
    <w:p w14:paraId="34B66634" w14:textId="77777777" w:rsidR="00C5731C" w:rsidRPr="00882AF5" w:rsidRDefault="00C5731C" w:rsidP="008B4ED7">
      <w:pPr>
        <w:keepNext/>
      </w:pPr>
    </w:p>
    <w:p w14:paraId="547BA2FE" w14:textId="18A08BAA" w:rsidR="006A1E6E" w:rsidRPr="00882AF5" w:rsidRDefault="006A1E6E" w:rsidP="008B4ED7">
      <w:pPr>
        <w:tabs>
          <w:tab w:val="clear" w:pos="567"/>
        </w:tabs>
      </w:pPr>
      <w:r w:rsidRPr="00882AF5">
        <w:t>Šo zāļu periodiski atjaunojamo drošuma ziņojumu iesniegšanas prasības ir norādītas Eiropas Savienības atsauces datumu un periodisko ziņojumu iesniegšanas biežuma sarakstā (EURD sarakstā), kas sagatavots saskaņā ar Direktīvas 2001/83/EK 107.c panta 7. punktu, un visos turpmākajos saraksta atjauninājumos, kas publicēti Eiropas Zāļu aģentūras tīmekļa vietnē.</w:t>
      </w:r>
    </w:p>
    <w:p w14:paraId="2628DCC4" w14:textId="77777777" w:rsidR="00C5731C" w:rsidRPr="00882AF5" w:rsidRDefault="00C5731C" w:rsidP="008B4ED7">
      <w:pPr>
        <w:tabs>
          <w:tab w:val="clear" w:pos="567"/>
        </w:tabs>
      </w:pPr>
    </w:p>
    <w:p w14:paraId="08AA13AA" w14:textId="77777777" w:rsidR="00C5731C" w:rsidRPr="00882AF5" w:rsidRDefault="00C5731C" w:rsidP="008B4ED7">
      <w:pPr>
        <w:tabs>
          <w:tab w:val="clear" w:pos="567"/>
        </w:tabs>
      </w:pPr>
    </w:p>
    <w:p w14:paraId="7FC106AB" w14:textId="77777777" w:rsidR="008603DE" w:rsidRPr="00882AF5" w:rsidRDefault="00C5731C" w:rsidP="00BF5188">
      <w:pPr>
        <w:pStyle w:val="TitleB"/>
      </w:pPr>
      <w:r w:rsidRPr="00882AF5">
        <w:t>D.</w:t>
      </w:r>
      <w:r w:rsidRPr="00882AF5">
        <w:tab/>
        <w:t>NOSACĪJUMI VAI IEROBEŽOJUMI ATTIECĪBĀ UZ DROŠU UN EFEKTĪVU ZĀĻU LIETOŠANU</w:t>
      </w:r>
    </w:p>
    <w:p w14:paraId="2B29CAE1" w14:textId="77777777" w:rsidR="00022F7A" w:rsidRPr="00882AF5" w:rsidRDefault="00022F7A" w:rsidP="008B4ED7">
      <w:pPr>
        <w:keepNext/>
      </w:pPr>
    </w:p>
    <w:p w14:paraId="7D58DDD8" w14:textId="3B2DA7E9" w:rsidR="00C5731C" w:rsidRPr="00882AF5" w:rsidRDefault="00C5731C" w:rsidP="00C345B1">
      <w:pPr>
        <w:keepNext/>
        <w:numPr>
          <w:ilvl w:val="0"/>
          <w:numId w:val="55"/>
        </w:numPr>
        <w:ind w:left="567" w:hanging="567"/>
        <w:rPr>
          <w:b/>
          <w:bCs/>
        </w:rPr>
      </w:pPr>
      <w:r w:rsidRPr="00882AF5">
        <w:rPr>
          <w:b/>
        </w:rPr>
        <w:t>Riska pārvaldības plāns (RPP)</w:t>
      </w:r>
    </w:p>
    <w:p w14:paraId="5543ABF1" w14:textId="77777777" w:rsidR="00C5731C" w:rsidRPr="00882AF5" w:rsidRDefault="00C5731C" w:rsidP="008B4ED7">
      <w:pPr>
        <w:keepNext/>
      </w:pPr>
    </w:p>
    <w:p w14:paraId="20281BC9" w14:textId="54AC7120" w:rsidR="00C5731C" w:rsidRPr="00882AF5" w:rsidRDefault="00C5731C" w:rsidP="008B4ED7">
      <w:pPr>
        <w:tabs>
          <w:tab w:val="clear" w:pos="567"/>
        </w:tabs>
      </w:pPr>
      <w:r w:rsidRPr="00882AF5">
        <w:t>Reģistrācijas apliecības īpašniekam jāveic nepieciešamās farmakovigilances darbības un pasākumi, kas sīkāk aprakstīti reģistrācijas pieteikuma 1.8.2. modulī iekļautajā apstiprinātajā RPP un visos turpmākajos atjaunotajos apstiprinātajos RPP.</w:t>
      </w:r>
    </w:p>
    <w:p w14:paraId="3DBEC2B0" w14:textId="77777777" w:rsidR="00C5731C" w:rsidRPr="00882AF5" w:rsidRDefault="00C5731C" w:rsidP="008B4ED7">
      <w:pPr>
        <w:tabs>
          <w:tab w:val="clear" w:pos="567"/>
        </w:tabs>
      </w:pPr>
    </w:p>
    <w:p w14:paraId="5A3FBD84" w14:textId="77777777" w:rsidR="00C5731C" w:rsidRPr="00882AF5" w:rsidRDefault="00C5731C" w:rsidP="00C345B1">
      <w:pPr>
        <w:keepNext/>
        <w:tabs>
          <w:tab w:val="clear" w:pos="567"/>
        </w:tabs>
      </w:pPr>
      <w:r w:rsidRPr="00882AF5">
        <w:t>Atjaunināts RPP jāiesniedz:</w:t>
      </w:r>
    </w:p>
    <w:p w14:paraId="5A565A27" w14:textId="77777777" w:rsidR="00C5731C" w:rsidRPr="00882AF5" w:rsidRDefault="00C5731C" w:rsidP="00447E6B">
      <w:pPr>
        <w:keepNext/>
        <w:numPr>
          <w:ilvl w:val="0"/>
          <w:numId w:val="54"/>
        </w:numPr>
        <w:tabs>
          <w:tab w:val="clear" w:pos="567"/>
        </w:tabs>
        <w:ind w:left="567" w:hanging="567"/>
      </w:pPr>
      <w:r w:rsidRPr="00882AF5">
        <w:t>pēc Eiropas Zāļu aģentūras pieprasījuma;</w:t>
      </w:r>
    </w:p>
    <w:p w14:paraId="3DCD64E8" w14:textId="77777777" w:rsidR="00C5731C" w:rsidRPr="00882AF5" w:rsidRDefault="00C5731C" w:rsidP="008B4ED7">
      <w:pPr>
        <w:numPr>
          <w:ilvl w:val="0"/>
          <w:numId w:val="54"/>
        </w:numPr>
        <w:tabs>
          <w:tab w:val="clear" w:pos="567"/>
        </w:tabs>
        <w:ind w:left="567" w:hanging="567"/>
      </w:pPr>
      <w:r w:rsidRPr="00882AF5">
        <w:t>ja ieviesti grozījumi riska pārvaldības sistēmā, jo īpaši gadījumos, kad saņemta jauna informācija, kas var būtiski ietekmēt ieguvumu/riska profilu, vai nozīmīgu (farmakovigilances vai riska mazināšanas) rezultātu sasniegšanas gadījumā.</w:t>
      </w:r>
    </w:p>
    <w:p w14:paraId="0BA4F0DA" w14:textId="77777777" w:rsidR="00C5731C" w:rsidRPr="00882AF5" w:rsidRDefault="00C5731C" w:rsidP="008B4ED7">
      <w:pPr>
        <w:pStyle w:val="Default"/>
        <w:rPr>
          <w:iCs/>
          <w:color w:val="auto"/>
          <w:sz w:val="22"/>
          <w:szCs w:val="22"/>
        </w:rPr>
      </w:pPr>
    </w:p>
    <w:p w14:paraId="51B88322" w14:textId="77777777" w:rsidR="008603DE" w:rsidRPr="00882AF5" w:rsidRDefault="00043BA2" w:rsidP="00C345B1">
      <w:pPr>
        <w:keepNext/>
        <w:numPr>
          <w:ilvl w:val="0"/>
          <w:numId w:val="55"/>
        </w:numPr>
        <w:ind w:left="567" w:hanging="567"/>
        <w:rPr>
          <w:b/>
          <w:bCs/>
        </w:rPr>
      </w:pPr>
      <w:r w:rsidRPr="00882AF5">
        <w:rPr>
          <w:b/>
        </w:rPr>
        <w:t>Papildu riska mazināšanas pasākumi</w:t>
      </w:r>
    </w:p>
    <w:p w14:paraId="2E8B8213" w14:textId="77777777" w:rsidR="00043BA2" w:rsidRPr="00882AF5" w:rsidRDefault="00043BA2" w:rsidP="008B4ED7">
      <w:pPr>
        <w:keepNext/>
      </w:pPr>
    </w:p>
    <w:p w14:paraId="3909DAC2" w14:textId="77777777" w:rsidR="00043BA2" w:rsidRPr="00882AF5" w:rsidRDefault="00043BA2" w:rsidP="008B4ED7">
      <w:pPr>
        <w:tabs>
          <w:tab w:val="clear" w:pos="567"/>
        </w:tabs>
      </w:pPr>
      <w:r w:rsidRPr="00882AF5">
        <w:t>RAĪ jānodrošina pacienta atgādinājuma kartītes ieviešana attiecībā uz žokļa osteonekrozi.</w:t>
      </w:r>
    </w:p>
    <w:p w14:paraId="4A1A25BC" w14:textId="77777777" w:rsidR="00C5731C" w:rsidRPr="00882AF5" w:rsidRDefault="00C5731C" w:rsidP="00C345B1">
      <w:pPr>
        <w:jc w:val="center"/>
      </w:pPr>
      <w:r w:rsidRPr="00882AF5">
        <w:br w:type="page"/>
      </w:r>
    </w:p>
    <w:p w14:paraId="68266E4B" w14:textId="77777777" w:rsidR="00C5731C" w:rsidRPr="00882AF5" w:rsidRDefault="00C5731C" w:rsidP="008B4ED7">
      <w:pPr>
        <w:jc w:val="center"/>
      </w:pPr>
    </w:p>
    <w:p w14:paraId="25621AA6" w14:textId="77777777" w:rsidR="00C5731C" w:rsidRPr="00882AF5" w:rsidRDefault="00C5731C" w:rsidP="008B4ED7">
      <w:pPr>
        <w:jc w:val="center"/>
      </w:pPr>
    </w:p>
    <w:p w14:paraId="3FA51F42" w14:textId="77777777" w:rsidR="00C5731C" w:rsidRPr="00882AF5" w:rsidRDefault="00C5731C" w:rsidP="008B4ED7">
      <w:pPr>
        <w:jc w:val="center"/>
      </w:pPr>
    </w:p>
    <w:p w14:paraId="3CACEF5C" w14:textId="77777777" w:rsidR="00C5731C" w:rsidRPr="00882AF5" w:rsidRDefault="00C5731C" w:rsidP="008B4ED7">
      <w:pPr>
        <w:jc w:val="center"/>
      </w:pPr>
    </w:p>
    <w:p w14:paraId="516761BB" w14:textId="77777777" w:rsidR="00C5731C" w:rsidRPr="00882AF5" w:rsidRDefault="00C5731C" w:rsidP="008B4ED7">
      <w:pPr>
        <w:jc w:val="center"/>
      </w:pPr>
    </w:p>
    <w:p w14:paraId="061D1D73" w14:textId="77777777" w:rsidR="00C5731C" w:rsidRPr="00882AF5" w:rsidRDefault="00C5731C" w:rsidP="008B4ED7">
      <w:pPr>
        <w:jc w:val="center"/>
      </w:pPr>
    </w:p>
    <w:p w14:paraId="25FF8871" w14:textId="77777777" w:rsidR="00C5731C" w:rsidRPr="00882AF5" w:rsidRDefault="00C5731C" w:rsidP="008B4ED7">
      <w:pPr>
        <w:jc w:val="center"/>
      </w:pPr>
    </w:p>
    <w:p w14:paraId="57220B5A" w14:textId="77777777" w:rsidR="00C5731C" w:rsidRPr="00882AF5" w:rsidRDefault="00C5731C" w:rsidP="008B4ED7">
      <w:pPr>
        <w:jc w:val="center"/>
      </w:pPr>
    </w:p>
    <w:p w14:paraId="501A4D4B" w14:textId="77777777" w:rsidR="00C5731C" w:rsidRPr="00882AF5" w:rsidRDefault="00C5731C" w:rsidP="008B4ED7">
      <w:pPr>
        <w:jc w:val="center"/>
      </w:pPr>
    </w:p>
    <w:p w14:paraId="1C1408AB" w14:textId="77777777" w:rsidR="00C5731C" w:rsidRPr="00882AF5" w:rsidRDefault="00C5731C" w:rsidP="008B4ED7">
      <w:pPr>
        <w:jc w:val="center"/>
      </w:pPr>
    </w:p>
    <w:p w14:paraId="479D5A78" w14:textId="77777777" w:rsidR="00C5731C" w:rsidRPr="00882AF5" w:rsidRDefault="00C5731C" w:rsidP="008B4ED7">
      <w:pPr>
        <w:jc w:val="center"/>
      </w:pPr>
    </w:p>
    <w:p w14:paraId="7AA478F8" w14:textId="77777777" w:rsidR="00C5731C" w:rsidRPr="00882AF5" w:rsidRDefault="00C5731C" w:rsidP="008B4ED7">
      <w:pPr>
        <w:jc w:val="center"/>
      </w:pPr>
    </w:p>
    <w:p w14:paraId="12C1B7F6" w14:textId="77777777" w:rsidR="00C5731C" w:rsidRPr="00882AF5" w:rsidRDefault="00C5731C" w:rsidP="008B4ED7">
      <w:pPr>
        <w:jc w:val="center"/>
      </w:pPr>
    </w:p>
    <w:p w14:paraId="2CBB0134" w14:textId="77777777" w:rsidR="00C5731C" w:rsidRPr="00882AF5" w:rsidRDefault="00C5731C" w:rsidP="008B4ED7">
      <w:pPr>
        <w:jc w:val="center"/>
      </w:pPr>
    </w:p>
    <w:p w14:paraId="1D2A0182" w14:textId="77777777" w:rsidR="00C5731C" w:rsidRPr="00882AF5" w:rsidRDefault="00C5731C" w:rsidP="008B4ED7">
      <w:pPr>
        <w:jc w:val="center"/>
      </w:pPr>
    </w:p>
    <w:p w14:paraId="6F8894FE" w14:textId="77777777" w:rsidR="00C5731C" w:rsidRPr="00882AF5" w:rsidRDefault="00C5731C" w:rsidP="008B4ED7">
      <w:pPr>
        <w:jc w:val="center"/>
      </w:pPr>
    </w:p>
    <w:p w14:paraId="65C8BA06" w14:textId="77777777" w:rsidR="00C5731C" w:rsidRPr="00882AF5" w:rsidRDefault="00C5731C" w:rsidP="008B4ED7">
      <w:pPr>
        <w:jc w:val="center"/>
      </w:pPr>
    </w:p>
    <w:p w14:paraId="60956BCB" w14:textId="77777777" w:rsidR="00C5731C" w:rsidRPr="00882AF5" w:rsidRDefault="00C5731C" w:rsidP="008B4ED7">
      <w:pPr>
        <w:jc w:val="center"/>
      </w:pPr>
    </w:p>
    <w:p w14:paraId="5F552F00" w14:textId="77777777" w:rsidR="00C5731C" w:rsidRPr="00882AF5" w:rsidRDefault="00C5731C" w:rsidP="008B4ED7">
      <w:pPr>
        <w:jc w:val="center"/>
      </w:pPr>
    </w:p>
    <w:p w14:paraId="61F8EE30" w14:textId="77777777" w:rsidR="00C5731C" w:rsidRPr="00882AF5" w:rsidRDefault="00C5731C" w:rsidP="008B4ED7">
      <w:pPr>
        <w:jc w:val="center"/>
      </w:pPr>
    </w:p>
    <w:p w14:paraId="25D68374" w14:textId="77777777" w:rsidR="00C5731C" w:rsidRPr="00882AF5" w:rsidRDefault="00C5731C" w:rsidP="008B4ED7">
      <w:pPr>
        <w:jc w:val="center"/>
      </w:pPr>
    </w:p>
    <w:p w14:paraId="317DAEB7" w14:textId="77777777" w:rsidR="00C5731C" w:rsidRPr="00882AF5" w:rsidRDefault="00C5731C" w:rsidP="008B4ED7">
      <w:pPr>
        <w:jc w:val="center"/>
      </w:pPr>
    </w:p>
    <w:p w14:paraId="3DA47773" w14:textId="77777777" w:rsidR="008603DE" w:rsidRPr="00882AF5" w:rsidRDefault="00C5731C" w:rsidP="008B4ED7">
      <w:pPr>
        <w:jc w:val="center"/>
        <w:rPr>
          <w:b/>
          <w:bCs/>
        </w:rPr>
      </w:pPr>
      <w:r w:rsidRPr="00882AF5">
        <w:rPr>
          <w:b/>
        </w:rPr>
        <w:t>III PIELIKUMS</w:t>
      </w:r>
    </w:p>
    <w:p w14:paraId="69874FDD" w14:textId="77777777" w:rsidR="00C5731C" w:rsidRPr="00882AF5" w:rsidRDefault="00C5731C" w:rsidP="008B4ED7">
      <w:pPr>
        <w:jc w:val="center"/>
      </w:pPr>
    </w:p>
    <w:p w14:paraId="070FD05E" w14:textId="77777777" w:rsidR="008603DE" w:rsidRPr="00882AF5" w:rsidRDefault="00C5731C" w:rsidP="008B4ED7">
      <w:pPr>
        <w:jc w:val="center"/>
        <w:rPr>
          <w:b/>
          <w:bCs/>
        </w:rPr>
      </w:pPr>
      <w:r w:rsidRPr="00882AF5">
        <w:rPr>
          <w:b/>
        </w:rPr>
        <w:t>MARĶĒJUMA TEKSTS UN LIETOŠANAS INSTRUKCIJA</w:t>
      </w:r>
    </w:p>
    <w:p w14:paraId="04B95C07" w14:textId="77777777" w:rsidR="00C5731C" w:rsidRPr="00882AF5" w:rsidRDefault="00C5731C" w:rsidP="008B4ED7">
      <w:pPr>
        <w:jc w:val="center"/>
      </w:pPr>
      <w:r w:rsidRPr="00882AF5">
        <w:br w:type="page"/>
      </w:r>
    </w:p>
    <w:p w14:paraId="560C1CA8" w14:textId="77777777" w:rsidR="00C5731C" w:rsidRPr="00882AF5" w:rsidRDefault="00C5731C" w:rsidP="008B4ED7">
      <w:pPr>
        <w:jc w:val="center"/>
      </w:pPr>
    </w:p>
    <w:p w14:paraId="29B44800" w14:textId="77777777" w:rsidR="00C5731C" w:rsidRPr="00882AF5" w:rsidRDefault="00C5731C" w:rsidP="008B4ED7">
      <w:pPr>
        <w:jc w:val="center"/>
      </w:pPr>
    </w:p>
    <w:p w14:paraId="043B0238" w14:textId="77777777" w:rsidR="00C5731C" w:rsidRPr="00882AF5" w:rsidRDefault="00C5731C" w:rsidP="008B4ED7">
      <w:pPr>
        <w:jc w:val="center"/>
      </w:pPr>
    </w:p>
    <w:p w14:paraId="66D0C621" w14:textId="77777777" w:rsidR="00C5731C" w:rsidRPr="00882AF5" w:rsidRDefault="00C5731C" w:rsidP="008B4ED7">
      <w:pPr>
        <w:jc w:val="center"/>
      </w:pPr>
    </w:p>
    <w:p w14:paraId="724DCB22" w14:textId="77777777" w:rsidR="00C5731C" w:rsidRPr="00882AF5" w:rsidRDefault="00C5731C" w:rsidP="008B4ED7">
      <w:pPr>
        <w:jc w:val="center"/>
      </w:pPr>
    </w:p>
    <w:p w14:paraId="2D76CDD1" w14:textId="77777777" w:rsidR="00C5731C" w:rsidRPr="00882AF5" w:rsidRDefault="00C5731C" w:rsidP="008B4ED7">
      <w:pPr>
        <w:jc w:val="center"/>
      </w:pPr>
    </w:p>
    <w:p w14:paraId="41C28525" w14:textId="77777777" w:rsidR="00C5731C" w:rsidRPr="00882AF5" w:rsidRDefault="00C5731C" w:rsidP="008B4ED7">
      <w:pPr>
        <w:jc w:val="center"/>
      </w:pPr>
    </w:p>
    <w:p w14:paraId="5E7ABB73" w14:textId="77777777" w:rsidR="00C5731C" w:rsidRPr="00882AF5" w:rsidRDefault="00C5731C" w:rsidP="008B4ED7">
      <w:pPr>
        <w:jc w:val="center"/>
      </w:pPr>
    </w:p>
    <w:p w14:paraId="257610E8" w14:textId="77777777" w:rsidR="00C5731C" w:rsidRPr="00882AF5" w:rsidRDefault="00C5731C" w:rsidP="008B4ED7">
      <w:pPr>
        <w:jc w:val="center"/>
      </w:pPr>
    </w:p>
    <w:p w14:paraId="3D735DDC" w14:textId="77777777" w:rsidR="00C5731C" w:rsidRPr="00882AF5" w:rsidRDefault="00C5731C" w:rsidP="008B4ED7">
      <w:pPr>
        <w:jc w:val="center"/>
      </w:pPr>
    </w:p>
    <w:p w14:paraId="0DE4A900" w14:textId="77777777" w:rsidR="00C5731C" w:rsidRPr="00882AF5" w:rsidRDefault="00C5731C" w:rsidP="008B4ED7">
      <w:pPr>
        <w:jc w:val="center"/>
      </w:pPr>
    </w:p>
    <w:p w14:paraId="183423F1" w14:textId="77777777" w:rsidR="00C5731C" w:rsidRPr="00882AF5" w:rsidRDefault="00C5731C" w:rsidP="008B4ED7">
      <w:pPr>
        <w:jc w:val="center"/>
      </w:pPr>
    </w:p>
    <w:p w14:paraId="23539E35" w14:textId="77777777" w:rsidR="00C5731C" w:rsidRPr="00882AF5" w:rsidRDefault="00C5731C" w:rsidP="008B4ED7">
      <w:pPr>
        <w:jc w:val="center"/>
      </w:pPr>
    </w:p>
    <w:p w14:paraId="59E91FEF" w14:textId="77777777" w:rsidR="00C5731C" w:rsidRPr="00882AF5" w:rsidRDefault="00C5731C" w:rsidP="008B4ED7">
      <w:pPr>
        <w:jc w:val="center"/>
      </w:pPr>
    </w:p>
    <w:p w14:paraId="5F7AF501" w14:textId="77777777" w:rsidR="00C5731C" w:rsidRPr="00882AF5" w:rsidRDefault="00C5731C" w:rsidP="008B4ED7">
      <w:pPr>
        <w:jc w:val="center"/>
      </w:pPr>
    </w:p>
    <w:p w14:paraId="0B1617C2" w14:textId="77777777" w:rsidR="00C5731C" w:rsidRPr="00882AF5" w:rsidRDefault="00C5731C" w:rsidP="008B4ED7">
      <w:pPr>
        <w:jc w:val="center"/>
      </w:pPr>
    </w:p>
    <w:p w14:paraId="699A32A2" w14:textId="77777777" w:rsidR="00C5731C" w:rsidRPr="00882AF5" w:rsidRDefault="00C5731C" w:rsidP="008B4ED7">
      <w:pPr>
        <w:jc w:val="center"/>
      </w:pPr>
    </w:p>
    <w:p w14:paraId="5B9563CA" w14:textId="77777777" w:rsidR="00C5731C" w:rsidRPr="00882AF5" w:rsidRDefault="00C5731C" w:rsidP="008B4ED7">
      <w:pPr>
        <w:jc w:val="center"/>
      </w:pPr>
    </w:p>
    <w:p w14:paraId="0D222EA7" w14:textId="77777777" w:rsidR="00C5731C" w:rsidRPr="00882AF5" w:rsidRDefault="00C5731C" w:rsidP="008B4ED7">
      <w:pPr>
        <w:jc w:val="center"/>
      </w:pPr>
    </w:p>
    <w:p w14:paraId="73647037" w14:textId="77777777" w:rsidR="00C5731C" w:rsidRPr="00882AF5" w:rsidRDefault="00C5731C" w:rsidP="008B4ED7">
      <w:pPr>
        <w:jc w:val="center"/>
      </w:pPr>
    </w:p>
    <w:p w14:paraId="6F31ECFB" w14:textId="77777777" w:rsidR="00C5731C" w:rsidRPr="00882AF5" w:rsidRDefault="00C5731C" w:rsidP="008B4ED7">
      <w:pPr>
        <w:jc w:val="center"/>
      </w:pPr>
    </w:p>
    <w:p w14:paraId="695D54E3" w14:textId="77777777" w:rsidR="00C5731C" w:rsidRPr="00882AF5" w:rsidRDefault="00C5731C" w:rsidP="008B4ED7">
      <w:pPr>
        <w:jc w:val="center"/>
      </w:pPr>
    </w:p>
    <w:p w14:paraId="3C8E8479" w14:textId="77777777" w:rsidR="00C5731C" w:rsidRPr="00882AF5" w:rsidRDefault="00C5731C" w:rsidP="00BF5188">
      <w:pPr>
        <w:pStyle w:val="TitleA"/>
      </w:pPr>
      <w:r w:rsidRPr="00882AF5">
        <w:t>A. MARĶĒJUMA TEKSTS</w:t>
      </w:r>
    </w:p>
    <w:p w14:paraId="427CE109" w14:textId="77777777" w:rsidR="00C5731C" w:rsidRPr="00882AF5" w:rsidRDefault="00C5731C" w:rsidP="008B4ED7">
      <w:pPr>
        <w:jc w:val="center"/>
      </w:pPr>
    </w:p>
    <w:p w14:paraId="4FFAF396" w14:textId="5848DF0E" w:rsidR="00C5731C" w:rsidRPr="00882AF5" w:rsidRDefault="00670C68" w:rsidP="00670C68">
      <w:pPr>
        <w:keepNext/>
        <w:pBdr>
          <w:top w:val="single" w:sz="4" w:space="1" w:color="auto"/>
          <w:left w:val="single" w:sz="4" w:space="4" w:color="auto"/>
          <w:bottom w:val="single" w:sz="4" w:space="1" w:color="auto"/>
          <w:right w:val="single" w:sz="4" w:space="4" w:color="auto"/>
        </w:pBdr>
        <w:rPr>
          <w:b/>
        </w:rPr>
      </w:pPr>
      <w:r w:rsidRPr="00882AF5">
        <w:br w:type="page"/>
      </w:r>
      <w:r w:rsidRPr="00882AF5">
        <w:rPr>
          <w:b/>
        </w:rPr>
        <w:lastRenderedPageBreak/>
        <w:t>INFORMĀCIJA, KAS JĀNORĀDA UZ ĀRĒJĀ IEPAKOJUMA</w:t>
      </w:r>
    </w:p>
    <w:p w14:paraId="695F92A3" w14:textId="77777777" w:rsidR="00C5731C" w:rsidRPr="00882AF5"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06E6335E" w:rsidR="00C5731C" w:rsidRPr="00882AF5" w:rsidRDefault="00A83C1A" w:rsidP="00670C68">
      <w:pPr>
        <w:keepNext/>
        <w:pBdr>
          <w:top w:val="single" w:sz="4" w:space="1" w:color="auto"/>
          <w:left w:val="single" w:sz="4" w:space="4" w:color="auto"/>
          <w:bottom w:val="single" w:sz="4" w:space="1" w:color="auto"/>
          <w:right w:val="single" w:sz="4" w:space="4" w:color="auto"/>
        </w:pBdr>
        <w:rPr>
          <w:b/>
        </w:rPr>
      </w:pPr>
      <w:r>
        <w:rPr>
          <w:b/>
        </w:rPr>
        <w:t xml:space="preserve">ĀRĒJĀ KASTĪTE </w:t>
      </w:r>
      <w:r w:rsidR="00C5731C" w:rsidRPr="00882AF5">
        <w:rPr>
          <w:b/>
        </w:rPr>
        <w:t>PILNŠĻIRCE</w:t>
      </w:r>
      <w:r>
        <w:rPr>
          <w:b/>
        </w:rPr>
        <w:t>I</w:t>
      </w:r>
      <w:r w:rsidR="00C5731C" w:rsidRPr="00882AF5">
        <w:rPr>
          <w:b/>
        </w:rPr>
        <w:t xml:space="preserve"> </w:t>
      </w:r>
      <w:r w:rsidR="008C0D7B" w:rsidRPr="00882AF5">
        <w:rPr>
          <w:b/>
        </w:rPr>
        <w:t>AR ADATAS AIZSARGU</w:t>
      </w:r>
    </w:p>
    <w:p w14:paraId="3D16484C" w14:textId="77777777" w:rsidR="00C5731C" w:rsidRPr="00882AF5" w:rsidRDefault="00C5731C" w:rsidP="008B4ED7">
      <w:pPr>
        <w:tabs>
          <w:tab w:val="clear" w:pos="567"/>
        </w:tabs>
      </w:pPr>
    </w:p>
    <w:p w14:paraId="1AE054BE" w14:textId="77777777" w:rsidR="00C5731C" w:rsidRPr="00882AF5" w:rsidRDefault="00C5731C" w:rsidP="008B4ED7">
      <w:pPr>
        <w:tabs>
          <w:tab w:val="clear" w:pos="567"/>
        </w:tabs>
      </w:pPr>
    </w:p>
    <w:p w14:paraId="2B1FBB4A"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w:t>
      </w:r>
      <w:r w:rsidRPr="00882AF5">
        <w:rPr>
          <w:b/>
        </w:rPr>
        <w:tab/>
        <w:t>ZĀĻU NOSAUKUMS</w:t>
      </w:r>
    </w:p>
    <w:p w14:paraId="7B60DD8C" w14:textId="77777777" w:rsidR="00C5731C" w:rsidRPr="00882AF5" w:rsidRDefault="00C5731C" w:rsidP="008B4ED7">
      <w:pPr>
        <w:keepNext/>
      </w:pPr>
    </w:p>
    <w:p w14:paraId="4E2031A1" w14:textId="484D4263" w:rsidR="00C5731C" w:rsidRPr="00882AF5" w:rsidRDefault="008C0D7B" w:rsidP="00C345B1">
      <w:pPr>
        <w:keepNext/>
        <w:tabs>
          <w:tab w:val="clear" w:pos="567"/>
        </w:tabs>
      </w:pPr>
      <w:r w:rsidRPr="00882AF5">
        <w:t>Stobo</w:t>
      </w:r>
      <w:r w:rsidR="003E48C0" w:rsidRPr="00882AF5">
        <w:t>clo</w:t>
      </w:r>
      <w:r w:rsidRPr="00882AF5">
        <w:t xml:space="preserve"> </w:t>
      </w:r>
      <w:r w:rsidR="00C5731C" w:rsidRPr="00882AF5">
        <w:t>60 mg šķīdums injekcijām pilnšļircē</w:t>
      </w:r>
    </w:p>
    <w:p w14:paraId="441CCB60" w14:textId="28FBF5A9" w:rsidR="00C5731C" w:rsidRPr="00882AF5" w:rsidRDefault="00C5731C" w:rsidP="008B4ED7">
      <w:pPr>
        <w:tabs>
          <w:tab w:val="clear" w:pos="567"/>
        </w:tabs>
      </w:pPr>
      <w:r w:rsidRPr="00882AF5">
        <w:t>denosumab</w:t>
      </w:r>
    </w:p>
    <w:p w14:paraId="1FB2EC35" w14:textId="77777777" w:rsidR="00C5731C" w:rsidRPr="00882AF5" w:rsidRDefault="00C5731C" w:rsidP="008B4ED7">
      <w:pPr>
        <w:tabs>
          <w:tab w:val="clear" w:pos="567"/>
        </w:tabs>
      </w:pPr>
    </w:p>
    <w:p w14:paraId="2E1C67ED" w14:textId="77777777" w:rsidR="00C5731C" w:rsidRPr="00882AF5" w:rsidRDefault="00C5731C" w:rsidP="008B4ED7">
      <w:pPr>
        <w:tabs>
          <w:tab w:val="clear" w:pos="567"/>
        </w:tabs>
      </w:pPr>
    </w:p>
    <w:p w14:paraId="12CBAB31"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2.</w:t>
      </w:r>
      <w:r w:rsidRPr="00882AF5">
        <w:rPr>
          <w:b/>
        </w:rPr>
        <w:tab/>
        <w:t>AKTĪVĀS VIELAS NOSAUKUMS UN DAUDZUMS</w:t>
      </w:r>
    </w:p>
    <w:p w14:paraId="2A734434" w14:textId="77777777" w:rsidR="00C5731C" w:rsidRPr="00882AF5" w:rsidRDefault="00C5731C" w:rsidP="008B4ED7">
      <w:pPr>
        <w:keepNext/>
      </w:pPr>
    </w:p>
    <w:p w14:paraId="230C4AB8" w14:textId="51E3FE62" w:rsidR="00C5731C" w:rsidRPr="00882AF5" w:rsidRDefault="00C5731C" w:rsidP="008B4ED7">
      <w:pPr>
        <w:tabs>
          <w:tab w:val="clear" w:pos="567"/>
        </w:tabs>
      </w:pPr>
      <w:r w:rsidRPr="00882AF5">
        <w:t xml:space="preserve">1 ml pilnšļirce satur 60 mg </w:t>
      </w:r>
      <w:r w:rsidR="00417EC9">
        <w:t>denozumab</w:t>
      </w:r>
      <w:r w:rsidRPr="00882AF5">
        <w:t>a (60 mg/ml).</w:t>
      </w:r>
    </w:p>
    <w:p w14:paraId="299B47CB" w14:textId="77777777" w:rsidR="00C5731C" w:rsidRPr="00882AF5" w:rsidRDefault="00C5731C" w:rsidP="008B4ED7">
      <w:pPr>
        <w:tabs>
          <w:tab w:val="clear" w:pos="567"/>
        </w:tabs>
      </w:pPr>
    </w:p>
    <w:p w14:paraId="451DED25" w14:textId="77777777" w:rsidR="00C5731C" w:rsidRPr="00882AF5"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2AF5">
        <w:rPr>
          <w:b/>
        </w:rPr>
        <w:t>3.</w:t>
      </w:r>
      <w:r w:rsidRPr="00882AF5">
        <w:rPr>
          <w:b/>
        </w:rPr>
        <w:tab/>
        <w:t>PALĪGVIELU SARAKSTS</w:t>
      </w:r>
    </w:p>
    <w:p w14:paraId="5A7EAA5D" w14:textId="77777777" w:rsidR="00C5731C" w:rsidRPr="00882AF5" w:rsidRDefault="00C5731C" w:rsidP="008B4ED7">
      <w:pPr>
        <w:keepNext/>
      </w:pPr>
    </w:p>
    <w:p w14:paraId="485A8E9F" w14:textId="1E2C6346" w:rsidR="00C5731C" w:rsidRPr="00882AF5" w:rsidRDefault="0005636B" w:rsidP="008B4ED7">
      <w:pPr>
        <w:tabs>
          <w:tab w:val="clear" w:pos="567"/>
        </w:tabs>
      </w:pPr>
      <w:r w:rsidRPr="00882AF5">
        <w:t xml:space="preserve">Palīgvielas: </w:t>
      </w:r>
      <w:r w:rsidR="00C5731C" w:rsidRPr="00882AF5">
        <w:t xml:space="preserve">etiķskābe, nātrija </w:t>
      </w:r>
      <w:r w:rsidRPr="00882AF5">
        <w:t>acetāta trihidrāts</w:t>
      </w:r>
      <w:r w:rsidR="00C5731C" w:rsidRPr="00882AF5">
        <w:t>, sorbīts (E420), polisorbāts 20</w:t>
      </w:r>
      <w:r w:rsidRPr="00882AF5">
        <w:t xml:space="preserve"> (E432)</w:t>
      </w:r>
      <w:r w:rsidR="00C5731C" w:rsidRPr="00882AF5">
        <w:t>, ūdens injekcijām.</w:t>
      </w:r>
    </w:p>
    <w:p w14:paraId="551E459F" w14:textId="44FF70E8" w:rsidR="00C5731C" w:rsidRPr="00882AF5" w:rsidRDefault="00FE1700" w:rsidP="008B4ED7">
      <w:pPr>
        <w:tabs>
          <w:tab w:val="clear" w:pos="567"/>
        </w:tabs>
      </w:pPr>
      <w:r>
        <w:rPr>
          <w:highlight w:val="lightGray"/>
        </w:rPr>
        <w:t>Sīkāku informāciju skatīt lietošanas instrukcijā.</w:t>
      </w:r>
    </w:p>
    <w:p w14:paraId="3661D01B" w14:textId="77777777" w:rsidR="002E2332" w:rsidRPr="00882AF5" w:rsidRDefault="002E2332" w:rsidP="008B4ED7">
      <w:pPr>
        <w:tabs>
          <w:tab w:val="clear" w:pos="567"/>
        </w:tabs>
      </w:pPr>
    </w:p>
    <w:p w14:paraId="0561D921" w14:textId="77777777" w:rsidR="00C5731C" w:rsidRPr="00882AF5" w:rsidRDefault="00C5731C" w:rsidP="008B4ED7">
      <w:pPr>
        <w:tabs>
          <w:tab w:val="clear" w:pos="567"/>
        </w:tabs>
      </w:pPr>
    </w:p>
    <w:p w14:paraId="15D37DD7"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4.</w:t>
      </w:r>
      <w:r w:rsidRPr="00882AF5">
        <w:rPr>
          <w:b/>
        </w:rPr>
        <w:tab/>
        <w:t>ZĀĻU FORMA UN SATURS</w:t>
      </w:r>
    </w:p>
    <w:p w14:paraId="6D8F5315" w14:textId="77777777" w:rsidR="00C5731C" w:rsidRPr="00882AF5" w:rsidRDefault="00C5731C" w:rsidP="008B4ED7">
      <w:pPr>
        <w:keepNext/>
      </w:pPr>
    </w:p>
    <w:p w14:paraId="2E732C64" w14:textId="77777777" w:rsidR="008603DE" w:rsidRDefault="00C5731C" w:rsidP="00C345B1">
      <w:pPr>
        <w:keepNext/>
        <w:rPr>
          <w:highlight w:val="lightGray"/>
        </w:rPr>
      </w:pPr>
      <w:r>
        <w:rPr>
          <w:highlight w:val="lightGray"/>
        </w:rPr>
        <w:t>Šķīdums injekcijām</w:t>
      </w:r>
    </w:p>
    <w:p w14:paraId="137AB134" w14:textId="5E86D324" w:rsidR="00C5731C" w:rsidRPr="00882AF5" w:rsidRDefault="00FE1700" w:rsidP="00C345B1">
      <w:pPr>
        <w:keepNext/>
        <w:tabs>
          <w:tab w:val="clear" w:pos="567"/>
        </w:tabs>
      </w:pPr>
      <w:r w:rsidRPr="00882AF5">
        <w:t>1 </w:t>
      </w:r>
      <w:r w:rsidR="00C5731C" w:rsidRPr="00882AF5">
        <w:t>pilnšļirce ar adatas aizsargu.</w:t>
      </w:r>
    </w:p>
    <w:p w14:paraId="6A7C4FBE" w14:textId="09CF8C76" w:rsidR="00C5731C" w:rsidRDefault="008F616F" w:rsidP="008B4ED7">
      <w:pPr>
        <w:tabs>
          <w:tab w:val="clear" w:pos="567"/>
        </w:tabs>
      </w:pPr>
      <w:r w:rsidRPr="00882AF5">
        <w:t>60 mg/1 ml</w:t>
      </w:r>
    </w:p>
    <w:p w14:paraId="029DC7E9" w14:textId="77777777" w:rsidR="00C462AB" w:rsidRPr="00882AF5" w:rsidRDefault="00C462AB" w:rsidP="008B4ED7">
      <w:pPr>
        <w:tabs>
          <w:tab w:val="clear" w:pos="567"/>
        </w:tabs>
      </w:pPr>
    </w:p>
    <w:p w14:paraId="3E0C1539" w14:textId="77777777" w:rsidR="00C5731C" w:rsidRPr="00882AF5"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882AF5">
        <w:rPr>
          <w:b/>
        </w:rPr>
        <w:t>5.</w:t>
      </w:r>
      <w:r w:rsidRPr="00882AF5">
        <w:rPr>
          <w:b/>
        </w:rPr>
        <w:tab/>
        <w:t>LIETOŠANAS UN IEVADĪŠANAS VEIDS</w:t>
      </w:r>
    </w:p>
    <w:p w14:paraId="6CDF1BFA" w14:textId="77777777" w:rsidR="00C5731C" w:rsidRPr="00882AF5" w:rsidRDefault="00C5731C" w:rsidP="008B4ED7">
      <w:pPr>
        <w:keepNext/>
      </w:pPr>
    </w:p>
    <w:p w14:paraId="46413AA2" w14:textId="77777777" w:rsidR="00C5731C" w:rsidRPr="00882AF5" w:rsidRDefault="00C5731C" w:rsidP="00C345B1">
      <w:pPr>
        <w:keepNext/>
        <w:tabs>
          <w:tab w:val="clear" w:pos="567"/>
        </w:tabs>
      </w:pPr>
      <w:r w:rsidRPr="00882AF5">
        <w:t>Subkutānai lietošanai.</w:t>
      </w:r>
    </w:p>
    <w:p w14:paraId="4F733995" w14:textId="77777777" w:rsidR="00597CB3" w:rsidRPr="00882AF5" w:rsidRDefault="00597CB3" w:rsidP="00C345B1">
      <w:pPr>
        <w:keepNext/>
        <w:tabs>
          <w:tab w:val="clear" w:pos="567"/>
        </w:tabs>
      </w:pPr>
      <w:r w:rsidRPr="00882AF5">
        <w:rPr>
          <w:b/>
        </w:rPr>
        <w:t>Svarīgi:</w:t>
      </w:r>
      <w:r w:rsidRPr="00882AF5">
        <w:t xml:space="preserve"> pirms rīkošanās ar pilnšļirci izlasiet lietošanas instrukciju.</w:t>
      </w:r>
    </w:p>
    <w:p w14:paraId="1274F614" w14:textId="77777777" w:rsidR="008E112C" w:rsidRPr="00882AF5" w:rsidRDefault="008E112C" w:rsidP="00C345B1">
      <w:pPr>
        <w:keepNext/>
        <w:tabs>
          <w:tab w:val="clear" w:pos="567"/>
        </w:tabs>
      </w:pPr>
      <w:r w:rsidRPr="00882AF5">
        <w:t>Nekratīt.</w:t>
      </w:r>
    </w:p>
    <w:p w14:paraId="2C1114CA" w14:textId="77777777" w:rsidR="00C5731C" w:rsidRDefault="00C5731C" w:rsidP="008B4ED7">
      <w:pPr>
        <w:rPr>
          <w:highlight w:val="lightGray"/>
        </w:rPr>
      </w:pPr>
      <w:r>
        <w:rPr>
          <w:highlight w:val="lightGray"/>
        </w:rPr>
        <w:t>Pirms lietošanas izlasiet lietošanas instrukciju.</w:t>
      </w:r>
    </w:p>
    <w:p w14:paraId="265753B7" w14:textId="77777777" w:rsidR="00C5731C" w:rsidRPr="00882AF5" w:rsidRDefault="00C5731C" w:rsidP="008B4ED7">
      <w:pPr>
        <w:tabs>
          <w:tab w:val="clear" w:pos="567"/>
        </w:tabs>
      </w:pPr>
    </w:p>
    <w:p w14:paraId="7F334E25" w14:textId="77777777" w:rsidR="004B39BB" w:rsidRPr="00882AF5" w:rsidRDefault="004B39BB" w:rsidP="008B4ED7">
      <w:pPr>
        <w:tabs>
          <w:tab w:val="clear" w:pos="567"/>
        </w:tabs>
      </w:pPr>
    </w:p>
    <w:p w14:paraId="6E49EA42"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6.</w:t>
      </w:r>
      <w:r w:rsidRPr="00882AF5">
        <w:rPr>
          <w:b/>
        </w:rPr>
        <w:tab/>
        <w:t>ĪPAŠI BRĪDINĀJUMI PAR ZĀĻU UZGLABĀŠANU BĒRNIEM NEREDZAMĀ UN NEPIEEJAMĀ VIETĀ</w:t>
      </w:r>
    </w:p>
    <w:p w14:paraId="24ACD9E5" w14:textId="77777777" w:rsidR="00C5731C" w:rsidRPr="00882AF5" w:rsidRDefault="00C5731C" w:rsidP="008B4ED7">
      <w:pPr>
        <w:keepNext/>
      </w:pPr>
    </w:p>
    <w:p w14:paraId="162FD9AC" w14:textId="77777777" w:rsidR="00C5731C" w:rsidRPr="00882AF5" w:rsidRDefault="00C5731C" w:rsidP="008B4ED7">
      <w:pPr>
        <w:tabs>
          <w:tab w:val="clear" w:pos="567"/>
        </w:tabs>
      </w:pPr>
      <w:r w:rsidRPr="00882AF5">
        <w:t>Uzglabāt bērniem neredzamā un nepieejamā vietā.</w:t>
      </w:r>
    </w:p>
    <w:p w14:paraId="44BE46CB" w14:textId="77777777" w:rsidR="00C5731C" w:rsidRPr="00882AF5" w:rsidRDefault="00C5731C" w:rsidP="008B4ED7">
      <w:pPr>
        <w:tabs>
          <w:tab w:val="clear" w:pos="567"/>
        </w:tabs>
      </w:pPr>
    </w:p>
    <w:p w14:paraId="52AEB322" w14:textId="77777777" w:rsidR="00C5731C" w:rsidRPr="00882AF5"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2AF5">
        <w:rPr>
          <w:b/>
        </w:rPr>
        <w:t>7.</w:t>
      </w:r>
      <w:r w:rsidRPr="00882AF5">
        <w:rPr>
          <w:b/>
        </w:rPr>
        <w:tab/>
        <w:t>CITI ĪPAŠI BRĪDINĀJUMI, JA NEPIECIEŠAMS</w:t>
      </w:r>
    </w:p>
    <w:p w14:paraId="10D8D04E" w14:textId="77777777" w:rsidR="00C5731C" w:rsidRPr="00882AF5" w:rsidRDefault="00C5731C" w:rsidP="008B4ED7">
      <w:pPr>
        <w:keepNext/>
      </w:pPr>
    </w:p>
    <w:p w14:paraId="68BC0C50" w14:textId="77777777" w:rsidR="00C5731C" w:rsidRPr="00882AF5"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2AF5">
        <w:rPr>
          <w:b/>
        </w:rPr>
        <w:t>8.</w:t>
      </w:r>
      <w:r w:rsidRPr="00882AF5">
        <w:rPr>
          <w:b/>
        </w:rPr>
        <w:tab/>
        <w:t>DERĪGUMA TERMIŅŠ</w:t>
      </w:r>
    </w:p>
    <w:p w14:paraId="2888CD6F" w14:textId="77777777" w:rsidR="00C5731C" w:rsidRPr="00882AF5" w:rsidRDefault="00C5731C" w:rsidP="008B4ED7">
      <w:pPr>
        <w:keepNext/>
      </w:pPr>
    </w:p>
    <w:p w14:paraId="233DF0F8" w14:textId="5B0178A1" w:rsidR="00C5731C" w:rsidRPr="00882AF5" w:rsidRDefault="00232C72" w:rsidP="008B4ED7">
      <w:pPr>
        <w:tabs>
          <w:tab w:val="clear" w:pos="567"/>
        </w:tabs>
      </w:pPr>
      <w:r w:rsidRPr="00882AF5">
        <w:t>EXP</w:t>
      </w:r>
    </w:p>
    <w:p w14:paraId="1A52252D" w14:textId="77777777" w:rsidR="00C5731C" w:rsidRPr="00882AF5" w:rsidRDefault="00C5731C" w:rsidP="008B4ED7">
      <w:pPr>
        <w:tabs>
          <w:tab w:val="clear" w:pos="567"/>
        </w:tabs>
      </w:pPr>
    </w:p>
    <w:p w14:paraId="5C68E2F9" w14:textId="77777777" w:rsidR="00C5731C" w:rsidRPr="00882AF5" w:rsidRDefault="00C5731C" w:rsidP="008B4ED7">
      <w:pPr>
        <w:tabs>
          <w:tab w:val="clear" w:pos="567"/>
        </w:tabs>
      </w:pPr>
    </w:p>
    <w:p w14:paraId="3ED84A11"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lastRenderedPageBreak/>
        <w:t>9.</w:t>
      </w:r>
      <w:r w:rsidRPr="00882AF5">
        <w:rPr>
          <w:b/>
        </w:rPr>
        <w:tab/>
        <w:t>ĪPAŠI UZGLABĀŠANAS NOSACĪJUMI</w:t>
      </w:r>
    </w:p>
    <w:p w14:paraId="0A9E3F54" w14:textId="77777777" w:rsidR="00C5731C" w:rsidRPr="00882AF5" w:rsidRDefault="00C5731C" w:rsidP="008B4ED7">
      <w:pPr>
        <w:keepNext/>
      </w:pPr>
    </w:p>
    <w:p w14:paraId="73F02220" w14:textId="77777777" w:rsidR="00C5731C" w:rsidRPr="00882AF5" w:rsidRDefault="00C5731C" w:rsidP="00C345B1">
      <w:pPr>
        <w:keepNext/>
        <w:tabs>
          <w:tab w:val="clear" w:pos="567"/>
        </w:tabs>
      </w:pPr>
      <w:r w:rsidRPr="00882AF5">
        <w:t>Uzglabāt ledusskapī.</w:t>
      </w:r>
    </w:p>
    <w:p w14:paraId="5E5A10B2" w14:textId="77777777" w:rsidR="008603DE" w:rsidRPr="00882AF5" w:rsidRDefault="00C5731C" w:rsidP="00C345B1">
      <w:pPr>
        <w:keepNext/>
        <w:tabs>
          <w:tab w:val="clear" w:pos="567"/>
        </w:tabs>
      </w:pPr>
      <w:r w:rsidRPr="00882AF5">
        <w:t>Nesasaldēt.</w:t>
      </w:r>
    </w:p>
    <w:p w14:paraId="403F6C3C" w14:textId="00AAD54B" w:rsidR="008E112C" w:rsidRPr="00882AF5" w:rsidRDefault="008E112C" w:rsidP="009D1537">
      <w:pPr>
        <w:keepNext/>
        <w:tabs>
          <w:tab w:val="clear" w:pos="567"/>
        </w:tabs>
      </w:pPr>
      <w:r w:rsidRPr="00882AF5">
        <w:t>Uzglabāt pilnšļirci ārējā iepakojumā, lai pasargātu no gaismas.</w:t>
      </w:r>
    </w:p>
    <w:p w14:paraId="5C27FF07" w14:textId="77777777" w:rsidR="00C5731C" w:rsidRPr="00882AF5" w:rsidRDefault="00C5731C" w:rsidP="008B4ED7">
      <w:pPr>
        <w:tabs>
          <w:tab w:val="clear" w:pos="567"/>
        </w:tabs>
      </w:pPr>
    </w:p>
    <w:p w14:paraId="056FA975" w14:textId="77777777" w:rsidR="00C5731C" w:rsidRPr="00882AF5" w:rsidRDefault="00C5731C" w:rsidP="008B4ED7">
      <w:pPr>
        <w:tabs>
          <w:tab w:val="clear" w:pos="567"/>
        </w:tabs>
      </w:pPr>
    </w:p>
    <w:p w14:paraId="27C48EEC"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10.</w:t>
      </w:r>
      <w:r w:rsidRPr="00882AF5">
        <w:rPr>
          <w:b/>
        </w:rPr>
        <w:tab/>
        <w:t>ĪPAŠI PIESARDZĪBAS PASĀKUMI, IZNĪCINOT NEIZLIETOTĀS ZĀLES VAI IZMANTOTOS MATERIĀLUS, KAS BIJUŠI SASKARĒ AR ŠĪM ZĀLĒM, JA PIEMĒROJAMS</w:t>
      </w:r>
    </w:p>
    <w:p w14:paraId="3AABCE06" w14:textId="77777777" w:rsidR="00C5731C" w:rsidRPr="00882AF5" w:rsidRDefault="00C5731C" w:rsidP="008B4ED7">
      <w:pPr>
        <w:keepNext/>
      </w:pPr>
    </w:p>
    <w:p w14:paraId="6C0B914C" w14:textId="77777777" w:rsidR="00C5731C" w:rsidRPr="00882AF5" w:rsidRDefault="00C5731C" w:rsidP="008B4ED7">
      <w:pPr>
        <w:tabs>
          <w:tab w:val="clear" w:pos="567"/>
        </w:tabs>
      </w:pPr>
    </w:p>
    <w:p w14:paraId="12D1F7A4"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11.</w:t>
      </w:r>
      <w:r w:rsidRPr="00882AF5">
        <w:rPr>
          <w:b/>
        </w:rPr>
        <w:tab/>
        <w:t>REĢISTRĀCIJAS APLIECĪBAS ĪPAŠNIEKA NOSAUKUMS UN ADRESE</w:t>
      </w:r>
    </w:p>
    <w:p w14:paraId="1C15F8C4" w14:textId="77777777" w:rsidR="00C5731C" w:rsidRPr="00882AF5" w:rsidRDefault="00C5731C" w:rsidP="008B4ED7">
      <w:pPr>
        <w:keepNext/>
      </w:pPr>
    </w:p>
    <w:p w14:paraId="089C55B7" w14:textId="3D678032" w:rsidR="00070460" w:rsidRPr="00882AF5" w:rsidRDefault="00070460" w:rsidP="00070460">
      <w:pPr>
        <w:keepNext/>
      </w:pPr>
      <w:r w:rsidRPr="00882AF5">
        <w:t>Celltrion Healthcare Hungary Kft.</w:t>
      </w:r>
    </w:p>
    <w:p w14:paraId="7090F245" w14:textId="77777777" w:rsidR="00070460" w:rsidRPr="00882AF5" w:rsidRDefault="00070460" w:rsidP="00070460">
      <w:pPr>
        <w:keepNext/>
      </w:pPr>
      <w:r w:rsidRPr="00882AF5">
        <w:t>1062 Budapest</w:t>
      </w:r>
    </w:p>
    <w:p w14:paraId="03AB2207" w14:textId="77777777" w:rsidR="00070460" w:rsidRPr="00882AF5" w:rsidRDefault="00070460" w:rsidP="00070460">
      <w:pPr>
        <w:keepNext/>
      </w:pPr>
      <w:r w:rsidRPr="00882AF5">
        <w:t>Váci út 1-3. WestEnd Office Building B torony</w:t>
      </w:r>
    </w:p>
    <w:p w14:paraId="57451BD1" w14:textId="79A782F1" w:rsidR="00070460" w:rsidRPr="00882AF5" w:rsidRDefault="00070460" w:rsidP="00070460">
      <w:r w:rsidRPr="00882AF5">
        <w:t>Ungārija</w:t>
      </w:r>
    </w:p>
    <w:p w14:paraId="6939BB91" w14:textId="77777777" w:rsidR="00C5731C" w:rsidRPr="00882AF5" w:rsidRDefault="00C5731C" w:rsidP="008B4ED7">
      <w:pPr>
        <w:tabs>
          <w:tab w:val="clear" w:pos="567"/>
        </w:tabs>
      </w:pPr>
    </w:p>
    <w:p w14:paraId="66DD8875" w14:textId="77777777" w:rsidR="00C5731C" w:rsidRPr="00882AF5" w:rsidRDefault="00C5731C" w:rsidP="008B4ED7">
      <w:pPr>
        <w:tabs>
          <w:tab w:val="clear" w:pos="567"/>
        </w:tabs>
      </w:pPr>
    </w:p>
    <w:p w14:paraId="5BC8E817" w14:textId="77777777" w:rsidR="008603DE"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12.</w:t>
      </w:r>
      <w:r w:rsidRPr="00882AF5">
        <w:rPr>
          <w:b/>
        </w:rPr>
        <w:tab/>
        <w:t>REĢISTRĀCIJAS APLIECĪBAS NUMURI</w:t>
      </w:r>
    </w:p>
    <w:p w14:paraId="457C904C" w14:textId="77777777" w:rsidR="00C5731C" w:rsidRPr="00882AF5" w:rsidRDefault="00C5731C" w:rsidP="008B4ED7">
      <w:pPr>
        <w:keepNext/>
      </w:pPr>
    </w:p>
    <w:p w14:paraId="3AF508A7" w14:textId="07534E46" w:rsidR="00470BA0" w:rsidRPr="00666FDE" w:rsidRDefault="0059550D" w:rsidP="00470BA0">
      <w:pPr>
        <w:rPr>
          <w:rFonts w:eastAsia="맑은 고딕"/>
          <w:lang w:eastAsia="ko-KR"/>
        </w:rPr>
      </w:pPr>
      <w:r w:rsidRPr="0059550D">
        <w:t>EU/1/24/1905/001</w:t>
      </w:r>
      <w:r w:rsidR="00666FDE">
        <w:rPr>
          <w:rFonts w:eastAsia="맑은 고딕" w:hint="eastAsia"/>
          <w:lang w:eastAsia="ko-KR"/>
        </w:rPr>
        <w:t xml:space="preserve"> </w:t>
      </w:r>
      <w:r w:rsidR="00666FDE">
        <w:rPr>
          <w:rFonts w:eastAsia="맑은 고딕"/>
          <w:highlight w:val="lightGray"/>
          <w:lang w:eastAsia="ko-KR"/>
        </w:rPr>
        <w:t>1 pilnšļirce</w:t>
      </w:r>
    </w:p>
    <w:p w14:paraId="713DAA54" w14:textId="77777777" w:rsidR="00C5731C" w:rsidRPr="00882AF5" w:rsidRDefault="00C5731C" w:rsidP="008B4ED7">
      <w:pPr>
        <w:tabs>
          <w:tab w:val="clear" w:pos="567"/>
        </w:tabs>
      </w:pPr>
    </w:p>
    <w:p w14:paraId="65BC5F29" w14:textId="77777777" w:rsidR="00C5731C" w:rsidRPr="00882AF5" w:rsidRDefault="00C5731C" w:rsidP="008B4ED7">
      <w:pPr>
        <w:tabs>
          <w:tab w:val="clear" w:pos="567"/>
        </w:tabs>
      </w:pPr>
    </w:p>
    <w:p w14:paraId="069B9179"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13.</w:t>
      </w:r>
      <w:r w:rsidRPr="00882AF5">
        <w:rPr>
          <w:b/>
        </w:rPr>
        <w:tab/>
        <w:t>SĒRIJAS NUMURS</w:t>
      </w:r>
    </w:p>
    <w:p w14:paraId="19287FD0" w14:textId="77777777" w:rsidR="00C5731C" w:rsidRPr="00882AF5" w:rsidRDefault="00C5731C" w:rsidP="008B4ED7">
      <w:pPr>
        <w:keepNext/>
      </w:pPr>
    </w:p>
    <w:p w14:paraId="41BC1286" w14:textId="627D92B3" w:rsidR="00C5731C" w:rsidRPr="00882AF5" w:rsidRDefault="00232C72" w:rsidP="008B4ED7">
      <w:pPr>
        <w:tabs>
          <w:tab w:val="clear" w:pos="567"/>
        </w:tabs>
      </w:pPr>
      <w:r w:rsidRPr="00882AF5">
        <w:t>Lot</w:t>
      </w:r>
    </w:p>
    <w:p w14:paraId="671F6EDA" w14:textId="77777777" w:rsidR="00C5731C" w:rsidRPr="00882AF5" w:rsidRDefault="00C5731C" w:rsidP="008B4ED7">
      <w:pPr>
        <w:tabs>
          <w:tab w:val="clear" w:pos="567"/>
        </w:tabs>
      </w:pPr>
    </w:p>
    <w:p w14:paraId="3BEC88AC" w14:textId="77777777" w:rsidR="00C5731C" w:rsidRPr="00882AF5" w:rsidRDefault="00C5731C" w:rsidP="008B4ED7">
      <w:pPr>
        <w:tabs>
          <w:tab w:val="clear" w:pos="567"/>
        </w:tabs>
      </w:pPr>
    </w:p>
    <w:p w14:paraId="7C440267"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14.</w:t>
      </w:r>
      <w:r w:rsidRPr="00882AF5">
        <w:rPr>
          <w:b/>
        </w:rPr>
        <w:tab/>
        <w:t>IZSNIEGŠANAS KĀRTĪBA</w:t>
      </w:r>
    </w:p>
    <w:p w14:paraId="581D140A" w14:textId="77777777" w:rsidR="00C5731C" w:rsidRPr="00882AF5" w:rsidRDefault="00C5731C" w:rsidP="008B4ED7">
      <w:pPr>
        <w:keepNext/>
      </w:pPr>
    </w:p>
    <w:p w14:paraId="6E96AFC0" w14:textId="77777777" w:rsidR="00C5731C" w:rsidRPr="00882AF5" w:rsidRDefault="00C5731C" w:rsidP="008B4ED7">
      <w:pPr>
        <w:tabs>
          <w:tab w:val="clear" w:pos="567"/>
        </w:tabs>
      </w:pPr>
    </w:p>
    <w:p w14:paraId="25E15D13"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15.</w:t>
      </w:r>
      <w:r w:rsidRPr="00882AF5">
        <w:rPr>
          <w:b/>
        </w:rPr>
        <w:tab/>
        <w:t>NORĀDĪJUMI PAR LIETOŠANU</w:t>
      </w:r>
    </w:p>
    <w:p w14:paraId="51BC7359" w14:textId="77777777" w:rsidR="00C5731C" w:rsidRPr="00882AF5" w:rsidRDefault="00C5731C" w:rsidP="008B4ED7">
      <w:pPr>
        <w:keepNext/>
      </w:pPr>
    </w:p>
    <w:p w14:paraId="45A2082E" w14:textId="77777777" w:rsidR="00C5731C" w:rsidRPr="00882AF5" w:rsidRDefault="00C5731C" w:rsidP="008B4ED7">
      <w:pPr>
        <w:tabs>
          <w:tab w:val="clear" w:pos="567"/>
        </w:tabs>
      </w:pPr>
    </w:p>
    <w:p w14:paraId="7420A74C"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2AF5">
        <w:rPr>
          <w:b/>
        </w:rPr>
        <w:t>16.</w:t>
      </w:r>
      <w:r w:rsidRPr="00882AF5">
        <w:rPr>
          <w:b/>
        </w:rPr>
        <w:tab/>
        <w:t>INFORMĀCIJA BRAILA RAKSTĀ</w:t>
      </w:r>
    </w:p>
    <w:p w14:paraId="23BEFF9A" w14:textId="77777777" w:rsidR="00C5731C" w:rsidRPr="00882AF5" w:rsidRDefault="00C5731C" w:rsidP="008B4ED7">
      <w:pPr>
        <w:keepNext/>
      </w:pPr>
    </w:p>
    <w:p w14:paraId="71608D7C" w14:textId="65466FDE" w:rsidR="00C5731C" w:rsidRPr="00882AF5" w:rsidRDefault="00470BA0" w:rsidP="008B4ED7">
      <w:pPr>
        <w:tabs>
          <w:tab w:val="clear" w:pos="567"/>
        </w:tabs>
      </w:pPr>
      <w:r w:rsidRPr="00882AF5">
        <w:t>Stoboclo 60 mg</w:t>
      </w:r>
    </w:p>
    <w:p w14:paraId="2020C662" w14:textId="77777777" w:rsidR="00C5731C" w:rsidRPr="00882AF5" w:rsidRDefault="00C5731C" w:rsidP="008B4ED7">
      <w:pPr>
        <w:tabs>
          <w:tab w:val="clear" w:pos="567"/>
        </w:tabs>
      </w:pPr>
    </w:p>
    <w:p w14:paraId="24676CA7" w14:textId="77777777" w:rsidR="001D1E25" w:rsidRPr="00882AF5" w:rsidRDefault="001D1E25" w:rsidP="008B4ED7">
      <w:pPr>
        <w:tabs>
          <w:tab w:val="clear" w:pos="567"/>
        </w:tabs>
      </w:pPr>
    </w:p>
    <w:p w14:paraId="2EC00E59" w14:textId="77777777" w:rsidR="001D1E25" w:rsidRPr="00882AF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882AF5">
        <w:rPr>
          <w:b/>
        </w:rPr>
        <w:t>17.</w:t>
      </w:r>
      <w:r w:rsidRPr="00882AF5">
        <w:rPr>
          <w:b/>
        </w:rPr>
        <w:tab/>
        <w:t>UNIKĀLS IDENTIFIKATORS – 2D SVĪTRKODS</w:t>
      </w:r>
    </w:p>
    <w:p w14:paraId="18F33158" w14:textId="77777777" w:rsidR="001D1E25" w:rsidRPr="00882AF5" w:rsidRDefault="001D1E25" w:rsidP="008B4ED7">
      <w:pPr>
        <w:keepNext/>
      </w:pPr>
    </w:p>
    <w:p w14:paraId="44B8BB9C" w14:textId="77777777" w:rsidR="001D1E25" w:rsidRDefault="001D1E25" w:rsidP="008B4ED7">
      <w:pPr>
        <w:rPr>
          <w:highlight w:val="lightGray"/>
        </w:rPr>
      </w:pPr>
      <w:r>
        <w:rPr>
          <w:highlight w:val="lightGray"/>
        </w:rPr>
        <w:t>2D svītrkods, kurā iekļauts unikāls identifikators.</w:t>
      </w:r>
    </w:p>
    <w:p w14:paraId="7E0223D0" w14:textId="77777777" w:rsidR="001D1E25" w:rsidRPr="00882AF5" w:rsidRDefault="001D1E25" w:rsidP="008B4ED7">
      <w:pPr>
        <w:tabs>
          <w:tab w:val="clear" w:pos="567"/>
        </w:tabs>
      </w:pPr>
    </w:p>
    <w:p w14:paraId="3324E217" w14:textId="77777777" w:rsidR="00C5731C" w:rsidRPr="00882AF5" w:rsidRDefault="00C5731C" w:rsidP="008B4ED7">
      <w:pPr>
        <w:tabs>
          <w:tab w:val="clear" w:pos="567"/>
        </w:tabs>
      </w:pPr>
    </w:p>
    <w:p w14:paraId="29026C31" w14:textId="77777777" w:rsidR="001D1E25" w:rsidRPr="00882AF5"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882AF5">
        <w:rPr>
          <w:b/>
        </w:rPr>
        <w:t>18.</w:t>
      </w:r>
      <w:r w:rsidRPr="00882AF5">
        <w:rPr>
          <w:b/>
        </w:rPr>
        <w:tab/>
        <w:t>UNIKĀLS IDENTIFIKATORS – DATI, KURUS VAR NOLASĪT PERSONA</w:t>
      </w:r>
    </w:p>
    <w:p w14:paraId="5CFD537D" w14:textId="77777777" w:rsidR="001D1E25" w:rsidRPr="00882AF5" w:rsidRDefault="001D1E25" w:rsidP="008B4ED7">
      <w:pPr>
        <w:keepNext/>
      </w:pPr>
    </w:p>
    <w:p w14:paraId="7D78CB62" w14:textId="77777777" w:rsidR="001D1E25" w:rsidRPr="00882AF5" w:rsidRDefault="001D1E25" w:rsidP="00C345B1">
      <w:pPr>
        <w:keepNext/>
        <w:tabs>
          <w:tab w:val="clear" w:pos="567"/>
        </w:tabs>
      </w:pPr>
      <w:r w:rsidRPr="00882AF5">
        <w:t>PC</w:t>
      </w:r>
    </w:p>
    <w:p w14:paraId="1E1F5ACD" w14:textId="77777777" w:rsidR="001D1E25" w:rsidRPr="00882AF5" w:rsidRDefault="001D1E25" w:rsidP="00C345B1">
      <w:pPr>
        <w:keepNext/>
        <w:tabs>
          <w:tab w:val="clear" w:pos="567"/>
        </w:tabs>
      </w:pPr>
      <w:r w:rsidRPr="00882AF5">
        <w:t>SN</w:t>
      </w:r>
    </w:p>
    <w:p w14:paraId="33EB290A" w14:textId="77777777" w:rsidR="001D1E25" w:rsidRDefault="001D1E25" w:rsidP="00C345B1">
      <w:pPr>
        <w:keepNext/>
        <w:rPr>
          <w:highlight w:val="lightGray"/>
        </w:rPr>
      </w:pPr>
      <w:r>
        <w:rPr>
          <w:highlight w:val="lightGray"/>
        </w:rPr>
        <w:t>NN</w:t>
      </w:r>
    </w:p>
    <w:p w14:paraId="215C7BFD" w14:textId="77777777" w:rsidR="00C5731C" w:rsidRPr="00882AF5" w:rsidRDefault="00C5731C" w:rsidP="008B4ED7">
      <w:pPr>
        <w:keepNext/>
      </w:pPr>
    </w:p>
    <w:p w14:paraId="670C19E7" w14:textId="1D8978FF" w:rsidR="00C5731C" w:rsidRPr="00882AF5" w:rsidRDefault="007241CA" w:rsidP="007241CA">
      <w:pPr>
        <w:keepNext/>
        <w:pBdr>
          <w:top w:val="single" w:sz="4" w:space="1" w:color="auto"/>
          <w:left w:val="single" w:sz="4" w:space="4" w:color="auto"/>
          <w:bottom w:val="single" w:sz="4" w:space="1" w:color="auto"/>
          <w:right w:val="single" w:sz="4" w:space="4" w:color="auto"/>
        </w:pBdr>
        <w:rPr>
          <w:b/>
        </w:rPr>
      </w:pPr>
      <w:r w:rsidRPr="00882AF5">
        <w:br w:type="page"/>
      </w:r>
      <w:r w:rsidRPr="00882AF5">
        <w:rPr>
          <w:b/>
        </w:rPr>
        <w:lastRenderedPageBreak/>
        <w:t>MINIMĀLĀ INFORMĀCIJA, KAS JĀNORĀDA</w:t>
      </w:r>
      <w:r w:rsidR="00D648C6" w:rsidRPr="00882AF5">
        <w:rPr>
          <w:b/>
        </w:rPr>
        <w:t xml:space="preserve"> </w:t>
      </w:r>
      <w:r w:rsidRPr="00882AF5">
        <w:rPr>
          <w:b/>
        </w:rPr>
        <w:t>UZ MAZA IZMĒRA TIEŠĀ IEPAKOJUMA</w:t>
      </w:r>
    </w:p>
    <w:p w14:paraId="564AA868"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0436F24F" w:rsidR="00C5731C" w:rsidRDefault="00A83C1A" w:rsidP="008B4ED7">
      <w:pPr>
        <w:keepNext/>
        <w:pBdr>
          <w:top w:val="single" w:sz="4" w:space="1" w:color="auto"/>
          <w:left w:val="single" w:sz="4" w:space="4" w:color="auto"/>
          <w:bottom w:val="single" w:sz="4" w:space="1" w:color="auto"/>
          <w:right w:val="single" w:sz="4" w:space="4" w:color="auto"/>
        </w:pBdr>
        <w:rPr>
          <w:b/>
          <w:highlight w:val="lightGray"/>
        </w:rPr>
      </w:pPr>
      <w:r>
        <w:rPr>
          <w:b/>
        </w:rPr>
        <w:t xml:space="preserve">ETIĶETE </w:t>
      </w:r>
      <w:r w:rsidR="00C5731C" w:rsidRPr="00882AF5">
        <w:rPr>
          <w:b/>
        </w:rPr>
        <w:t>PILNŠĻIRCE</w:t>
      </w:r>
      <w:r>
        <w:rPr>
          <w:b/>
        </w:rPr>
        <w:t>I</w:t>
      </w:r>
      <w:r w:rsidR="00C5731C" w:rsidRPr="00882AF5">
        <w:rPr>
          <w:b/>
        </w:rPr>
        <w:t xml:space="preserve"> </w:t>
      </w:r>
      <w:r w:rsidR="002B1A99" w:rsidRPr="00882AF5">
        <w:rPr>
          <w:b/>
        </w:rPr>
        <w:t>AR ADATAS AIZSARGU</w:t>
      </w:r>
    </w:p>
    <w:p w14:paraId="6284ECD9" w14:textId="77777777" w:rsidR="00C5731C" w:rsidRPr="00882AF5" w:rsidRDefault="00C5731C" w:rsidP="008B4ED7">
      <w:pPr>
        <w:keepNext/>
      </w:pPr>
    </w:p>
    <w:p w14:paraId="207F2636" w14:textId="77777777" w:rsidR="00145F24" w:rsidRPr="00882AF5" w:rsidRDefault="00145F24" w:rsidP="008B4ED7">
      <w:pPr>
        <w:tabs>
          <w:tab w:val="clear" w:pos="567"/>
        </w:tabs>
      </w:pPr>
    </w:p>
    <w:p w14:paraId="48E9B63D"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2AF5">
        <w:rPr>
          <w:b/>
        </w:rPr>
        <w:t>1.</w:t>
      </w:r>
      <w:r w:rsidRPr="00882AF5">
        <w:rPr>
          <w:b/>
        </w:rPr>
        <w:tab/>
        <w:t>ZĀĻU NOSAUKUMS UN IEVADĪŠANAS VEIDS</w:t>
      </w:r>
    </w:p>
    <w:p w14:paraId="49012D15" w14:textId="77777777" w:rsidR="00C5731C" w:rsidRPr="00882AF5" w:rsidRDefault="00C5731C" w:rsidP="008B4ED7">
      <w:pPr>
        <w:keepNext/>
      </w:pPr>
    </w:p>
    <w:p w14:paraId="4D2B602F" w14:textId="4AFA7453" w:rsidR="00C5731C" w:rsidRPr="00882AF5" w:rsidRDefault="002B1A99" w:rsidP="00C345B1">
      <w:pPr>
        <w:keepNext/>
        <w:tabs>
          <w:tab w:val="clear" w:pos="567"/>
        </w:tabs>
      </w:pPr>
      <w:r w:rsidRPr="00882AF5">
        <w:t xml:space="preserve">Stoboclo </w:t>
      </w:r>
      <w:r w:rsidR="00C5731C" w:rsidRPr="00882AF5">
        <w:t>60 mg injekcijām</w:t>
      </w:r>
    </w:p>
    <w:p w14:paraId="1415D7F3" w14:textId="302586EF" w:rsidR="00C5731C" w:rsidRPr="00882AF5" w:rsidRDefault="00C5731C" w:rsidP="00C345B1">
      <w:pPr>
        <w:keepNext/>
        <w:tabs>
          <w:tab w:val="clear" w:pos="567"/>
        </w:tabs>
      </w:pPr>
      <w:r w:rsidRPr="00882AF5">
        <w:t>denosumab</w:t>
      </w:r>
    </w:p>
    <w:p w14:paraId="250A35D5" w14:textId="77777777" w:rsidR="00C5731C" w:rsidRPr="00882AF5" w:rsidRDefault="00C5731C" w:rsidP="008B4ED7">
      <w:pPr>
        <w:tabs>
          <w:tab w:val="clear" w:pos="567"/>
        </w:tabs>
      </w:pPr>
      <w:r w:rsidRPr="00882AF5">
        <w:t>s.c.</w:t>
      </w:r>
    </w:p>
    <w:p w14:paraId="13BFFAD5" w14:textId="77777777" w:rsidR="00C5731C" w:rsidRPr="00882AF5" w:rsidRDefault="00C5731C" w:rsidP="008B4ED7">
      <w:pPr>
        <w:tabs>
          <w:tab w:val="clear" w:pos="567"/>
        </w:tabs>
      </w:pPr>
    </w:p>
    <w:p w14:paraId="470677AC" w14:textId="77777777" w:rsidR="00C5731C" w:rsidRPr="00882AF5"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2AF5">
        <w:rPr>
          <w:b/>
        </w:rPr>
        <w:t>2.</w:t>
      </w:r>
      <w:r w:rsidRPr="00882AF5">
        <w:rPr>
          <w:b/>
        </w:rPr>
        <w:tab/>
        <w:t>LIETOŠANAS VEIDS</w:t>
      </w:r>
    </w:p>
    <w:p w14:paraId="08A17BE1" w14:textId="77777777" w:rsidR="00C5731C" w:rsidRPr="00882AF5" w:rsidRDefault="00C5731C" w:rsidP="008B4ED7">
      <w:pPr>
        <w:keepNext/>
      </w:pPr>
    </w:p>
    <w:p w14:paraId="361A0A55" w14:textId="77777777" w:rsidR="00C5731C" w:rsidRPr="00882AF5"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882AF5">
        <w:rPr>
          <w:caps w:val="0"/>
        </w:rPr>
        <w:t>3.</w:t>
      </w:r>
      <w:r w:rsidRPr="00882AF5">
        <w:rPr>
          <w:caps w:val="0"/>
        </w:rPr>
        <w:tab/>
        <w:t>DERĪGUMA TERMIŅŠ</w:t>
      </w:r>
    </w:p>
    <w:p w14:paraId="65670C3C" w14:textId="77777777" w:rsidR="00C5731C" w:rsidRPr="00882AF5" w:rsidRDefault="00C5731C" w:rsidP="008B4ED7">
      <w:pPr>
        <w:keepNext/>
      </w:pPr>
    </w:p>
    <w:p w14:paraId="3D4D4BB0" w14:textId="77777777" w:rsidR="00C5731C" w:rsidRPr="00882AF5" w:rsidRDefault="00C5731C" w:rsidP="008B4ED7">
      <w:pPr>
        <w:tabs>
          <w:tab w:val="clear" w:pos="567"/>
        </w:tabs>
      </w:pPr>
      <w:r w:rsidRPr="00882AF5">
        <w:t>EXP</w:t>
      </w:r>
    </w:p>
    <w:p w14:paraId="595D7C5F" w14:textId="77777777" w:rsidR="00C5731C" w:rsidRPr="00882AF5" w:rsidRDefault="00C5731C" w:rsidP="008B4ED7">
      <w:pPr>
        <w:tabs>
          <w:tab w:val="clear" w:pos="567"/>
        </w:tabs>
      </w:pPr>
    </w:p>
    <w:p w14:paraId="727935C1" w14:textId="77777777" w:rsidR="00C5731C" w:rsidRPr="00882AF5"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882AF5">
        <w:rPr>
          <w:caps w:val="0"/>
        </w:rPr>
        <w:t>4.</w:t>
      </w:r>
      <w:r w:rsidRPr="00882AF5">
        <w:rPr>
          <w:caps w:val="0"/>
        </w:rPr>
        <w:tab/>
        <w:t>SĒRIJAS NUMURS</w:t>
      </w:r>
    </w:p>
    <w:p w14:paraId="19B0194C" w14:textId="77777777" w:rsidR="00C5731C" w:rsidRPr="00882AF5" w:rsidRDefault="00C5731C" w:rsidP="008B4ED7">
      <w:pPr>
        <w:keepNext/>
      </w:pPr>
    </w:p>
    <w:p w14:paraId="13C73BC0" w14:textId="77777777" w:rsidR="00C5731C" w:rsidRPr="00882AF5" w:rsidRDefault="00C5731C" w:rsidP="008B4ED7">
      <w:pPr>
        <w:tabs>
          <w:tab w:val="clear" w:pos="567"/>
        </w:tabs>
      </w:pPr>
      <w:r w:rsidRPr="00882AF5">
        <w:t>Lot</w:t>
      </w:r>
    </w:p>
    <w:p w14:paraId="5D4BDEA2" w14:textId="77777777" w:rsidR="00C5731C" w:rsidRPr="00882AF5" w:rsidRDefault="00C5731C" w:rsidP="008B4ED7">
      <w:pPr>
        <w:tabs>
          <w:tab w:val="clear" w:pos="567"/>
        </w:tabs>
      </w:pPr>
    </w:p>
    <w:p w14:paraId="42A8DB4C" w14:textId="77777777" w:rsidR="00C5731C" w:rsidRPr="00882AF5"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2AF5">
        <w:rPr>
          <w:b/>
        </w:rPr>
        <w:t>5.</w:t>
      </w:r>
      <w:r w:rsidRPr="00882AF5">
        <w:rPr>
          <w:b/>
        </w:rPr>
        <w:tab/>
        <w:t>SATURA SVARS, TILPUMS VAI VIENĪBU DAUDZUMS</w:t>
      </w:r>
    </w:p>
    <w:p w14:paraId="6FBBFAC7" w14:textId="77777777" w:rsidR="00C5731C" w:rsidRPr="00882AF5" w:rsidRDefault="00C5731C" w:rsidP="008B4ED7">
      <w:pPr>
        <w:keepNext/>
      </w:pPr>
    </w:p>
    <w:p w14:paraId="19908CD2" w14:textId="1C179DC2" w:rsidR="00C5731C" w:rsidRPr="00882AF5" w:rsidRDefault="002B1A99" w:rsidP="00BF0C34">
      <w:pPr>
        <w:tabs>
          <w:tab w:val="clear" w:pos="567"/>
        </w:tabs>
      </w:pPr>
      <w:r w:rsidRPr="00882AF5">
        <w:t>60 mg/</w:t>
      </w:r>
      <w:r w:rsidR="00C5731C" w:rsidRPr="00882AF5">
        <w:t>1 ml</w:t>
      </w:r>
    </w:p>
    <w:p w14:paraId="597716C0" w14:textId="77777777" w:rsidR="00C5731C" w:rsidRPr="00882AF5" w:rsidRDefault="00C5731C" w:rsidP="008B4ED7">
      <w:pPr>
        <w:tabs>
          <w:tab w:val="clear" w:pos="567"/>
        </w:tabs>
      </w:pPr>
    </w:p>
    <w:p w14:paraId="48B0A202" w14:textId="77777777" w:rsidR="00C5731C" w:rsidRPr="00882AF5"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2AF5">
        <w:rPr>
          <w:b/>
        </w:rPr>
        <w:t>6.</w:t>
      </w:r>
      <w:r w:rsidRPr="00882AF5">
        <w:rPr>
          <w:b/>
        </w:rPr>
        <w:tab/>
        <w:t>CITA</w:t>
      </w:r>
    </w:p>
    <w:p w14:paraId="3DBC2AFB" w14:textId="77777777" w:rsidR="00C5731C" w:rsidRPr="00882AF5" w:rsidRDefault="00C5731C" w:rsidP="008B4ED7">
      <w:pPr>
        <w:keepNext/>
      </w:pPr>
    </w:p>
    <w:p w14:paraId="5D0E4CA0" w14:textId="16B0FD81" w:rsidR="00C5731C" w:rsidRPr="00882AF5" w:rsidRDefault="007241CA" w:rsidP="007241CA">
      <w:pPr>
        <w:keepNext/>
        <w:pBdr>
          <w:top w:val="single" w:sz="4" w:space="1" w:color="auto"/>
          <w:left w:val="single" w:sz="4" w:space="4" w:color="auto"/>
          <w:bottom w:val="single" w:sz="4" w:space="1" w:color="auto"/>
          <w:right w:val="single" w:sz="4" w:space="4" w:color="auto"/>
        </w:pBdr>
        <w:rPr>
          <w:b/>
        </w:rPr>
      </w:pPr>
      <w:r w:rsidRPr="00882AF5">
        <w:br w:type="page"/>
      </w:r>
      <w:r w:rsidRPr="00882AF5">
        <w:rPr>
          <w:b/>
        </w:rPr>
        <w:lastRenderedPageBreak/>
        <w:t>ATGĀDINĀJUMA TEKSTS UZ KARTIŅAS (iekļauts iepakojumā)</w:t>
      </w:r>
    </w:p>
    <w:p w14:paraId="089E7177" w14:textId="77777777" w:rsidR="00C5731C" w:rsidRPr="00882AF5"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882AF5" w:rsidRDefault="00C5731C" w:rsidP="008B4ED7">
      <w:pPr>
        <w:keepNext/>
      </w:pPr>
    </w:p>
    <w:p w14:paraId="0FAAEBBC" w14:textId="4CE0915F" w:rsidR="00C5731C" w:rsidRPr="00882AF5" w:rsidRDefault="006F2D55" w:rsidP="008B4ED7">
      <w:pPr>
        <w:tabs>
          <w:tab w:val="clear" w:pos="567"/>
        </w:tabs>
      </w:pPr>
      <w:r w:rsidRPr="00882AF5">
        <w:t xml:space="preserve">Stoboclo </w:t>
      </w:r>
      <w:r w:rsidR="00C5731C" w:rsidRPr="00882AF5">
        <w:t>60 mg injekcij</w:t>
      </w:r>
      <w:r w:rsidR="00A83C1A">
        <w:t>a</w:t>
      </w:r>
    </w:p>
    <w:p w14:paraId="2B223ACE" w14:textId="5ECEB675" w:rsidR="00C5731C" w:rsidRPr="00882AF5" w:rsidRDefault="00C5731C" w:rsidP="008B4ED7">
      <w:pPr>
        <w:tabs>
          <w:tab w:val="clear" w:pos="567"/>
        </w:tabs>
      </w:pPr>
      <w:r w:rsidRPr="00882AF5">
        <w:t>denosumab</w:t>
      </w:r>
    </w:p>
    <w:p w14:paraId="5B36AA74" w14:textId="77777777" w:rsidR="00C5731C" w:rsidRPr="00882AF5" w:rsidRDefault="00C5731C" w:rsidP="008B4ED7">
      <w:pPr>
        <w:tabs>
          <w:tab w:val="clear" w:pos="567"/>
        </w:tabs>
      </w:pPr>
    </w:p>
    <w:p w14:paraId="5B361821" w14:textId="77777777" w:rsidR="00C5731C" w:rsidRPr="00882AF5" w:rsidRDefault="00C5731C" w:rsidP="008B4ED7">
      <w:pPr>
        <w:tabs>
          <w:tab w:val="clear" w:pos="567"/>
        </w:tabs>
      </w:pPr>
      <w:r w:rsidRPr="00882AF5">
        <w:t>s.c.</w:t>
      </w:r>
    </w:p>
    <w:p w14:paraId="45488AB9" w14:textId="77777777" w:rsidR="00C5731C" w:rsidRPr="00882AF5" w:rsidRDefault="00C5731C" w:rsidP="008B4ED7">
      <w:pPr>
        <w:tabs>
          <w:tab w:val="clear" w:pos="567"/>
        </w:tabs>
      </w:pPr>
    </w:p>
    <w:p w14:paraId="0AFEA1CB" w14:textId="313967FE" w:rsidR="00C5731C" w:rsidRPr="00882AF5" w:rsidRDefault="00683F11" w:rsidP="008B4ED7">
      <w:pPr>
        <w:tabs>
          <w:tab w:val="clear" w:pos="567"/>
        </w:tabs>
      </w:pPr>
      <w:r w:rsidRPr="00882AF5">
        <w:t>Nākamā injekcija pēc 6 mēnešiem:</w:t>
      </w:r>
    </w:p>
    <w:p w14:paraId="6591A044" w14:textId="77777777" w:rsidR="00C5731C" w:rsidRPr="00882AF5" w:rsidRDefault="00C5731C" w:rsidP="008B4ED7">
      <w:pPr>
        <w:tabs>
          <w:tab w:val="clear" w:pos="567"/>
        </w:tabs>
      </w:pPr>
    </w:p>
    <w:p w14:paraId="04D1EDC7" w14:textId="5E35BDBB" w:rsidR="00F82CBC" w:rsidRPr="00882AF5" w:rsidRDefault="00F82CBC" w:rsidP="008B4ED7">
      <w:pPr>
        <w:tabs>
          <w:tab w:val="clear" w:pos="567"/>
        </w:tabs>
      </w:pPr>
      <w:r w:rsidRPr="00882AF5">
        <w:t xml:space="preserve">Lietojiet </w:t>
      </w:r>
      <w:r w:rsidR="006F2D55" w:rsidRPr="00882AF5">
        <w:t xml:space="preserve">Stoboclo </w:t>
      </w:r>
      <w:r w:rsidRPr="00882AF5">
        <w:t>tik ilgi, cik ārsts to Jums ir parakstījis.</w:t>
      </w:r>
    </w:p>
    <w:p w14:paraId="22D948FE" w14:textId="77777777" w:rsidR="00F82CBC" w:rsidRPr="00882AF5" w:rsidRDefault="00F82CBC" w:rsidP="008B4ED7">
      <w:pPr>
        <w:tabs>
          <w:tab w:val="clear" w:pos="567"/>
        </w:tabs>
      </w:pPr>
    </w:p>
    <w:p w14:paraId="1B8844E1" w14:textId="7B926097" w:rsidR="00CB487A" w:rsidRPr="00882AF5" w:rsidRDefault="00CB487A" w:rsidP="00CB487A">
      <w:r w:rsidRPr="00882AF5">
        <w:rPr>
          <w:lang w:eastAsia="ko-KR"/>
        </w:rPr>
        <w:t xml:space="preserve">Celltrion Healthcare Hungary Kft. </w:t>
      </w:r>
    </w:p>
    <w:p w14:paraId="03DFA0BA" w14:textId="77777777" w:rsidR="00C5731C" w:rsidRPr="00882AF5" w:rsidRDefault="00C5731C" w:rsidP="008B4ED7">
      <w:pPr>
        <w:tabs>
          <w:tab w:val="clear" w:pos="567"/>
        </w:tabs>
      </w:pPr>
    </w:p>
    <w:p w14:paraId="039D362A" w14:textId="77777777" w:rsidR="00C5731C" w:rsidRPr="00882AF5" w:rsidRDefault="00C5731C" w:rsidP="008B4ED7">
      <w:pPr>
        <w:tabs>
          <w:tab w:val="clear" w:pos="567"/>
        </w:tabs>
      </w:pPr>
    </w:p>
    <w:p w14:paraId="41338EB9" w14:textId="77777777" w:rsidR="00C5731C" w:rsidRPr="00882AF5" w:rsidRDefault="00C5731C" w:rsidP="008B4ED7">
      <w:pPr>
        <w:tabs>
          <w:tab w:val="clear" w:pos="567"/>
        </w:tabs>
      </w:pPr>
    </w:p>
    <w:p w14:paraId="71F72226" w14:textId="77777777" w:rsidR="008011D6" w:rsidRPr="00882AF5" w:rsidRDefault="00C5731C" w:rsidP="008B4ED7">
      <w:pPr>
        <w:jc w:val="center"/>
      </w:pPr>
      <w:r w:rsidRPr="00882AF5">
        <w:br w:type="page"/>
      </w:r>
    </w:p>
    <w:p w14:paraId="30E60EEE" w14:textId="77777777" w:rsidR="008011D6" w:rsidRPr="00882AF5" w:rsidRDefault="008011D6" w:rsidP="008B4ED7">
      <w:pPr>
        <w:jc w:val="center"/>
      </w:pPr>
    </w:p>
    <w:p w14:paraId="04D79582" w14:textId="77777777" w:rsidR="008011D6" w:rsidRPr="00882AF5" w:rsidRDefault="008011D6" w:rsidP="008B4ED7">
      <w:pPr>
        <w:jc w:val="center"/>
      </w:pPr>
    </w:p>
    <w:p w14:paraId="5D8F55EB" w14:textId="77777777" w:rsidR="008011D6" w:rsidRPr="00882AF5" w:rsidRDefault="008011D6" w:rsidP="008B4ED7">
      <w:pPr>
        <w:jc w:val="center"/>
      </w:pPr>
    </w:p>
    <w:p w14:paraId="5EE01354" w14:textId="77777777" w:rsidR="008011D6" w:rsidRPr="00882AF5" w:rsidRDefault="008011D6" w:rsidP="008B4ED7">
      <w:pPr>
        <w:jc w:val="center"/>
      </w:pPr>
    </w:p>
    <w:p w14:paraId="55525A20" w14:textId="77777777" w:rsidR="008011D6" w:rsidRPr="00882AF5" w:rsidRDefault="008011D6" w:rsidP="008B4ED7">
      <w:pPr>
        <w:jc w:val="center"/>
      </w:pPr>
    </w:p>
    <w:p w14:paraId="53586AF2" w14:textId="77777777" w:rsidR="008011D6" w:rsidRPr="00882AF5" w:rsidRDefault="008011D6" w:rsidP="008B4ED7">
      <w:pPr>
        <w:jc w:val="center"/>
      </w:pPr>
    </w:p>
    <w:p w14:paraId="020BA048" w14:textId="77777777" w:rsidR="008011D6" w:rsidRPr="00882AF5" w:rsidRDefault="008011D6" w:rsidP="008B4ED7">
      <w:pPr>
        <w:jc w:val="center"/>
      </w:pPr>
    </w:p>
    <w:p w14:paraId="13109FE2" w14:textId="77777777" w:rsidR="008011D6" w:rsidRPr="00882AF5" w:rsidRDefault="008011D6" w:rsidP="008B4ED7">
      <w:pPr>
        <w:jc w:val="center"/>
      </w:pPr>
    </w:p>
    <w:p w14:paraId="7FD25DA4" w14:textId="77777777" w:rsidR="008011D6" w:rsidRPr="00882AF5" w:rsidRDefault="008011D6" w:rsidP="008B4ED7">
      <w:pPr>
        <w:jc w:val="center"/>
      </w:pPr>
    </w:p>
    <w:p w14:paraId="445F6ACB" w14:textId="77777777" w:rsidR="008011D6" w:rsidRPr="00882AF5" w:rsidRDefault="008011D6" w:rsidP="008B4ED7">
      <w:pPr>
        <w:jc w:val="center"/>
      </w:pPr>
    </w:p>
    <w:p w14:paraId="1B90BE4C" w14:textId="77777777" w:rsidR="008011D6" w:rsidRPr="00882AF5" w:rsidRDefault="008011D6" w:rsidP="008B4ED7">
      <w:pPr>
        <w:jc w:val="center"/>
      </w:pPr>
    </w:p>
    <w:p w14:paraId="1AE12734" w14:textId="77777777" w:rsidR="008011D6" w:rsidRPr="00882AF5" w:rsidRDefault="008011D6" w:rsidP="008B4ED7">
      <w:pPr>
        <w:jc w:val="center"/>
      </w:pPr>
    </w:p>
    <w:p w14:paraId="4AA9B534" w14:textId="77777777" w:rsidR="008011D6" w:rsidRPr="00882AF5" w:rsidRDefault="008011D6" w:rsidP="008B4ED7">
      <w:pPr>
        <w:jc w:val="center"/>
      </w:pPr>
    </w:p>
    <w:p w14:paraId="6B997862" w14:textId="77777777" w:rsidR="008011D6" w:rsidRPr="00882AF5" w:rsidRDefault="008011D6" w:rsidP="008B4ED7">
      <w:pPr>
        <w:jc w:val="center"/>
      </w:pPr>
    </w:p>
    <w:p w14:paraId="79AC4866" w14:textId="77777777" w:rsidR="008011D6" w:rsidRPr="00882AF5" w:rsidRDefault="008011D6" w:rsidP="008B4ED7">
      <w:pPr>
        <w:jc w:val="center"/>
      </w:pPr>
    </w:p>
    <w:p w14:paraId="61627A8C" w14:textId="77777777" w:rsidR="008011D6" w:rsidRPr="00882AF5" w:rsidRDefault="008011D6" w:rsidP="008B4ED7">
      <w:pPr>
        <w:jc w:val="center"/>
      </w:pPr>
    </w:p>
    <w:p w14:paraId="1A0432B1" w14:textId="77777777" w:rsidR="008011D6" w:rsidRPr="00882AF5" w:rsidRDefault="008011D6" w:rsidP="008B4ED7">
      <w:pPr>
        <w:jc w:val="center"/>
      </w:pPr>
    </w:p>
    <w:p w14:paraId="2E195E02" w14:textId="77777777" w:rsidR="008011D6" w:rsidRPr="00882AF5" w:rsidRDefault="008011D6" w:rsidP="008B4ED7">
      <w:pPr>
        <w:jc w:val="center"/>
      </w:pPr>
    </w:p>
    <w:p w14:paraId="1E3844ED" w14:textId="77777777" w:rsidR="008011D6" w:rsidRPr="00882AF5" w:rsidRDefault="008011D6" w:rsidP="008B4ED7">
      <w:pPr>
        <w:jc w:val="center"/>
      </w:pPr>
    </w:p>
    <w:p w14:paraId="6FB8F589" w14:textId="77777777" w:rsidR="008011D6" w:rsidRPr="00882AF5" w:rsidRDefault="008011D6" w:rsidP="008B4ED7">
      <w:pPr>
        <w:jc w:val="center"/>
      </w:pPr>
    </w:p>
    <w:p w14:paraId="25B086E0" w14:textId="77777777" w:rsidR="008011D6" w:rsidRPr="00882AF5" w:rsidRDefault="008011D6" w:rsidP="008B4ED7">
      <w:pPr>
        <w:jc w:val="center"/>
      </w:pPr>
    </w:p>
    <w:p w14:paraId="00330DD4" w14:textId="77777777" w:rsidR="008011D6" w:rsidRPr="00882AF5" w:rsidRDefault="008011D6" w:rsidP="008B4ED7">
      <w:pPr>
        <w:jc w:val="center"/>
      </w:pPr>
    </w:p>
    <w:p w14:paraId="41A6384F" w14:textId="77777777" w:rsidR="008011D6" w:rsidRPr="00882AF5" w:rsidRDefault="008011D6" w:rsidP="00BF5188">
      <w:pPr>
        <w:pStyle w:val="TitleA"/>
      </w:pPr>
      <w:r w:rsidRPr="00882AF5">
        <w:t>B. LIETOŠANAS INSTRUKCIJA</w:t>
      </w:r>
    </w:p>
    <w:p w14:paraId="20CB14AE" w14:textId="3B6C643F" w:rsidR="00382BC2" w:rsidRPr="00882AF5" w:rsidRDefault="00F51F12" w:rsidP="00F51F12">
      <w:pPr>
        <w:tabs>
          <w:tab w:val="clear" w:pos="567"/>
        </w:tabs>
        <w:jc w:val="center"/>
        <w:rPr>
          <w:b/>
          <w:bCs/>
        </w:rPr>
      </w:pPr>
      <w:r w:rsidRPr="00882AF5">
        <w:br w:type="page"/>
      </w:r>
      <w:r w:rsidRPr="00882AF5">
        <w:rPr>
          <w:b/>
        </w:rPr>
        <w:lastRenderedPageBreak/>
        <w:t>Lietošanas instrukcija: informācija lietotājam</w:t>
      </w:r>
    </w:p>
    <w:p w14:paraId="29E5213E" w14:textId="77777777" w:rsidR="00382BC2" w:rsidRPr="00882AF5" w:rsidRDefault="00382BC2" w:rsidP="00F51F12">
      <w:pPr>
        <w:jc w:val="center"/>
      </w:pPr>
    </w:p>
    <w:p w14:paraId="56390CAE" w14:textId="42F2E880" w:rsidR="00382BC2" w:rsidRPr="00882AF5" w:rsidRDefault="00342339" w:rsidP="00F51F12">
      <w:pPr>
        <w:tabs>
          <w:tab w:val="clear" w:pos="567"/>
        </w:tabs>
        <w:jc w:val="center"/>
        <w:rPr>
          <w:b/>
          <w:bCs/>
        </w:rPr>
      </w:pPr>
      <w:r w:rsidRPr="00882AF5">
        <w:rPr>
          <w:b/>
        </w:rPr>
        <w:t xml:space="preserve">Stoboclo </w:t>
      </w:r>
      <w:r w:rsidR="00382BC2" w:rsidRPr="00882AF5">
        <w:rPr>
          <w:b/>
        </w:rPr>
        <w:t>60 mg šķīdums injekcijām pilnšļircē</w:t>
      </w:r>
    </w:p>
    <w:p w14:paraId="65A86226" w14:textId="32A2C600" w:rsidR="00382BC2" w:rsidRPr="00882AF5" w:rsidRDefault="00417EC9" w:rsidP="00F51F12">
      <w:pPr>
        <w:jc w:val="center"/>
      </w:pPr>
      <w:r>
        <w:t>denozumab</w:t>
      </w:r>
      <w:r w:rsidR="00382BC2" w:rsidRPr="00882AF5">
        <w:t>s (denosumab)</w:t>
      </w:r>
    </w:p>
    <w:p w14:paraId="3C95945A" w14:textId="77777777" w:rsidR="00342339" w:rsidRPr="00882AF5" w:rsidRDefault="00342339" w:rsidP="00F51F12">
      <w:pPr>
        <w:jc w:val="center"/>
      </w:pPr>
    </w:p>
    <w:p w14:paraId="2A8E530C" w14:textId="3D3C95E4" w:rsidR="002E3421" w:rsidRPr="00882AF5" w:rsidRDefault="00451C8B" w:rsidP="00666FDE">
      <w:r>
        <w:rPr>
          <w:noProof/>
          <w:lang w:eastAsia="lv-LV"/>
        </w:rPr>
        <w:pict w14:anchorId="0C91EF8D">
          <v:shape id="_x0000_i1026" type="#_x0000_t75" alt="BT_1000x858px" style="width:17.25pt;height:14.25pt;visibility:visible;mso-wrap-style:square">
            <v:imagedata r:id="rId13" o:title="BT_1000x858px"/>
          </v:shape>
        </w:pict>
      </w:r>
      <w:r w:rsidR="007F7E08" w:rsidRPr="00882AF5">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07CA3E13" w14:textId="77777777" w:rsidR="00382BC2" w:rsidRPr="00882AF5" w:rsidRDefault="00382BC2" w:rsidP="00F51F12">
      <w:pPr>
        <w:jc w:val="center"/>
      </w:pPr>
    </w:p>
    <w:p w14:paraId="74BC1273" w14:textId="77777777" w:rsidR="00382BC2" w:rsidRPr="00882AF5" w:rsidRDefault="00382BC2" w:rsidP="00F51F12">
      <w:pPr>
        <w:keepNext/>
        <w:rPr>
          <w:b/>
          <w:bCs/>
        </w:rPr>
      </w:pPr>
      <w:r w:rsidRPr="00882AF5">
        <w:rPr>
          <w:b/>
        </w:rPr>
        <w:t>Pirms zāļu lietošanas uzmanīgi izlasiet visu instrukciju, jo tā satur Jums svarīgu informāciju.</w:t>
      </w:r>
    </w:p>
    <w:p w14:paraId="6E1CC4C7" w14:textId="77777777" w:rsidR="00382BC2" w:rsidRPr="00882AF5" w:rsidRDefault="00382BC2" w:rsidP="00F51F12">
      <w:pPr>
        <w:numPr>
          <w:ilvl w:val="0"/>
          <w:numId w:val="56"/>
        </w:numPr>
        <w:ind w:left="567" w:hanging="567"/>
      </w:pPr>
      <w:r w:rsidRPr="00882AF5">
        <w:t>Saglabājiet šo instrukciju! Iespējams, ka vēlāk to vajadzēs pārlasīt.</w:t>
      </w:r>
    </w:p>
    <w:p w14:paraId="60B601FF" w14:textId="77777777" w:rsidR="00382BC2" w:rsidRPr="00882AF5" w:rsidRDefault="00382BC2" w:rsidP="00F51F12">
      <w:pPr>
        <w:numPr>
          <w:ilvl w:val="0"/>
          <w:numId w:val="56"/>
        </w:numPr>
        <w:ind w:left="567" w:hanging="567"/>
      </w:pPr>
      <w:r w:rsidRPr="00882AF5">
        <w:t>Ja Jums rodas jebkādi jautājumi, vaicājiet ārstam vai farmaceitam.</w:t>
      </w:r>
    </w:p>
    <w:p w14:paraId="41778FA5" w14:textId="77777777" w:rsidR="00382BC2" w:rsidRPr="00882AF5" w:rsidRDefault="00382BC2" w:rsidP="00F51F12">
      <w:pPr>
        <w:numPr>
          <w:ilvl w:val="0"/>
          <w:numId w:val="56"/>
        </w:numPr>
        <w:ind w:left="567" w:hanging="567"/>
      </w:pPr>
      <w:r w:rsidRPr="00882AF5">
        <w:t>Šīs zāles ir parakstītas tikai Jums. Nedodiet tās citiem. Tās var nodarīt ļaunumu pat tad, ja šiem cilvēkiem ir līdzīgas slimības pazīmes.</w:t>
      </w:r>
    </w:p>
    <w:p w14:paraId="22CE7806" w14:textId="77777777" w:rsidR="0018450B" w:rsidRPr="00882AF5" w:rsidRDefault="00382BC2" w:rsidP="00F51F12">
      <w:pPr>
        <w:numPr>
          <w:ilvl w:val="0"/>
          <w:numId w:val="56"/>
        </w:numPr>
        <w:ind w:left="567" w:hanging="567"/>
      </w:pPr>
      <w:r w:rsidRPr="00882AF5">
        <w:t>Ja Jums rodas jebkādas blakusparādības, konsultējieties ar ārstu vai farmaceitu. Tas attiecas arī uz iespējamām blakusparādībām, kas nav minētas šajā instrukcijā. Skatīt 4. punktu.</w:t>
      </w:r>
    </w:p>
    <w:p w14:paraId="65DF31CE" w14:textId="7BCE4D57" w:rsidR="0018450B" w:rsidRPr="00882AF5" w:rsidRDefault="00427567" w:rsidP="00F51F12">
      <w:pPr>
        <w:numPr>
          <w:ilvl w:val="0"/>
          <w:numId w:val="56"/>
        </w:numPr>
        <w:ind w:left="567" w:hanging="567"/>
      </w:pPr>
      <w:r w:rsidRPr="00882AF5">
        <w:t xml:space="preserve">Ārsts izsniegs Jums pacienta atgādinājuma kartīti, kurā ir apkopota svarīga drošuma informācija, kas Jums jāzina pirms ārstēšanās ar </w:t>
      </w:r>
      <w:r w:rsidR="007F7E08" w:rsidRPr="00882AF5">
        <w:t xml:space="preserve">Stoboclo </w:t>
      </w:r>
      <w:r w:rsidRPr="00882AF5">
        <w:t>un tās laikā.</w:t>
      </w:r>
    </w:p>
    <w:p w14:paraId="3E868B72" w14:textId="77777777" w:rsidR="00382BC2" w:rsidRPr="00882AF5" w:rsidRDefault="00382BC2" w:rsidP="00666FDE">
      <w:pPr>
        <w:jc w:val="center"/>
      </w:pPr>
    </w:p>
    <w:p w14:paraId="4AA06590" w14:textId="77777777" w:rsidR="00382BC2" w:rsidRPr="00882AF5" w:rsidRDefault="00382BC2" w:rsidP="00F51F12">
      <w:pPr>
        <w:keepNext/>
        <w:rPr>
          <w:b/>
          <w:bCs/>
        </w:rPr>
      </w:pPr>
      <w:r w:rsidRPr="00882AF5">
        <w:rPr>
          <w:b/>
        </w:rPr>
        <w:t>Šajā instrukcijā varat uzzināt:</w:t>
      </w:r>
    </w:p>
    <w:p w14:paraId="0665144A" w14:textId="3479F074" w:rsidR="00382BC2" w:rsidRPr="00882AF5" w:rsidRDefault="00382BC2" w:rsidP="00F51F12">
      <w:pPr>
        <w:numPr>
          <w:ilvl w:val="0"/>
          <w:numId w:val="42"/>
        </w:numPr>
        <w:ind w:left="567" w:hanging="567"/>
      </w:pPr>
      <w:r w:rsidRPr="00882AF5">
        <w:t xml:space="preserve">Kas ir </w:t>
      </w:r>
      <w:r w:rsidR="007F7E08" w:rsidRPr="00882AF5">
        <w:t xml:space="preserve">Stoboclo </w:t>
      </w:r>
      <w:r w:rsidRPr="00882AF5">
        <w:t>un kādam nolūkam to lieto</w:t>
      </w:r>
    </w:p>
    <w:p w14:paraId="6EC81F97" w14:textId="450A50B5" w:rsidR="00382BC2" w:rsidRPr="00882AF5" w:rsidRDefault="00382BC2" w:rsidP="00F51F12">
      <w:pPr>
        <w:numPr>
          <w:ilvl w:val="0"/>
          <w:numId w:val="42"/>
        </w:numPr>
        <w:ind w:left="567" w:hanging="567"/>
      </w:pPr>
      <w:r w:rsidRPr="00882AF5">
        <w:t xml:space="preserve">Kas Jums jāzina pirms </w:t>
      </w:r>
      <w:r w:rsidR="007F7E08" w:rsidRPr="00882AF5">
        <w:t xml:space="preserve">Stoboclo </w:t>
      </w:r>
      <w:r w:rsidRPr="00882AF5">
        <w:t>lietošanas</w:t>
      </w:r>
    </w:p>
    <w:p w14:paraId="0E70D35A" w14:textId="37C6FCEE" w:rsidR="00382BC2" w:rsidRPr="00882AF5" w:rsidRDefault="00382BC2" w:rsidP="00F51F12">
      <w:pPr>
        <w:numPr>
          <w:ilvl w:val="0"/>
          <w:numId w:val="42"/>
        </w:numPr>
        <w:ind w:left="567" w:hanging="567"/>
      </w:pPr>
      <w:r w:rsidRPr="00882AF5">
        <w:t xml:space="preserve">Kā lietot </w:t>
      </w:r>
      <w:r w:rsidR="007F7E08" w:rsidRPr="00882AF5">
        <w:t>Stoboclo</w:t>
      </w:r>
    </w:p>
    <w:p w14:paraId="1968E1F7" w14:textId="77777777" w:rsidR="00382BC2" w:rsidRPr="00882AF5" w:rsidRDefault="00382BC2" w:rsidP="00F51F12">
      <w:pPr>
        <w:numPr>
          <w:ilvl w:val="0"/>
          <w:numId w:val="42"/>
        </w:numPr>
        <w:ind w:left="567" w:hanging="567"/>
      </w:pPr>
      <w:r w:rsidRPr="00882AF5">
        <w:t>Iespējamās blakusparādības</w:t>
      </w:r>
    </w:p>
    <w:p w14:paraId="67B17208" w14:textId="67E213BF" w:rsidR="00382BC2" w:rsidRPr="00882AF5" w:rsidRDefault="00382BC2" w:rsidP="00F51F12">
      <w:pPr>
        <w:numPr>
          <w:ilvl w:val="0"/>
          <w:numId w:val="42"/>
        </w:numPr>
        <w:ind w:left="567" w:hanging="567"/>
      </w:pPr>
      <w:r w:rsidRPr="00882AF5">
        <w:t xml:space="preserve">Kā uzglabāt </w:t>
      </w:r>
      <w:r w:rsidR="007F7E08" w:rsidRPr="00882AF5">
        <w:t>Stoboclo</w:t>
      </w:r>
    </w:p>
    <w:p w14:paraId="1D708AAE" w14:textId="77777777" w:rsidR="00382BC2" w:rsidRPr="00882AF5" w:rsidRDefault="00382BC2" w:rsidP="00F51F12">
      <w:pPr>
        <w:numPr>
          <w:ilvl w:val="0"/>
          <w:numId w:val="42"/>
        </w:numPr>
        <w:ind w:left="567" w:hanging="567"/>
      </w:pPr>
      <w:r w:rsidRPr="00882AF5">
        <w:t>Iepakojuma saturs un cita informācija</w:t>
      </w:r>
    </w:p>
    <w:p w14:paraId="0184ECA9" w14:textId="77777777" w:rsidR="00382BC2" w:rsidRPr="00882AF5" w:rsidRDefault="00382BC2" w:rsidP="008B4ED7">
      <w:pPr>
        <w:numPr>
          <w:ilvl w:val="12"/>
          <w:numId w:val="0"/>
        </w:numPr>
      </w:pPr>
    </w:p>
    <w:p w14:paraId="6377D2C1" w14:textId="77777777" w:rsidR="00513F9D" w:rsidRPr="00882AF5" w:rsidRDefault="00513F9D" w:rsidP="008B4ED7">
      <w:pPr>
        <w:numPr>
          <w:ilvl w:val="12"/>
          <w:numId w:val="0"/>
        </w:numPr>
      </w:pPr>
    </w:p>
    <w:p w14:paraId="06DD1B45" w14:textId="671C65B2" w:rsidR="00382BC2" w:rsidRPr="00882AF5" w:rsidRDefault="00556CD9" w:rsidP="008B4ED7">
      <w:pPr>
        <w:keepNext/>
        <w:tabs>
          <w:tab w:val="clear" w:pos="567"/>
        </w:tabs>
        <w:ind w:left="567" w:hanging="567"/>
        <w:rPr>
          <w:b/>
        </w:rPr>
      </w:pPr>
      <w:r w:rsidRPr="00882AF5">
        <w:rPr>
          <w:b/>
        </w:rPr>
        <w:t>1.</w:t>
      </w:r>
      <w:r w:rsidRPr="00882AF5">
        <w:rPr>
          <w:b/>
        </w:rPr>
        <w:tab/>
        <w:t xml:space="preserve">Kas ir </w:t>
      </w:r>
      <w:r w:rsidR="007F7E08" w:rsidRPr="00882AF5">
        <w:rPr>
          <w:b/>
        </w:rPr>
        <w:t xml:space="preserve">Stoboclo </w:t>
      </w:r>
      <w:r w:rsidRPr="00882AF5">
        <w:rPr>
          <w:b/>
        </w:rPr>
        <w:t>un kādam nolūkam to lieto</w:t>
      </w:r>
    </w:p>
    <w:p w14:paraId="6B6BED3F" w14:textId="77777777" w:rsidR="00382BC2" w:rsidRPr="00882AF5" w:rsidRDefault="00382BC2" w:rsidP="008B4ED7">
      <w:pPr>
        <w:keepNext/>
      </w:pPr>
    </w:p>
    <w:p w14:paraId="26797928" w14:textId="4776394D" w:rsidR="00382BC2" w:rsidRPr="00882AF5" w:rsidRDefault="00382BC2" w:rsidP="00F51F12">
      <w:pPr>
        <w:keepNext/>
        <w:rPr>
          <w:b/>
          <w:bCs/>
        </w:rPr>
      </w:pPr>
      <w:r w:rsidRPr="00882AF5">
        <w:rPr>
          <w:b/>
        </w:rPr>
        <w:t xml:space="preserve">Kas ir </w:t>
      </w:r>
      <w:r w:rsidR="007F7E08" w:rsidRPr="00882AF5">
        <w:rPr>
          <w:b/>
        </w:rPr>
        <w:t xml:space="preserve">Stoboclo </w:t>
      </w:r>
      <w:r w:rsidRPr="00882AF5">
        <w:rPr>
          <w:b/>
        </w:rPr>
        <w:t>un kā tā darbojas</w:t>
      </w:r>
    </w:p>
    <w:p w14:paraId="1D29C355" w14:textId="77777777" w:rsidR="00382BC2" w:rsidRPr="00882AF5" w:rsidRDefault="00382BC2" w:rsidP="008B4ED7">
      <w:pPr>
        <w:keepNext/>
      </w:pPr>
    </w:p>
    <w:p w14:paraId="66375883" w14:textId="2992C405" w:rsidR="008603DE" w:rsidRPr="00882AF5" w:rsidRDefault="007F7E08" w:rsidP="008B4ED7">
      <w:pPr>
        <w:tabs>
          <w:tab w:val="clear" w:pos="567"/>
        </w:tabs>
      </w:pPr>
      <w:r w:rsidRPr="00882AF5">
        <w:t xml:space="preserve">Stoboclo </w:t>
      </w:r>
      <w:r w:rsidR="00382BC2" w:rsidRPr="00882AF5">
        <w:t xml:space="preserve">satur </w:t>
      </w:r>
      <w:r w:rsidR="00417EC9">
        <w:t>denozumab</w:t>
      </w:r>
      <w:r w:rsidR="00382BC2" w:rsidRPr="00882AF5">
        <w:t xml:space="preserve">u </w:t>
      </w:r>
      <w:r w:rsidR="009F534B">
        <w:t>—</w:t>
      </w:r>
      <w:r w:rsidR="00382BC2" w:rsidRPr="00882AF5">
        <w:t xml:space="preserve"> proteīnu (monoklonāl</w:t>
      </w:r>
      <w:r w:rsidR="009F534B">
        <w:t>u</w:t>
      </w:r>
      <w:r w:rsidR="00382BC2" w:rsidRPr="00882AF5">
        <w:t xml:space="preserve"> antiviel</w:t>
      </w:r>
      <w:r w:rsidR="009F534B">
        <w:t>u</w:t>
      </w:r>
      <w:r w:rsidR="00382BC2" w:rsidRPr="00882AF5">
        <w:t xml:space="preserve">), kas kavē citu proteīnu darbību, lai ārstētu kaulaudu zudumu un osteoporozi. Ārstēšana ar </w:t>
      </w:r>
      <w:r w:rsidRPr="00882AF5">
        <w:t xml:space="preserve">Stoboclo </w:t>
      </w:r>
      <w:r w:rsidR="00382BC2" w:rsidRPr="00882AF5">
        <w:t>padara kaulus stiprākus un</w:t>
      </w:r>
      <w:r w:rsidR="00470598">
        <w:t xml:space="preserve"> samazina to lūšanas </w:t>
      </w:r>
      <w:r w:rsidR="00363596">
        <w:t>risku</w:t>
      </w:r>
      <w:r w:rsidR="00382BC2" w:rsidRPr="00882AF5">
        <w:t>.</w:t>
      </w:r>
    </w:p>
    <w:p w14:paraId="744B821D" w14:textId="77777777" w:rsidR="00382BC2" w:rsidRPr="00882AF5" w:rsidRDefault="00382BC2" w:rsidP="008B4ED7">
      <w:pPr>
        <w:tabs>
          <w:tab w:val="clear" w:pos="567"/>
        </w:tabs>
      </w:pPr>
    </w:p>
    <w:p w14:paraId="0FCB7B4A" w14:textId="77777777" w:rsidR="00382BC2" w:rsidRPr="00882AF5" w:rsidRDefault="00382BC2" w:rsidP="008B4ED7">
      <w:pPr>
        <w:tabs>
          <w:tab w:val="clear" w:pos="567"/>
        </w:tabs>
      </w:pPr>
      <w:r w:rsidRPr="00882AF5">
        <w:t>Kauli ir dzīvi audi, kas visu lauku atjaunojas. Estrogēns palīdz uzturēt kaulus stiprus. Pēc menopauzes estrogēnu līmenis strauji samazinās, kā rezultātā kauli kļūst plānāki un trauslāki. Gala rezultātā tas var izraisīt stāvokli, ko sauc par osteoporozi. Osteoporoze var rasties arī vīriešiem vairāku cēloņu dēļ, ieskaitot novecošanu un/vai vīriešu hormona, testosterona, zemu līmeni. Tā var rasties arī pacientiem, kuri saņem glikokortikosteroīdus. Daudziem pacientiem ar osteoporozi nav simptomu, bet viņiem pastāv kaulu lūzumu risks, galvenokārt mugurkaula, gūžas kaula un plaukstas locītavas.</w:t>
      </w:r>
    </w:p>
    <w:p w14:paraId="0C4576F7" w14:textId="77777777" w:rsidR="00382BC2" w:rsidRPr="00882AF5" w:rsidRDefault="00382BC2" w:rsidP="008B4ED7">
      <w:pPr>
        <w:tabs>
          <w:tab w:val="clear" w:pos="567"/>
        </w:tabs>
      </w:pPr>
    </w:p>
    <w:p w14:paraId="5FF1943B" w14:textId="77777777" w:rsidR="0083571E" w:rsidRPr="00882AF5" w:rsidRDefault="00382BC2" w:rsidP="008B4ED7">
      <w:pPr>
        <w:tabs>
          <w:tab w:val="clear" w:pos="567"/>
        </w:tabs>
      </w:pPr>
      <w:r w:rsidRPr="00882AF5">
        <w:t>Ķirurģiskas operācijas vai zāles, kas pārtrauc estrogēna vai testosterona veidošanos (lieto, lai ārstētu pacientus ar krūts vai prostatas vēzi), arī var izraisīt kaulaudu zudumu. Kauli kļūst vājāki un tie daudz vieglāk lūzt.</w:t>
      </w:r>
    </w:p>
    <w:p w14:paraId="51D0859B" w14:textId="77777777" w:rsidR="00382BC2" w:rsidRPr="00882AF5" w:rsidRDefault="00382BC2" w:rsidP="008B4ED7">
      <w:pPr>
        <w:tabs>
          <w:tab w:val="clear" w:pos="567"/>
        </w:tabs>
      </w:pPr>
    </w:p>
    <w:p w14:paraId="47A273E9" w14:textId="24C17FE3" w:rsidR="00382BC2" w:rsidRPr="00882AF5" w:rsidRDefault="00382BC2" w:rsidP="00F51F12">
      <w:pPr>
        <w:keepNext/>
        <w:tabs>
          <w:tab w:val="clear" w:pos="567"/>
        </w:tabs>
        <w:rPr>
          <w:b/>
          <w:bCs/>
        </w:rPr>
      </w:pPr>
      <w:r w:rsidRPr="00882AF5">
        <w:rPr>
          <w:b/>
        </w:rPr>
        <w:t xml:space="preserve">Kādā nolūkā lieto </w:t>
      </w:r>
      <w:r w:rsidR="00A55FA8" w:rsidRPr="00882AF5">
        <w:rPr>
          <w:b/>
        </w:rPr>
        <w:t>Stoboclo</w:t>
      </w:r>
    </w:p>
    <w:p w14:paraId="3E457B00" w14:textId="77777777" w:rsidR="00382BC2" w:rsidRPr="00882AF5" w:rsidRDefault="00382BC2" w:rsidP="008B4ED7">
      <w:pPr>
        <w:keepNext/>
      </w:pPr>
    </w:p>
    <w:p w14:paraId="0A8C822D" w14:textId="2E53E37C" w:rsidR="008603DE" w:rsidRPr="00882AF5" w:rsidRDefault="00A55FA8" w:rsidP="00F51F12">
      <w:pPr>
        <w:keepNext/>
        <w:tabs>
          <w:tab w:val="clear" w:pos="567"/>
        </w:tabs>
      </w:pPr>
      <w:r w:rsidRPr="00882AF5">
        <w:t xml:space="preserve">Stoboclo </w:t>
      </w:r>
      <w:r w:rsidR="00382BC2" w:rsidRPr="00882AF5">
        <w:t>lieto, lai ārstētu:</w:t>
      </w:r>
    </w:p>
    <w:p w14:paraId="4B6A9D49" w14:textId="77777777" w:rsidR="00382BC2" w:rsidRPr="00882AF5" w:rsidRDefault="00382BC2" w:rsidP="008B4ED7">
      <w:pPr>
        <w:numPr>
          <w:ilvl w:val="0"/>
          <w:numId w:val="54"/>
        </w:numPr>
        <w:tabs>
          <w:tab w:val="clear" w:pos="567"/>
        </w:tabs>
        <w:ind w:left="567" w:hanging="567"/>
      </w:pPr>
      <w:r w:rsidRPr="00882AF5">
        <w:t>osteoporozi sievietēm pēcmenopauzes vecumā (pēcmenopauzes osteoporoze) un vīriešiem ar paaugstinātu lūzumu (kaulu lūzumu) risku, lai samazinātu mugurkaula, nemugurkaula un gūžas kaula lūzumu risku;</w:t>
      </w:r>
    </w:p>
    <w:p w14:paraId="5420E86A" w14:textId="634AD27A" w:rsidR="008603DE" w:rsidRPr="00882AF5" w:rsidRDefault="00382BC2" w:rsidP="008B4ED7">
      <w:pPr>
        <w:numPr>
          <w:ilvl w:val="0"/>
          <w:numId w:val="54"/>
        </w:numPr>
        <w:tabs>
          <w:tab w:val="clear" w:pos="567"/>
        </w:tabs>
        <w:ind w:left="567" w:hanging="567"/>
      </w:pPr>
      <w:r w:rsidRPr="00882AF5">
        <w:t>kaulaudu zudumu pacientiem ar prostatas vēzi, kas rodas</w:t>
      </w:r>
      <w:r w:rsidR="00B13E7C" w:rsidRPr="00882AF5">
        <w:t>,</w:t>
      </w:r>
      <w:r w:rsidRPr="00882AF5">
        <w:t xml:space="preserve"> samazinoties hormonu (testosterona) līmenim pēc ķirurģiskas operācijas vai ārstēšanas ar zālēm</w:t>
      </w:r>
      <w:r w:rsidR="00B13E7C" w:rsidRPr="00882AF5">
        <w:t>;</w:t>
      </w:r>
    </w:p>
    <w:p w14:paraId="0D80FDC2" w14:textId="77777777" w:rsidR="008603DE" w:rsidRPr="00882AF5" w:rsidRDefault="0081033D" w:rsidP="008B4ED7">
      <w:pPr>
        <w:numPr>
          <w:ilvl w:val="0"/>
          <w:numId w:val="54"/>
        </w:numPr>
        <w:tabs>
          <w:tab w:val="clear" w:pos="567"/>
        </w:tabs>
        <w:ind w:left="567" w:hanging="567"/>
      </w:pPr>
      <w:r w:rsidRPr="00882AF5">
        <w:t>kaulaudu zudumu, kas pacientiem ar paaugstinātu lūzuma risku veidojies pēc ilgtermiņa ārstēšanas ar glikokortikoīdiem.</w:t>
      </w:r>
    </w:p>
    <w:p w14:paraId="2893A763" w14:textId="77777777" w:rsidR="00382BC2" w:rsidRPr="00882AF5" w:rsidRDefault="00382BC2" w:rsidP="008B4ED7">
      <w:pPr>
        <w:numPr>
          <w:ilvl w:val="12"/>
          <w:numId w:val="0"/>
        </w:numPr>
      </w:pPr>
    </w:p>
    <w:p w14:paraId="43894560" w14:textId="77777777" w:rsidR="00382BC2" w:rsidRPr="00882AF5" w:rsidRDefault="00382BC2" w:rsidP="008B4ED7">
      <w:pPr>
        <w:numPr>
          <w:ilvl w:val="12"/>
          <w:numId w:val="0"/>
        </w:numPr>
      </w:pPr>
    </w:p>
    <w:p w14:paraId="04374780" w14:textId="487988A2" w:rsidR="008603DE" w:rsidRPr="00882AF5" w:rsidRDefault="00382BC2" w:rsidP="008B4ED7">
      <w:pPr>
        <w:keepNext/>
        <w:tabs>
          <w:tab w:val="clear" w:pos="567"/>
        </w:tabs>
        <w:ind w:left="567" w:hanging="567"/>
        <w:rPr>
          <w:b/>
        </w:rPr>
      </w:pPr>
      <w:r w:rsidRPr="00882AF5">
        <w:rPr>
          <w:b/>
        </w:rPr>
        <w:t>2.</w:t>
      </w:r>
      <w:r w:rsidRPr="00882AF5">
        <w:rPr>
          <w:b/>
        </w:rPr>
        <w:tab/>
        <w:t xml:space="preserve">Kas Jums jāzina pirms </w:t>
      </w:r>
      <w:r w:rsidR="00B13E7C" w:rsidRPr="00882AF5">
        <w:rPr>
          <w:b/>
        </w:rPr>
        <w:t xml:space="preserve">Stoboclo </w:t>
      </w:r>
      <w:r w:rsidRPr="00882AF5">
        <w:rPr>
          <w:b/>
        </w:rPr>
        <w:t>lietošanas</w:t>
      </w:r>
    </w:p>
    <w:p w14:paraId="57BEA1E3" w14:textId="77777777" w:rsidR="00A8252F" w:rsidRPr="00882AF5" w:rsidRDefault="00A8252F" w:rsidP="008B4ED7">
      <w:pPr>
        <w:keepNext/>
      </w:pPr>
    </w:p>
    <w:p w14:paraId="475557A2" w14:textId="797B816B" w:rsidR="00382BC2" w:rsidRPr="00882AF5" w:rsidRDefault="00382BC2" w:rsidP="00F51F12">
      <w:pPr>
        <w:keepNext/>
        <w:tabs>
          <w:tab w:val="clear" w:pos="567"/>
        </w:tabs>
        <w:rPr>
          <w:b/>
          <w:bCs/>
        </w:rPr>
      </w:pPr>
      <w:r w:rsidRPr="00882AF5">
        <w:rPr>
          <w:b/>
        </w:rPr>
        <w:t xml:space="preserve">Nelietojiet </w:t>
      </w:r>
      <w:r w:rsidR="00B13E7C" w:rsidRPr="00882AF5">
        <w:rPr>
          <w:b/>
        </w:rPr>
        <w:t xml:space="preserve">Stoboclo </w:t>
      </w:r>
      <w:r w:rsidRPr="00882AF5">
        <w:rPr>
          <w:b/>
        </w:rPr>
        <w:t>šādos gadījumos</w:t>
      </w:r>
    </w:p>
    <w:p w14:paraId="300FB759" w14:textId="77777777" w:rsidR="00382BC2" w:rsidRPr="00882AF5" w:rsidRDefault="00382BC2" w:rsidP="008B4ED7">
      <w:pPr>
        <w:keepNext/>
      </w:pPr>
    </w:p>
    <w:p w14:paraId="65F98E79" w14:textId="77777777" w:rsidR="00382BC2" w:rsidRPr="00882AF5" w:rsidRDefault="00382BC2" w:rsidP="008B4ED7">
      <w:pPr>
        <w:numPr>
          <w:ilvl w:val="0"/>
          <w:numId w:val="54"/>
        </w:numPr>
        <w:tabs>
          <w:tab w:val="clear" w:pos="567"/>
        </w:tabs>
        <w:ind w:left="567" w:hanging="567"/>
      </w:pPr>
      <w:r w:rsidRPr="00882AF5">
        <w:t>ja Jums ir zems kalcija līmenis asinīs (hipokalciēmija);</w:t>
      </w:r>
    </w:p>
    <w:p w14:paraId="31DB9A30" w14:textId="7E76BB5F" w:rsidR="00382BC2" w:rsidRPr="00882AF5" w:rsidRDefault="00382BC2" w:rsidP="008B4ED7">
      <w:pPr>
        <w:numPr>
          <w:ilvl w:val="0"/>
          <w:numId w:val="54"/>
        </w:numPr>
        <w:tabs>
          <w:tab w:val="clear" w:pos="567"/>
        </w:tabs>
        <w:ind w:left="567" w:hanging="567"/>
      </w:pPr>
      <w:r w:rsidRPr="00882AF5">
        <w:t xml:space="preserve">ja Jums ir alerģija pret </w:t>
      </w:r>
      <w:r w:rsidR="00417EC9">
        <w:t>denozumab</w:t>
      </w:r>
      <w:r w:rsidRPr="00882AF5">
        <w:t>u vai kādu citu (6. punktā minēto) šo zāļu sastāvdaļu.</w:t>
      </w:r>
    </w:p>
    <w:p w14:paraId="50B7024C" w14:textId="77777777" w:rsidR="00382BC2" w:rsidRPr="00882AF5" w:rsidRDefault="00382BC2" w:rsidP="008B4ED7">
      <w:pPr>
        <w:numPr>
          <w:ilvl w:val="12"/>
          <w:numId w:val="0"/>
        </w:numPr>
        <w:ind w:right="-2"/>
      </w:pPr>
    </w:p>
    <w:p w14:paraId="17DFF5CE" w14:textId="77777777" w:rsidR="00382BC2" w:rsidRPr="00882AF5" w:rsidRDefault="00382BC2" w:rsidP="00F51F12">
      <w:pPr>
        <w:keepNext/>
        <w:tabs>
          <w:tab w:val="clear" w:pos="567"/>
        </w:tabs>
        <w:rPr>
          <w:b/>
          <w:bCs/>
        </w:rPr>
      </w:pPr>
      <w:r w:rsidRPr="00882AF5">
        <w:rPr>
          <w:b/>
        </w:rPr>
        <w:t>Brīdinājumi un piesardzība lietošanā</w:t>
      </w:r>
    </w:p>
    <w:p w14:paraId="05E58B4C" w14:textId="77777777" w:rsidR="00382BC2" w:rsidRPr="00882AF5" w:rsidRDefault="00382BC2" w:rsidP="008B4ED7">
      <w:pPr>
        <w:keepNext/>
      </w:pPr>
    </w:p>
    <w:p w14:paraId="521DA392" w14:textId="1220EC85" w:rsidR="008603DE" w:rsidRPr="00882AF5" w:rsidRDefault="00382BC2" w:rsidP="008B4ED7">
      <w:pPr>
        <w:tabs>
          <w:tab w:val="clear" w:pos="567"/>
        </w:tabs>
      </w:pPr>
      <w:r w:rsidRPr="00882AF5">
        <w:t xml:space="preserve">Pirms </w:t>
      </w:r>
      <w:r w:rsidR="00B13E7C" w:rsidRPr="00882AF5">
        <w:t xml:space="preserve">Stoboclo </w:t>
      </w:r>
      <w:r w:rsidRPr="00882AF5">
        <w:t>lietošanas konsultējieties ar ārstu vai farmaceitu.</w:t>
      </w:r>
    </w:p>
    <w:p w14:paraId="56190462" w14:textId="77777777" w:rsidR="00382BC2" w:rsidRPr="00882AF5" w:rsidRDefault="00382BC2" w:rsidP="008B4ED7">
      <w:pPr>
        <w:tabs>
          <w:tab w:val="clear" w:pos="567"/>
        </w:tabs>
      </w:pPr>
    </w:p>
    <w:p w14:paraId="18CA1678" w14:textId="141E6D88" w:rsidR="00382BC2" w:rsidRPr="00882AF5" w:rsidRDefault="00D0743B" w:rsidP="008B4ED7">
      <w:pPr>
        <w:tabs>
          <w:tab w:val="clear" w:pos="567"/>
        </w:tabs>
      </w:pPr>
      <w:r w:rsidRPr="00882AF5">
        <w:t xml:space="preserve">Ārstēšanas ar </w:t>
      </w:r>
      <w:r w:rsidR="00B13E7C" w:rsidRPr="00882AF5">
        <w:t xml:space="preserve">Stoboclo </w:t>
      </w:r>
      <w:r w:rsidRPr="00882AF5">
        <w:t>laikā Jums var attīstīties ādas infekcija ar tādiem simptomiem kā pietūkuši, sarkani laukumi uz ādas, visbiežāk kāju lejasdaļā, kas ir karsti un jutīgi (celulīts), un, iespējams, kopā ar drudža simptomiem. Lūdzu, nekavējoties izstāstiet ārstam, ja Jums attīstās kāds no šiem simptomiem.</w:t>
      </w:r>
    </w:p>
    <w:p w14:paraId="1DD31A89" w14:textId="77777777" w:rsidR="00382BC2" w:rsidRPr="00882AF5" w:rsidRDefault="00382BC2" w:rsidP="008B4ED7">
      <w:pPr>
        <w:tabs>
          <w:tab w:val="clear" w:pos="567"/>
        </w:tabs>
      </w:pPr>
    </w:p>
    <w:p w14:paraId="46ADAC32" w14:textId="6E5CAB42" w:rsidR="00420B9A" w:rsidRPr="00882AF5" w:rsidRDefault="00420B9A" w:rsidP="008B4ED7">
      <w:pPr>
        <w:tabs>
          <w:tab w:val="clear" w:pos="567"/>
        </w:tabs>
      </w:pPr>
      <w:r w:rsidRPr="00882AF5">
        <w:t xml:space="preserve">Ārstēšanas ar </w:t>
      </w:r>
      <w:r w:rsidR="00B13E7C" w:rsidRPr="00882AF5">
        <w:t xml:space="preserve">Stoboclo </w:t>
      </w:r>
      <w:r w:rsidRPr="00882AF5">
        <w:t>laikā Jums papildus jālieto arī kalcijs un D vitamīns. Ārsts to apspriedīs ar Jums.</w:t>
      </w:r>
    </w:p>
    <w:p w14:paraId="0FB3DD5F" w14:textId="77777777" w:rsidR="00420B9A" w:rsidRPr="00882AF5" w:rsidRDefault="00420B9A" w:rsidP="008B4ED7">
      <w:pPr>
        <w:tabs>
          <w:tab w:val="clear" w:pos="567"/>
        </w:tabs>
      </w:pPr>
    </w:p>
    <w:p w14:paraId="02404BE0" w14:textId="7422ED4C" w:rsidR="00420B9A" w:rsidRPr="00882AF5" w:rsidRDefault="00B13E7C" w:rsidP="008B4ED7">
      <w:pPr>
        <w:tabs>
          <w:tab w:val="clear" w:pos="567"/>
        </w:tabs>
      </w:pPr>
      <w:r w:rsidRPr="00882AF5">
        <w:t xml:space="preserve">Stoboclo </w:t>
      </w:r>
      <w:r w:rsidR="00D0743B" w:rsidRPr="00882AF5">
        <w:t>lietošanas laikā Jums var būt zems kalcija līmenis asinīs. Lūdzu, nekavējoties izstāstiet ārstam, ja pamanāt kādu no šādiem simptomiem: spazmas, muskuļu raustīšanos vai krampjus un/vai nejutīgumu vai tirpšanu roku un kāju pirkstos vai ap muti, un/vai lēkmes, apjukumu vai samaņas zudumu.</w:t>
      </w:r>
    </w:p>
    <w:p w14:paraId="77AB72FD" w14:textId="77777777" w:rsidR="00420B9A" w:rsidRPr="00882AF5" w:rsidRDefault="00420B9A" w:rsidP="008B4ED7">
      <w:pPr>
        <w:tabs>
          <w:tab w:val="clear" w:pos="567"/>
        </w:tabs>
      </w:pPr>
    </w:p>
    <w:p w14:paraId="207A014E" w14:textId="5784E7FB" w:rsidR="004030F8" w:rsidRPr="00882AF5" w:rsidRDefault="004030F8" w:rsidP="004030F8">
      <w:pPr>
        <w:tabs>
          <w:tab w:val="clear" w:pos="567"/>
        </w:tabs>
      </w:pPr>
      <w:r w:rsidRPr="00882AF5">
        <w:t xml:space="preserve">Retos gadījumos ir ziņots par </w:t>
      </w:r>
      <w:r w:rsidR="00782C0E" w:rsidRPr="00882AF5">
        <w:t>izteikt</w:t>
      </w:r>
      <w:r w:rsidR="00640DBC" w:rsidRPr="00882AF5">
        <w:t>i</w:t>
      </w:r>
      <w:r w:rsidR="00C7626F" w:rsidRPr="00882AF5">
        <w:t xml:space="preserve"> </w:t>
      </w:r>
      <w:r w:rsidRPr="00882AF5">
        <w:t xml:space="preserve">zemu kalcija līmeni asinīs, kura dēļ </w:t>
      </w:r>
      <w:r w:rsidR="00782C0E" w:rsidRPr="00882AF5">
        <w:t xml:space="preserve">bija nepieciešama </w:t>
      </w:r>
      <w:r w:rsidRPr="00882AF5">
        <w:t xml:space="preserve">hospitalizācija un </w:t>
      </w:r>
      <w:r w:rsidR="00782C0E" w:rsidRPr="00882AF5">
        <w:t xml:space="preserve">radās </w:t>
      </w:r>
      <w:r w:rsidRPr="00882AF5">
        <w:t>pat dzīvībai bīstamas reakcijas. Pirms katras devas un pacientiem, kuri</w:t>
      </w:r>
      <w:r w:rsidR="00782C0E" w:rsidRPr="00882AF5">
        <w:t>em</w:t>
      </w:r>
      <w:r w:rsidRPr="00882AF5">
        <w:t xml:space="preserve"> ir </w:t>
      </w:r>
      <w:r w:rsidR="00782C0E" w:rsidRPr="00882AF5">
        <w:t xml:space="preserve">nosliece uz </w:t>
      </w:r>
      <w:r w:rsidRPr="00882AF5">
        <w:t>hipokalciēmij</w:t>
      </w:r>
      <w:r w:rsidR="00782C0E" w:rsidRPr="00882AF5">
        <w:t>u</w:t>
      </w:r>
      <w:r w:rsidRPr="00882AF5">
        <w:t xml:space="preserve">, divu nedēļu laikā pēc sākotnējās devas saņemšanas </w:t>
      </w:r>
      <w:r w:rsidR="00782C0E" w:rsidRPr="00882AF5">
        <w:t>nepieciešams noteikt</w:t>
      </w:r>
      <w:r w:rsidR="00782C0E" w:rsidRPr="00882AF5" w:rsidDel="00782C0E">
        <w:t xml:space="preserve"> </w:t>
      </w:r>
      <w:r w:rsidRPr="00882AF5">
        <w:t xml:space="preserve">kalcija līmeni asinīs (veicot asins </w:t>
      </w:r>
      <w:r w:rsidR="00782C0E" w:rsidRPr="00882AF5">
        <w:t>analīzes</w:t>
      </w:r>
      <w:r w:rsidRPr="00882AF5">
        <w:t>).</w:t>
      </w:r>
    </w:p>
    <w:p w14:paraId="4D481542" w14:textId="77777777" w:rsidR="00382D81" w:rsidRPr="00882AF5" w:rsidRDefault="00382D81" w:rsidP="008B4ED7">
      <w:pPr>
        <w:tabs>
          <w:tab w:val="clear" w:pos="567"/>
        </w:tabs>
      </w:pPr>
    </w:p>
    <w:p w14:paraId="076750F9" w14:textId="5BAF19DD" w:rsidR="008603DE" w:rsidRPr="00882AF5" w:rsidRDefault="00CD0319" w:rsidP="008B4ED7">
      <w:pPr>
        <w:tabs>
          <w:tab w:val="clear" w:pos="567"/>
        </w:tabs>
      </w:pPr>
      <w:r w:rsidRPr="00882AF5">
        <w:t>Pastāstiet ārstam, ja Jums ir vai kādreiz ir bijuši smagi nieru darbības traucējumi, nieru mazspēja</w:t>
      </w:r>
      <w:r w:rsidR="00956243" w:rsidRPr="00882AF5">
        <w:t xml:space="preserve">, ir </w:t>
      </w:r>
      <w:r w:rsidRPr="00882AF5">
        <w:t xml:space="preserve">bijusi nepieciešama hemodialīze vai </w:t>
      </w:r>
      <w:r w:rsidR="00163350" w:rsidRPr="00882AF5">
        <w:t xml:space="preserve">ja </w:t>
      </w:r>
      <w:r w:rsidRPr="00882AF5">
        <w:t>lietojat zāles, ko dēvē par glikokortikoīdiem (piemēram, prednizolonu vai deksametazonu), kas var paaugstināt kalcija līmeņa pazemināšanās risku asinīs, ja nelietojat kalcija uztura bagātinātājus.</w:t>
      </w:r>
    </w:p>
    <w:p w14:paraId="219A0AA5" w14:textId="77777777" w:rsidR="00252372" w:rsidRPr="00882AF5" w:rsidRDefault="00252372" w:rsidP="008B4ED7">
      <w:pPr>
        <w:tabs>
          <w:tab w:val="clear" w:pos="567"/>
        </w:tabs>
      </w:pPr>
    </w:p>
    <w:p w14:paraId="2D971989" w14:textId="77777777" w:rsidR="008603DE" w:rsidRPr="00882AF5" w:rsidRDefault="00782678" w:rsidP="008B4ED7">
      <w:pPr>
        <w:keepNext/>
        <w:rPr>
          <w:u w:val="single"/>
        </w:rPr>
      </w:pPr>
      <w:r w:rsidRPr="00882AF5">
        <w:rPr>
          <w:u w:val="single"/>
        </w:rPr>
        <w:t>Problēmas ar muti, zobiem vai žokli</w:t>
      </w:r>
    </w:p>
    <w:p w14:paraId="18BB5C16" w14:textId="2BFF1743" w:rsidR="0083571E" w:rsidRPr="00882AF5" w:rsidRDefault="0083571E" w:rsidP="008B4ED7">
      <w:pPr>
        <w:tabs>
          <w:tab w:val="clear" w:pos="567"/>
        </w:tabs>
      </w:pPr>
      <w:r w:rsidRPr="00882AF5">
        <w:t xml:space="preserve">Par blakusparādību, ko sauc par žokļa osteonekrozi (ŽON) (kaulu bojājums žoklī), pacientiem, kas lietoja </w:t>
      </w:r>
      <w:r w:rsidR="00417EC9">
        <w:t>denozumab</w:t>
      </w:r>
      <w:r w:rsidR="00163350" w:rsidRPr="00882AF5">
        <w:t xml:space="preserve">u </w:t>
      </w:r>
      <w:r w:rsidRPr="00882AF5">
        <w:t>osteoporozes ārstēšanai, tika ziņots reti (var skart līdz 1 no 1000 cilvēkiem). Pacientiem, kurus ārstē ilgstoši, ŽON risks paaugstinās (var skart līdz 1 no 200 cilvēkiem, ja ārstēti 10 gadus). ŽON var rasties arī pēc ārstēšanas pārtraukšanas.</w:t>
      </w:r>
      <w:r w:rsidR="00782C0E" w:rsidRPr="00882AF5">
        <w:t xml:space="preserve"> </w:t>
      </w:r>
      <w:r w:rsidRPr="00882AF5">
        <w:t>Ir svarīgi mēģināt novērst ŽON attīstību, jo tas var būt grūti ārstējams stāvoklis, kas saistīts ar sāpēm. Lai pazeminātu ŽON attīstības risku, ievērojiet tālāk norādītos piesardzības pasākumus.</w:t>
      </w:r>
    </w:p>
    <w:p w14:paraId="66C87E1F" w14:textId="77777777" w:rsidR="0083571E" w:rsidRPr="00882AF5" w:rsidRDefault="0083571E" w:rsidP="008B4ED7">
      <w:pPr>
        <w:tabs>
          <w:tab w:val="clear" w:pos="567"/>
        </w:tabs>
      </w:pPr>
    </w:p>
    <w:p w14:paraId="349B6C11" w14:textId="77777777" w:rsidR="0083571E" w:rsidRPr="00882AF5" w:rsidRDefault="0083571E" w:rsidP="00F51F12">
      <w:pPr>
        <w:keepNext/>
        <w:tabs>
          <w:tab w:val="clear" w:pos="567"/>
        </w:tabs>
      </w:pPr>
      <w:r w:rsidRPr="00882AF5">
        <w:t>Pirms ārstēšanas pastāstiet ārstam vai medmāsai (veselības aprūpes speciālistam), ja:</w:t>
      </w:r>
    </w:p>
    <w:p w14:paraId="498D84DE" w14:textId="77777777" w:rsidR="0083571E" w:rsidRPr="00882AF5" w:rsidRDefault="0083571E" w:rsidP="00F51F12">
      <w:pPr>
        <w:keepNext/>
        <w:tabs>
          <w:tab w:val="clear" w:pos="567"/>
        </w:tabs>
      </w:pPr>
    </w:p>
    <w:p w14:paraId="552F176F" w14:textId="332817EB" w:rsidR="0083571E" w:rsidRPr="00882AF5" w:rsidRDefault="0083571E" w:rsidP="008B4ED7">
      <w:pPr>
        <w:numPr>
          <w:ilvl w:val="0"/>
          <w:numId w:val="54"/>
        </w:numPr>
        <w:tabs>
          <w:tab w:val="clear" w:pos="567"/>
        </w:tabs>
        <w:ind w:left="567" w:hanging="567"/>
      </w:pPr>
      <w:r w:rsidRPr="00882AF5">
        <w:t xml:space="preserve">Jums ir mutes dobuma vai zobu problēmas, piemēram, slikts zobu </w:t>
      </w:r>
      <w:r w:rsidR="00370B00">
        <w:t xml:space="preserve">veselības </w:t>
      </w:r>
      <w:r w:rsidRPr="00882AF5">
        <w:t>stāvoklis, smaganu slimība vai plānota zoba ekstrakcija;</w:t>
      </w:r>
    </w:p>
    <w:p w14:paraId="0AA2CE8D" w14:textId="2F6D6045" w:rsidR="0083571E" w:rsidRPr="00882AF5" w:rsidRDefault="0083571E" w:rsidP="008B4ED7">
      <w:pPr>
        <w:numPr>
          <w:ilvl w:val="0"/>
          <w:numId w:val="54"/>
        </w:numPr>
        <w:tabs>
          <w:tab w:val="clear" w:pos="567"/>
        </w:tabs>
        <w:ind w:left="567" w:hanging="567"/>
      </w:pPr>
      <w:r w:rsidRPr="00882AF5">
        <w:t xml:space="preserve">nesaņemat regulāru zobu aprūpi vai ilgu laiku Jums nav veikta zobu </w:t>
      </w:r>
      <w:r w:rsidR="00370B00">
        <w:t xml:space="preserve">veselības </w:t>
      </w:r>
      <w:r w:rsidRPr="00882AF5">
        <w:t>pārbaude;</w:t>
      </w:r>
    </w:p>
    <w:p w14:paraId="22DAA6CE" w14:textId="77777777" w:rsidR="0083571E" w:rsidRPr="00882AF5" w:rsidRDefault="0083571E" w:rsidP="008B4ED7">
      <w:pPr>
        <w:numPr>
          <w:ilvl w:val="0"/>
          <w:numId w:val="54"/>
        </w:numPr>
        <w:tabs>
          <w:tab w:val="clear" w:pos="567"/>
        </w:tabs>
        <w:ind w:left="567" w:hanging="567"/>
      </w:pPr>
      <w:r w:rsidRPr="00882AF5">
        <w:t>esat smēķētājs (jo tas var paaugstināt zobu problēmu risku);</w:t>
      </w:r>
    </w:p>
    <w:p w14:paraId="393DED6D" w14:textId="77777777" w:rsidR="0083571E" w:rsidRPr="00882AF5" w:rsidRDefault="0083571E" w:rsidP="008B4ED7">
      <w:pPr>
        <w:numPr>
          <w:ilvl w:val="0"/>
          <w:numId w:val="54"/>
        </w:numPr>
        <w:tabs>
          <w:tab w:val="clear" w:pos="567"/>
        </w:tabs>
        <w:ind w:left="567" w:hanging="567"/>
      </w:pPr>
      <w:r w:rsidRPr="00882AF5">
        <w:t>iepriekš esat ārstēts(-ta) ar bisfosfonātiem (lieto kaulu bojājumu ārstēšanai vai novēršanai);</w:t>
      </w:r>
    </w:p>
    <w:p w14:paraId="17CA381B" w14:textId="7D53304B" w:rsidR="0083571E" w:rsidRPr="00882AF5" w:rsidRDefault="0083571E" w:rsidP="008B4ED7">
      <w:pPr>
        <w:numPr>
          <w:ilvl w:val="0"/>
          <w:numId w:val="54"/>
        </w:numPr>
        <w:tabs>
          <w:tab w:val="clear" w:pos="567"/>
        </w:tabs>
        <w:ind w:left="567" w:hanging="567"/>
      </w:pPr>
      <w:r w:rsidRPr="00882AF5">
        <w:t>lietojat zāles, ko sauc par kortikosteroīdiem (piemēram, prednizolonu vai deksametazonu);</w:t>
      </w:r>
    </w:p>
    <w:p w14:paraId="43D71E8D" w14:textId="25FE3B60" w:rsidR="0083571E" w:rsidRPr="00882AF5" w:rsidRDefault="0083571E" w:rsidP="008B4ED7">
      <w:pPr>
        <w:numPr>
          <w:ilvl w:val="0"/>
          <w:numId w:val="54"/>
        </w:numPr>
        <w:tabs>
          <w:tab w:val="clear" w:pos="567"/>
        </w:tabs>
        <w:ind w:left="567" w:hanging="567"/>
      </w:pPr>
      <w:r w:rsidRPr="00882AF5">
        <w:t>Jums ir vēzis.</w:t>
      </w:r>
    </w:p>
    <w:p w14:paraId="2EBBF0A6" w14:textId="77777777" w:rsidR="0083571E" w:rsidRPr="00882AF5" w:rsidRDefault="0083571E" w:rsidP="008B4ED7">
      <w:pPr>
        <w:tabs>
          <w:tab w:val="clear" w:pos="567"/>
        </w:tabs>
      </w:pPr>
    </w:p>
    <w:p w14:paraId="7B0BD995" w14:textId="3361F51E" w:rsidR="00D5172C" w:rsidRPr="00882AF5" w:rsidRDefault="00D5172C" w:rsidP="008B4ED7">
      <w:pPr>
        <w:tabs>
          <w:tab w:val="clear" w:pos="567"/>
        </w:tabs>
      </w:pPr>
      <w:r w:rsidRPr="00882AF5">
        <w:t xml:space="preserve">Pirms sākat lietot </w:t>
      </w:r>
      <w:r w:rsidR="00956243" w:rsidRPr="00882AF5">
        <w:t>Stoboclo</w:t>
      </w:r>
      <w:r w:rsidRPr="00882AF5">
        <w:t>, ārsts var lūgt Jums pārbaudīt zobu</w:t>
      </w:r>
      <w:r w:rsidR="00370B00">
        <w:t xml:space="preserve"> veselību</w:t>
      </w:r>
      <w:r w:rsidRPr="00882AF5">
        <w:t>.</w:t>
      </w:r>
    </w:p>
    <w:p w14:paraId="10A71BB3" w14:textId="77777777" w:rsidR="00D5172C" w:rsidRPr="00882AF5" w:rsidRDefault="00D5172C" w:rsidP="008B4ED7">
      <w:pPr>
        <w:tabs>
          <w:tab w:val="clear" w:pos="567"/>
        </w:tabs>
      </w:pPr>
    </w:p>
    <w:p w14:paraId="75DE4B29" w14:textId="7EAAB1C6" w:rsidR="002578B0" w:rsidRPr="00882AF5" w:rsidRDefault="0083571E" w:rsidP="008B4ED7">
      <w:pPr>
        <w:tabs>
          <w:tab w:val="clear" w:pos="567"/>
        </w:tabs>
      </w:pPr>
      <w:r w:rsidRPr="00882AF5">
        <w:lastRenderedPageBreak/>
        <w:t xml:space="preserve">Ārstēšanas laikā jāuztur laba mutes </w:t>
      </w:r>
      <w:r w:rsidR="00705B0A">
        <w:t xml:space="preserve">dobuma </w:t>
      </w:r>
      <w:r w:rsidRPr="00882AF5">
        <w:t xml:space="preserve">higiēna un jāveic regulāra zobu pārbaude. Ja Jums ir zobu protēzes, jāpārliecinās, ka tās pieguļ pareizi. Ja Jums tiek ārstēti zobi vai tiek plānots veikt zobu ķirurģisku operāciju (piemēram, zoba ekstrakciju), informējiet par to ārstu un pastāstiet zobārstam, ka tiekat ārstēts ar </w:t>
      </w:r>
      <w:r w:rsidR="00956243" w:rsidRPr="00882AF5">
        <w:t>Stoboclo</w:t>
      </w:r>
      <w:r w:rsidRPr="00882AF5">
        <w:t>.</w:t>
      </w:r>
    </w:p>
    <w:p w14:paraId="6BF65961" w14:textId="77777777" w:rsidR="002578B0" w:rsidRPr="00882AF5" w:rsidRDefault="002578B0" w:rsidP="008B4ED7">
      <w:pPr>
        <w:tabs>
          <w:tab w:val="clear" w:pos="567"/>
        </w:tabs>
      </w:pPr>
    </w:p>
    <w:p w14:paraId="64CFD73F" w14:textId="3EE9E487" w:rsidR="008603DE" w:rsidRPr="00882AF5" w:rsidRDefault="0083571E" w:rsidP="008B4ED7">
      <w:pPr>
        <w:tabs>
          <w:tab w:val="clear" w:pos="567"/>
        </w:tabs>
      </w:pPr>
      <w:r w:rsidRPr="00882AF5">
        <w:t>Nekavējoties sazinieties ar ārstu un zobārstu, ja Jums rodas jebkādas problēmas ar mutes dobumu vai zobiem, piemēram, vaļīgi zobi, sāpes vai pietūkums, vai nedzīstošas čūlas vai izdalījumi,</w:t>
      </w:r>
      <w:r w:rsidR="00956243" w:rsidRPr="00882AF5">
        <w:t xml:space="preserve"> </w:t>
      </w:r>
      <w:r w:rsidRPr="00882AF5">
        <w:t>jo tās var būt ŽON pazīmes.</w:t>
      </w:r>
    </w:p>
    <w:p w14:paraId="14817337" w14:textId="77777777" w:rsidR="00A115D1" w:rsidRPr="00882AF5" w:rsidRDefault="00A115D1" w:rsidP="008B4ED7">
      <w:pPr>
        <w:tabs>
          <w:tab w:val="clear" w:pos="567"/>
        </w:tabs>
      </w:pPr>
    </w:p>
    <w:p w14:paraId="452DCAF7" w14:textId="77777777" w:rsidR="00284A41" w:rsidRPr="00882AF5" w:rsidRDefault="00284A41" w:rsidP="008B4ED7">
      <w:pPr>
        <w:keepNext/>
        <w:rPr>
          <w:u w:val="single"/>
        </w:rPr>
      </w:pPr>
      <w:r w:rsidRPr="00882AF5">
        <w:rPr>
          <w:u w:val="single"/>
        </w:rPr>
        <w:t>Netipiski augšstilba kaula lūzumi</w:t>
      </w:r>
    </w:p>
    <w:p w14:paraId="08D0323C" w14:textId="742C209B" w:rsidR="00284A41" w:rsidRPr="00882AF5" w:rsidRDefault="00284A41" w:rsidP="008B4ED7">
      <w:pPr>
        <w:tabs>
          <w:tab w:val="clear" w:pos="567"/>
        </w:tabs>
      </w:pPr>
      <w:r w:rsidRPr="00882AF5">
        <w:t xml:space="preserve">Dažiem cilvēkiem ārstēšanas laikā ar </w:t>
      </w:r>
      <w:r w:rsidR="00417EC9">
        <w:t>denozumab</w:t>
      </w:r>
      <w:r w:rsidR="00523E46" w:rsidRPr="00882AF5">
        <w:t xml:space="preserve">u </w:t>
      </w:r>
      <w:r w:rsidRPr="00882AF5">
        <w:t>ir attīstījušies netipiski lūzumi augšstilba kaulā. Sazinieties ar ārstu, ja Jums rodas jaunas vai neparastas sāpes gūžā, cirksnī vai augšstilbā.</w:t>
      </w:r>
    </w:p>
    <w:p w14:paraId="3623ECBB" w14:textId="77777777" w:rsidR="00284A41" w:rsidRPr="00882AF5" w:rsidRDefault="00284A41" w:rsidP="008B4ED7">
      <w:pPr>
        <w:tabs>
          <w:tab w:val="clear" w:pos="567"/>
        </w:tabs>
      </w:pPr>
    </w:p>
    <w:p w14:paraId="1B3D9FF9" w14:textId="77777777" w:rsidR="00382BC2" w:rsidRPr="00882AF5" w:rsidRDefault="00382BC2" w:rsidP="00F51F12">
      <w:pPr>
        <w:keepNext/>
        <w:tabs>
          <w:tab w:val="clear" w:pos="567"/>
        </w:tabs>
        <w:rPr>
          <w:b/>
          <w:bCs/>
        </w:rPr>
      </w:pPr>
      <w:r w:rsidRPr="00882AF5">
        <w:rPr>
          <w:b/>
        </w:rPr>
        <w:t>Bērni un pusaudži</w:t>
      </w:r>
    </w:p>
    <w:p w14:paraId="262EC55C" w14:textId="77777777" w:rsidR="00382BC2" w:rsidRPr="00882AF5" w:rsidRDefault="00382BC2" w:rsidP="008B4ED7">
      <w:pPr>
        <w:keepNext/>
      </w:pPr>
    </w:p>
    <w:p w14:paraId="0472D988" w14:textId="68604A31" w:rsidR="00BE67EE" w:rsidRPr="00882AF5" w:rsidRDefault="00523E46" w:rsidP="00BE67EE">
      <w:r w:rsidRPr="00882AF5">
        <w:t xml:space="preserve">Stoboclo </w:t>
      </w:r>
      <w:r w:rsidR="00BE67EE" w:rsidRPr="00882AF5">
        <w:t xml:space="preserve">nedrīkst lietot bērniem un pusaudžiem, kas ir jaunāki par 18 gadiem. </w:t>
      </w:r>
    </w:p>
    <w:p w14:paraId="64F781D2" w14:textId="77777777" w:rsidR="00382BC2" w:rsidRPr="00882AF5" w:rsidRDefault="00382BC2" w:rsidP="008B4ED7"/>
    <w:p w14:paraId="063C4204" w14:textId="510B1C2E" w:rsidR="00382BC2" w:rsidRPr="00882AF5" w:rsidRDefault="00382BC2" w:rsidP="00F51F12">
      <w:pPr>
        <w:keepNext/>
        <w:tabs>
          <w:tab w:val="clear" w:pos="567"/>
        </w:tabs>
        <w:rPr>
          <w:b/>
          <w:bCs/>
        </w:rPr>
      </w:pPr>
      <w:r w:rsidRPr="00882AF5">
        <w:rPr>
          <w:b/>
        </w:rPr>
        <w:t xml:space="preserve">Citas zāles un </w:t>
      </w:r>
      <w:r w:rsidR="00503496" w:rsidRPr="00882AF5">
        <w:rPr>
          <w:b/>
        </w:rPr>
        <w:t>Stoboclo</w:t>
      </w:r>
    </w:p>
    <w:p w14:paraId="50BD3612" w14:textId="77777777" w:rsidR="00382BC2" w:rsidRPr="00882AF5" w:rsidRDefault="00382BC2" w:rsidP="008B4ED7">
      <w:pPr>
        <w:keepNext/>
      </w:pPr>
    </w:p>
    <w:p w14:paraId="05D0273C" w14:textId="5BEBCE25" w:rsidR="00382BC2" w:rsidRPr="00882AF5" w:rsidRDefault="00382BC2" w:rsidP="008B4ED7">
      <w:pPr>
        <w:tabs>
          <w:tab w:val="clear" w:pos="567"/>
        </w:tabs>
      </w:pPr>
      <w:r w:rsidRPr="00882AF5">
        <w:t xml:space="preserve">Pastāstiet ārstam vai farmaceitam par visām zālēm, kuras lietojat, pēdējā laikā esat lietojis vai varētu lietot. Ir īpaši svarīgi, lai Jūs pastāstītu ārstam, ja tiekat ārstēts ar citām </w:t>
      </w:r>
      <w:r w:rsidR="00417EC9">
        <w:t>denozumab</w:t>
      </w:r>
      <w:r w:rsidRPr="00882AF5">
        <w:t>u saturošām zālēm.</w:t>
      </w:r>
    </w:p>
    <w:p w14:paraId="1D7DE258" w14:textId="77777777" w:rsidR="00382BC2" w:rsidRPr="00882AF5" w:rsidRDefault="00382BC2" w:rsidP="008B4ED7">
      <w:pPr>
        <w:tabs>
          <w:tab w:val="clear" w:pos="567"/>
        </w:tabs>
      </w:pPr>
    </w:p>
    <w:p w14:paraId="016110A1" w14:textId="00505AC1" w:rsidR="008603DE" w:rsidRPr="00882AF5" w:rsidRDefault="00382BC2" w:rsidP="008B4ED7">
      <w:pPr>
        <w:tabs>
          <w:tab w:val="clear" w:pos="567"/>
        </w:tabs>
      </w:pPr>
      <w:r w:rsidRPr="00882AF5">
        <w:t xml:space="preserve">Jūs nedrīkstat lietot </w:t>
      </w:r>
      <w:r w:rsidR="00503496" w:rsidRPr="00882AF5">
        <w:t xml:space="preserve">Stoboclo </w:t>
      </w:r>
      <w:r w:rsidRPr="00882AF5">
        <w:t xml:space="preserve">kopā ar citām zālēm, kas satur </w:t>
      </w:r>
      <w:r w:rsidR="00417EC9">
        <w:t>denozumab</w:t>
      </w:r>
      <w:r w:rsidRPr="00882AF5">
        <w:t>u.</w:t>
      </w:r>
    </w:p>
    <w:p w14:paraId="03C7AEFC" w14:textId="77777777" w:rsidR="00382BC2" w:rsidRPr="00882AF5" w:rsidRDefault="00382BC2" w:rsidP="008B4ED7">
      <w:pPr>
        <w:tabs>
          <w:tab w:val="clear" w:pos="567"/>
        </w:tabs>
      </w:pPr>
    </w:p>
    <w:p w14:paraId="1E909965" w14:textId="77777777" w:rsidR="008603DE" w:rsidRPr="00882AF5" w:rsidRDefault="00382BC2" w:rsidP="00F51F12">
      <w:pPr>
        <w:keepNext/>
        <w:tabs>
          <w:tab w:val="clear" w:pos="567"/>
        </w:tabs>
        <w:rPr>
          <w:b/>
          <w:bCs/>
        </w:rPr>
      </w:pPr>
      <w:r w:rsidRPr="00882AF5">
        <w:rPr>
          <w:b/>
        </w:rPr>
        <w:t>Grūtniecība un barošana ar krūti</w:t>
      </w:r>
    </w:p>
    <w:p w14:paraId="2C597E3C" w14:textId="77777777" w:rsidR="00382BC2" w:rsidRPr="00882AF5" w:rsidRDefault="00382BC2" w:rsidP="008B4ED7">
      <w:pPr>
        <w:keepNext/>
      </w:pPr>
    </w:p>
    <w:p w14:paraId="004C8361" w14:textId="59663BA7" w:rsidR="007039B1" w:rsidRPr="00882AF5" w:rsidRDefault="00ED5B41" w:rsidP="008B4ED7">
      <w:pPr>
        <w:tabs>
          <w:tab w:val="clear" w:pos="567"/>
        </w:tabs>
      </w:pPr>
      <w:r w:rsidRPr="00882AF5">
        <w:t xml:space="preserve">Stoboclo </w:t>
      </w:r>
      <w:r w:rsidR="00382BC2" w:rsidRPr="00882AF5">
        <w:t xml:space="preserve">nav pārbaudīta grūtniecēm. Svarīgi ir pastāstīt ārstam, ja Jūs esat grūtniece vai barojat bērnu ar krūti, ja domājat, ka Jums varētu būt grūtniecība vai plānojat grūtniecību. </w:t>
      </w:r>
      <w:r w:rsidRPr="00882AF5">
        <w:t xml:space="preserve">Stoboclo </w:t>
      </w:r>
      <w:r w:rsidR="00382BC2" w:rsidRPr="00882AF5">
        <w:t xml:space="preserve">neiesaka lietot grūtniecības laikā. Sievietēm reproduktīvā vecumā ārstēšanas laikā ar </w:t>
      </w:r>
      <w:r w:rsidRPr="00882AF5">
        <w:t xml:space="preserve">Stoboclo </w:t>
      </w:r>
      <w:r w:rsidR="00382BC2" w:rsidRPr="00882AF5">
        <w:t>un vismaz 5 mēnešus pēc tās jālieto efektīva kontracepcijas metode.</w:t>
      </w:r>
    </w:p>
    <w:p w14:paraId="1258C538" w14:textId="77777777" w:rsidR="00A517BF" w:rsidRPr="00882AF5" w:rsidRDefault="00A517BF" w:rsidP="008B4ED7">
      <w:pPr>
        <w:tabs>
          <w:tab w:val="clear" w:pos="567"/>
        </w:tabs>
      </w:pPr>
    </w:p>
    <w:p w14:paraId="7292AE2D" w14:textId="4951A4BD" w:rsidR="009F71BA" w:rsidRPr="00882AF5" w:rsidRDefault="007039B1" w:rsidP="008B4ED7">
      <w:pPr>
        <w:tabs>
          <w:tab w:val="clear" w:pos="567"/>
        </w:tabs>
      </w:pPr>
      <w:r w:rsidRPr="00882AF5">
        <w:t xml:space="preserve">Ja ārstēšanās ar </w:t>
      </w:r>
      <w:r w:rsidR="00F276A3" w:rsidRPr="00882AF5">
        <w:t xml:space="preserve">Stoboclo </w:t>
      </w:r>
      <w:r w:rsidRPr="00882AF5">
        <w:t xml:space="preserve">laikā vai 5 mēnešu laikā pēc tam, kad ir pārtraukta ārstēšanās ar </w:t>
      </w:r>
      <w:r w:rsidR="00F276A3" w:rsidRPr="00882AF5">
        <w:t>Stoboclo</w:t>
      </w:r>
      <w:r w:rsidRPr="00882AF5">
        <w:t>, Jums iestājas grūtniecība, lūdzu, informējiet savu ārstu.</w:t>
      </w:r>
    </w:p>
    <w:p w14:paraId="0030E716" w14:textId="77777777" w:rsidR="00382BC2" w:rsidRPr="00882AF5" w:rsidRDefault="00382BC2" w:rsidP="008B4ED7">
      <w:pPr>
        <w:tabs>
          <w:tab w:val="clear" w:pos="567"/>
        </w:tabs>
      </w:pPr>
    </w:p>
    <w:p w14:paraId="6F1DE645" w14:textId="25B65483" w:rsidR="008603DE" w:rsidRPr="00882AF5" w:rsidRDefault="00382BC2" w:rsidP="008B4ED7">
      <w:pPr>
        <w:tabs>
          <w:tab w:val="clear" w:pos="567"/>
        </w:tabs>
      </w:pPr>
      <w:r w:rsidRPr="00882AF5">
        <w:t xml:space="preserve">Nav zināms, vai </w:t>
      </w:r>
      <w:r w:rsidR="00417EC9">
        <w:t>denozumab</w:t>
      </w:r>
      <w:r w:rsidR="00F276A3" w:rsidRPr="00882AF5">
        <w:t xml:space="preserve">s </w:t>
      </w:r>
      <w:r w:rsidRPr="00882AF5">
        <w:t xml:space="preserve">izdalās krūts pienā. Svarīgi ir pastāstīt ārstam, ja barojat bērnu ar krūti vai plānojat to darīt. Ņemot vērā ieguvumu no krūts barošanas bērnam un ieguvumu no </w:t>
      </w:r>
      <w:r w:rsidR="00F276A3" w:rsidRPr="00882AF5">
        <w:t xml:space="preserve">Stoboclo </w:t>
      </w:r>
      <w:r w:rsidRPr="00882AF5">
        <w:t xml:space="preserve">lietošanas mātei, ārsts palīdzēs Jums izlemt, vai pārtraukt bērna barošanu ar krūti, vai </w:t>
      </w:r>
      <w:r w:rsidR="00F276A3" w:rsidRPr="00882AF5">
        <w:t xml:space="preserve">arī </w:t>
      </w:r>
      <w:r w:rsidRPr="00882AF5">
        <w:t xml:space="preserve">pārtraukt lietot </w:t>
      </w:r>
      <w:r w:rsidR="00F276A3" w:rsidRPr="00882AF5">
        <w:t>Stoboclo</w:t>
      </w:r>
      <w:r w:rsidRPr="00882AF5">
        <w:t>.</w:t>
      </w:r>
    </w:p>
    <w:p w14:paraId="6917D682" w14:textId="77777777" w:rsidR="009F71BA" w:rsidRPr="00882AF5" w:rsidRDefault="009F71BA" w:rsidP="008B4ED7">
      <w:pPr>
        <w:tabs>
          <w:tab w:val="clear" w:pos="567"/>
        </w:tabs>
      </w:pPr>
    </w:p>
    <w:p w14:paraId="528D219A" w14:textId="4076EAB6" w:rsidR="008603DE" w:rsidRPr="00882AF5" w:rsidRDefault="009F71BA" w:rsidP="008B4ED7">
      <w:pPr>
        <w:tabs>
          <w:tab w:val="clear" w:pos="567"/>
        </w:tabs>
      </w:pPr>
      <w:r w:rsidRPr="00882AF5">
        <w:t xml:space="preserve">Ja ārstēšanās ar </w:t>
      </w:r>
      <w:r w:rsidR="00F276A3" w:rsidRPr="00882AF5">
        <w:t xml:space="preserve">Stoboclo </w:t>
      </w:r>
      <w:r w:rsidRPr="00882AF5">
        <w:t>laikā Jūs barojat bērnu ar krūti, lūdzu, informējiet savu ārstu.</w:t>
      </w:r>
    </w:p>
    <w:p w14:paraId="0B4EEBC3" w14:textId="77777777" w:rsidR="00382BC2" w:rsidRPr="00882AF5" w:rsidRDefault="00382BC2" w:rsidP="008B4ED7">
      <w:pPr>
        <w:tabs>
          <w:tab w:val="clear" w:pos="567"/>
        </w:tabs>
      </w:pPr>
    </w:p>
    <w:p w14:paraId="6DB75102" w14:textId="77777777" w:rsidR="00382BC2" w:rsidRPr="00882AF5" w:rsidRDefault="00382BC2" w:rsidP="008B4ED7">
      <w:pPr>
        <w:tabs>
          <w:tab w:val="clear" w:pos="567"/>
        </w:tabs>
      </w:pPr>
      <w:r w:rsidRPr="00882AF5">
        <w:t>Pirms jebkuru zāļu lietošanas konsultējieties ar ārstu vai farmaceitu.</w:t>
      </w:r>
    </w:p>
    <w:p w14:paraId="2CABAA45" w14:textId="77777777" w:rsidR="00382BC2" w:rsidRPr="00882AF5" w:rsidRDefault="00382BC2" w:rsidP="008B4ED7">
      <w:pPr>
        <w:tabs>
          <w:tab w:val="clear" w:pos="567"/>
        </w:tabs>
      </w:pPr>
    </w:p>
    <w:p w14:paraId="50AFEC50" w14:textId="77777777" w:rsidR="00382BC2" w:rsidRPr="00882AF5" w:rsidRDefault="00382BC2" w:rsidP="00F51F12">
      <w:pPr>
        <w:keepNext/>
        <w:tabs>
          <w:tab w:val="clear" w:pos="567"/>
        </w:tabs>
        <w:rPr>
          <w:b/>
          <w:bCs/>
        </w:rPr>
      </w:pPr>
      <w:r w:rsidRPr="00882AF5">
        <w:rPr>
          <w:b/>
        </w:rPr>
        <w:t>Transportlīdzekļu vadīšana un mehānismu apkalpošana</w:t>
      </w:r>
    </w:p>
    <w:p w14:paraId="08098B56" w14:textId="77777777" w:rsidR="00382BC2" w:rsidRPr="00882AF5" w:rsidRDefault="00382BC2" w:rsidP="008B4ED7">
      <w:pPr>
        <w:keepNext/>
      </w:pPr>
    </w:p>
    <w:p w14:paraId="713326A6" w14:textId="2D170C61" w:rsidR="008603DE" w:rsidRPr="00882AF5" w:rsidRDefault="00F276A3" w:rsidP="008B4ED7">
      <w:pPr>
        <w:tabs>
          <w:tab w:val="clear" w:pos="567"/>
        </w:tabs>
      </w:pPr>
      <w:r w:rsidRPr="00882AF5">
        <w:t xml:space="preserve">Stoboclo </w:t>
      </w:r>
      <w:r w:rsidR="00382BC2" w:rsidRPr="00882AF5">
        <w:t>neietekmē vai nedaudz ietekmē spēju vadīt transportlīdzekļus un apkalpot mehānismus.</w:t>
      </w:r>
    </w:p>
    <w:p w14:paraId="525EA84A" w14:textId="77777777" w:rsidR="00382BC2" w:rsidRPr="00882AF5" w:rsidRDefault="00382BC2" w:rsidP="008B4ED7">
      <w:pPr>
        <w:tabs>
          <w:tab w:val="clear" w:pos="567"/>
        </w:tabs>
      </w:pPr>
    </w:p>
    <w:p w14:paraId="146AEDA3" w14:textId="6842AAEB" w:rsidR="008603DE" w:rsidRPr="00882AF5" w:rsidRDefault="00F276A3" w:rsidP="00F51F12">
      <w:pPr>
        <w:keepNext/>
        <w:tabs>
          <w:tab w:val="clear" w:pos="567"/>
        </w:tabs>
        <w:rPr>
          <w:b/>
          <w:bCs/>
        </w:rPr>
      </w:pPr>
      <w:r w:rsidRPr="00882AF5">
        <w:rPr>
          <w:b/>
        </w:rPr>
        <w:t xml:space="preserve">Stoboclo </w:t>
      </w:r>
      <w:r w:rsidR="00382BC2" w:rsidRPr="00882AF5">
        <w:rPr>
          <w:b/>
        </w:rPr>
        <w:t>satur sorbītu</w:t>
      </w:r>
      <w:r w:rsidRPr="00882AF5">
        <w:rPr>
          <w:b/>
        </w:rPr>
        <w:t xml:space="preserve"> (E420)</w:t>
      </w:r>
    </w:p>
    <w:p w14:paraId="652B3604" w14:textId="77777777" w:rsidR="00382BC2" w:rsidRPr="00882AF5" w:rsidRDefault="00382BC2" w:rsidP="008B4ED7">
      <w:pPr>
        <w:keepNext/>
      </w:pPr>
    </w:p>
    <w:p w14:paraId="45C4334F" w14:textId="543B917C" w:rsidR="0081033D" w:rsidRPr="00882AF5" w:rsidRDefault="00630E37" w:rsidP="008B4ED7">
      <w:pPr>
        <w:tabs>
          <w:tab w:val="clear" w:pos="567"/>
        </w:tabs>
      </w:pPr>
      <w:r w:rsidRPr="00882AF5">
        <w:t>Šīs zāles satur 47 mg sorbīta katrā mililitrā šķīduma.</w:t>
      </w:r>
    </w:p>
    <w:p w14:paraId="12F14135" w14:textId="77777777" w:rsidR="007A0BB2" w:rsidRPr="00882AF5" w:rsidRDefault="007A0BB2" w:rsidP="008B4ED7">
      <w:pPr>
        <w:tabs>
          <w:tab w:val="clear" w:pos="567"/>
        </w:tabs>
      </w:pPr>
    </w:p>
    <w:p w14:paraId="4C5F4A1F" w14:textId="60A3F6B9" w:rsidR="0092748E" w:rsidRPr="00882AF5" w:rsidRDefault="00756C68" w:rsidP="00F51F12">
      <w:pPr>
        <w:keepNext/>
        <w:tabs>
          <w:tab w:val="clear" w:pos="567"/>
        </w:tabs>
        <w:rPr>
          <w:b/>
          <w:bCs/>
        </w:rPr>
      </w:pPr>
      <w:r w:rsidRPr="00882AF5">
        <w:rPr>
          <w:b/>
        </w:rPr>
        <w:t xml:space="preserve">Stoboclo </w:t>
      </w:r>
      <w:r w:rsidR="0092748E" w:rsidRPr="00882AF5">
        <w:rPr>
          <w:b/>
        </w:rPr>
        <w:t>satur nātriju</w:t>
      </w:r>
    </w:p>
    <w:p w14:paraId="7EAB661E" w14:textId="77777777" w:rsidR="00382BC2" w:rsidRPr="00882AF5" w:rsidRDefault="00382BC2" w:rsidP="008B4ED7">
      <w:pPr>
        <w:keepNext/>
      </w:pPr>
    </w:p>
    <w:p w14:paraId="10798B75" w14:textId="4E145EE2" w:rsidR="0057506B" w:rsidRPr="00882AF5" w:rsidRDefault="0057506B" w:rsidP="008B4ED7">
      <w:pPr>
        <w:tabs>
          <w:tab w:val="clear" w:pos="567"/>
        </w:tabs>
      </w:pPr>
      <w:r w:rsidRPr="00882AF5">
        <w:t>Zāles satur mazāk par 1 mmol nātrija (23 mg)/60 mg – būtībā tās ir “nātriju nesaturošas”.</w:t>
      </w:r>
    </w:p>
    <w:p w14:paraId="21E7B30A" w14:textId="77777777" w:rsidR="00382BC2" w:rsidRPr="00882AF5" w:rsidRDefault="00382BC2" w:rsidP="008B4ED7">
      <w:pPr>
        <w:tabs>
          <w:tab w:val="clear" w:pos="567"/>
        </w:tabs>
      </w:pPr>
    </w:p>
    <w:p w14:paraId="50CC4E90" w14:textId="30C4D6CB" w:rsidR="00382BC2" w:rsidRPr="00882AF5" w:rsidRDefault="00E41234" w:rsidP="00666FDE">
      <w:pPr>
        <w:keepNext/>
        <w:tabs>
          <w:tab w:val="clear" w:pos="567"/>
        </w:tabs>
        <w:rPr>
          <w:b/>
          <w:bCs/>
        </w:rPr>
      </w:pPr>
      <w:r w:rsidRPr="00666FDE">
        <w:rPr>
          <w:b/>
          <w:bCs/>
        </w:rPr>
        <w:lastRenderedPageBreak/>
        <w:t>Stoboclo satur polisorbātu 20 (E432)</w:t>
      </w:r>
    </w:p>
    <w:p w14:paraId="2C6A3D60" w14:textId="39193AD8" w:rsidR="00E41234" w:rsidRDefault="00C017EF" w:rsidP="008B4ED7">
      <w:pPr>
        <w:tabs>
          <w:tab w:val="clear" w:pos="567"/>
        </w:tabs>
      </w:pPr>
      <w:r w:rsidRPr="00882AF5">
        <w:t>Šīs zāles satur 0,1 mg polisorbāta 20 katrā šļircē, kas ir līdzvērtīgi 0,1 mg/ml. Polisorbāti var izraisīt alerģiskas reakcijas. Pastāstiet ārstam, ja Jums ir alerģija.</w:t>
      </w:r>
    </w:p>
    <w:p w14:paraId="170CFBA1" w14:textId="77777777" w:rsidR="00C462AB" w:rsidRPr="00882AF5" w:rsidRDefault="00C462AB" w:rsidP="008B4ED7">
      <w:pPr>
        <w:tabs>
          <w:tab w:val="clear" w:pos="567"/>
        </w:tabs>
      </w:pPr>
    </w:p>
    <w:p w14:paraId="7461D7A4" w14:textId="77777777" w:rsidR="00C017EF" w:rsidRPr="00882AF5" w:rsidRDefault="00C017EF" w:rsidP="008B4ED7">
      <w:pPr>
        <w:tabs>
          <w:tab w:val="clear" w:pos="567"/>
        </w:tabs>
      </w:pPr>
    </w:p>
    <w:p w14:paraId="48EED28A" w14:textId="0D3D12FE" w:rsidR="00382BC2" w:rsidRPr="00882AF5" w:rsidRDefault="00C45C7F" w:rsidP="008B4ED7">
      <w:pPr>
        <w:keepNext/>
        <w:tabs>
          <w:tab w:val="clear" w:pos="567"/>
        </w:tabs>
        <w:ind w:left="567" w:hanging="567"/>
        <w:rPr>
          <w:b/>
        </w:rPr>
      </w:pPr>
      <w:r w:rsidRPr="00882AF5">
        <w:rPr>
          <w:b/>
        </w:rPr>
        <w:t>3.</w:t>
      </w:r>
      <w:r w:rsidRPr="00882AF5">
        <w:rPr>
          <w:b/>
        </w:rPr>
        <w:tab/>
        <w:t xml:space="preserve">Kā lietot </w:t>
      </w:r>
      <w:r w:rsidR="00C017EF" w:rsidRPr="00882AF5">
        <w:rPr>
          <w:b/>
        </w:rPr>
        <w:t>Stoboclo</w:t>
      </w:r>
    </w:p>
    <w:p w14:paraId="40A85F26" w14:textId="77777777" w:rsidR="00382BC2" w:rsidRPr="00882AF5" w:rsidRDefault="00382BC2" w:rsidP="008B4ED7">
      <w:pPr>
        <w:keepNext/>
      </w:pPr>
    </w:p>
    <w:p w14:paraId="468E2471" w14:textId="479D3CD6" w:rsidR="00F82CBC" w:rsidRPr="00882AF5" w:rsidRDefault="00F82CBC" w:rsidP="008B4ED7">
      <w:pPr>
        <w:tabs>
          <w:tab w:val="clear" w:pos="567"/>
        </w:tabs>
      </w:pPr>
      <w:r w:rsidRPr="00882AF5">
        <w:t xml:space="preserve">Ieteicamā deva ir viena 60 mg pilnšļirce, ko ievada vienu reizi ik pēc 6 mēnešiem kā vienreizēju injekciju zem ādas (subkutāni). Labākās vietas injekcijai ir Jūsu augšstilbu augšējā daļa un vēders. Jūsu aprūpētājs var zāles injicēt arī augšdelmu ārējā virsmā. Iespējamo nākamās injekcijas datumu vaicājiet savam ārstam. Katrs </w:t>
      </w:r>
      <w:r w:rsidR="00EE652B" w:rsidRPr="00882AF5">
        <w:t xml:space="preserve">Stoboclo </w:t>
      </w:r>
      <w:r w:rsidRPr="00882AF5">
        <w:t xml:space="preserve">iepakojums satur atgādinājuma kartīti, </w:t>
      </w:r>
      <w:r w:rsidR="007E4161" w:rsidRPr="00882AF5">
        <w:t xml:space="preserve">kas ietverta </w:t>
      </w:r>
      <w:r w:rsidRPr="00882AF5">
        <w:t>kastīt</w:t>
      </w:r>
      <w:r w:rsidR="007E4161" w:rsidRPr="00882AF5">
        <w:t>ē</w:t>
      </w:r>
      <w:r w:rsidRPr="00882AF5">
        <w:t xml:space="preserve"> un </w:t>
      </w:r>
      <w:r w:rsidR="007E4161" w:rsidRPr="00882AF5">
        <w:t xml:space="preserve">ko var </w:t>
      </w:r>
      <w:r w:rsidRPr="00882AF5">
        <w:t>izmantot, lai saglabātu ierakstu par nākamās injekcijas datumu.</w:t>
      </w:r>
    </w:p>
    <w:p w14:paraId="5AEBC844" w14:textId="2D3ADF1D" w:rsidR="00F82CBC" w:rsidRPr="00882AF5" w:rsidRDefault="00F82CBC" w:rsidP="008B4ED7">
      <w:pPr>
        <w:tabs>
          <w:tab w:val="clear" w:pos="567"/>
        </w:tabs>
      </w:pPr>
    </w:p>
    <w:p w14:paraId="1656FDDD" w14:textId="7633C777" w:rsidR="00382BC2" w:rsidRPr="00882AF5" w:rsidRDefault="00382BC2" w:rsidP="008B4ED7">
      <w:pPr>
        <w:tabs>
          <w:tab w:val="clear" w:pos="567"/>
        </w:tabs>
      </w:pPr>
      <w:r w:rsidRPr="00882AF5">
        <w:t xml:space="preserve">Ārstēšanas ar </w:t>
      </w:r>
      <w:r w:rsidR="007E4161" w:rsidRPr="00882AF5">
        <w:t>Stoboclo</w:t>
      </w:r>
      <w:r w:rsidR="007E4161" w:rsidRPr="00882AF5" w:rsidDel="007E4161">
        <w:t xml:space="preserve"> </w:t>
      </w:r>
      <w:r w:rsidRPr="00882AF5">
        <w:t>laikā Jums papildus jālieto arī kalcijs un D vitamīns. Ārsts to apspriedīs ar Jums.</w:t>
      </w:r>
    </w:p>
    <w:p w14:paraId="2255BE96" w14:textId="77777777" w:rsidR="00382BC2" w:rsidRPr="00882AF5" w:rsidRDefault="00382BC2" w:rsidP="008B4ED7">
      <w:pPr>
        <w:tabs>
          <w:tab w:val="clear" w:pos="567"/>
        </w:tabs>
      </w:pPr>
    </w:p>
    <w:p w14:paraId="4E7D35EA" w14:textId="13A3643E" w:rsidR="00382BC2" w:rsidRPr="00882AF5" w:rsidRDefault="00382BC2" w:rsidP="008B4ED7">
      <w:pPr>
        <w:tabs>
          <w:tab w:val="clear" w:pos="567"/>
        </w:tabs>
      </w:pPr>
      <w:r w:rsidRPr="00882AF5">
        <w:t xml:space="preserve">Jūsu ārsts var izlemt, ka vislabāk </w:t>
      </w:r>
      <w:r w:rsidR="00C10349" w:rsidRPr="00882AF5">
        <w:t>Stoboclo</w:t>
      </w:r>
      <w:r w:rsidR="00C10349" w:rsidRPr="00882AF5" w:rsidDel="00C10349">
        <w:t xml:space="preserve"> </w:t>
      </w:r>
      <w:r w:rsidRPr="00882AF5">
        <w:t xml:space="preserve">injekcijas būtu veikt Jums pašam vai Jūsu aprūpētājam. Ārsts vai veselības aprūpes sniedzējs Jums vai Jūsu aprūpētājam parādīs, kā lietot </w:t>
      </w:r>
      <w:r w:rsidR="00C10349" w:rsidRPr="00882AF5">
        <w:t>Stoboclo</w:t>
      </w:r>
      <w:r w:rsidRPr="00882AF5">
        <w:t xml:space="preserve">. Instrukciju par </w:t>
      </w:r>
      <w:r w:rsidR="00C10349" w:rsidRPr="00882AF5">
        <w:t>Stoboclo</w:t>
      </w:r>
      <w:r w:rsidR="00C10349" w:rsidRPr="00882AF5" w:rsidDel="00C10349">
        <w:t xml:space="preserve"> </w:t>
      </w:r>
      <w:r w:rsidRPr="00882AF5">
        <w:t>injicēšanu, lūdzu, lasiet punktā, kas atrodas šīs instrukcijas beigās.</w:t>
      </w:r>
    </w:p>
    <w:p w14:paraId="3372CFFC" w14:textId="56A1BAE1" w:rsidR="001D272E" w:rsidRPr="00882AF5" w:rsidRDefault="001D272E" w:rsidP="008B4ED7">
      <w:pPr>
        <w:tabs>
          <w:tab w:val="clear" w:pos="567"/>
        </w:tabs>
      </w:pPr>
    </w:p>
    <w:p w14:paraId="158B3CC2" w14:textId="233A39EC" w:rsidR="001D272E" w:rsidRPr="00882AF5" w:rsidRDefault="00D501D7" w:rsidP="008B4ED7">
      <w:pPr>
        <w:tabs>
          <w:tab w:val="clear" w:pos="567"/>
        </w:tabs>
      </w:pPr>
      <w:r w:rsidRPr="00882AF5">
        <w:t>Nekratīt.</w:t>
      </w:r>
    </w:p>
    <w:p w14:paraId="348A3F67" w14:textId="77777777" w:rsidR="00382BC2" w:rsidRPr="00882AF5" w:rsidRDefault="00382BC2" w:rsidP="008B4ED7">
      <w:pPr>
        <w:tabs>
          <w:tab w:val="clear" w:pos="567"/>
        </w:tabs>
      </w:pPr>
    </w:p>
    <w:p w14:paraId="36AF33C0" w14:textId="7E495059" w:rsidR="00382BC2" w:rsidRPr="00882AF5" w:rsidRDefault="00382BC2" w:rsidP="00F51F12">
      <w:pPr>
        <w:keepNext/>
        <w:tabs>
          <w:tab w:val="clear" w:pos="567"/>
        </w:tabs>
        <w:rPr>
          <w:b/>
          <w:bCs/>
        </w:rPr>
      </w:pPr>
      <w:r w:rsidRPr="00882AF5">
        <w:rPr>
          <w:b/>
        </w:rPr>
        <w:t xml:space="preserve">Ja esat aizmirsis lietot </w:t>
      </w:r>
      <w:r w:rsidR="00C10349" w:rsidRPr="00882AF5">
        <w:rPr>
          <w:b/>
        </w:rPr>
        <w:t>Stoboclo</w:t>
      </w:r>
    </w:p>
    <w:p w14:paraId="7A6124B6" w14:textId="77777777" w:rsidR="00382BC2" w:rsidRPr="00882AF5" w:rsidRDefault="00382BC2" w:rsidP="008B4ED7">
      <w:pPr>
        <w:keepNext/>
      </w:pPr>
    </w:p>
    <w:p w14:paraId="7BCA63C2" w14:textId="5D9C5E84" w:rsidR="00382BC2" w:rsidRPr="00882AF5" w:rsidRDefault="00382BC2" w:rsidP="008B4ED7">
      <w:pPr>
        <w:tabs>
          <w:tab w:val="clear" w:pos="567"/>
        </w:tabs>
      </w:pPr>
      <w:r w:rsidRPr="00882AF5">
        <w:t xml:space="preserve">Ja </w:t>
      </w:r>
      <w:r w:rsidR="006A3588" w:rsidRPr="00882AF5">
        <w:t xml:space="preserve">Stoboclo </w:t>
      </w:r>
      <w:r w:rsidRPr="00882AF5">
        <w:t>deva ir izlaista, injekcija jāveic</w:t>
      </w:r>
      <w:r w:rsidR="00C10349" w:rsidRPr="00882AF5">
        <w:t>,</w:t>
      </w:r>
      <w:r w:rsidRPr="00882AF5">
        <w:t xml:space="preserve"> cik drīz vien iespējams. Turpmāk injekcijas plānojiet ik pēc 6 mēnešiem, skaitot no pēdējās injekcijas datuma.</w:t>
      </w:r>
    </w:p>
    <w:p w14:paraId="1E61FD3E" w14:textId="77777777" w:rsidR="00382BC2" w:rsidRPr="00882AF5" w:rsidRDefault="00382BC2" w:rsidP="008B4ED7">
      <w:pPr>
        <w:tabs>
          <w:tab w:val="clear" w:pos="567"/>
        </w:tabs>
      </w:pPr>
    </w:p>
    <w:p w14:paraId="303CFF6D" w14:textId="52E2D547" w:rsidR="00382BC2" w:rsidRPr="00882AF5" w:rsidRDefault="00382BC2" w:rsidP="00F51F12">
      <w:pPr>
        <w:keepNext/>
        <w:tabs>
          <w:tab w:val="clear" w:pos="567"/>
        </w:tabs>
        <w:rPr>
          <w:b/>
          <w:bCs/>
        </w:rPr>
      </w:pPr>
      <w:r w:rsidRPr="00882AF5">
        <w:rPr>
          <w:b/>
        </w:rPr>
        <w:t xml:space="preserve">Ja pārtraucat lietot </w:t>
      </w:r>
      <w:r w:rsidR="00C10349" w:rsidRPr="00882AF5">
        <w:rPr>
          <w:b/>
        </w:rPr>
        <w:t>Stoboclo</w:t>
      </w:r>
    </w:p>
    <w:p w14:paraId="2F1FD283" w14:textId="77777777" w:rsidR="00382BC2" w:rsidRPr="00882AF5" w:rsidRDefault="00382BC2" w:rsidP="008B4ED7">
      <w:pPr>
        <w:keepNext/>
      </w:pPr>
    </w:p>
    <w:p w14:paraId="18A50EB1" w14:textId="631CF123" w:rsidR="009D3B7C" w:rsidRPr="00882AF5" w:rsidRDefault="009D3B7C" w:rsidP="008B4ED7">
      <w:pPr>
        <w:tabs>
          <w:tab w:val="clear" w:pos="567"/>
        </w:tabs>
      </w:pPr>
      <w:r w:rsidRPr="00882AF5">
        <w:t xml:space="preserve">Lai iegūtu vislabāko guvumu no ārstēšanas lūzumu riska samazināšanai, svarīgi ir lietot </w:t>
      </w:r>
      <w:r w:rsidR="00C10349" w:rsidRPr="00882AF5">
        <w:t xml:space="preserve">Stoboclo </w:t>
      </w:r>
      <w:r w:rsidRPr="00882AF5">
        <w:t>tik ilgi, cik ārsts to Jums ir parakstījis. Nepārtrauciet ārstēšanu, nesazinoties ar ārstu.</w:t>
      </w:r>
    </w:p>
    <w:p w14:paraId="7403E0B3" w14:textId="77777777" w:rsidR="00382BC2" w:rsidRPr="00882AF5" w:rsidRDefault="00382BC2" w:rsidP="008B4ED7">
      <w:pPr>
        <w:tabs>
          <w:tab w:val="clear" w:pos="567"/>
        </w:tabs>
      </w:pPr>
    </w:p>
    <w:p w14:paraId="53D02824" w14:textId="77777777" w:rsidR="00382BC2" w:rsidRPr="00882AF5" w:rsidRDefault="00382BC2" w:rsidP="008B4ED7">
      <w:pPr>
        <w:tabs>
          <w:tab w:val="clear" w:pos="567"/>
        </w:tabs>
      </w:pPr>
    </w:p>
    <w:p w14:paraId="73A0C351" w14:textId="77777777" w:rsidR="00382BC2" w:rsidRPr="00882AF5" w:rsidRDefault="00382BC2" w:rsidP="008B4ED7">
      <w:pPr>
        <w:keepNext/>
        <w:tabs>
          <w:tab w:val="clear" w:pos="567"/>
        </w:tabs>
        <w:ind w:left="567" w:hanging="567"/>
        <w:rPr>
          <w:b/>
        </w:rPr>
      </w:pPr>
      <w:r w:rsidRPr="00882AF5">
        <w:rPr>
          <w:b/>
        </w:rPr>
        <w:t>4.</w:t>
      </w:r>
      <w:r w:rsidRPr="00882AF5">
        <w:rPr>
          <w:b/>
        </w:rPr>
        <w:tab/>
        <w:t>Iespējamās blakusparādības</w:t>
      </w:r>
    </w:p>
    <w:p w14:paraId="7971FD3F" w14:textId="77777777" w:rsidR="00382BC2" w:rsidRPr="00882AF5" w:rsidRDefault="00382BC2" w:rsidP="008B4ED7">
      <w:pPr>
        <w:keepNext/>
      </w:pPr>
    </w:p>
    <w:p w14:paraId="250D5FC9" w14:textId="77777777" w:rsidR="006D7371" w:rsidRPr="00882AF5" w:rsidRDefault="006D7371" w:rsidP="008B4ED7">
      <w:pPr>
        <w:tabs>
          <w:tab w:val="clear" w:pos="567"/>
        </w:tabs>
      </w:pPr>
      <w:r w:rsidRPr="00882AF5">
        <w:t>Tāpat kā visas zāles, šīs zāles var izraisīt blakusparādības, kaut arī ne visiem tās izpaužas.</w:t>
      </w:r>
    </w:p>
    <w:p w14:paraId="0D206C47" w14:textId="77777777" w:rsidR="006D7371" w:rsidRPr="00882AF5" w:rsidRDefault="006D7371" w:rsidP="008B4ED7">
      <w:pPr>
        <w:tabs>
          <w:tab w:val="clear" w:pos="567"/>
        </w:tabs>
      </w:pPr>
    </w:p>
    <w:p w14:paraId="2FE6937F" w14:textId="22AB1F11" w:rsidR="00382BC2" w:rsidRPr="00882AF5" w:rsidRDefault="00382BC2" w:rsidP="008B4ED7">
      <w:pPr>
        <w:tabs>
          <w:tab w:val="clear" w:pos="567"/>
        </w:tabs>
      </w:pPr>
      <w:r w:rsidRPr="00882AF5">
        <w:t xml:space="preserve">Retākos gadījumos pacientiem, kas saņem </w:t>
      </w:r>
      <w:r w:rsidR="00CC0C61" w:rsidRPr="00882AF5">
        <w:t>Stoboclo</w:t>
      </w:r>
      <w:r w:rsidRPr="00882AF5">
        <w:t xml:space="preserve">, var izveidoties ādas infekcijas (galvenokārt celulīts). </w:t>
      </w:r>
      <w:r w:rsidRPr="00882AF5">
        <w:rPr>
          <w:b/>
        </w:rPr>
        <w:t>Lūdzu</w:t>
      </w:r>
      <w:r w:rsidR="00CC0C61" w:rsidRPr="00882AF5">
        <w:rPr>
          <w:b/>
        </w:rPr>
        <w:t>,</w:t>
      </w:r>
      <w:r w:rsidRPr="00882AF5">
        <w:rPr>
          <w:b/>
        </w:rPr>
        <w:t xml:space="preserve"> nekavējoties izstāstiet savam ārstam</w:t>
      </w:r>
      <w:r w:rsidRPr="00882AF5">
        <w:t xml:space="preserve">, ja ārstēšanas ar </w:t>
      </w:r>
      <w:r w:rsidR="00CC0C61" w:rsidRPr="00882AF5">
        <w:t xml:space="preserve">Stoboclo </w:t>
      </w:r>
      <w:r w:rsidRPr="00882AF5">
        <w:t>laikā Jums rodas kāds no šiem simptomiem: pietūkuši, sarkani laukumi uz ādas, visbiežāk uz apakšstilbiem, kas ir karsti un jutīgi, un iespējams ar drudža simptomiem.</w:t>
      </w:r>
    </w:p>
    <w:p w14:paraId="3BB52F5A" w14:textId="77777777" w:rsidR="00D0743B" w:rsidRPr="00882AF5" w:rsidRDefault="00D0743B" w:rsidP="008B4ED7">
      <w:pPr>
        <w:tabs>
          <w:tab w:val="clear" w:pos="567"/>
        </w:tabs>
      </w:pPr>
    </w:p>
    <w:p w14:paraId="30E65CB9" w14:textId="62E90B19" w:rsidR="00D0743B" w:rsidRPr="00882AF5" w:rsidRDefault="00D0743B" w:rsidP="008B4ED7">
      <w:pPr>
        <w:tabs>
          <w:tab w:val="clear" w:pos="567"/>
        </w:tabs>
      </w:pPr>
      <w:r w:rsidRPr="00882AF5">
        <w:t xml:space="preserve">Pacientiem, kuri lieto </w:t>
      </w:r>
      <w:r w:rsidR="005846B3" w:rsidRPr="00882AF5">
        <w:t>Stoboclo</w:t>
      </w:r>
      <w:r w:rsidRPr="00882AF5">
        <w:t xml:space="preserve">, var attīstīties sāpes mutes dobumā un/vai žoklī, pietūkums vai nedzīstošas čūlas mutes dobumā vai žoklī, izdalījumi, nejutīgums vai smaguma sajūta žoklī vai zobu kustēšanās. Tās var būt kaula bojājuma žoklī (osteonekrozes) pazīmes. Ja ārstēšanas ar </w:t>
      </w:r>
      <w:r w:rsidR="005846B3" w:rsidRPr="00882AF5">
        <w:t xml:space="preserve">Stoboclo </w:t>
      </w:r>
      <w:r w:rsidRPr="00882AF5">
        <w:t>laikā vai pēc ārstēšanas pārtraukšanas Jums rodas minētie simptomi, nekavējoties pastāstiet</w:t>
      </w:r>
      <w:r w:rsidRPr="00882AF5">
        <w:rPr>
          <w:b/>
        </w:rPr>
        <w:t xml:space="preserve"> par to savam ārstam un zobārstam</w:t>
      </w:r>
      <w:r w:rsidRPr="00882AF5">
        <w:t>.</w:t>
      </w:r>
    </w:p>
    <w:p w14:paraId="107FF48F" w14:textId="77777777" w:rsidR="00D0743B" w:rsidRPr="00882AF5" w:rsidRDefault="00D0743B" w:rsidP="008B4ED7">
      <w:pPr>
        <w:tabs>
          <w:tab w:val="clear" w:pos="567"/>
        </w:tabs>
      </w:pPr>
    </w:p>
    <w:p w14:paraId="17D5D324" w14:textId="51B7CC37" w:rsidR="00D0743B" w:rsidRPr="00882AF5" w:rsidRDefault="00D0743B" w:rsidP="008B4ED7">
      <w:pPr>
        <w:tabs>
          <w:tab w:val="clear" w:pos="567"/>
        </w:tabs>
      </w:pPr>
      <w:r w:rsidRPr="00882AF5">
        <w:t xml:space="preserve">Pacientiem, kuri lieto </w:t>
      </w:r>
      <w:r w:rsidR="005846B3" w:rsidRPr="00882AF5">
        <w:t>Stoboclo</w:t>
      </w:r>
      <w:r w:rsidRPr="00882AF5">
        <w:t xml:space="preserve">, var būt zems kalcija līmenis asinīs (hipokalciēmija); </w:t>
      </w:r>
      <w:r w:rsidR="00782C0E" w:rsidRPr="00882AF5">
        <w:t xml:space="preserve">izteikti </w:t>
      </w:r>
      <w:r w:rsidRPr="00882AF5">
        <w:t>zem</w:t>
      </w:r>
      <w:r w:rsidR="00782C0E" w:rsidRPr="00882AF5">
        <w:t>a</w:t>
      </w:r>
      <w:r w:rsidRPr="00882AF5">
        <w:t xml:space="preserve"> kalcija līme</w:t>
      </w:r>
      <w:r w:rsidR="00782C0E" w:rsidRPr="00882AF5">
        <w:t>ņa</w:t>
      </w:r>
      <w:r w:rsidRPr="00882AF5">
        <w:t xml:space="preserve"> asinīs </w:t>
      </w:r>
      <w:r w:rsidR="00782C0E" w:rsidRPr="00882AF5">
        <w:t xml:space="preserve">dēļ </w:t>
      </w:r>
      <w:r w:rsidRPr="00882AF5">
        <w:t xml:space="preserve">var </w:t>
      </w:r>
      <w:r w:rsidR="00782C0E" w:rsidRPr="00882AF5">
        <w:t xml:space="preserve">būt nepieciešama </w:t>
      </w:r>
      <w:r w:rsidRPr="00882AF5">
        <w:t>hospitalizācij</w:t>
      </w:r>
      <w:r w:rsidR="00782C0E" w:rsidRPr="00882AF5">
        <w:t>a</w:t>
      </w:r>
      <w:r w:rsidRPr="00882AF5">
        <w:t xml:space="preserve"> un pat </w:t>
      </w:r>
      <w:r w:rsidR="00782C0E" w:rsidRPr="00882AF5">
        <w:t xml:space="preserve">rasties </w:t>
      </w:r>
      <w:r w:rsidRPr="00882AF5">
        <w:t>dzīvīb</w:t>
      </w:r>
      <w:r w:rsidR="00782C0E" w:rsidRPr="00882AF5">
        <w:t>as apdraudējums</w:t>
      </w:r>
      <w:r w:rsidRPr="00882AF5">
        <w:t xml:space="preserve">. Simptomi ietver spazmas, muskuļu raustīšanos vai krampjus muskuļos un/vai nejutīgumu vai tirpšanu roku un kāju pirkstos vai ap muti, un/vai lēkmes, apjukumu vai samaņas zudumu. Ja kaut kas no minētā attiecas uz Jums, </w:t>
      </w:r>
      <w:r w:rsidRPr="00882AF5">
        <w:rPr>
          <w:b/>
        </w:rPr>
        <w:t>nekavējoties pastāstiet par to savam ārstam</w:t>
      </w:r>
      <w:r w:rsidRPr="00882AF5">
        <w:t xml:space="preserve">. Zems kalcija līmenis asinīs var arī izraisīt sirds ritma izmaiņas, ko sauc par QT intervāla pagarināšanos un ko var </w:t>
      </w:r>
      <w:r w:rsidR="00841AB1">
        <w:t>novērot</w:t>
      </w:r>
      <w:r w:rsidRPr="00882AF5">
        <w:t xml:space="preserve"> elektrokardiogrammā (EKG).</w:t>
      </w:r>
    </w:p>
    <w:p w14:paraId="0111C09B" w14:textId="77777777" w:rsidR="009608FC" w:rsidRPr="00882AF5" w:rsidRDefault="009608FC" w:rsidP="008B4ED7">
      <w:pPr>
        <w:tabs>
          <w:tab w:val="clear" w:pos="567"/>
        </w:tabs>
      </w:pPr>
    </w:p>
    <w:p w14:paraId="2116BA73" w14:textId="132246B4" w:rsidR="00666C7C" w:rsidRPr="00882AF5" w:rsidRDefault="00666C7C" w:rsidP="008B4ED7">
      <w:pPr>
        <w:tabs>
          <w:tab w:val="clear" w:pos="567"/>
        </w:tabs>
      </w:pPr>
      <w:r w:rsidRPr="00882AF5">
        <w:lastRenderedPageBreak/>
        <w:t xml:space="preserve">Pacientiem, kas saņem </w:t>
      </w:r>
      <w:r w:rsidR="005846B3" w:rsidRPr="00882AF5">
        <w:t>Stoboclo</w:t>
      </w:r>
      <w:r w:rsidRPr="00882AF5">
        <w:t xml:space="preserve">, reti var rasties netipiski augšstilba kaula lūzumi. </w:t>
      </w:r>
      <w:r w:rsidRPr="00882AF5">
        <w:rPr>
          <w:b/>
        </w:rPr>
        <w:t>Sazinieties ar savu ārstu</w:t>
      </w:r>
      <w:r w:rsidRPr="00882AF5">
        <w:t>, ja Jums ir jaunas vai neparastas sāpes gūžā, cirksnī vai augšstilbā, jo tās var būt agrīna norāde par iespējamu augšstilba kaula lūzumu.</w:t>
      </w:r>
    </w:p>
    <w:p w14:paraId="7FFB93D5" w14:textId="77777777" w:rsidR="00666C7C" w:rsidRPr="00882AF5" w:rsidRDefault="00666C7C" w:rsidP="008B4ED7">
      <w:pPr>
        <w:tabs>
          <w:tab w:val="clear" w:pos="567"/>
        </w:tabs>
      </w:pPr>
    </w:p>
    <w:p w14:paraId="716357B6" w14:textId="6CEF8334" w:rsidR="00666C7C" w:rsidRPr="00882AF5" w:rsidRDefault="00666C7C" w:rsidP="008B4ED7">
      <w:pPr>
        <w:tabs>
          <w:tab w:val="clear" w:pos="567"/>
        </w:tabs>
      </w:pPr>
      <w:r w:rsidRPr="00882AF5">
        <w:t xml:space="preserve">Pacientiem, kas saņem </w:t>
      </w:r>
      <w:r w:rsidR="005846B3" w:rsidRPr="00882AF5">
        <w:t>Stoboclo</w:t>
      </w:r>
      <w:r w:rsidRPr="00882AF5">
        <w:t xml:space="preserve">, reti var rasties alerģiskas reakcijas. Simptomi ietver sejas, lūpu, mēles, rīkles vai citu ķermeņa daļu pietūkumu; izsitumus, niezi vai nātreni uz ādas, sēkšanu vai apgrūtinātu elpošanu. </w:t>
      </w:r>
      <w:r w:rsidRPr="00882AF5">
        <w:rPr>
          <w:b/>
        </w:rPr>
        <w:t>Lūdzu, izstāstiet savam ārstam</w:t>
      </w:r>
      <w:r w:rsidRPr="00882AF5">
        <w:t xml:space="preserve">, ja ārstēšanas laikā ar </w:t>
      </w:r>
      <w:r w:rsidR="005846B3" w:rsidRPr="00882AF5">
        <w:t xml:space="preserve">Stoboclo </w:t>
      </w:r>
      <w:r w:rsidRPr="00882AF5">
        <w:t>Jums attīstās kāds no šiem simptomiem.</w:t>
      </w:r>
    </w:p>
    <w:p w14:paraId="0B28D6FC" w14:textId="77777777" w:rsidR="005A07F5" w:rsidRPr="00882AF5" w:rsidRDefault="005A07F5" w:rsidP="008B4ED7">
      <w:pPr>
        <w:tabs>
          <w:tab w:val="clear" w:pos="567"/>
        </w:tabs>
      </w:pPr>
    </w:p>
    <w:p w14:paraId="38CC2A62" w14:textId="77777777" w:rsidR="00E16AD0" w:rsidRPr="00882AF5" w:rsidRDefault="006C6FD9" w:rsidP="009004F5">
      <w:pPr>
        <w:keepNext/>
        <w:keepLines/>
      </w:pPr>
      <w:r w:rsidRPr="00882AF5">
        <w:rPr>
          <w:b/>
        </w:rPr>
        <w:t xml:space="preserve">Ļoti biežas blakusparādības </w:t>
      </w:r>
      <w:r w:rsidRPr="00882AF5">
        <w:t>(var skart vairāk nekā 1 cilvēku no 10):</w:t>
      </w:r>
    </w:p>
    <w:p w14:paraId="0B82CB38" w14:textId="77777777" w:rsidR="005A07F5" w:rsidRPr="00882AF5" w:rsidRDefault="005A07F5" w:rsidP="009004F5">
      <w:pPr>
        <w:keepNext/>
        <w:keepLines/>
      </w:pPr>
    </w:p>
    <w:p w14:paraId="33BAE01D" w14:textId="77777777" w:rsidR="00420B9A" w:rsidRPr="00882AF5" w:rsidRDefault="00420B9A" w:rsidP="009004F5">
      <w:pPr>
        <w:keepNext/>
        <w:keepLines/>
        <w:numPr>
          <w:ilvl w:val="0"/>
          <w:numId w:val="54"/>
        </w:numPr>
        <w:tabs>
          <w:tab w:val="clear" w:pos="567"/>
        </w:tabs>
        <w:ind w:left="567" w:hanging="567"/>
      </w:pPr>
      <w:r w:rsidRPr="00882AF5">
        <w:t>kaulu, locītavu un/vai muskuļu sāpes, kas dažkārt ir smagas,</w:t>
      </w:r>
    </w:p>
    <w:p w14:paraId="233477ED" w14:textId="77777777" w:rsidR="006C6FD9" w:rsidRPr="00882AF5" w:rsidRDefault="006C6FD9" w:rsidP="008B4ED7">
      <w:pPr>
        <w:numPr>
          <w:ilvl w:val="0"/>
          <w:numId w:val="54"/>
        </w:numPr>
        <w:tabs>
          <w:tab w:val="clear" w:pos="567"/>
        </w:tabs>
        <w:ind w:left="567" w:hanging="567"/>
      </w:pPr>
      <w:r w:rsidRPr="00882AF5">
        <w:t>roku un kāju sāpes (sāpes ekstremitātēs).</w:t>
      </w:r>
    </w:p>
    <w:p w14:paraId="2EE98C33" w14:textId="77777777" w:rsidR="006C6FD9" w:rsidRPr="00882AF5" w:rsidRDefault="006C6FD9" w:rsidP="008B4ED7">
      <w:pPr>
        <w:numPr>
          <w:ilvl w:val="12"/>
          <w:numId w:val="0"/>
        </w:numPr>
        <w:ind w:right="-2"/>
      </w:pPr>
    </w:p>
    <w:p w14:paraId="50B456D8" w14:textId="77777777" w:rsidR="00E16AD0" w:rsidRPr="00882AF5" w:rsidRDefault="00E16AD0" w:rsidP="00F51F12">
      <w:pPr>
        <w:keepNext/>
      </w:pPr>
      <w:r w:rsidRPr="00882AF5">
        <w:rPr>
          <w:b/>
        </w:rPr>
        <w:t xml:space="preserve">Biežas blakusparādības </w:t>
      </w:r>
      <w:r w:rsidRPr="00882AF5">
        <w:t>(var skart līdz 1 no 10 cilvēkiem):</w:t>
      </w:r>
    </w:p>
    <w:p w14:paraId="31747FE6" w14:textId="77777777" w:rsidR="00E16AD0" w:rsidRPr="00882AF5" w:rsidRDefault="00E16AD0" w:rsidP="008B4ED7">
      <w:pPr>
        <w:keepNext/>
      </w:pPr>
    </w:p>
    <w:p w14:paraId="5D5B75D1" w14:textId="77777777" w:rsidR="00E16AD0" w:rsidRPr="00882AF5" w:rsidRDefault="00E16AD0" w:rsidP="008B4ED7">
      <w:pPr>
        <w:numPr>
          <w:ilvl w:val="0"/>
          <w:numId w:val="54"/>
        </w:numPr>
        <w:tabs>
          <w:tab w:val="clear" w:pos="567"/>
        </w:tabs>
        <w:ind w:left="567" w:hanging="567"/>
      </w:pPr>
      <w:r w:rsidRPr="00882AF5">
        <w:t>sāpīga urinēšana, bieža urinēšana, asinis urīnā, nespēja saturēt urīnu,</w:t>
      </w:r>
    </w:p>
    <w:p w14:paraId="18C3B5E9" w14:textId="77777777" w:rsidR="00E16AD0" w:rsidRPr="00882AF5" w:rsidRDefault="00E16AD0" w:rsidP="008B4ED7">
      <w:pPr>
        <w:numPr>
          <w:ilvl w:val="0"/>
          <w:numId w:val="54"/>
        </w:numPr>
        <w:tabs>
          <w:tab w:val="clear" w:pos="567"/>
        </w:tabs>
        <w:ind w:left="567" w:hanging="567"/>
      </w:pPr>
      <w:r w:rsidRPr="00882AF5">
        <w:t>augšējo elpošanas ceļu infekcija,</w:t>
      </w:r>
    </w:p>
    <w:p w14:paraId="27265D19" w14:textId="77777777" w:rsidR="00E16AD0" w:rsidRPr="00882AF5" w:rsidRDefault="00E16AD0" w:rsidP="008B4ED7">
      <w:pPr>
        <w:numPr>
          <w:ilvl w:val="0"/>
          <w:numId w:val="54"/>
        </w:numPr>
        <w:tabs>
          <w:tab w:val="clear" w:pos="567"/>
        </w:tabs>
        <w:ind w:left="567" w:hanging="567"/>
      </w:pPr>
      <w:r w:rsidRPr="00882AF5">
        <w:t>sāpes, notirpums vai nejutīgums, kas iet uz leju pa Jūsu kāju (išiass),</w:t>
      </w:r>
    </w:p>
    <w:p w14:paraId="05CE5D6E" w14:textId="77777777" w:rsidR="002F61D8" w:rsidRPr="00882AF5" w:rsidRDefault="00E16AD0" w:rsidP="008B4ED7">
      <w:pPr>
        <w:numPr>
          <w:ilvl w:val="0"/>
          <w:numId w:val="54"/>
        </w:numPr>
        <w:tabs>
          <w:tab w:val="clear" w:pos="567"/>
        </w:tabs>
        <w:ind w:left="567" w:hanging="567"/>
      </w:pPr>
      <w:r w:rsidRPr="00882AF5">
        <w:t>aizcietējums,</w:t>
      </w:r>
    </w:p>
    <w:p w14:paraId="58E2F42A" w14:textId="77777777" w:rsidR="008603DE" w:rsidRPr="00882AF5" w:rsidRDefault="002F61D8" w:rsidP="008B4ED7">
      <w:pPr>
        <w:numPr>
          <w:ilvl w:val="0"/>
          <w:numId w:val="54"/>
        </w:numPr>
        <w:tabs>
          <w:tab w:val="clear" w:pos="567"/>
        </w:tabs>
        <w:ind w:left="567" w:hanging="567"/>
      </w:pPr>
      <w:r w:rsidRPr="00882AF5">
        <w:t>diskomforta sajūta vēderā,</w:t>
      </w:r>
    </w:p>
    <w:p w14:paraId="15BDD9BC" w14:textId="77777777" w:rsidR="00E16AD0" w:rsidRPr="00882AF5" w:rsidRDefault="00E16AD0" w:rsidP="008B4ED7">
      <w:pPr>
        <w:numPr>
          <w:ilvl w:val="0"/>
          <w:numId w:val="54"/>
        </w:numPr>
        <w:tabs>
          <w:tab w:val="clear" w:pos="567"/>
        </w:tabs>
        <w:ind w:left="567" w:hanging="567"/>
      </w:pPr>
      <w:r w:rsidRPr="00882AF5">
        <w:t>izsitumi,</w:t>
      </w:r>
    </w:p>
    <w:p w14:paraId="2F56B90B" w14:textId="7E88D073" w:rsidR="00F51D48" w:rsidRPr="00882AF5" w:rsidRDefault="006C6FD9" w:rsidP="008B4ED7">
      <w:pPr>
        <w:numPr>
          <w:ilvl w:val="0"/>
          <w:numId w:val="54"/>
        </w:numPr>
        <w:tabs>
          <w:tab w:val="clear" w:pos="567"/>
        </w:tabs>
        <w:ind w:left="567" w:hanging="567"/>
      </w:pPr>
      <w:r w:rsidRPr="00882AF5">
        <w:t>ādas bojājums ar niezi, apsārtumu un/vai tās sausumu (ekzēma),</w:t>
      </w:r>
    </w:p>
    <w:p w14:paraId="2D05BA3B" w14:textId="77777777" w:rsidR="006C6FD9" w:rsidRPr="00882AF5" w:rsidRDefault="00F51D48" w:rsidP="008B4ED7">
      <w:pPr>
        <w:numPr>
          <w:ilvl w:val="0"/>
          <w:numId w:val="54"/>
        </w:numPr>
        <w:tabs>
          <w:tab w:val="clear" w:pos="567"/>
        </w:tabs>
        <w:ind w:left="567" w:hanging="567"/>
      </w:pPr>
      <w:r w:rsidRPr="00882AF5">
        <w:t>matu izkrišana (alopēcija).</w:t>
      </w:r>
    </w:p>
    <w:p w14:paraId="4FC63E1A" w14:textId="77777777" w:rsidR="00E16AD0" w:rsidRPr="00882AF5" w:rsidRDefault="00E16AD0" w:rsidP="008B4ED7">
      <w:pPr>
        <w:pStyle w:val="lbltxt"/>
        <w:rPr>
          <w:b/>
          <w:noProof w:val="0"/>
          <w:szCs w:val="22"/>
        </w:rPr>
      </w:pPr>
    </w:p>
    <w:p w14:paraId="03494F07" w14:textId="77777777" w:rsidR="00E16AD0" w:rsidRPr="00882AF5" w:rsidRDefault="00E16AD0" w:rsidP="00F51F12">
      <w:pPr>
        <w:keepNext/>
      </w:pPr>
      <w:r w:rsidRPr="00882AF5">
        <w:rPr>
          <w:b/>
        </w:rPr>
        <w:t xml:space="preserve">Retākas blakusparādības </w:t>
      </w:r>
      <w:r w:rsidRPr="00882AF5">
        <w:t>(var skart līdz 1 no 100 cilvēkiem):</w:t>
      </w:r>
    </w:p>
    <w:p w14:paraId="2E698261" w14:textId="77777777" w:rsidR="00E16AD0" w:rsidRPr="00882AF5" w:rsidRDefault="00E16AD0" w:rsidP="008B4ED7">
      <w:pPr>
        <w:keepNext/>
      </w:pPr>
    </w:p>
    <w:p w14:paraId="20BB9DFB" w14:textId="77777777" w:rsidR="008603DE" w:rsidRPr="00882AF5" w:rsidRDefault="00E16AD0" w:rsidP="008B4ED7">
      <w:pPr>
        <w:numPr>
          <w:ilvl w:val="0"/>
          <w:numId w:val="54"/>
        </w:numPr>
        <w:tabs>
          <w:tab w:val="clear" w:pos="567"/>
        </w:tabs>
        <w:ind w:left="567" w:hanging="567"/>
      </w:pPr>
      <w:r w:rsidRPr="00882AF5">
        <w:t>drudzis, vemšana, kā arī sāpes vai diskomforta sajūta vēderā (divertikulīts),</w:t>
      </w:r>
    </w:p>
    <w:p w14:paraId="58A86F63" w14:textId="7D7247EC" w:rsidR="00E16AD0" w:rsidRPr="00882AF5" w:rsidRDefault="00E16AD0" w:rsidP="008B4ED7">
      <w:pPr>
        <w:numPr>
          <w:ilvl w:val="0"/>
          <w:numId w:val="54"/>
        </w:numPr>
        <w:tabs>
          <w:tab w:val="clear" w:pos="567"/>
        </w:tabs>
        <w:ind w:left="567" w:hanging="567"/>
      </w:pPr>
      <w:r w:rsidRPr="00882AF5">
        <w:t>ausu infekcija,</w:t>
      </w:r>
    </w:p>
    <w:p w14:paraId="50C61490" w14:textId="77777777" w:rsidR="000C454F" w:rsidRPr="00882AF5" w:rsidRDefault="000C454F" w:rsidP="008B4ED7">
      <w:pPr>
        <w:numPr>
          <w:ilvl w:val="0"/>
          <w:numId w:val="54"/>
        </w:numPr>
        <w:tabs>
          <w:tab w:val="clear" w:pos="567"/>
        </w:tabs>
        <w:ind w:left="567" w:hanging="567"/>
      </w:pPr>
      <w:r w:rsidRPr="00882AF5">
        <w:t>izsitumi, kas var rasties uz ādas, vai čūlas mutes dobumā (zāļu izraisīti lihenoīdi izsitumi).</w:t>
      </w:r>
    </w:p>
    <w:p w14:paraId="5A0FABDB" w14:textId="77777777" w:rsidR="00E16AD0" w:rsidRPr="00882AF5" w:rsidRDefault="00E16AD0" w:rsidP="008B4ED7"/>
    <w:p w14:paraId="024E7020" w14:textId="5B7E23CC" w:rsidR="00E12724" w:rsidRPr="00882AF5" w:rsidRDefault="006D3004" w:rsidP="008B4ED7">
      <w:pPr>
        <w:keepNext/>
      </w:pPr>
      <w:r w:rsidRPr="00882AF5">
        <w:rPr>
          <w:b/>
        </w:rPr>
        <w:t>Ļoti retas blakusparādības</w:t>
      </w:r>
      <w:r w:rsidRPr="00882AF5">
        <w:t xml:space="preserve"> (var skart līdz 1 no 10 000 cilvēkiem):</w:t>
      </w:r>
    </w:p>
    <w:p w14:paraId="390D711B" w14:textId="77777777" w:rsidR="006D3004" w:rsidRPr="00882AF5" w:rsidRDefault="006D3004" w:rsidP="008B4ED7">
      <w:pPr>
        <w:keepNext/>
      </w:pPr>
    </w:p>
    <w:p w14:paraId="1283FF7D" w14:textId="6835F01A" w:rsidR="00E12724" w:rsidRPr="00882AF5" w:rsidRDefault="00177EBD" w:rsidP="00BE67EE">
      <w:pPr>
        <w:numPr>
          <w:ilvl w:val="0"/>
          <w:numId w:val="54"/>
        </w:numPr>
        <w:tabs>
          <w:tab w:val="clear" w:pos="567"/>
        </w:tabs>
        <w:ind w:left="567" w:hanging="567"/>
      </w:pPr>
      <w:r w:rsidRPr="00882AF5">
        <w:t>alerģiska reakcija, kas var radīt asinsvadu, galvenokārt ādas, bojājumus (piemēram, purpursarkani vai brūngani sarkani plankumi, nātrene vai ādas čūlas) (paaugstinātas jutības vaskulīts).</w:t>
      </w:r>
    </w:p>
    <w:p w14:paraId="61045E68" w14:textId="77777777" w:rsidR="00E12724" w:rsidRPr="00882AF5" w:rsidRDefault="00E12724" w:rsidP="00F51F12"/>
    <w:p w14:paraId="2640DEB4" w14:textId="6CED272A" w:rsidR="00DE7911" w:rsidRPr="00882AF5" w:rsidRDefault="00DE7911" w:rsidP="00F51F12">
      <w:pPr>
        <w:keepNext/>
      </w:pPr>
      <w:r w:rsidRPr="00882AF5">
        <w:rPr>
          <w:b/>
        </w:rPr>
        <w:t>Nav zināmi</w:t>
      </w:r>
      <w:r w:rsidRPr="00882AF5">
        <w:t xml:space="preserve"> (biežumu nevar noteikt pēc pieejamiem datiem):</w:t>
      </w:r>
    </w:p>
    <w:p w14:paraId="21AC79AE" w14:textId="77777777" w:rsidR="00DE7911" w:rsidRPr="00882AF5" w:rsidRDefault="00DE7911" w:rsidP="008B4ED7">
      <w:pPr>
        <w:keepNext/>
      </w:pPr>
    </w:p>
    <w:p w14:paraId="70C4DD54" w14:textId="19F73E6F" w:rsidR="00252372" w:rsidRPr="00882AF5" w:rsidRDefault="00177EBD" w:rsidP="008B4ED7">
      <w:pPr>
        <w:numPr>
          <w:ilvl w:val="0"/>
          <w:numId w:val="54"/>
        </w:numPr>
        <w:tabs>
          <w:tab w:val="clear" w:pos="567"/>
        </w:tabs>
        <w:ind w:left="567" w:hanging="567"/>
      </w:pPr>
      <w:r w:rsidRPr="00882AF5">
        <w:t>konsultējieties ar ārstu, ja Jums ir ausu sāpes, izdalījumi no auss un/vai ausu infekcija. Šīs var būt kaulu bojājuma pazīmes ausī.</w:t>
      </w:r>
    </w:p>
    <w:p w14:paraId="4B6BC68B" w14:textId="77777777" w:rsidR="00382BC2" w:rsidRPr="00882AF5" w:rsidRDefault="00382BC2" w:rsidP="008B4ED7"/>
    <w:p w14:paraId="00AC930C" w14:textId="77777777" w:rsidR="008603DE" w:rsidRPr="00882AF5" w:rsidRDefault="00834859" w:rsidP="00F51F12">
      <w:pPr>
        <w:keepNext/>
        <w:tabs>
          <w:tab w:val="clear" w:pos="567"/>
        </w:tabs>
        <w:rPr>
          <w:b/>
          <w:bCs/>
        </w:rPr>
      </w:pPr>
      <w:r w:rsidRPr="00882AF5">
        <w:rPr>
          <w:b/>
        </w:rPr>
        <w:t>Ziņošana par blakusparādībām</w:t>
      </w:r>
    </w:p>
    <w:p w14:paraId="7791F0F3" w14:textId="77777777" w:rsidR="00834859" w:rsidRPr="00882AF5" w:rsidRDefault="00834859" w:rsidP="008B4ED7">
      <w:pPr>
        <w:keepNext/>
      </w:pPr>
    </w:p>
    <w:p w14:paraId="34D57FF5" w14:textId="54D56E9F" w:rsidR="008603DE" w:rsidRPr="00882AF5" w:rsidRDefault="00834859" w:rsidP="008B4ED7">
      <w:pPr>
        <w:tabs>
          <w:tab w:val="clear" w:pos="567"/>
        </w:tabs>
      </w:pPr>
      <w:r w:rsidRPr="00882AF5">
        <w:t xml:space="preserve">Ja Jums rodas jebkādas blakusparādības, konsultējieties ar ārstu vai farmaceitu. Tas attiecas arī uz iespējamajām blakusparādībām, kas nav minētas šajā instrukcijā. Jūs varat ziņot par blakusparādībām arī tieši, izmantojot </w:t>
      </w:r>
      <w:r>
        <w:fldChar w:fldCharType="begin"/>
      </w:r>
      <w:r>
        <w:instrText>HYPERLINK "https://www.ema.europa.eu/documents/template-form/qrd-appendix-v-adverse-drug-reaction-reporting-details_en.docx"</w:instrText>
      </w:r>
      <w:r>
        <w:fldChar w:fldCharType="separate"/>
      </w:r>
      <w:r>
        <w:rPr>
          <w:rStyle w:val="ab"/>
          <w:highlight w:val="lightGray"/>
        </w:rPr>
        <w:t>V pielikumā</w:t>
      </w:r>
      <w:r>
        <w:fldChar w:fldCharType="end"/>
      </w:r>
      <w:r>
        <w:rPr>
          <w:highlight w:val="lightGray"/>
        </w:rPr>
        <w:t xml:space="preserve"> minēto nacionālās ziņošanas sistēmas kontaktinformāciju</w:t>
      </w:r>
      <w:r w:rsidRPr="00882AF5">
        <w:t>. Ziņojot par blakusparādībām, Jūs varat palīdzēt nodrošināt daudz plašāku informāciju par šo zāļu drošumu.</w:t>
      </w:r>
    </w:p>
    <w:p w14:paraId="7D9AABBF" w14:textId="77777777" w:rsidR="00382BC2" w:rsidRPr="00882AF5" w:rsidRDefault="00382BC2" w:rsidP="008B4ED7">
      <w:pPr>
        <w:tabs>
          <w:tab w:val="clear" w:pos="567"/>
        </w:tabs>
      </w:pPr>
    </w:p>
    <w:p w14:paraId="31BBC51C" w14:textId="77777777" w:rsidR="00382BC2" w:rsidRPr="00882AF5" w:rsidRDefault="00382BC2" w:rsidP="008B4ED7">
      <w:pPr>
        <w:tabs>
          <w:tab w:val="clear" w:pos="567"/>
        </w:tabs>
      </w:pPr>
    </w:p>
    <w:p w14:paraId="0B858D6E" w14:textId="3B8941CD" w:rsidR="00382BC2" w:rsidRPr="00882AF5" w:rsidRDefault="00382BC2" w:rsidP="008B4ED7">
      <w:pPr>
        <w:keepNext/>
        <w:tabs>
          <w:tab w:val="clear" w:pos="567"/>
        </w:tabs>
        <w:ind w:left="567" w:hanging="567"/>
        <w:rPr>
          <w:b/>
        </w:rPr>
      </w:pPr>
      <w:r w:rsidRPr="00882AF5">
        <w:rPr>
          <w:b/>
        </w:rPr>
        <w:t>5.</w:t>
      </w:r>
      <w:r w:rsidRPr="00882AF5">
        <w:rPr>
          <w:b/>
        </w:rPr>
        <w:tab/>
        <w:t xml:space="preserve">Kā uzglabāt </w:t>
      </w:r>
      <w:r w:rsidR="006F2427" w:rsidRPr="00882AF5">
        <w:rPr>
          <w:b/>
        </w:rPr>
        <w:t>Stoboclo</w:t>
      </w:r>
    </w:p>
    <w:p w14:paraId="1D8F68AA" w14:textId="77777777" w:rsidR="00382BC2" w:rsidRPr="00882AF5" w:rsidRDefault="00382BC2" w:rsidP="008B4ED7">
      <w:pPr>
        <w:keepNext/>
      </w:pPr>
    </w:p>
    <w:p w14:paraId="21AF01F9" w14:textId="77777777" w:rsidR="00382BC2" w:rsidRPr="00882AF5" w:rsidRDefault="00382BC2" w:rsidP="008B4ED7">
      <w:pPr>
        <w:tabs>
          <w:tab w:val="clear" w:pos="567"/>
        </w:tabs>
      </w:pPr>
      <w:r w:rsidRPr="00882AF5">
        <w:t>Uzglabāt šīs zāles bērniem neredzamā un nepieejamā vietā.</w:t>
      </w:r>
    </w:p>
    <w:p w14:paraId="51EB7A7C" w14:textId="77777777" w:rsidR="00382BC2" w:rsidRPr="00882AF5" w:rsidRDefault="00382BC2" w:rsidP="008B4ED7">
      <w:pPr>
        <w:tabs>
          <w:tab w:val="clear" w:pos="567"/>
        </w:tabs>
      </w:pPr>
    </w:p>
    <w:p w14:paraId="51C6B665" w14:textId="58B7EAA0" w:rsidR="00382BC2" w:rsidRPr="00882AF5" w:rsidRDefault="00382BC2" w:rsidP="008B4ED7">
      <w:pPr>
        <w:tabs>
          <w:tab w:val="clear" w:pos="567"/>
        </w:tabs>
      </w:pPr>
      <w:r w:rsidRPr="00882AF5">
        <w:t xml:space="preserve">Nelietot šīs zāles pēc derīguma termiņa beigām, kas norādīts uz etiķetes </w:t>
      </w:r>
      <w:r w:rsidR="00661E7C" w:rsidRPr="00882AF5">
        <w:t xml:space="preserve">un kastītes </w:t>
      </w:r>
      <w:r w:rsidRPr="00882AF5">
        <w:t xml:space="preserve">pēc </w:t>
      </w:r>
      <w:r w:rsidR="007E2BA5">
        <w:t>“</w:t>
      </w:r>
      <w:r w:rsidRPr="00882AF5">
        <w:t>EXP”. Derīguma termiņš attiecas uz norādītā mēneša pēdējo dienu.</w:t>
      </w:r>
    </w:p>
    <w:p w14:paraId="4F50283E" w14:textId="77777777" w:rsidR="00382BC2" w:rsidRPr="00882AF5" w:rsidRDefault="00382BC2" w:rsidP="008B4ED7">
      <w:pPr>
        <w:tabs>
          <w:tab w:val="clear" w:pos="567"/>
        </w:tabs>
      </w:pPr>
    </w:p>
    <w:p w14:paraId="5124AD69" w14:textId="77777777" w:rsidR="00382BC2" w:rsidRPr="00882AF5" w:rsidRDefault="00382BC2" w:rsidP="008B4ED7">
      <w:pPr>
        <w:tabs>
          <w:tab w:val="clear" w:pos="567"/>
        </w:tabs>
      </w:pPr>
      <w:r w:rsidRPr="00882AF5">
        <w:t>Uzglabāt ledusskapī (2°C – 8°C).</w:t>
      </w:r>
    </w:p>
    <w:p w14:paraId="071D7BA6" w14:textId="77777777" w:rsidR="00382BC2" w:rsidRPr="00882AF5" w:rsidRDefault="00382BC2" w:rsidP="008B4ED7">
      <w:pPr>
        <w:tabs>
          <w:tab w:val="clear" w:pos="567"/>
        </w:tabs>
      </w:pPr>
      <w:r w:rsidRPr="00882AF5">
        <w:t>Nesasaldēt.</w:t>
      </w:r>
    </w:p>
    <w:p w14:paraId="111D555E" w14:textId="4E63970D" w:rsidR="00601A36" w:rsidRPr="00882AF5" w:rsidRDefault="00601A36" w:rsidP="008B4ED7">
      <w:pPr>
        <w:tabs>
          <w:tab w:val="clear" w:pos="567"/>
        </w:tabs>
      </w:pPr>
      <w:r w:rsidRPr="00882AF5">
        <w:t>Uzglabāt pilnšļirci ārējā iepakojumā, lai pasargātu no gaismas.</w:t>
      </w:r>
    </w:p>
    <w:p w14:paraId="6F8A38C9" w14:textId="77777777" w:rsidR="00382BC2" w:rsidRPr="00882AF5" w:rsidRDefault="00382BC2" w:rsidP="008B4ED7">
      <w:pPr>
        <w:tabs>
          <w:tab w:val="clear" w:pos="567"/>
        </w:tabs>
      </w:pPr>
    </w:p>
    <w:p w14:paraId="24B17BCB" w14:textId="40CBDEAD" w:rsidR="00382BC2" w:rsidRPr="00882AF5" w:rsidRDefault="00382BC2" w:rsidP="008B4ED7">
      <w:pPr>
        <w:tabs>
          <w:tab w:val="clear" w:pos="567"/>
        </w:tabs>
      </w:pPr>
      <w:r w:rsidRPr="00882AF5">
        <w:t xml:space="preserve">Pirms injekcijas pilnšļirci var izņemt no ledusskapja, lai tā sasniegtu istabas temperatūru (līdz 25°C). Tas padarīs injekciju daudz komfortablāku. Kad šļirce tiek izņemta no ledusskapja istabas temperatūras sasniegšanai (līdz 25°C), tā jāizlieto </w:t>
      </w:r>
      <w:r w:rsidR="00AF6F88" w:rsidRPr="00882AF5">
        <w:t xml:space="preserve">1 mēneša </w:t>
      </w:r>
      <w:r w:rsidRPr="00882AF5">
        <w:t>laikā.</w:t>
      </w:r>
    </w:p>
    <w:p w14:paraId="47E6EF7D" w14:textId="77777777" w:rsidR="00382BC2" w:rsidRPr="00882AF5" w:rsidRDefault="00382BC2" w:rsidP="008B4ED7">
      <w:pPr>
        <w:tabs>
          <w:tab w:val="clear" w:pos="567"/>
        </w:tabs>
      </w:pPr>
    </w:p>
    <w:p w14:paraId="017E78F6" w14:textId="77777777" w:rsidR="00382BC2" w:rsidRPr="00882AF5" w:rsidRDefault="00382BC2" w:rsidP="008B4ED7">
      <w:pPr>
        <w:tabs>
          <w:tab w:val="clear" w:pos="567"/>
        </w:tabs>
      </w:pPr>
      <w:r w:rsidRPr="00882AF5">
        <w:t>Neizmetiet zāles kanalizācijā vai sadzīves atkritumos. Vaicājiet farmaceitam, kā izmest zāles, kuras vairs nelietojat. Šie pasākumi palīdzēs aizsargāt apkārtējo vidi.</w:t>
      </w:r>
    </w:p>
    <w:p w14:paraId="6BF33414" w14:textId="77777777" w:rsidR="00382BC2" w:rsidRPr="00882AF5" w:rsidRDefault="00382BC2" w:rsidP="008B4ED7">
      <w:pPr>
        <w:tabs>
          <w:tab w:val="clear" w:pos="567"/>
        </w:tabs>
      </w:pPr>
    </w:p>
    <w:p w14:paraId="6C21E4BE" w14:textId="77777777" w:rsidR="00382BC2" w:rsidRPr="00882AF5" w:rsidRDefault="00382BC2" w:rsidP="008B4ED7">
      <w:pPr>
        <w:tabs>
          <w:tab w:val="clear" w:pos="567"/>
        </w:tabs>
      </w:pPr>
    </w:p>
    <w:p w14:paraId="6B512D9B" w14:textId="77777777" w:rsidR="008603DE" w:rsidRPr="00882AF5" w:rsidRDefault="00382BC2" w:rsidP="008B4ED7">
      <w:pPr>
        <w:keepNext/>
        <w:tabs>
          <w:tab w:val="clear" w:pos="567"/>
        </w:tabs>
        <w:ind w:left="567" w:hanging="567"/>
        <w:rPr>
          <w:b/>
        </w:rPr>
      </w:pPr>
      <w:r w:rsidRPr="00882AF5">
        <w:rPr>
          <w:b/>
        </w:rPr>
        <w:t>6.</w:t>
      </w:r>
      <w:r w:rsidRPr="00882AF5">
        <w:rPr>
          <w:b/>
        </w:rPr>
        <w:tab/>
        <w:t>Iepakojuma saturs un cita informācija</w:t>
      </w:r>
    </w:p>
    <w:p w14:paraId="244F7265" w14:textId="77777777" w:rsidR="00382BC2" w:rsidRPr="00882AF5" w:rsidRDefault="00382BC2" w:rsidP="008B4ED7">
      <w:pPr>
        <w:keepNext/>
      </w:pPr>
    </w:p>
    <w:p w14:paraId="16E45380" w14:textId="682A7441" w:rsidR="00382BC2" w:rsidRPr="00882AF5" w:rsidRDefault="00382BC2" w:rsidP="00F51F12">
      <w:pPr>
        <w:keepNext/>
        <w:tabs>
          <w:tab w:val="clear" w:pos="567"/>
        </w:tabs>
        <w:rPr>
          <w:b/>
          <w:bCs/>
        </w:rPr>
      </w:pPr>
      <w:r w:rsidRPr="00882AF5">
        <w:rPr>
          <w:b/>
        </w:rPr>
        <w:t xml:space="preserve">Ko </w:t>
      </w:r>
      <w:r w:rsidR="00AF6F88" w:rsidRPr="00882AF5">
        <w:rPr>
          <w:b/>
        </w:rPr>
        <w:t xml:space="preserve">Stoboclo </w:t>
      </w:r>
      <w:r w:rsidRPr="00882AF5">
        <w:rPr>
          <w:b/>
        </w:rPr>
        <w:t>satur</w:t>
      </w:r>
    </w:p>
    <w:p w14:paraId="506421ED" w14:textId="77777777" w:rsidR="00382BC2" w:rsidRPr="00882AF5" w:rsidRDefault="00382BC2" w:rsidP="008B4ED7">
      <w:pPr>
        <w:keepNext/>
      </w:pPr>
    </w:p>
    <w:p w14:paraId="2C76656E" w14:textId="7782BA14" w:rsidR="00382BC2" w:rsidRPr="00882AF5" w:rsidRDefault="00382BC2" w:rsidP="00F51F12">
      <w:pPr>
        <w:numPr>
          <w:ilvl w:val="0"/>
          <w:numId w:val="56"/>
        </w:numPr>
        <w:ind w:left="567" w:hanging="567"/>
      </w:pPr>
      <w:r w:rsidRPr="00882AF5">
        <w:t xml:space="preserve">Aktīvā viela ir </w:t>
      </w:r>
      <w:r w:rsidR="00417EC9">
        <w:t>denozumab</w:t>
      </w:r>
      <w:r w:rsidRPr="00882AF5">
        <w:t xml:space="preserve">s. Katra 1 ml pilnšļirce satur 60 mg </w:t>
      </w:r>
      <w:r w:rsidR="00417EC9">
        <w:t>denozumab</w:t>
      </w:r>
      <w:r w:rsidRPr="00882AF5">
        <w:t>a (60 mg/ml).</w:t>
      </w:r>
    </w:p>
    <w:p w14:paraId="551DE8C1" w14:textId="7C31663A" w:rsidR="008603DE" w:rsidRPr="00882AF5" w:rsidRDefault="00382BC2" w:rsidP="00F51F12">
      <w:pPr>
        <w:numPr>
          <w:ilvl w:val="0"/>
          <w:numId w:val="56"/>
        </w:numPr>
        <w:ind w:left="567" w:hanging="567"/>
      </w:pPr>
      <w:r w:rsidRPr="00882AF5">
        <w:t xml:space="preserve">Citas sastāvdaļas ir etiķskābe, nātrija </w:t>
      </w:r>
      <w:r w:rsidR="00AF6F88" w:rsidRPr="00882AF5">
        <w:t>acetāta trihidrāts</w:t>
      </w:r>
      <w:r w:rsidRPr="00882AF5">
        <w:t xml:space="preserve">, sorbīts (E420), polisorbāts 20 </w:t>
      </w:r>
      <w:r w:rsidR="00C57E34">
        <w:t xml:space="preserve">(E432) </w:t>
      </w:r>
      <w:r w:rsidRPr="00882AF5">
        <w:t>un ūdens injekcijām.</w:t>
      </w:r>
    </w:p>
    <w:p w14:paraId="77770C00" w14:textId="77777777" w:rsidR="00382BC2" w:rsidRPr="00882AF5" w:rsidRDefault="00382BC2" w:rsidP="008B4ED7">
      <w:pPr>
        <w:ind w:right="-2"/>
      </w:pPr>
    </w:p>
    <w:p w14:paraId="2D145EAD" w14:textId="0E2BC8CB" w:rsidR="00382BC2" w:rsidRPr="00882AF5" w:rsidRDefault="006A3588" w:rsidP="00F51F12">
      <w:pPr>
        <w:keepNext/>
        <w:tabs>
          <w:tab w:val="clear" w:pos="567"/>
        </w:tabs>
        <w:rPr>
          <w:b/>
          <w:bCs/>
        </w:rPr>
      </w:pPr>
      <w:r w:rsidRPr="00882AF5">
        <w:rPr>
          <w:b/>
        </w:rPr>
        <w:t xml:space="preserve">Stoboclo </w:t>
      </w:r>
      <w:r w:rsidR="00382BC2" w:rsidRPr="00882AF5">
        <w:rPr>
          <w:b/>
        </w:rPr>
        <w:t>ārējais izskats un iepakojums</w:t>
      </w:r>
    </w:p>
    <w:p w14:paraId="0180E44D" w14:textId="77777777" w:rsidR="00382BC2" w:rsidRPr="00882AF5" w:rsidRDefault="00382BC2" w:rsidP="008B4ED7">
      <w:pPr>
        <w:keepNext/>
      </w:pPr>
    </w:p>
    <w:p w14:paraId="48C2FC18" w14:textId="38914580" w:rsidR="008603DE" w:rsidRPr="00882AF5" w:rsidRDefault="008E4296" w:rsidP="008B4ED7">
      <w:pPr>
        <w:tabs>
          <w:tab w:val="clear" w:pos="567"/>
        </w:tabs>
      </w:pPr>
      <w:r w:rsidRPr="00882AF5">
        <w:t xml:space="preserve">Stoboclo </w:t>
      </w:r>
      <w:r w:rsidR="00382BC2" w:rsidRPr="00882AF5">
        <w:t xml:space="preserve">ir dzidrs, bezkrāsains vai </w:t>
      </w:r>
      <w:r w:rsidRPr="00882AF5">
        <w:t xml:space="preserve">blāvi </w:t>
      </w:r>
      <w:r w:rsidR="00382BC2" w:rsidRPr="00882AF5">
        <w:t>dzeltens šķīdums injekcijām, iepildīts pilnšļircē, kas gatava lietošanai.</w:t>
      </w:r>
    </w:p>
    <w:p w14:paraId="7B4DFF4E" w14:textId="77777777" w:rsidR="00382BC2" w:rsidRPr="00882AF5" w:rsidRDefault="00382BC2" w:rsidP="008B4ED7">
      <w:pPr>
        <w:tabs>
          <w:tab w:val="clear" w:pos="567"/>
        </w:tabs>
      </w:pPr>
    </w:p>
    <w:p w14:paraId="7A484FCA" w14:textId="77777777" w:rsidR="00382BC2" w:rsidRPr="00882AF5" w:rsidRDefault="00382BC2" w:rsidP="00F51F12">
      <w:pPr>
        <w:keepNext/>
        <w:tabs>
          <w:tab w:val="clear" w:pos="567"/>
        </w:tabs>
      </w:pPr>
      <w:r w:rsidRPr="00882AF5">
        <w:t>Katrā iepakojumā ir viena pilnšļirce ar adatas aizsargu.</w:t>
      </w:r>
    </w:p>
    <w:p w14:paraId="5B65B201" w14:textId="77777777" w:rsidR="00601A36" w:rsidRPr="00882AF5" w:rsidRDefault="00601A36" w:rsidP="008B4ED7">
      <w:pPr>
        <w:tabs>
          <w:tab w:val="clear" w:pos="567"/>
        </w:tabs>
      </w:pPr>
    </w:p>
    <w:p w14:paraId="3EA647EA" w14:textId="77777777" w:rsidR="00F54EEB" w:rsidRPr="00666FDE" w:rsidRDefault="00F54EEB" w:rsidP="008B4ED7">
      <w:pPr>
        <w:keepNext/>
        <w:autoSpaceDE w:val="0"/>
        <w:autoSpaceDN w:val="0"/>
        <w:adjustRightInd w:val="0"/>
        <w:rPr>
          <w:b/>
          <w:bCs/>
        </w:rPr>
      </w:pPr>
      <w:r w:rsidRPr="00666FDE">
        <w:rPr>
          <w:b/>
        </w:rPr>
        <w:t>Reģistrācijas apliecības īpašnieks</w:t>
      </w:r>
    </w:p>
    <w:p w14:paraId="2297CCD2" w14:textId="77777777" w:rsidR="00112EA1" w:rsidRPr="00576130" w:rsidRDefault="00112EA1" w:rsidP="00112EA1">
      <w:pPr>
        <w:keepNext/>
      </w:pPr>
      <w:r w:rsidRPr="00576130">
        <w:t>Celltrion Healthcare Hungary Kft.</w:t>
      </w:r>
    </w:p>
    <w:p w14:paraId="34996177" w14:textId="77777777" w:rsidR="00112EA1" w:rsidRPr="00576130" w:rsidRDefault="00112EA1" w:rsidP="00112EA1">
      <w:pPr>
        <w:keepNext/>
      </w:pPr>
      <w:r w:rsidRPr="00576130">
        <w:t>1062 Budapest</w:t>
      </w:r>
    </w:p>
    <w:p w14:paraId="7B3CEF83" w14:textId="77777777" w:rsidR="00112EA1" w:rsidRPr="00576130" w:rsidRDefault="00112EA1" w:rsidP="00112EA1">
      <w:pPr>
        <w:keepNext/>
      </w:pPr>
      <w:r w:rsidRPr="00576130">
        <w:t>Váci út 1-3. WestEnd Office Building B torony</w:t>
      </w:r>
    </w:p>
    <w:p w14:paraId="6BBD7A42" w14:textId="5BB78FA5" w:rsidR="00112EA1" w:rsidRPr="00576130" w:rsidRDefault="00112EA1" w:rsidP="00112EA1">
      <w:r w:rsidRPr="00576130">
        <w:t>Ungārija</w:t>
      </w:r>
    </w:p>
    <w:p w14:paraId="4CAACECF" w14:textId="77777777" w:rsidR="00085792" w:rsidRPr="00576130" w:rsidRDefault="00085792" w:rsidP="008B4ED7">
      <w:pPr>
        <w:tabs>
          <w:tab w:val="clear" w:pos="567"/>
        </w:tabs>
      </w:pPr>
    </w:p>
    <w:p w14:paraId="4D3D52E0" w14:textId="10CC9718" w:rsidR="008F49CC" w:rsidRPr="00666FDE" w:rsidRDefault="008F49CC" w:rsidP="008F49CC">
      <w:pPr>
        <w:ind w:right="-2"/>
        <w:rPr>
          <w:b/>
          <w:bCs/>
          <w:noProof/>
          <w:szCs w:val="20"/>
        </w:rPr>
      </w:pPr>
      <w:r w:rsidRPr="00666FDE">
        <w:rPr>
          <w:b/>
          <w:bCs/>
          <w:noProof/>
          <w:szCs w:val="20"/>
        </w:rPr>
        <w:t>Ražotājs</w:t>
      </w:r>
    </w:p>
    <w:p w14:paraId="65BE3342" w14:textId="77777777" w:rsidR="008F49CC" w:rsidRPr="00666FDE" w:rsidRDefault="008F49CC" w:rsidP="008F49CC">
      <w:pPr>
        <w:keepNext/>
      </w:pPr>
      <w:r w:rsidRPr="00666FDE">
        <w:t>Nuvisan France S.A.R.L</w:t>
      </w:r>
    </w:p>
    <w:p w14:paraId="4CC15F91" w14:textId="77777777" w:rsidR="008F49CC" w:rsidRPr="00666FDE" w:rsidRDefault="008F49CC" w:rsidP="008F49CC">
      <w:pPr>
        <w:keepNext/>
      </w:pPr>
      <w:r w:rsidRPr="00666FDE">
        <w:t>2400 Route des Colles,</w:t>
      </w:r>
    </w:p>
    <w:p w14:paraId="317C096E" w14:textId="77777777" w:rsidR="008F49CC" w:rsidRPr="00666FDE" w:rsidRDefault="008F49CC" w:rsidP="008F49CC">
      <w:pPr>
        <w:keepNext/>
      </w:pPr>
      <w:r w:rsidRPr="00666FDE">
        <w:t>Biot, 06410</w:t>
      </w:r>
    </w:p>
    <w:p w14:paraId="7E828CEF" w14:textId="665318B1" w:rsidR="008F49CC" w:rsidRPr="00882AF5" w:rsidRDefault="008F49CC" w:rsidP="008F49CC">
      <w:r w:rsidRPr="00666FDE">
        <w:t>Francija</w:t>
      </w:r>
    </w:p>
    <w:p w14:paraId="14BC5ECE" w14:textId="77777777" w:rsidR="008F49CC" w:rsidRPr="00882AF5" w:rsidRDefault="008F49CC" w:rsidP="008F49CC">
      <w:pPr>
        <w:rPr>
          <w:lang w:eastAsia="ko-KR"/>
        </w:rPr>
      </w:pPr>
    </w:p>
    <w:p w14:paraId="65B9EB22" w14:textId="799AB0AE" w:rsidR="008F49CC" w:rsidRPr="000E71B2" w:rsidRDefault="008F49CC" w:rsidP="008F49CC">
      <w:pPr>
        <w:ind w:right="-2"/>
        <w:rPr>
          <w:b/>
          <w:bCs/>
          <w:noProof/>
          <w:szCs w:val="20"/>
          <w:lang w:eastAsia="ko-KR"/>
        </w:rPr>
      </w:pPr>
      <w:r>
        <w:rPr>
          <w:b/>
          <w:bCs/>
          <w:noProof/>
          <w:szCs w:val="20"/>
          <w:rPrChange w:id="1" w:author="만든 이">
            <w:rPr>
              <w:b/>
              <w:bCs/>
              <w:noProof/>
              <w:szCs w:val="20"/>
              <w:highlight w:val="lightGray"/>
            </w:rPr>
          </w:rPrChange>
        </w:rPr>
        <w:t>Ražotājs</w:t>
      </w:r>
    </w:p>
    <w:p w14:paraId="549F46B9" w14:textId="77777777" w:rsidR="008F49CC" w:rsidRDefault="008F49CC" w:rsidP="008F49CC">
      <w:pPr>
        <w:keepNext/>
        <w:rPr>
          <w:rPrChange w:id="2" w:author="만든 이">
            <w:rPr>
              <w:highlight w:val="lightGray"/>
            </w:rPr>
          </w:rPrChange>
        </w:rPr>
      </w:pPr>
      <w:r>
        <w:rPr>
          <w:rPrChange w:id="3" w:author="만든 이">
            <w:rPr>
              <w:highlight w:val="lightGray"/>
            </w:rPr>
          </w:rPrChange>
        </w:rPr>
        <w:t>Midas Pharma GmbH</w:t>
      </w:r>
    </w:p>
    <w:p w14:paraId="7D6909CF" w14:textId="77777777" w:rsidR="008F49CC" w:rsidRDefault="008F49CC" w:rsidP="008F49CC">
      <w:pPr>
        <w:keepNext/>
        <w:rPr>
          <w:rPrChange w:id="4" w:author="만든 이">
            <w:rPr>
              <w:highlight w:val="lightGray"/>
            </w:rPr>
          </w:rPrChange>
        </w:rPr>
      </w:pPr>
      <w:r>
        <w:rPr>
          <w:rPrChange w:id="5" w:author="만든 이">
            <w:rPr>
              <w:highlight w:val="lightGray"/>
            </w:rPr>
          </w:rPrChange>
        </w:rPr>
        <w:t>Rheinstrasse 49, West,</w:t>
      </w:r>
    </w:p>
    <w:p w14:paraId="41AA4BE6" w14:textId="77777777" w:rsidR="008F49CC" w:rsidRDefault="008F49CC" w:rsidP="008F49CC">
      <w:pPr>
        <w:keepNext/>
        <w:rPr>
          <w:rPrChange w:id="6" w:author="만든 이">
            <w:rPr>
              <w:highlight w:val="lightGray"/>
            </w:rPr>
          </w:rPrChange>
        </w:rPr>
      </w:pPr>
      <w:r>
        <w:rPr>
          <w:rPrChange w:id="7" w:author="만든 이">
            <w:rPr>
              <w:highlight w:val="lightGray"/>
            </w:rPr>
          </w:rPrChange>
        </w:rPr>
        <w:t xml:space="preserve">Ingelheim Am Rhein, </w:t>
      </w:r>
    </w:p>
    <w:p w14:paraId="3D2EA094" w14:textId="77777777" w:rsidR="008F49CC" w:rsidRDefault="008F49CC" w:rsidP="008F49CC">
      <w:pPr>
        <w:keepNext/>
        <w:rPr>
          <w:rPrChange w:id="8" w:author="만든 이">
            <w:rPr>
              <w:highlight w:val="lightGray"/>
            </w:rPr>
          </w:rPrChange>
        </w:rPr>
      </w:pPr>
      <w:r>
        <w:rPr>
          <w:rPrChange w:id="9" w:author="만든 이">
            <w:rPr>
              <w:highlight w:val="lightGray"/>
            </w:rPr>
          </w:rPrChange>
        </w:rPr>
        <w:t>Rhineland-Palatinate, 55218</w:t>
      </w:r>
    </w:p>
    <w:p w14:paraId="40D3286E" w14:textId="553B43D2" w:rsidR="008F49CC" w:rsidRDefault="008F49CC" w:rsidP="008F49CC">
      <w:pPr>
        <w:rPr>
          <w:lang w:eastAsia="ko-KR"/>
          <w:rPrChange w:id="10" w:author="만든 이">
            <w:rPr>
              <w:highlight w:val="lightGray"/>
              <w:lang w:eastAsia="ko-KR"/>
            </w:rPr>
          </w:rPrChange>
        </w:rPr>
      </w:pPr>
      <w:r>
        <w:rPr>
          <w:rPrChange w:id="11" w:author="만든 이">
            <w:rPr>
              <w:highlight w:val="lightGray"/>
            </w:rPr>
          </w:rPrChange>
        </w:rPr>
        <w:t>Vācija</w:t>
      </w:r>
    </w:p>
    <w:p w14:paraId="7FC2D58E" w14:textId="77777777" w:rsidR="008F49CC" w:rsidRDefault="008F49CC" w:rsidP="008F49CC">
      <w:pPr>
        <w:rPr>
          <w:rPrChange w:id="12" w:author="만든 이">
            <w:rPr>
              <w:highlight w:val="lightGray"/>
            </w:rPr>
          </w:rPrChange>
        </w:rPr>
      </w:pPr>
    </w:p>
    <w:p w14:paraId="7087A15E" w14:textId="4CF1F5BB" w:rsidR="008F49CC" w:rsidRDefault="008F49CC" w:rsidP="008F49CC">
      <w:pPr>
        <w:keepNext/>
        <w:rPr>
          <w:b/>
          <w:bCs/>
          <w:rPrChange w:id="13" w:author="만든 이">
            <w:rPr>
              <w:b/>
              <w:bCs/>
              <w:highlight w:val="lightGray"/>
            </w:rPr>
          </w:rPrChange>
        </w:rPr>
      </w:pPr>
      <w:r>
        <w:rPr>
          <w:b/>
          <w:bCs/>
          <w:rPrChange w:id="14" w:author="만든 이">
            <w:rPr>
              <w:b/>
              <w:bCs/>
              <w:highlight w:val="lightGray"/>
            </w:rPr>
          </w:rPrChange>
        </w:rPr>
        <w:t>Ražotājs</w:t>
      </w:r>
    </w:p>
    <w:p w14:paraId="1E468BDC" w14:textId="77777777" w:rsidR="008F49CC" w:rsidRDefault="008F49CC" w:rsidP="008F49CC">
      <w:pPr>
        <w:keepNext/>
        <w:rPr>
          <w:rPrChange w:id="15" w:author="만든 이">
            <w:rPr>
              <w:highlight w:val="lightGray"/>
            </w:rPr>
          </w:rPrChange>
        </w:rPr>
      </w:pPr>
      <w:r>
        <w:rPr>
          <w:rPrChange w:id="16" w:author="만든 이">
            <w:rPr>
              <w:highlight w:val="lightGray"/>
            </w:rPr>
          </w:rPrChange>
        </w:rPr>
        <w:t>Kymos S.L.</w:t>
      </w:r>
    </w:p>
    <w:p w14:paraId="13704261" w14:textId="77777777" w:rsidR="008F49CC" w:rsidRDefault="008F49CC" w:rsidP="008F49CC">
      <w:pPr>
        <w:keepNext/>
        <w:rPr>
          <w:rPrChange w:id="17" w:author="만든 이">
            <w:rPr>
              <w:highlight w:val="lightGray"/>
            </w:rPr>
          </w:rPrChange>
        </w:rPr>
      </w:pPr>
      <w:r>
        <w:rPr>
          <w:rPrChange w:id="18" w:author="만든 이">
            <w:rPr>
              <w:highlight w:val="lightGray"/>
            </w:rPr>
          </w:rPrChange>
        </w:rPr>
        <w:t>Ronda de Can Fatjó, 7B</w:t>
      </w:r>
    </w:p>
    <w:p w14:paraId="54AF3357" w14:textId="77777777" w:rsidR="008F49CC" w:rsidRDefault="008F49CC" w:rsidP="008F49CC">
      <w:pPr>
        <w:keepNext/>
        <w:rPr>
          <w:rPrChange w:id="19" w:author="만든 이">
            <w:rPr>
              <w:highlight w:val="lightGray"/>
            </w:rPr>
          </w:rPrChange>
        </w:rPr>
      </w:pPr>
      <w:r>
        <w:rPr>
          <w:rPrChange w:id="20" w:author="만든 이">
            <w:rPr>
              <w:highlight w:val="lightGray"/>
            </w:rPr>
          </w:rPrChange>
        </w:rPr>
        <w:t>Parc Tecnològic del Vallès,</w:t>
      </w:r>
    </w:p>
    <w:p w14:paraId="605181F8" w14:textId="77777777" w:rsidR="008F49CC" w:rsidRDefault="008F49CC" w:rsidP="008F49CC">
      <w:pPr>
        <w:keepNext/>
        <w:rPr>
          <w:rPrChange w:id="21" w:author="만든 이">
            <w:rPr>
              <w:highlight w:val="lightGray"/>
            </w:rPr>
          </w:rPrChange>
        </w:rPr>
      </w:pPr>
      <w:r>
        <w:rPr>
          <w:rPrChange w:id="22" w:author="만든 이">
            <w:rPr>
              <w:highlight w:val="lightGray"/>
            </w:rPr>
          </w:rPrChange>
        </w:rPr>
        <w:t xml:space="preserve">Cerdanyola del Vallès, </w:t>
      </w:r>
    </w:p>
    <w:p w14:paraId="31F4007B" w14:textId="77777777" w:rsidR="008F49CC" w:rsidRDefault="008F49CC" w:rsidP="008F49CC">
      <w:pPr>
        <w:keepNext/>
        <w:rPr>
          <w:rPrChange w:id="23" w:author="만든 이">
            <w:rPr>
              <w:highlight w:val="lightGray"/>
            </w:rPr>
          </w:rPrChange>
        </w:rPr>
      </w:pPr>
      <w:r>
        <w:rPr>
          <w:rPrChange w:id="24" w:author="만든 이">
            <w:rPr>
              <w:highlight w:val="lightGray"/>
            </w:rPr>
          </w:rPrChange>
        </w:rPr>
        <w:t>Barcelona, 08290</w:t>
      </w:r>
    </w:p>
    <w:p w14:paraId="78C32C0C" w14:textId="24ABA205" w:rsidR="008F49CC" w:rsidRPr="00882AF5" w:rsidRDefault="008F49CC" w:rsidP="008F49CC">
      <w:r>
        <w:rPr>
          <w:rPrChange w:id="25" w:author="만든 이">
            <w:rPr>
              <w:highlight w:val="lightGray"/>
            </w:rPr>
          </w:rPrChange>
        </w:rPr>
        <w:t>Spānija</w:t>
      </w:r>
    </w:p>
    <w:p w14:paraId="699398B8" w14:textId="77777777" w:rsidR="007E53D0" w:rsidRPr="00882AF5" w:rsidRDefault="007E53D0" w:rsidP="00666FDE">
      <w:pPr>
        <w:autoSpaceDE w:val="0"/>
        <w:autoSpaceDN w:val="0"/>
        <w:adjustRightInd w:val="0"/>
      </w:pPr>
    </w:p>
    <w:p w14:paraId="18E9D9C4" w14:textId="6D297CDC" w:rsidR="008A1115" w:rsidRPr="00882AF5" w:rsidRDefault="00382BC2" w:rsidP="009004F5">
      <w:pPr>
        <w:tabs>
          <w:tab w:val="clear" w:pos="567"/>
        </w:tabs>
      </w:pPr>
      <w:r w:rsidRPr="00882AF5">
        <w:t>Lai saņemtu papildu informāciju par šīm zālēm, lūdzam sazināties ar reģistrācijas apliecības īpašnieka vietējo pārstāvniecību:</w:t>
      </w:r>
    </w:p>
    <w:tbl>
      <w:tblPr>
        <w:tblW w:w="9356" w:type="dxa"/>
        <w:tblInd w:w="-34" w:type="dxa"/>
        <w:tblLayout w:type="fixed"/>
        <w:tblLook w:val="0000" w:firstRow="0" w:lastRow="0" w:firstColumn="0" w:lastColumn="0" w:noHBand="0" w:noVBand="0"/>
      </w:tblPr>
      <w:tblGrid>
        <w:gridCol w:w="4678"/>
        <w:gridCol w:w="4678"/>
      </w:tblGrid>
      <w:tr w:rsidR="00FB062E" w:rsidRPr="00FB062E" w14:paraId="4FB2E085" w14:textId="77777777" w:rsidTr="00527191">
        <w:trPr>
          <w:trHeight w:val="1078"/>
        </w:trPr>
        <w:tc>
          <w:tcPr>
            <w:tcW w:w="4678" w:type="dxa"/>
          </w:tcPr>
          <w:p w14:paraId="6CD892E5"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lastRenderedPageBreak/>
              <w:t>België/Belgique/Belgien</w:t>
            </w:r>
          </w:p>
          <w:p w14:paraId="4B883BEC"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Belgium BVBA </w:t>
            </w:r>
          </w:p>
          <w:p w14:paraId="446FB9C1"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Tél/Tel: +32 1528 7418</w:t>
            </w:r>
          </w:p>
          <w:p w14:paraId="0D3605F8" w14:textId="77777777" w:rsidR="00FB062E" w:rsidRPr="00FB062E" w:rsidRDefault="00FB062E" w:rsidP="00FB062E">
            <w:pPr>
              <w:widowControl w:val="0"/>
              <w:tabs>
                <w:tab w:val="clear" w:pos="567"/>
              </w:tabs>
              <w:autoSpaceDE w:val="0"/>
              <w:autoSpaceDN w:val="0"/>
              <w:ind w:right="34"/>
              <w:rPr>
                <w:rFonts w:eastAsia="Times New Roman"/>
                <w:noProof/>
                <w:lang w:val="en-US"/>
              </w:rPr>
            </w:pPr>
            <w:hyperlink r:id="rId14" w:history="1">
              <w:r w:rsidRPr="00FB062E">
                <w:rPr>
                  <w:rFonts w:eastAsia="Times New Roman"/>
                  <w:color w:val="0000FF"/>
                  <w:u w:val="single"/>
                  <w:lang w:val="en-US"/>
                </w:rPr>
                <w:t>BEinfo@celltrionhc.com</w:t>
              </w:r>
            </w:hyperlink>
          </w:p>
          <w:p w14:paraId="6C8FC14D" w14:textId="77777777" w:rsidR="00FB062E" w:rsidRPr="00FB062E" w:rsidRDefault="00FB062E" w:rsidP="00FB062E">
            <w:pPr>
              <w:widowControl w:val="0"/>
              <w:tabs>
                <w:tab w:val="clear" w:pos="567"/>
              </w:tabs>
              <w:autoSpaceDE w:val="0"/>
              <w:autoSpaceDN w:val="0"/>
              <w:ind w:right="34"/>
              <w:rPr>
                <w:rFonts w:eastAsia="Times New Roman"/>
                <w:noProof/>
                <w:lang w:val="en-US"/>
              </w:rPr>
            </w:pPr>
          </w:p>
        </w:tc>
        <w:tc>
          <w:tcPr>
            <w:tcW w:w="4678" w:type="dxa"/>
          </w:tcPr>
          <w:p w14:paraId="61F78861"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b/>
                <w:noProof/>
                <w:lang w:val="en-US"/>
              </w:rPr>
              <w:t>Lietuva</w:t>
            </w:r>
          </w:p>
          <w:p w14:paraId="7037D02B"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ins w:id="26" w:author="만든 이">
              <w:r w:rsidRPr="00FB062E">
                <w:rPr>
                  <w:rFonts w:eastAsia="Times New Roman"/>
                  <w:noProof/>
                  <w:lang w:val="en-US"/>
                </w:rPr>
                <w:t>Celltrion Healthcare Hungary Kft.</w:t>
              </w:r>
            </w:ins>
            <w:del w:id="27" w:author="만든 이">
              <w:r w:rsidRPr="00FB062E" w:rsidDel="003B0478">
                <w:rPr>
                  <w:rFonts w:eastAsia="Times New Roman"/>
                  <w:noProof/>
                  <w:lang w:val="en-US"/>
                </w:rPr>
                <w:delText>EGIS PHARMACEUTICALS PLC atstovybė</w:delText>
              </w:r>
            </w:del>
          </w:p>
          <w:p w14:paraId="283A0725"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w:t>
            </w:r>
            <w:r w:rsidRPr="00FB062E">
              <w:rPr>
                <w:rFonts w:eastAsia="맑은 고딕" w:hint="eastAsia"/>
                <w:noProof/>
                <w:lang w:val="en-US" w:eastAsia="ko-KR"/>
              </w:rPr>
              <w:t xml:space="preserve"> </w:t>
            </w:r>
            <w:ins w:id="28" w:author="만든 이">
              <w:r w:rsidRPr="00FB062E">
                <w:rPr>
                  <w:rFonts w:eastAsia="Times New Roman"/>
                  <w:noProof/>
                  <w:lang w:val="en-US"/>
                </w:rPr>
                <w:t>36 1 231 0493</w:t>
              </w:r>
            </w:ins>
            <w:del w:id="29" w:author="만든 이">
              <w:r w:rsidRPr="00FB062E" w:rsidDel="003B0478">
                <w:rPr>
                  <w:rFonts w:eastAsia="Times New Roman"/>
                  <w:noProof/>
                  <w:lang w:val="en-US"/>
                </w:rPr>
                <w:delText>370 5 231 4658</w:delText>
              </w:r>
            </w:del>
          </w:p>
          <w:p w14:paraId="5530E44A" w14:textId="77777777" w:rsidR="00FB062E" w:rsidRPr="00FB062E" w:rsidRDefault="00FB062E" w:rsidP="00FB062E">
            <w:pPr>
              <w:widowControl w:val="0"/>
              <w:tabs>
                <w:tab w:val="clear" w:pos="567"/>
              </w:tabs>
              <w:autoSpaceDE w:val="0"/>
              <w:autoSpaceDN w:val="0"/>
              <w:adjustRightInd w:val="0"/>
              <w:rPr>
                <w:rFonts w:eastAsia="Times New Roman"/>
                <w:noProof/>
                <w:lang w:val="it-IT"/>
              </w:rPr>
            </w:pPr>
          </w:p>
        </w:tc>
      </w:tr>
      <w:tr w:rsidR="00FB062E" w:rsidRPr="00FB062E" w14:paraId="19F39312" w14:textId="77777777" w:rsidTr="00527191">
        <w:trPr>
          <w:trHeight w:val="927"/>
        </w:trPr>
        <w:tc>
          <w:tcPr>
            <w:tcW w:w="4678" w:type="dxa"/>
          </w:tcPr>
          <w:p w14:paraId="1C5C2EE7" w14:textId="77777777" w:rsidR="00FB062E" w:rsidRPr="00FB062E" w:rsidRDefault="00FB062E" w:rsidP="00FB062E">
            <w:pPr>
              <w:widowControl w:val="0"/>
              <w:tabs>
                <w:tab w:val="clear" w:pos="567"/>
              </w:tabs>
              <w:autoSpaceDE w:val="0"/>
              <w:autoSpaceDN w:val="0"/>
              <w:adjustRightInd w:val="0"/>
              <w:rPr>
                <w:rFonts w:eastAsia="Times New Roman"/>
                <w:b/>
                <w:bCs/>
                <w:lang w:val="it-IT"/>
              </w:rPr>
            </w:pPr>
            <w:proofErr w:type="spellStart"/>
            <w:r w:rsidRPr="00FB062E">
              <w:rPr>
                <w:rFonts w:eastAsia="Times New Roman"/>
                <w:b/>
                <w:bCs/>
                <w:lang w:val="en-US"/>
              </w:rPr>
              <w:t>България</w:t>
            </w:r>
            <w:proofErr w:type="spellEnd"/>
          </w:p>
          <w:p w14:paraId="17800C91"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ins w:id="30" w:author="만든 이">
              <w:r w:rsidRPr="00FB062E">
                <w:rPr>
                  <w:rFonts w:eastAsia="Times New Roman"/>
                  <w:noProof/>
                  <w:lang w:val="en-US"/>
                </w:rPr>
                <w:t>Celltrion Healthcare Hungary Kft.</w:t>
              </w:r>
            </w:ins>
            <w:del w:id="31" w:author="만든 이">
              <w:r w:rsidRPr="00FB062E" w:rsidDel="003B0478">
                <w:rPr>
                  <w:rFonts w:eastAsia="Times New Roman"/>
                  <w:noProof/>
                  <w:lang w:val="en-US"/>
                </w:rPr>
                <w:delText>EGIS Bulgaria EOOD</w:delText>
              </w:r>
            </w:del>
          </w:p>
          <w:p w14:paraId="266ED671"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Teл.: +</w:t>
            </w:r>
            <w:ins w:id="32" w:author="만든 이">
              <w:r w:rsidRPr="00FB062E">
                <w:rPr>
                  <w:rFonts w:eastAsia="Times New Roman"/>
                  <w:noProof/>
                  <w:lang w:val="en-US"/>
                </w:rPr>
                <w:t>36 1 231 0493</w:t>
              </w:r>
            </w:ins>
            <w:del w:id="33" w:author="만든 이">
              <w:r w:rsidRPr="00FB062E" w:rsidDel="003B0478">
                <w:rPr>
                  <w:rFonts w:eastAsia="Times New Roman"/>
                  <w:noProof/>
                  <w:lang w:val="en-US"/>
                </w:rPr>
                <w:delText>359 2 987 6040</w:delText>
              </w:r>
            </w:del>
          </w:p>
          <w:p w14:paraId="052576A2"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p>
        </w:tc>
        <w:tc>
          <w:tcPr>
            <w:tcW w:w="4678" w:type="dxa"/>
          </w:tcPr>
          <w:p w14:paraId="0944E691"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it-IT"/>
              </w:rPr>
            </w:pPr>
            <w:r w:rsidRPr="00FB062E">
              <w:rPr>
                <w:rFonts w:eastAsia="Times New Roman"/>
                <w:b/>
                <w:noProof/>
                <w:lang w:val="it-IT"/>
              </w:rPr>
              <w:t>Luxembourg/Luxemburg</w:t>
            </w:r>
          </w:p>
          <w:p w14:paraId="334E079E" w14:textId="77777777" w:rsidR="00FB062E" w:rsidRPr="00FB062E" w:rsidRDefault="00FB062E" w:rsidP="00FB062E">
            <w:pPr>
              <w:widowControl w:val="0"/>
              <w:tabs>
                <w:tab w:val="clear" w:pos="567"/>
              </w:tabs>
              <w:autoSpaceDE w:val="0"/>
              <w:autoSpaceDN w:val="0"/>
              <w:adjustRightInd w:val="0"/>
              <w:rPr>
                <w:rFonts w:eastAsia="Times New Roman"/>
                <w:noProof/>
                <w:lang w:val="de-DE"/>
              </w:rPr>
            </w:pPr>
            <w:r w:rsidRPr="00FB062E">
              <w:rPr>
                <w:rFonts w:eastAsia="Times New Roman"/>
                <w:noProof/>
                <w:lang w:val="de-DE"/>
              </w:rPr>
              <w:t xml:space="preserve">Celltrion Healthcare Belgium BVBA </w:t>
            </w:r>
          </w:p>
          <w:p w14:paraId="5387020D" w14:textId="77777777" w:rsidR="00FB062E" w:rsidRPr="00FB062E" w:rsidRDefault="00FB062E" w:rsidP="00FB062E">
            <w:pPr>
              <w:widowControl w:val="0"/>
              <w:tabs>
                <w:tab w:val="clear" w:pos="567"/>
              </w:tabs>
              <w:autoSpaceDE w:val="0"/>
              <w:autoSpaceDN w:val="0"/>
              <w:adjustRightInd w:val="0"/>
              <w:rPr>
                <w:rFonts w:eastAsia="Times New Roman"/>
                <w:lang w:val="en-US"/>
              </w:rPr>
            </w:pPr>
            <w:r w:rsidRPr="00FB062E">
              <w:rPr>
                <w:rFonts w:eastAsia="Times New Roman"/>
                <w:noProof/>
                <w:lang w:val="en-US"/>
              </w:rPr>
              <w:t>Té</w:t>
            </w:r>
            <w:r w:rsidRPr="00FB062E">
              <w:rPr>
                <w:rFonts w:eastAsia="Times New Roman"/>
                <w:lang w:val="en-US"/>
              </w:rPr>
              <w:t>l/Tel: +32 1528 7418</w:t>
            </w:r>
          </w:p>
          <w:p w14:paraId="7D669BC3" w14:textId="77777777" w:rsidR="00FB062E" w:rsidRPr="00FB062E" w:rsidRDefault="00FB062E" w:rsidP="00FB062E">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FB062E">
                <w:rPr>
                  <w:rFonts w:eastAsia="Times New Roman"/>
                  <w:color w:val="0000FF"/>
                  <w:u w:val="single"/>
                  <w:lang w:val="en-US"/>
                </w:rPr>
                <w:t>BEinfo@celltrionhc.com</w:t>
              </w:r>
            </w:hyperlink>
          </w:p>
          <w:p w14:paraId="64728F62"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0FD1273F" w14:textId="77777777" w:rsidTr="00527191">
        <w:trPr>
          <w:trHeight w:val="789"/>
        </w:trPr>
        <w:tc>
          <w:tcPr>
            <w:tcW w:w="4678" w:type="dxa"/>
          </w:tcPr>
          <w:p w14:paraId="305DE5AB"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sv-FI"/>
              </w:rPr>
            </w:pPr>
            <w:r w:rsidRPr="00FB062E">
              <w:rPr>
                <w:rFonts w:eastAsia="Times New Roman"/>
                <w:b/>
                <w:noProof/>
                <w:lang w:val="sv-FI"/>
              </w:rPr>
              <w:t>Česká republika</w:t>
            </w:r>
          </w:p>
          <w:p w14:paraId="1D409994" w14:textId="77777777" w:rsidR="00FB062E" w:rsidRPr="00FB062E" w:rsidRDefault="00FB062E" w:rsidP="00FB062E">
            <w:pPr>
              <w:widowControl w:val="0"/>
              <w:tabs>
                <w:tab w:val="clear" w:pos="567"/>
              </w:tabs>
              <w:autoSpaceDE w:val="0"/>
              <w:autoSpaceDN w:val="0"/>
              <w:adjustRightInd w:val="0"/>
              <w:rPr>
                <w:rFonts w:eastAsia="Times New Roman"/>
                <w:noProof/>
                <w:lang w:val="sv-FI"/>
              </w:rPr>
            </w:pPr>
            <w:ins w:id="34" w:author="만든 이">
              <w:r w:rsidRPr="00FB062E">
                <w:rPr>
                  <w:rFonts w:eastAsia="Times New Roman"/>
                  <w:noProof/>
                  <w:lang w:val="sv-FI"/>
                </w:rPr>
                <w:t>Celltrion Healthcare Hungary Kft.</w:t>
              </w:r>
            </w:ins>
            <w:del w:id="35" w:author="만든 이">
              <w:r w:rsidRPr="00FB062E" w:rsidDel="003B0478">
                <w:rPr>
                  <w:rFonts w:eastAsia="Times New Roman"/>
                  <w:noProof/>
                  <w:lang w:val="sv-FI"/>
                </w:rPr>
                <w:delText>EGIS Praha, spol. s r.o</w:delText>
              </w:r>
            </w:del>
          </w:p>
          <w:p w14:paraId="52508F0B"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w:t>
            </w:r>
            <w:ins w:id="36" w:author="만든 이">
              <w:r w:rsidRPr="00FB062E">
                <w:rPr>
                  <w:rFonts w:eastAsia="Times New Roman"/>
                  <w:noProof/>
                  <w:lang w:val="en-US"/>
                </w:rPr>
                <w:t>36 1 231 0493</w:t>
              </w:r>
            </w:ins>
            <w:del w:id="37" w:author="만든 이">
              <w:r w:rsidRPr="00FB062E" w:rsidDel="003B0478">
                <w:rPr>
                  <w:rFonts w:eastAsia="Times New Roman"/>
                  <w:noProof/>
                  <w:lang w:val="en-US"/>
                </w:rPr>
                <w:delText>420 227 129 111</w:delText>
              </w:r>
            </w:del>
          </w:p>
          <w:p w14:paraId="778C6F63"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619A135C"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Magyarország</w:t>
            </w:r>
          </w:p>
          <w:p w14:paraId="6EE5ADED"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ins w:id="38" w:author="만든 이">
              <w:r w:rsidRPr="00FB062E">
                <w:rPr>
                  <w:rFonts w:eastAsia="Times New Roman"/>
                  <w:noProof/>
                  <w:lang w:val="en-US"/>
                </w:rPr>
                <w:t>Celltrion Healthcare Hungary Kft.</w:t>
              </w:r>
            </w:ins>
            <w:del w:id="39" w:author="만든 이">
              <w:r w:rsidRPr="00FB062E" w:rsidDel="003B0478">
                <w:rPr>
                  <w:rFonts w:eastAsia="Times New Roman"/>
                  <w:noProof/>
                  <w:lang w:val="en-US"/>
                </w:rPr>
                <w:delText>Egis Gyógyszergyár Zrt.</w:delText>
              </w:r>
            </w:del>
          </w:p>
          <w:p w14:paraId="7C4E4073" w14:textId="77777777" w:rsidR="00FB062E" w:rsidRPr="00FB062E" w:rsidRDefault="00FB062E" w:rsidP="00FB062E">
            <w:pPr>
              <w:widowControl w:val="0"/>
              <w:tabs>
                <w:tab w:val="clear" w:pos="567"/>
              </w:tabs>
              <w:autoSpaceDE w:val="0"/>
              <w:autoSpaceDN w:val="0"/>
              <w:adjustRightInd w:val="0"/>
              <w:rPr>
                <w:rFonts w:eastAsia="맑은 고딕"/>
                <w:noProof/>
                <w:lang w:val="en-US" w:eastAsia="fr-FR"/>
              </w:rPr>
            </w:pPr>
            <w:r w:rsidRPr="00FB062E">
              <w:rPr>
                <w:rFonts w:eastAsia="Times New Roman"/>
                <w:noProof/>
                <w:lang w:val="en-US"/>
              </w:rPr>
              <w:t>Tel.: +</w:t>
            </w:r>
            <w:ins w:id="40" w:author="만든 이">
              <w:r w:rsidRPr="00FB062E">
                <w:rPr>
                  <w:rFonts w:eastAsia="맑은 고딕"/>
                  <w:noProof/>
                  <w:lang w:val="en-US" w:eastAsia="fr-FR"/>
                </w:rPr>
                <w:t>36 1 231 0493</w:t>
              </w:r>
            </w:ins>
            <w:del w:id="41" w:author="만든 이">
              <w:r w:rsidRPr="00FB062E" w:rsidDel="003B0478">
                <w:rPr>
                  <w:rFonts w:eastAsia="맑은 고딕"/>
                  <w:noProof/>
                  <w:lang w:val="en-US" w:eastAsia="fr-FR"/>
                </w:rPr>
                <w:delText>36 1 803 5555</w:delText>
              </w:r>
            </w:del>
          </w:p>
          <w:p w14:paraId="610B7695" w14:textId="77777777" w:rsidR="00FB062E" w:rsidRPr="00FB062E" w:rsidRDefault="00FB062E" w:rsidP="00FB062E">
            <w:pPr>
              <w:widowControl w:val="0"/>
              <w:tabs>
                <w:tab w:val="clear" w:pos="567"/>
              </w:tabs>
              <w:autoSpaceDE w:val="0"/>
              <w:autoSpaceDN w:val="0"/>
              <w:rPr>
                <w:rFonts w:eastAsia="Times New Roman"/>
                <w:noProof/>
                <w:lang w:val="en-US"/>
              </w:rPr>
            </w:pPr>
          </w:p>
        </w:tc>
      </w:tr>
      <w:tr w:rsidR="00FB062E" w:rsidRPr="00FB062E" w14:paraId="680029CA" w14:textId="77777777" w:rsidTr="00527191">
        <w:trPr>
          <w:trHeight w:val="1186"/>
        </w:trPr>
        <w:tc>
          <w:tcPr>
            <w:tcW w:w="4678" w:type="dxa"/>
          </w:tcPr>
          <w:p w14:paraId="65DB4BB0"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t>Danmark</w:t>
            </w:r>
          </w:p>
          <w:p w14:paraId="28F39ACC"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Denmark ApS </w:t>
            </w:r>
          </w:p>
          <w:p w14:paraId="24864141" w14:textId="77777777" w:rsidR="00FB062E" w:rsidRPr="00FB062E" w:rsidRDefault="00FB062E" w:rsidP="00FB062E">
            <w:pPr>
              <w:widowControl w:val="0"/>
              <w:tabs>
                <w:tab w:val="clear" w:pos="567"/>
              </w:tabs>
              <w:autoSpaceDE w:val="0"/>
              <w:autoSpaceDN w:val="0"/>
              <w:adjustRightInd w:val="0"/>
              <w:rPr>
                <w:rFonts w:eastAsia="Times New Roman"/>
                <w:lang w:val="en-US"/>
              </w:rPr>
            </w:pPr>
            <w:r w:rsidRPr="00FB062E">
              <w:rPr>
                <w:rFonts w:eastAsia="Times New Roman"/>
                <w:noProof/>
                <w:lang w:val="en-US"/>
              </w:rPr>
              <w:t>Tlf.: +45 3535 2989</w:t>
            </w:r>
          </w:p>
          <w:p w14:paraId="4D82167B" w14:textId="77777777" w:rsidR="00FB062E" w:rsidRPr="00FB062E" w:rsidRDefault="00FB062E" w:rsidP="00FB062E">
            <w:pPr>
              <w:widowControl w:val="0"/>
              <w:tabs>
                <w:tab w:val="clear" w:pos="567"/>
                <w:tab w:val="left" w:pos="-720"/>
              </w:tabs>
              <w:suppressAutoHyphens/>
              <w:autoSpaceDE w:val="0"/>
              <w:autoSpaceDN w:val="0"/>
              <w:rPr>
                <w:rFonts w:eastAsia="맑은 고딕"/>
                <w:noProof/>
                <w:lang w:val="en-US" w:eastAsia="ko-KR"/>
              </w:rPr>
            </w:pPr>
            <w:hyperlink r:id="rId16" w:history="1">
              <w:r w:rsidRPr="00FB062E">
                <w:rPr>
                  <w:rFonts w:eastAsia="Times New Roman"/>
                  <w:color w:val="0000FF"/>
                  <w:u w:val="single"/>
                  <w:lang w:val="en-US"/>
                </w:rPr>
                <w:t>contact_dk@celltrionhc.com</w:t>
              </w:r>
            </w:hyperlink>
          </w:p>
          <w:p w14:paraId="12A54B8C" w14:textId="77777777" w:rsidR="00FB062E" w:rsidRPr="00FB062E" w:rsidRDefault="00FB062E" w:rsidP="00FB062E">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6A4FEBAF"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Malta</w:t>
            </w:r>
          </w:p>
          <w:p w14:paraId="171190C3"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Mint Health Ltd</w:t>
            </w:r>
          </w:p>
          <w:p w14:paraId="17EB49CE" w14:textId="77777777" w:rsidR="00FB062E" w:rsidRPr="00FB062E" w:rsidRDefault="00FB062E" w:rsidP="00FB062E">
            <w:pPr>
              <w:widowControl w:val="0"/>
              <w:tabs>
                <w:tab w:val="clear" w:pos="567"/>
              </w:tabs>
              <w:autoSpaceDE w:val="0"/>
              <w:autoSpaceDN w:val="0"/>
              <w:adjustRightInd w:val="0"/>
              <w:rPr>
                <w:rFonts w:eastAsia="Times New Roman"/>
                <w:lang w:val="en-US" w:eastAsia="en-GB"/>
              </w:rPr>
            </w:pPr>
            <w:r w:rsidRPr="00FB062E">
              <w:rPr>
                <w:rFonts w:eastAsia="Times New Roman"/>
                <w:noProof/>
                <w:lang w:val="en-US"/>
              </w:rPr>
              <w:t>Tel: +</w:t>
            </w:r>
            <w:r w:rsidRPr="00FB062E">
              <w:rPr>
                <w:rFonts w:eastAsia="Times New Roman"/>
                <w:lang w:val="en-US" w:eastAsia="en-GB"/>
              </w:rPr>
              <w:t>356 2093 9800</w:t>
            </w:r>
          </w:p>
          <w:p w14:paraId="387B29D2"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p>
        </w:tc>
      </w:tr>
      <w:tr w:rsidR="00FB062E" w:rsidRPr="00FB062E" w14:paraId="710B23A5" w14:textId="77777777" w:rsidTr="00527191">
        <w:tc>
          <w:tcPr>
            <w:tcW w:w="4678" w:type="dxa"/>
          </w:tcPr>
          <w:p w14:paraId="695015AE" w14:textId="77777777" w:rsidR="00FB062E" w:rsidRPr="00FB062E" w:rsidRDefault="00FB062E" w:rsidP="00FB062E">
            <w:pPr>
              <w:widowControl w:val="0"/>
              <w:tabs>
                <w:tab w:val="clear" w:pos="567"/>
              </w:tabs>
              <w:autoSpaceDE w:val="0"/>
              <w:autoSpaceDN w:val="0"/>
              <w:rPr>
                <w:rFonts w:eastAsia="Times New Roman"/>
                <w:noProof/>
                <w:lang w:val="de-DE"/>
              </w:rPr>
            </w:pPr>
            <w:r w:rsidRPr="00FB062E">
              <w:rPr>
                <w:rFonts w:eastAsia="Times New Roman"/>
                <w:b/>
                <w:noProof/>
                <w:lang w:val="de-DE"/>
              </w:rPr>
              <w:t>Deutschland</w:t>
            </w:r>
          </w:p>
          <w:p w14:paraId="405C923F" w14:textId="77777777" w:rsidR="00FB062E" w:rsidRPr="00FB062E" w:rsidRDefault="00FB062E" w:rsidP="00FB062E">
            <w:pPr>
              <w:widowControl w:val="0"/>
              <w:tabs>
                <w:tab w:val="clear" w:pos="567"/>
              </w:tabs>
              <w:autoSpaceDE w:val="0"/>
              <w:autoSpaceDN w:val="0"/>
              <w:adjustRightInd w:val="0"/>
              <w:rPr>
                <w:rFonts w:eastAsia="Times New Roman"/>
                <w:noProof/>
                <w:lang w:val="de-DE"/>
              </w:rPr>
            </w:pPr>
            <w:r w:rsidRPr="00FB062E">
              <w:rPr>
                <w:rFonts w:eastAsia="Times New Roman"/>
                <w:noProof/>
                <w:lang w:val="de-DE"/>
              </w:rPr>
              <w:t>Celltrion Healthcare Deutschland GmbH</w:t>
            </w:r>
          </w:p>
          <w:p w14:paraId="3A635327" w14:textId="77777777" w:rsidR="00FB062E" w:rsidRPr="00FB062E" w:rsidRDefault="00FB062E" w:rsidP="00FB062E">
            <w:pPr>
              <w:widowControl w:val="0"/>
              <w:tabs>
                <w:tab w:val="clear" w:pos="567"/>
              </w:tabs>
              <w:autoSpaceDE w:val="0"/>
              <w:autoSpaceDN w:val="0"/>
              <w:adjustRightInd w:val="0"/>
              <w:rPr>
                <w:rFonts w:eastAsia="Times New Roman"/>
                <w:lang w:val="de-DE"/>
              </w:rPr>
            </w:pPr>
            <w:r w:rsidRPr="00FB062E">
              <w:rPr>
                <w:rFonts w:eastAsia="Times New Roman"/>
                <w:noProof/>
                <w:lang w:val="de-DE"/>
              </w:rPr>
              <w:t>Tel: +</w:t>
            </w:r>
            <w:ins w:id="42" w:author="만든 이">
              <w:r w:rsidRPr="00FB062E">
                <w:rPr>
                  <w:rFonts w:eastAsia="Times New Roman"/>
                  <w:noProof/>
                  <w:lang w:val="de-DE"/>
                </w:rPr>
                <w:t>49 303 464 941 50</w:t>
              </w:r>
            </w:ins>
            <w:del w:id="43" w:author="만든 이">
              <w:r w:rsidRPr="00FB062E" w:rsidDel="0008624A">
                <w:rPr>
                  <w:rFonts w:eastAsia="Times New Roman"/>
                  <w:noProof/>
                  <w:lang w:val="de-DE"/>
                </w:rPr>
                <w:delText>4</w:delText>
              </w:r>
              <w:r w:rsidRPr="00FB062E" w:rsidDel="0008624A">
                <w:rPr>
                  <w:rFonts w:eastAsia="Times New Roman"/>
                  <w:lang w:val="de-DE"/>
                </w:rPr>
                <w:delText>9 (0)30 346494150</w:delText>
              </w:r>
            </w:del>
          </w:p>
          <w:p w14:paraId="0F79D7F6"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de-DE"/>
              </w:rPr>
            </w:pPr>
            <w:r w:rsidRPr="00FB062E">
              <w:rPr>
                <w:rFonts w:eastAsia="Times New Roman"/>
                <w:lang w:val="en-US"/>
              </w:rPr>
              <w:fldChar w:fldCharType="begin"/>
            </w:r>
            <w:r w:rsidRPr="00FB062E">
              <w:rPr>
                <w:rFonts w:eastAsia="Times New Roman"/>
                <w:lang w:val="de-DE"/>
                <w:rPrChange w:id="44" w:author="만든 이">
                  <w:rPr/>
                </w:rPrChange>
              </w:rPr>
              <w:instrText>HYPERLINK "mailto:infoDE@celltrionhc.com"</w:instrText>
            </w:r>
            <w:r w:rsidRPr="00FB062E">
              <w:rPr>
                <w:rFonts w:eastAsia="Times New Roman"/>
                <w:lang w:val="en-US"/>
              </w:rPr>
            </w:r>
            <w:r w:rsidRPr="00FB062E">
              <w:rPr>
                <w:rFonts w:eastAsia="Times New Roman"/>
                <w:lang w:val="en-US"/>
              </w:rPr>
              <w:fldChar w:fldCharType="separate"/>
            </w:r>
            <w:r w:rsidRPr="00FB062E">
              <w:rPr>
                <w:rFonts w:eastAsia="Times New Roman"/>
                <w:color w:val="0000FF"/>
                <w:u w:val="single"/>
                <w:lang w:val="de-DE"/>
              </w:rPr>
              <w:t>infoDE@celltrionhc.com</w:t>
            </w:r>
            <w:r w:rsidRPr="00FB062E">
              <w:rPr>
                <w:rFonts w:eastAsia="Times New Roman"/>
                <w:lang w:val="en-US"/>
              </w:rPr>
              <w:fldChar w:fldCharType="end"/>
            </w:r>
          </w:p>
          <w:p w14:paraId="505EB535"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de-DE"/>
              </w:rPr>
            </w:pPr>
          </w:p>
        </w:tc>
        <w:tc>
          <w:tcPr>
            <w:tcW w:w="4678" w:type="dxa"/>
          </w:tcPr>
          <w:p w14:paraId="5C5A9EF9"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r w:rsidRPr="00FB062E">
              <w:rPr>
                <w:rFonts w:eastAsia="Times New Roman"/>
                <w:b/>
                <w:noProof/>
                <w:lang w:val="en-US"/>
              </w:rPr>
              <w:t>Nederland</w:t>
            </w:r>
          </w:p>
          <w:p w14:paraId="1B91A5CE"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Netherlands B.V. </w:t>
            </w:r>
          </w:p>
          <w:p w14:paraId="3D92802A" w14:textId="77777777" w:rsidR="00FB062E" w:rsidRPr="00FB062E" w:rsidRDefault="00FB062E" w:rsidP="00FB062E">
            <w:pPr>
              <w:widowControl w:val="0"/>
              <w:tabs>
                <w:tab w:val="clear" w:pos="567"/>
              </w:tabs>
              <w:autoSpaceDE w:val="0"/>
              <w:autoSpaceDN w:val="0"/>
              <w:adjustRightInd w:val="0"/>
              <w:rPr>
                <w:rFonts w:eastAsia="Times New Roman"/>
                <w:lang w:val="en-US"/>
              </w:rPr>
            </w:pPr>
            <w:r w:rsidRPr="00FB062E">
              <w:rPr>
                <w:rFonts w:eastAsia="Times New Roman"/>
                <w:noProof/>
                <w:lang w:val="en-US"/>
              </w:rPr>
              <w:t>Tel: +</w:t>
            </w:r>
            <w:r w:rsidRPr="00FB062E">
              <w:rPr>
                <w:rFonts w:eastAsia="Times New Roman"/>
                <w:lang w:val="en-US"/>
              </w:rPr>
              <w:t>31 20 888 7300</w:t>
            </w:r>
          </w:p>
          <w:p w14:paraId="384BAB2B" w14:textId="77777777" w:rsidR="00FB062E" w:rsidRPr="00FB062E" w:rsidRDefault="00FB062E" w:rsidP="00FB062E">
            <w:pPr>
              <w:widowControl w:val="0"/>
              <w:tabs>
                <w:tab w:val="clear" w:pos="567"/>
                <w:tab w:val="left" w:pos="-720"/>
              </w:tabs>
              <w:suppressAutoHyphens/>
              <w:autoSpaceDE w:val="0"/>
              <w:autoSpaceDN w:val="0"/>
              <w:rPr>
                <w:rFonts w:eastAsia="SimSun"/>
                <w:color w:val="0000FF"/>
                <w:u w:val="single"/>
                <w:lang w:val="en-US" w:eastAsia="en-GB"/>
              </w:rPr>
            </w:pPr>
            <w:hyperlink r:id="rId17" w:history="1">
              <w:r w:rsidRPr="00FB062E">
                <w:rPr>
                  <w:rFonts w:eastAsia="Times New Roman"/>
                  <w:color w:val="0000FF"/>
                  <w:u w:val="single"/>
                  <w:lang w:val="en-US"/>
                </w:rPr>
                <w:t>NLinfo@celltrionhc.com</w:t>
              </w:r>
            </w:hyperlink>
          </w:p>
          <w:p w14:paraId="49F25747"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0DE91B2E" w14:textId="77777777" w:rsidTr="00527191">
        <w:trPr>
          <w:trHeight w:val="273"/>
        </w:trPr>
        <w:tc>
          <w:tcPr>
            <w:tcW w:w="4678" w:type="dxa"/>
          </w:tcPr>
          <w:p w14:paraId="53635D83" w14:textId="77777777" w:rsidR="00FB062E" w:rsidRPr="00FB062E" w:rsidRDefault="00FB062E" w:rsidP="00FB062E">
            <w:pPr>
              <w:widowControl w:val="0"/>
              <w:tabs>
                <w:tab w:val="clear" w:pos="567"/>
                <w:tab w:val="left" w:pos="-720"/>
              </w:tabs>
              <w:suppressAutoHyphens/>
              <w:autoSpaceDE w:val="0"/>
              <w:autoSpaceDN w:val="0"/>
              <w:rPr>
                <w:rFonts w:eastAsia="Times New Roman"/>
                <w:b/>
                <w:bCs/>
                <w:noProof/>
                <w:lang w:val="en-US"/>
              </w:rPr>
            </w:pPr>
            <w:r w:rsidRPr="00FB062E">
              <w:rPr>
                <w:rFonts w:eastAsia="Times New Roman"/>
                <w:b/>
                <w:bCs/>
                <w:noProof/>
                <w:lang w:val="en-US"/>
              </w:rPr>
              <w:t>Eesti</w:t>
            </w:r>
          </w:p>
          <w:p w14:paraId="26074C13" w14:textId="77777777" w:rsidR="00FB062E" w:rsidRPr="00FB062E" w:rsidRDefault="00FB062E" w:rsidP="00FB062E">
            <w:pPr>
              <w:widowControl w:val="0"/>
              <w:tabs>
                <w:tab w:val="clear" w:pos="567"/>
              </w:tabs>
              <w:autoSpaceDE w:val="0"/>
              <w:autoSpaceDN w:val="0"/>
              <w:adjustRightInd w:val="0"/>
              <w:rPr>
                <w:ins w:id="45" w:author="만든 이"/>
                <w:rFonts w:eastAsia="맑은 고딕"/>
                <w:noProof/>
                <w:lang w:val="en-US" w:eastAsia="ko-KR"/>
              </w:rPr>
            </w:pPr>
            <w:r w:rsidRPr="00FB062E">
              <w:rPr>
                <w:rFonts w:eastAsia="Times New Roman"/>
                <w:noProof/>
                <w:lang w:val="en-US"/>
              </w:rPr>
              <w:t xml:space="preserve">Celltrion Healthcare Hungary Kft. </w:t>
            </w:r>
          </w:p>
          <w:p w14:paraId="00FE3472" w14:textId="77777777" w:rsidR="00FB062E" w:rsidRPr="00FB062E" w:rsidRDefault="00FB062E" w:rsidP="00FB062E">
            <w:pPr>
              <w:widowControl w:val="0"/>
              <w:tabs>
                <w:tab w:val="clear" w:pos="567"/>
              </w:tabs>
              <w:autoSpaceDE w:val="0"/>
              <w:autoSpaceDN w:val="0"/>
              <w:adjustRightInd w:val="0"/>
              <w:rPr>
                <w:rFonts w:eastAsia="맑은 고딕"/>
                <w:noProof/>
                <w:lang w:val="en-US" w:eastAsia="ko-KR"/>
                <w:rPrChange w:id="46" w:author="만든 이">
                  <w:rPr>
                    <w:noProof/>
                  </w:rPr>
                </w:rPrChange>
              </w:rPr>
            </w:pPr>
            <w:ins w:id="47" w:author="만든 이">
              <w:r w:rsidRPr="00FB062E">
                <w:rPr>
                  <w:rFonts w:eastAsia="맑은 고딕"/>
                  <w:noProof/>
                  <w:lang w:val="en-US" w:eastAsia="ko-KR"/>
                </w:rPr>
                <w:t>Tel: +36 1 231 0493</w:t>
              </w:r>
            </w:ins>
          </w:p>
          <w:p w14:paraId="332EAE17"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18" w:history="1">
              <w:r w:rsidRPr="00FB062E">
                <w:rPr>
                  <w:rFonts w:eastAsia="Times New Roman"/>
                  <w:color w:val="0000FF"/>
                  <w:u w:val="single"/>
                  <w:lang w:val="en-US"/>
                </w:rPr>
                <w:t>contact_fi@celltrionhc.com</w:t>
              </w:r>
            </w:hyperlink>
          </w:p>
          <w:p w14:paraId="20D9766F"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51A149A4"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t>Norge</w:t>
            </w:r>
          </w:p>
          <w:p w14:paraId="3392FB72"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Norway AS</w:t>
            </w:r>
          </w:p>
          <w:p w14:paraId="28C524EC" w14:textId="77777777" w:rsidR="00FB062E" w:rsidRPr="00FB062E" w:rsidRDefault="00FB062E" w:rsidP="00FB062E">
            <w:pPr>
              <w:widowControl w:val="0"/>
              <w:tabs>
                <w:tab w:val="clear" w:pos="567"/>
              </w:tabs>
              <w:autoSpaceDE w:val="0"/>
              <w:autoSpaceDN w:val="0"/>
              <w:rPr>
                <w:rFonts w:eastAsia="맑은 고딕"/>
                <w:noProof/>
                <w:lang w:val="en-US" w:eastAsia="ko-KR"/>
              </w:rPr>
            </w:pPr>
            <w:hyperlink r:id="rId19" w:history="1">
              <w:r w:rsidRPr="00FB062E">
                <w:rPr>
                  <w:rFonts w:eastAsia="Times New Roman"/>
                  <w:noProof/>
                  <w:color w:val="0000FF"/>
                  <w:u w:val="single"/>
                  <w:lang w:val="en-US"/>
                </w:rPr>
                <w:t>contact_no@celltrionhc.com</w:t>
              </w:r>
            </w:hyperlink>
          </w:p>
          <w:p w14:paraId="2E2649C7" w14:textId="77777777" w:rsidR="00FB062E" w:rsidRPr="00FB062E" w:rsidRDefault="00FB062E" w:rsidP="00FB062E">
            <w:pPr>
              <w:widowControl w:val="0"/>
              <w:tabs>
                <w:tab w:val="clear" w:pos="567"/>
              </w:tabs>
              <w:autoSpaceDE w:val="0"/>
              <w:autoSpaceDN w:val="0"/>
              <w:rPr>
                <w:rFonts w:eastAsia="맑은 고딕"/>
                <w:noProof/>
                <w:lang w:val="en-US" w:eastAsia="ko-KR"/>
              </w:rPr>
            </w:pPr>
          </w:p>
        </w:tc>
      </w:tr>
      <w:tr w:rsidR="00FB062E" w:rsidRPr="00FB062E" w14:paraId="6B8C7AFB" w14:textId="77777777" w:rsidTr="00527191">
        <w:tc>
          <w:tcPr>
            <w:tcW w:w="4678" w:type="dxa"/>
          </w:tcPr>
          <w:p w14:paraId="42C47CEB" w14:textId="77777777" w:rsidR="00FB062E" w:rsidRPr="00FB062E" w:rsidRDefault="00FB062E" w:rsidP="00FB062E">
            <w:pPr>
              <w:widowControl w:val="0"/>
              <w:tabs>
                <w:tab w:val="clear" w:pos="567"/>
              </w:tabs>
              <w:autoSpaceDE w:val="0"/>
              <w:autoSpaceDN w:val="0"/>
              <w:rPr>
                <w:rFonts w:eastAsia="Times New Roman"/>
                <w:noProof/>
                <w:lang w:val="el-GR"/>
              </w:rPr>
            </w:pPr>
            <w:r w:rsidRPr="00FB062E">
              <w:rPr>
                <w:rFonts w:eastAsia="Times New Roman"/>
                <w:b/>
                <w:noProof/>
                <w:lang w:val="el-GR"/>
              </w:rPr>
              <w:t>Ελλάδα</w:t>
            </w:r>
          </w:p>
          <w:p w14:paraId="06F9089C" w14:textId="77777777" w:rsidR="00FB062E" w:rsidRPr="00BA6F29" w:rsidRDefault="00FB062E" w:rsidP="00FB062E">
            <w:pPr>
              <w:widowControl w:val="0"/>
              <w:tabs>
                <w:tab w:val="clear" w:pos="567"/>
              </w:tabs>
              <w:autoSpaceDE w:val="0"/>
              <w:autoSpaceDN w:val="0"/>
              <w:adjustRightInd w:val="0"/>
              <w:rPr>
                <w:rFonts w:eastAsia="Times New Roman"/>
                <w:noProof/>
              </w:rPr>
            </w:pPr>
            <w:r w:rsidRPr="00FB062E">
              <w:rPr>
                <w:rFonts w:eastAsia="Times New Roman"/>
                <w:noProof/>
                <w:lang w:val="en-GB"/>
              </w:rPr>
              <w:t>ΒΙΑΝΕΞ</w:t>
            </w:r>
            <w:r w:rsidRPr="00BA6F29">
              <w:rPr>
                <w:rFonts w:eastAsia="Times New Roman"/>
                <w:noProof/>
              </w:rPr>
              <w:t xml:space="preserve"> </w:t>
            </w:r>
            <w:r w:rsidRPr="00FB062E">
              <w:rPr>
                <w:rFonts w:eastAsia="Times New Roman"/>
                <w:noProof/>
                <w:lang w:val="en-GB"/>
              </w:rPr>
              <w:t>Α</w:t>
            </w:r>
            <w:r w:rsidRPr="00BA6F29">
              <w:rPr>
                <w:rFonts w:eastAsia="Times New Roman"/>
                <w:noProof/>
              </w:rPr>
              <w:t>.</w:t>
            </w:r>
            <w:r w:rsidRPr="00FB062E">
              <w:rPr>
                <w:rFonts w:eastAsia="Times New Roman"/>
                <w:noProof/>
                <w:lang w:val="en-GB"/>
              </w:rPr>
              <w:t>Ε</w:t>
            </w:r>
            <w:r w:rsidRPr="00BA6F29">
              <w:rPr>
                <w:rFonts w:eastAsia="Times New Roman"/>
                <w:noProof/>
              </w:rPr>
              <w:t>.</w:t>
            </w:r>
          </w:p>
          <w:p w14:paraId="1ACBF5DB" w14:textId="77777777" w:rsidR="00FB062E" w:rsidRPr="00FB062E" w:rsidRDefault="00FB062E" w:rsidP="00FB062E">
            <w:pPr>
              <w:widowControl w:val="0"/>
              <w:tabs>
                <w:tab w:val="clear" w:pos="567"/>
              </w:tabs>
              <w:autoSpaceDE w:val="0"/>
              <w:autoSpaceDN w:val="0"/>
              <w:adjustRightInd w:val="0"/>
              <w:rPr>
                <w:rFonts w:eastAsia="맑은 고딕"/>
                <w:noProof/>
                <w:lang w:val="en-GB" w:eastAsia="ko-KR"/>
                <w:rPrChange w:id="48" w:author="만든 이">
                  <w:rPr>
                    <w:noProof/>
                    <w:lang w:val="en-GB"/>
                  </w:rPr>
                </w:rPrChange>
              </w:rPr>
            </w:pPr>
            <w:r w:rsidRPr="00FB062E">
              <w:rPr>
                <w:rFonts w:eastAsia="Times New Roman"/>
                <w:noProof/>
                <w:lang w:val="en-GB"/>
              </w:rPr>
              <w:t>Τηλ: +30 210 8009111</w:t>
            </w:r>
            <w:del w:id="49" w:author="만든 이">
              <w:r w:rsidRPr="00FB062E" w:rsidDel="00770C74">
                <w:rPr>
                  <w:rFonts w:eastAsia="Times New Roman"/>
                  <w:noProof/>
                  <w:lang w:val="en-GB"/>
                </w:rPr>
                <w:delText xml:space="preserve"> - 120</w:delText>
              </w:r>
            </w:del>
          </w:p>
          <w:p w14:paraId="1DA39A58"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l-GR"/>
              </w:rPr>
            </w:pPr>
          </w:p>
        </w:tc>
        <w:tc>
          <w:tcPr>
            <w:tcW w:w="4678" w:type="dxa"/>
          </w:tcPr>
          <w:p w14:paraId="2864D5E5"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de-DE"/>
              </w:rPr>
            </w:pPr>
            <w:r w:rsidRPr="00FB062E">
              <w:rPr>
                <w:rFonts w:eastAsia="Times New Roman"/>
                <w:b/>
                <w:noProof/>
                <w:lang w:val="de-DE"/>
              </w:rPr>
              <w:t>Österreich</w:t>
            </w:r>
          </w:p>
          <w:p w14:paraId="3F6E874F" w14:textId="77777777" w:rsidR="00FB062E" w:rsidRPr="00FB062E" w:rsidRDefault="00FB062E" w:rsidP="00FB062E">
            <w:pPr>
              <w:widowControl w:val="0"/>
              <w:tabs>
                <w:tab w:val="clear" w:pos="567"/>
              </w:tabs>
              <w:autoSpaceDE w:val="0"/>
              <w:autoSpaceDN w:val="0"/>
              <w:adjustRightInd w:val="0"/>
              <w:rPr>
                <w:rFonts w:eastAsia="Times New Roman"/>
                <w:lang w:val="pt-PT"/>
              </w:rPr>
            </w:pPr>
            <w:r w:rsidRPr="00FB062E">
              <w:rPr>
                <w:rFonts w:eastAsia="Times New Roman"/>
                <w:lang w:val="pt-PT"/>
              </w:rPr>
              <w:t>Astro-Pharma GmbH</w:t>
            </w:r>
          </w:p>
          <w:p w14:paraId="0E49C8BB" w14:textId="77777777" w:rsidR="00FB062E" w:rsidRPr="00FB062E" w:rsidRDefault="00FB062E" w:rsidP="00FB062E">
            <w:pPr>
              <w:widowControl w:val="0"/>
              <w:tabs>
                <w:tab w:val="clear" w:pos="567"/>
              </w:tabs>
              <w:autoSpaceDE w:val="0"/>
              <w:autoSpaceDN w:val="0"/>
              <w:adjustRightInd w:val="0"/>
              <w:rPr>
                <w:rFonts w:eastAsia="Times New Roman"/>
                <w:lang w:val="pt-PT"/>
              </w:rPr>
            </w:pPr>
            <w:r w:rsidRPr="00FB062E">
              <w:rPr>
                <w:rFonts w:eastAsia="Times New Roman"/>
                <w:lang w:val="pt-PT"/>
              </w:rPr>
              <w:t>Tel: +43 1 97 99 860</w:t>
            </w:r>
          </w:p>
          <w:p w14:paraId="3FA6580B" w14:textId="77777777" w:rsidR="00FB062E" w:rsidRPr="00FB062E" w:rsidRDefault="00FB062E" w:rsidP="00FB062E">
            <w:pPr>
              <w:widowControl w:val="0"/>
              <w:tabs>
                <w:tab w:val="clear" w:pos="567"/>
                <w:tab w:val="left" w:pos="-720"/>
              </w:tabs>
              <w:suppressAutoHyphens/>
              <w:autoSpaceDE w:val="0"/>
              <w:autoSpaceDN w:val="0"/>
              <w:rPr>
                <w:rFonts w:eastAsia="Times New Roman"/>
                <w:lang w:val="pt-PT"/>
              </w:rPr>
            </w:pPr>
          </w:p>
        </w:tc>
      </w:tr>
      <w:tr w:rsidR="00FB062E" w:rsidRPr="00FB062E" w14:paraId="5E7D2DDE" w14:textId="77777777" w:rsidTr="00527191">
        <w:tc>
          <w:tcPr>
            <w:tcW w:w="4678" w:type="dxa"/>
          </w:tcPr>
          <w:p w14:paraId="0756D8FC"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s-ES_tradnl"/>
              </w:rPr>
            </w:pPr>
            <w:r w:rsidRPr="00FB062E">
              <w:rPr>
                <w:rFonts w:eastAsia="Times New Roman"/>
                <w:b/>
                <w:noProof/>
                <w:lang w:val="es-ES_tradnl"/>
              </w:rPr>
              <w:t>España</w:t>
            </w:r>
          </w:p>
          <w:p w14:paraId="29CF014F" w14:textId="77777777" w:rsidR="00FB062E" w:rsidRPr="00FB062E" w:rsidRDefault="00FB062E" w:rsidP="00FB062E">
            <w:pPr>
              <w:widowControl w:val="0"/>
              <w:tabs>
                <w:tab w:val="clear" w:pos="567"/>
              </w:tabs>
              <w:autoSpaceDE w:val="0"/>
              <w:autoSpaceDN w:val="0"/>
              <w:adjustRightInd w:val="0"/>
              <w:rPr>
                <w:rFonts w:eastAsia="Times New Roman"/>
                <w:lang w:val="pt-PT"/>
              </w:rPr>
            </w:pPr>
            <w:r w:rsidRPr="00FB062E">
              <w:rPr>
                <w:rFonts w:eastAsia="Times New Roman"/>
                <w:lang w:val="pt-PT"/>
              </w:rPr>
              <w:t>CELLTRION FARMACEUTICA (ESPAÑA) S.L</w:t>
            </w:r>
            <w:r w:rsidRPr="00FB062E">
              <w:rPr>
                <w:rFonts w:eastAsia="맑은 고딕" w:hint="eastAsia"/>
                <w:lang w:val="pt-PT" w:eastAsia="ko-KR"/>
              </w:rPr>
              <w:t>.</w:t>
            </w:r>
          </w:p>
          <w:p w14:paraId="0571EB4D" w14:textId="77777777" w:rsidR="00FB062E" w:rsidRPr="00FB062E" w:rsidRDefault="00FB062E" w:rsidP="00FB062E">
            <w:pPr>
              <w:widowControl w:val="0"/>
              <w:tabs>
                <w:tab w:val="clear" w:pos="567"/>
              </w:tabs>
              <w:autoSpaceDE w:val="0"/>
              <w:autoSpaceDN w:val="0"/>
              <w:adjustRightInd w:val="0"/>
              <w:rPr>
                <w:rFonts w:eastAsia="맑은 고딕"/>
                <w:lang w:val="pt-PT" w:eastAsia="ko-KR"/>
                <w:rPrChange w:id="50" w:author="만든 이">
                  <w:rPr>
                    <w:lang w:val="pt-PT"/>
                  </w:rPr>
                </w:rPrChange>
              </w:rPr>
            </w:pPr>
            <w:r w:rsidRPr="00FB062E">
              <w:rPr>
                <w:rFonts w:eastAsia="Times New Roman"/>
                <w:lang w:val="pt-PT"/>
              </w:rPr>
              <w:t>Tel: +</w:t>
            </w:r>
            <w:ins w:id="51" w:author="만든 이">
              <w:r w:rsidRPr="00FB062E">
                <w:rPr>
                  <w:rFonts w:eastAsia="Times New Roman"/>
                  <w:lang w:val="pt-PT"/>
                </w:rPr>
                <w:t>34 910498478</w:t>
              </w:r>
            </w:ins>
            <w:del w:id="52" w:author="만든 이">
              <w:r w:rsidRPr="00FB062E" w:rsidDel="00AF5BBB">
                <w:rPr>
                  <w:rFonts w:eastAsia="Times New Roman"/>
                  <w:lang w:val="pt-PT"/>
                </w:rPr>
                <w:delText>34 919 94 23 90</w:delText>
              </w:r>
            </w:del>
          </w:p>
          <w:p w14:paraId="7E5C93E7" w14:textId="77777777" w:rsidR="00FB062E" w:rsidRPr="00FB062E" w:rsidRDefault="00FB062E" w:rsidP="00FB062E">
            <w:pPr>
              <w:widowControl w:val="0"/>
              <w:tabs>
                <w:tab w:val="clear" w:pos="567"/>
                <w:tab w:val="left" w:pos="-720"/>
              </w:tabs>
              <w:suppressAutoHyphens/>
              <w:autoSpaceDE w:val="0"/>
              <w:autoSpaceDN w:val="0"/>
              <w:rPr>
                <w:ins w:id="53" w:author="만든 이"/>
                <w:rFonts w:eastAsia="맑은 고딕"/>
                <w:lang w:val="pt-PT" w:eastAsia="ko-KR"/>
              </w:rPr>
            </w:pPr>
            <w:ins w:id="54" w:author="만든 이">
              <w:r w:rsidRPr="00FB062E">
                <w:rPr>
                  <w:rFonts w:eastAsia="맑은 고딕"/>
                  <w:lang w:val="pt-PT" w:eastAsia="ko-KR"/>
                </w:rPr>
                <w:fldChar w:fldCharType="begin"/>
              </w:r>
              <w:r w:rsidRPr="00FB062E">
                <w:rPr>
                  <w:rFonts w:eastAsia="맑은 고딕"/>
                  <w:lang w:val="pt-PT" w:eastAsia="ko-KR"/>
                </w:rPr>
                <w:instrText>HYPERLINK "mailto:contact_es@celltrion.com"</w:instrText>
              </w:r>
              <w:r w:rsidRPr="00FB062E">
                <w:rPr>
                  <w:rFonts w:eastAsia="맑은 고딕"/>
                  <w:lang w:val="pt-PT" w:eastAsia="ko-KR"/>
                </w:rPr>
              </w:r>
              <w:r w:rsidRPr="00FB062E">
                <w:rPr>
                  <w:rFonts w:eastAsia="맑은 고딕"/>
                  <w:lang w:val="pt-PT" w:eastAsia="ko-KR"/>
                </w:rPr>
                <w:fldChar w:fldCharType="separate"/>
              </w:r>
              <w:r w:rsidRPr="00FB062E">
                <w:rPr>
                  <w:rFonts w:eastAsia="맑은 고딕"/>
                  <w:color w:val="0000FF"/>
                  <w:u w:val="single"/>
                  <w:lang w:val="pt-PT" w:eastAsia="ko-KR"/>
                </w:rPr>
                <w:t>contact_es@celltrion.com</w:t>
              </w:r>
              <w:r w:rsidRPr="00FB062E">
                <w:rPr>
                  <w:rFonts w:eastAsia="맑은 고딕"/>
                  <w:lang w:val="pt-PT" w:eastAsia="ko-KR"/>
                </w:rPr>
                <w:fldChar w:fldCharType="end"/>
              </w:r>
            </w:ins>
          </w:p>
          <w:p w14:paraId="40A30831" w14:textId="77777777" w:rsidR="00FB062E" w:rsidRPr="00FB062E" w:rsidRDefault="00FB062E" w:rsidP="00FB062E">
            <w:pPr>
              <w:widowControl w:val="0"/>
              <w:tabs>
                <w:tab w:val="clear" w:pos="567"/>
                <w:tab w:val="left" w:pos="-720"/>
              </w:tabs>
              <w:suppressAutoHyphens/>
              <w:autoSpaceDE w:val="0"/>
              <w:autoSpaceDN w:val="0"/>
              <w:rPr>
                <w:rFonts w:eastAsia="맑은 고딕"/>
                <w:lang w:val="pt-PT" w:eastAsia="ko-KR"/>
              </w:rPr>
            </w:pPr>
          </w:p>
        </w:tc>
        <w:tc>
          <w:tcPr>
            <w:tcW w:w="4678" w:type="dxa"/>
          </w:tcPr>
          <w:p w14:paraId="497E22A2" w14:textId="77777777" w:rsidR="00FB062E" w:rsidRPr="00FB062E" w:rsidRDefault="00FB062E" w:rsidP="00FB062E">
            <w:pPr>
              <w:widowControl w:val="0"/>
              <w:tabs>
                <w:tab w:val="clear" w:pos="567"/>
                <w:tab w:val="left" w:pos="-720"/>
              </w:tabs>
              <w:suppressAutoHyphens/>
              <w:autoSpaceDE w:val="0"/>
              <w:autoSpaceDN w:val="0"/>
              <w:rPr>
                <w:rFonts w:eastAsia="Times New Roman"/>
                <w:b/>
                <w:bCs/>
                <w:i/>
                <w:iCs/>
                <w:noProof/>
                <w:lang w:val="pl-PL"/>
              </w:rPr>
            </w:pPr>
            <w:r w:rsidRPr="00FB062E">
              <w:rPr>
                <w:rFonts w:eastAsia="Times New Roman"/>
                <w:b/>
                <w:noProof/>
                <w:lang w:val="pl-PL"/>
              </w:rPr>
              <w:t>Polska</w:t>
            </w:r>
          </w:p>
          <w:p w14:paraId="07036ABC" w14:textId="77777777" w:rsidR="00FB062E" w:rsidRPr="00FB062E" w:rsidRDefault="00FB062E" w:rsidP="00FB062E">
            <w:pPr>
              <w:widowControl w:val="0"/>
              <w:tabs>
                <w:tab w:val="clear" w:pos="567"/>
              </w:tabs>
              <w:autoSpaceDE w:val="0"/>
              <w:autoSpaceDN w:val="0"/>
              <w:adjustRightInd w:val="0"/>
              <w:rPr>
                <w:rFonts w:eastAsia="Times New Roman"/>
                <w:noProof/>
                <w:lang w:val="sv-FI"/>
              </w:rPr>
            </w:pPr>
            <w:ins w:id="55" w:author="만든 이">
              <w:r w:rsidRPr="00FB062E">
                <w:rPr>
                  <w:rFonts w:eastAsia="Times New Roman"/>
                  <w:noProof/>
                  <w:lang w:val="sv-FI"/>
                </w:rPr>
                <w:t>Celltrion Healthcare Hungary Kft.</w:t>
              </w:r>
            </w:ins>
            <w:del w:id="56" w:author="만든 이">
              <w:r w:rsidRPr="00FB062E" w:rsidDel="009D2085">
                <w:rPr>
                  <w:rFonts w:eastAsia="Times New Roman"/>
                  <w:noProof/>
                  <w:lang w:val="sv-FI"/>
                </w:rPr>
                <w:delText>EGIS Polska Sp. z o.o.</w:delText>
              </w:r>
            </w:del>
          </w:p>
          <w:p w14:paraId="29226585"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w:t>
            </w:r>
            <w:ins w:id="57" w:author="만든 이">
              <w:r w:rsidRPr="00FB062E">
                <w:rPr>
                  <w:rFonts w:eastAsia="Times New Roman"/>
                  <w:noProof/>
                  <w:lang w:val="en-US"/>
                </w:rPr>
                <w:t>36 1 231 0493</w:t>
              </w:r>
            </w:ins>
            <w:del w:id="58" w:author="만든 이">
              <w:r w:rsidRPr="00FB062E" w:rsidDel="009D2085">
                <w:rPr>
                  <w:rFonts w:eastAsia="Times New Roman"/>
                  <w:noProof/>
                  <w:lang w:val="en-US"/>
                </w:rPr>
                <w:delText>48 22 417 9200</w:delText>
              </w:r>
            </w:del>
          </w:p>
          <w:p w14:paraId="279D7423"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4E6CEF1D" w14:textId="77777777" w:rsidTr="00527191">
        <w:tc>
          <w:tcPr>
            <w:tcW w:w="4678" w:type="dxa"/>
          </w:tcPr>
          <w:p w14:paraId="03557E9C"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n-US"/>
              </w:rPr>
            </w:pPr>
            <w:r w:rsidRPr="00FB062E">
              <w:rPr>
                <w:rFonts w:eastAsia="Times New Roman"/>
                <w:b/>
                <w:noProof/>
                <w:lang w:val="en-US"/>
              </w:rPr>
              <w:t>France</w:t>
            </w:r>
          </w:p>
          <w:p w14:paraId="01E6DBCD"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France SAS</w:t>
            </w:r>
          </w:p>
          <w:p w14:paraId="108AF2A2"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r w:rsidRPr="00FB062E">
              <w:rPr>
                <w:rFonts w:eastAsia="Times New Roman"/>
                <w:noProof/>
                <w:lang w:val="en-US"/>
              </w:rPr>
              <w:t>Tél: +33 (0)1 71 25 27 00</w:t>
            </w:r>
          </w:p>
          <w:p w14:paraId="3D8AFC4F" w14:textId="77777777" w:rsidR="00FB062E" w:rsidRPr="00FB062E" w:rsidRDefault="00FB062E" w:rsidP="00FB062E">
            <w:pPr>
              <w:widowControl w:val="0"/>
              <w:tabs>
                <w:tab w:val="clear" w:pos="567"/>
              </w:tabs>
              <w:autoSpaceDE w:val="0"/>
              <w:autoSpaceDN w:val="0"/>
              <w:rPr>
                <w:rFonts w:eastAsia="Times New Roman"/>
                <w:b/>
                <w:noProof/>
                <w:lang w:val="fr-FR"/>
              </w:rPr>
            </w:pPr>
          </w:p>
        </w:tc>
        <w:tc>
          <w:tcPr>
            <w:tcW w:w="4678" w:type="dxa"/>
          </w:tcPr>
          <w:p w14:paraId="17FE29CF"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pt-PT"/>
              </w:rPr>
            </w:pPr>
            <w:r w:rsidRPr="00FB062E">
              <w:rPr>
                <w:rFonts w:eastAsia="Times New Roman"/>
                <w:b/>
                <w:noProof/>
                <w:lang w:val="pt-PT"/>
              </w:rPr>
              <w:t>Portugal</w:t>
            </w:r>
          </w:p>
          <w:p w14:paraId="0C96AC24"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lang w:val="pt-PT"/>
              </w:rPr>
              <w:t xml:space="preserve">CELLTRION PORTUGAL, UNIPESSOAL LDA </w:t>
            </w:r>
            <w:r w:rsidRPr="00FB062E">
              <w:rPr>
                <w:rFonts w:eastAsia="Times New Roman"/>
                <w:lang w:val="pt-PT"/>
              </w:rPr>
              <w:br/>
            </w:r>
            <w:r w:rsidRPr="00FB062E">
              <w:rPr>
                <w:rFonts w:eastAsia="Times New Roman"/>
                <w:noProof/>
                <w:lang w:val="en-US"/>
              </w:rPr>
              <w:t>Tel: +351 21 936 8542</w:t>
            </w:r>
          </w:p>
          <w:p w14:paraId="0B568E90" w14:textId="77777777" w:rsidR="00FB062E" w:rsidRPr="00FB062E" w:rsidRDefault="00FB062E" w:rsidP="00FB062E">
            <w:pPr>
              <w:widowControl w:val="0"/>
              <w:tabs>
                <w:tab w:val="clear" w:pos="567"/>
                <w:tab w:val="left" w:pos="-720"/>
              </w:tabs>
              <w:suppressAutoHyphens/>
              <w:autoSpaceDE w:val="0"/>
              <w:autoSpaceDN w:val="0"/>
              <w:rPr>
                <w:ins w:id="59" w:author="만든 이"/>
                <w:rFonts w:eastAsia="맑은 고딕"/>
                <w:noProof/>
                <w:lang w:val="pt-PT" w:eastAsia="ko-KR"/>
              </w:rPr>
            </w:pPr>
            <w:ins w:id="60" w:author="만든 이">
              <w:r w:rsidRPr="00FB062E">
                <w:rPr>
                  <w:rFonts w:eastAsia="Times New Roman"/>
                  <w:noProof/>
                  <w:lang w:val="pt-PT"/>
                </w:rPr>
                <w:fldChar w:fldCharType="begin"/>
              </w:r>
              <w:r w:rsidRPr="00FB062E">
                <w:rPr>
                  <w:rFonts w:eastAsia="Times New Roman"/>
                  <w:noProof/>
                  <w:lang w:val="pt-PT"/>
                </w:rPr>
                <w:instrText>HYPERLINK "mailto:contact_pt@celltrion.com"</w:instrText>
              </w:r>
              <w:r w:rsidRPr="00FB062E">
                <w:rPr>
                  <w:rFonts w:eastAsia="Times New Roman"/>
                  <w:noProof/>
                  <w:lang w:val="pt-PT"/>
                </w:rPr>
              </w:r>
              <w:r w:rsidRPr="00FB062E">
                <w:rPr>
                  <w:rFonts w:eastAsia="Times New Roman"/>
                  <w:noProof/>
                  <w:lang w:val="pt-PT"/>
                </w:rPr>
                <w:fldChar w:fldCharType="separate"/>
              </w:r>
              <w:r w:rsidRPr="00FB062E">
                <w:rPr>
                  <w:rFonts w:eastAsia="Times New Roman"/>
                  <w:noProof/>
                  <w:color w:val="0000FF"/>
                  <w:u w:val="single"/>
                  <w:lang w:val="pt-PT"/>
                </w:rPr>
                <w:t>contact_pt@celltrion.com</w:t>
              </w:r>
              <w:r w:rsidRPr="00FB062E">
                <w:rPr>
                  <w:rFonts w:eastAsia="Times New Roman"/>
                  <w:noProof/>
                  <w:lang w:val="pt-PT"/>
                </w:rPr>
                <w:fldChar w:fldCharType="end"/>
              </w:r>
            </w:ins>
          </w:p>
          <w:p w14:paraId="12A7E79B" w14:textId="77777777" w:rsidR="00FB062E" w:rsidRPr="00FB062E" w:rsidRDefault="00FB062E" w:rsidP="00FB062E">
            <w:pPr>
              <w:widowControl w:val="0"/>
              <w:tabs>
                <w:tab w:val="clear" w:pos="567"/>
                <w:tab w:val="left" w:pos="-720"/>
              </w:tabs>
              <w:suppressAutoHyphens/>
              <w:autoSpaceDE w:val="0"/>
              <w:autoSpaceDN w:val="0"/>
              <w:rPr>
                <w:rFonts w:eastAsia="맑은 고딕"/>
                <w:noProof/>
                <w:lang w:val="pt-PT" w:eastAsia="ko-KR"/>
                <w:rPrChange w:id="61" w:author="만든 이">
                  <w:rPr>
                    <w:noProof/>
                    <w:lang w:val="pt-PT"/>
                  </w:rPr>
                </w:rPrChange>
              </w:rPr>
            </w:pPr>
          </w:p>
        </w:tc>
      </w:tr>
      <w:tr w:rsidR="00FB062E" w:rsidRPr="00FB062E" w14:paraId="003A8C7F" w14:textId="77777777" w:rsidTr="00527191">
        <w:tc>
          <w:tcPr>
            <w:tcW w:w="4678" w:type="dxa"/>
          </w:tcPr>
          <w:p w14:paraId="441E0227" w14:textId="77777777" w:rsidR="00FB062E" w:rsidRPr="00FB062E" w:rsidRDefault="00FB062E" w:rsidP="00FB062E">
            <w:pPr>
              <w:widowControl w:val="0"/>
              <w:tabs>
                <w:tab w:val="clear" w:pos="567"/>
              </w:tabs>
              <w:autoSpaceDE w:val="0"/>
              <w:autoSpaceDN w:val="0"/>
              <w:rPr>
                <w:rFonts w:eastAsia="Times New Roman"/>
                <w:lang w:val="sv-FI"/>
              </w:rPr>
            </w:pPr>
            <w:r w:rsidRPr="00FB062E">
              <w:rPr>
                <w:rFonts w:eastAsia="Times New Roman"/>
                <w:lang w:val="sv-FI"/>
              </w:rPr>
              <w:br w:type="page"/>
            </w:r>
            <w:r w:rsidRPr="00FB062E">
              <w:rPr>
                <w:rFonts w:eastAsia="Times New Roman"/>
                <w:b/>
                <w:lang w:val="sv-FI"/>
              </w:rPr>
              <w:t>Hrvatska</w:t>
            </w:r>
          </w:p>
          <w:p w14:paraId="4E456B1B" w14:textId="77777777" w:rsidR="00FB062E" w:rsidRPr="00FB062E" w:rsidRDefault="00FB062E" w:rsidP="00FB062E">
            <w:pPr>
              <w:widowControl w:val="0"/>
              <w:tabs>
                <w:tab w:val="clear" w:pos="567"/>
              </w:tabs>
              <w:autoSpaceDE w:val="0"/>
              <w:autoSpaceDN w:val="0"/>
              <w:adjustRightInd w:val="0"/>
              <w:rPr>
                <w:rFonts w:eastAsia="Times New Roman"/>
                <w:lang w:val="sv-FI"/>
              </w:rPr>
            </w:pPr>
            <w:r w:rsidRPr="00FB062E">
              <w:rPr>
                <w:rFonts w:eastAsia="Times New Roman"/>
                <w:lang w:val="sv-FI"/>
              </w:rPr>
              <w:t>Oktal Pharma d.o.o.</w:t>
            </w:r>
          </w:p>
          <w:p w14:paraId="582ADBF3"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r w:rsidRPr="00FB062E">
              <w:rPr>
                <w:rFonts w:eastAsia="Times New Roman"/>
                <w:noProof/>
                <w:lang w:val="en-US"/>
              </w:rPr>
              <w:t>Tel: +385 1 6595 777</w:t>
            </w:r>
          </w:p>
          <w:p w14:paraId="7F44DDC1"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0FFC2536" w14:textId="77777777" w:rsidR="00FB062E" w:rsidRPr="00FB062E" w:rsidRDefault="00FB062E" w:rsidP="00FB062E">
            <w:pPr>
              <w:widowControl w:val="0"/>
              <w:tabs>
                <w:tab w:val="clear" w:pos="567"/>
                <w:tab w:val="left" w:pos="-720"/>
              </w:tabs>
              <w:suppressAutoHyphens/>
              <w:autoSpaceDE w:val="0"/>
              <w:autoSpaceDN w:val="0"/>
              <w:rPr>
                <w:rFonts w:eastAsia="Times New Roman"/>
                <w:b/>
                <w:noProof/>
                <w:lang w:val="en-US"/>
              </w:rPr>
            </w:pPr>
            <w:r w:rsidRPr="00FB062E">
              <w:rPr>
                <w:rFonts w:eastAsia="Times New Roman"/>
                <w:b/>
                <w:noProof/>
                <w:lang w:val="en-US"/>
              </w:rPr>
              <w:t>România</w:t>
            </w:r>
          </w:p>
          <w:p w14:paraId="572C31E7"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ins w:id="62" w:author="만든 이">
              <w:r w:rsidRPr="00FB062E">
                <w:rPr>
                  <w:rFonts w:eastAsia="Times New Roman"/>
                  <w:noProof/>
                  <w:lang w:val="en-US"/>
                </w:rPr>
                <w:t>Celltrion Healthcare Hungary Kft.</w:t>
              </w:r>
            </w:ins>
            <w:del w:id="63" w:author="만든 이">
              <w:r w:rsidRPr="00FB062E" w:rsidDel="009D2085">
                <w:rPr>
                  <w:rFonts w:eastAsia="Times New Roman"/>
                  <w:noProof/>
                  <w:lang w:val="en-US"/>
                </w:rPr>
                <w:delText>Egis Pharmaceuticals PLC Romania</w:delText>
              </w:r>
            </w:del>
          </w:p>
          <w:p w14:paraId="558347FA"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w:t>
            </w:r>
            <w:ins w:id="64" w:author="만든 이">
              <w:r w:rsidRPr="00FB062E">
                <w:rPr>
                  <w:rFonts w:eastAsia="Times New Roman"/>
                  <w:noProof/>
                  <w:lang w:val="en-US"/>
                </w:rPr>
                <w:t>36 1 231 0493</w:t>
              </w:r>
            </w:ins>
            <w:del w:id="65" w:author="만든 이">
              <w:r w:rsidRPr="00FB062E" w:rsidDel="009D2085">
                <w:rPr>
                  <w:rFonts w:eastAsia="Times New Roman"/>
                  <w:noProof/>
                  <w:lang w:val="en-US"/>
                </w:rPr>
                <w:delText>40 21 412 0017</w:delText>
              </w:r>
            </w:del>
          </w:p>
          <w:p w14:paraId="286D3297"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6AF49BFC" w14:textId="77777777" w:rsidTr="00527191">
        <w:tc>
          <w:tcPr>
            <w:tcW w:w="4678" w:type="dxa"/>
          </w:tcPr>
          <w:p w14:paraId="612C9C1B" w14:textId="77777777" w:rsidR="00FB062E" w:rsidRPr="00FB062E" w:rsidRDefault="00FB062E" w:rsidP="00FB062E">
            <w:pPr>
              <w:widowControl w:val="0"/>
              <w:tabs>
                <w:tab w:val="clear" w:pos="567"/>
              </w:tabs>
              <w:autoSpaceDE w:val="0"/>
              <w:autoSpaceDN w:val="0"/>
              <w:rPr>
                <w:rFonts w:eastAsia="Times New Roman"/>
                <w:noProof/>
                <w:lang w:val="nb-NO"/>
              </w:rPr>
            </w:pPr>
            <w:r w:rsidRPr="00FB062E">
              <w:rPr>
                <w:rFonts w:eastAsia="Times New Roman"/>
                <w:b/>
                <w:noProof/>
                <w:lang w:val="nb-NO"/>
              </w:rPr>
              <w:t>Ireland</w:t>
            </w:r>
          </w:p>
          <w:p w14:paraId="076DABF4"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Ireland Limited </w:t>
            </w:r>
          </w:p>
          <w:p w14:paraId="156A5FF9"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+353 1 223 4026</w:t>
            </w:r>
          </w:p>
          <w:p w14:paraId="2CF08D01"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20" w:history="1">
              <w:r w:rsidRPr="00FB062E">
                <w:rPr>
                  <w:rFonts w:eastAsia="Times New Roman"/>
                  <w:color w:val="0000FF"/>
                  <w:u w:val="single"/>
                  <w:lang w:val="en-US"/>
                </w:rPr>
                <w:t>enquiry_ie@celltrionhc.com</w:t>
              </w:r>
            </w:hyperlink>
          </w:p>
          <w:p w14:paraId="235E2606" w14:textId="77777777" w:rsidR="00FB062E" w:rsidRPr="00FB062E" w:rsidRDefault="00FB062E" w:rsidP="00FB062E">
            <w:pPr>
              <w:widowControl w:val="0"/>
              <w:tabs>
                <w:tab w:val="clear" w:pos="567"/>
              </w:tabs>
              <w:autoSpaceDE w:val="0"/>
              <w:autoSpaceDN w:val="0"/>
              <w:rPr>
                <w:rFonts w:eastAsia="Times New Roman"/>
                <w:noProof/>
                <w:lang w:val="en-GB"/>
              </w:rPr>
            </w:pPr>
          </w:p>
        </w:tc>
        <w:tc>
          <w:tcPr>
            <w:tcW w:w="4678" w:type="dxa"/>
          </w:tcPr>
          <w:p w14:paraId="6DE572AB" w14:textId="77777777" w:rsidR="00FB062E" w:rsidRPr="00FB062E" w:rsidRDefault="00FB062E" w:rsidP="00FB062E">
            <w:pPr>
              <w:widowControl w:val="0"/>
              <w:tabs>
                <w:tab w:val="clear" w:pos="567"/>
              </w:tabs>
              <w:autoSpaceDE w:val="0"/>
              <w:autoSpaceDN w:val="0"/>
              <w:rPr>
                <w:rFonts w:eastAsia="Times New Roman"/>
                <w:noProof/>
                <w:lang w:val="en-US"/>
              </w:rPr>
            </w:pPr>
            <w:r w:rsidRPr="00FB062E">
              <w:rPr>
                <w:rFonts w:eastAsia="Times New Roman"/>
                <w:b/>
                <w:noProof/>
                <w:lang w:val="en-US"/>
              </w:rPr>
              <w:t>Slovenija</w:t>
            </w:r>
          </w:p>
          <w:p w14:paraId="166CF6B2"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OPH Oktal Pharma d.o.o.</w:t>
            </w:r>
          </w:p>
          <w:p w14:paraId="6D40C5C8"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+386 1 519 29 22</w:t>
            </w:r>
          </w:p>
          <w:p w14:paraId="68F06F8E" w14:textId="77777777" w:rsidR="00FB062E" w:rsidRPr="00FB062E" w:rsidRDefault="00FB062E" w:rsidP="00FB062E">
            <w:pPr>
              <w:widowControl w:val="0"/>
              <w:tabs>
                <w:tab w:val="clear" w:pos="567"/>
              </w:tabs>
              <w:autoSpaceDE w:val="0"/>
              <w:autoSpaceDN w:val="0"/>
              <w:adjustRightInd w:val="0"/>
              <w:rPr>
                <w:rFonts w:eastAsia="Times New Roman"/>
                <w:b/>
                <w:noProof/>
                <w:lang w:val="en-US"/>
              </w:rPr>
            </w:pPr>
          </w:p>
        </w:tc>
      </w:tr>
      <w:tr w:rsidR="00FB062E" w:rsidRPr="00FB062E" w14:paraId="3850B52A" w14:textId="77777777" w:rsidTr="00527191">
        <w:tc>
          <w:tcPr>
            <w:tcW w:w="4678" w:type="dxa"/>
          </w:tcPr>
          <w:p w14:paraId="451106FC"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Ísland</w:t>
            </w:r>
          </w:p>
          <w:p w14:paraId="3945D5E0" w14:textId="77777777" w:rsidR="00FB062E" w:rsidRPr="00FB062E" w:rsidRDefault="00FB062E" w:rsidP="00FB062E">
            <w:pPr>
              <w:widowControl w:val="0"/>
              <w:tabs>
                <w:tab w:val="clear" w:pos="567"/>
              </w:tabs>
              <w:autoSpaceDE w:val="0"/>
              <w:autoSpaceDN w:val="0"/>
              <w:adjustRightInd w:val="0"/>
              <w:rPr>
                <w:ins w:id="66" w:author="만든 이"/>
                <w:rFonts w:eastAsia="맑은 고딕"/>
                <w:noProof/>
                <w:lang w:val="en-US" w:eastAsia="ko-KR"/>
              </w:rPr>
            </w:pPr>
            <w:r w:rsidRPr="00FB062E">
              <w:rPr>
                <w:rFonts w:eastAsia="Times New Roman"/>
                <w:noProof/>
                <w:lang w:val="en-US"/>
              </w:rPr>
              <w:t xml:space="preserve">Celltrion Healthcare Hungary Kft. </w:t>
            </w:r>
          </w:p>
          <w:p w14:paraId="472AD488" w14:textId="77777777" w:rsidR="00FB062E" w:rsidRPr="00FB062E" w:rsidRDefault="00FB062E" w:rsidP="00FB062E">
            <w:pPr>
              <w:widowControl w:val="0"/>
              <w:tabs>
                <w:tab w:val="clear" w:pos="567"/>
              </w:tabs>
              <w:autoSpaceDE w:val="0"/>
              <w:autoSpaceDN w:val="0"/>
              <w:adjustRightInd w:val="0"/>
              <w:rPr>
                <w:rFonts w:eastAsia="맑은 고딕"/>
                <w:noProof/>
                <w:lang w:val="en-US" w:eastAsia="ko-KR"/>
                <w:rPrChange w:id="67" w:author="만든 이">
                  <w:rPr>
                    <w:noProof/>
                  </w:rPr>
                </w:rPrChange>
              </w:rPr>
            </w:pPr>
            <w:ins w:id="68" w:author="만든 이">
              <w:r w:rsidRPr="00FB062E">
                <w:rPr>
                  <w:rFonts w:eastAsia="맑은 고딕"/>
                  <w:noProof/>
                  <w:lang w:val="en-US" w:eastAsia="ko-KR"/>
                </w:rPr>
                <w:t>Sími: +36 1 231 0493</w:t>
              </w:r>
            </w:ins>
          </w:p>
          <w:p w14:paraId="51283D4C"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21" w:history="1">
              <w:r w:rsidRPr="00FB062E">
                <w:rPr>
                  <w:rFonts w:eastAsia="Times New Roman"/>
                  <w:color w:val="0000FF"/>
                  <w:u w:val="single"/>
                  <w:lang w:val="en-US"/>
                </w:rPr>
                <w:t>contact_fi@celltrionhc.com</w:t>
              </w:r>
            </w:hyperlink>
          </w:p>
          <w:p w14:paraId="0FC468ED"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c>
          <w:tcPr>
            <w:tcW w:w="4678" w:type="dxa"/>
          </w:tcPr>
          <w:p w14:paraId="7CF9F72E" w14:textId="77777777" w:rsidR="00FB062E" w:rsidRPr="00FB062E" w:rsidRDefault="00FB062E" w:rsidP="00FB062E">
            <w:pPr>
              <w:widowControl w:val="0"/>
              <w:tabs>
                <w:tab w:val="clear" w:pos="567"/>
                <w:tab w:val="left" w:pos="-720"/>
              </w:tabs>
              <w:suppressAutoHyphens/>
              <w:autoSpaceDE w:val="0"/>
              <w:autoSpaceDN w:val="0"/>
              <w:rPr>
                <w:rFonts w:eastAsia="Times New Roman"/>
                <w:b/>
                <w:noProof/>
                <w:lang w:val="sv-FI"/>
              </w:rPr>
            </w:pPr>
            <w:r w:rsidRPr="00FB062E">
              <w:rPr>
                <w:rFonts w:eastAsia="Times New Roman"/>
                <w:b/>
                <w:noProof/>
                <w:lang w:val="sv-FI"/>
              </w:rPr>
              <w:lastRenderedPageBreak/>
              <w:t>Slovenská republika</w:t>
            </w:r>
          </w:p>
          <w:p w14:paraId="1C8C8A90" w14:textId="77777777" w:rsidR="00FB062E" w:rsidRPr="00FB062E" w:rsidRDefault="00FB062E" w:rsidP="00FB062E">
            <w:pPr>
              <w:widowControl w:val="0"/>
              <w:tabs>
                <w:tab w:val="clear" w:pos="567"/>
              </w:tabs>
              <w:autoSpaceDE w:val="0"/>
              <w:autoSpaceDN w:val="0"/>
              <w:adjustRightInd w:val="0"/>
              <w:rPr>
                <w:rFonts w:eastAsia="Times New Roman"/>
                <w:noProof/>
                <w:lang w:val="sv-FI"/>
              </w:rPr>
            </w:pPr>
            <w:ins w:id="69" w:author="만든 이">
              <w:r w:rsidRPr="00FB062E">
                <w:rPr>
                  <w:rFonts w:eastAsia="Times New Roman"/>
                  <w:noProof/>
                  <w:lang w:val="sv-FI"/>
                </w:rPr>
                <w:t>Celltrion Healthcare Hungary Kft.</w:t>
              </w:r>
            </w:ins>
            <w:del w:id="70" w:author="만든 이">
              <w:r w:rsidRPr="00FB062E" w:rsidDel="009D2085">
                <w:rPr>
                  <w:rFonts w:eastAsia="Times New Roman"/>
                  <w:noProof/>
                  <w:lang w:val="sv-FI"/>
                </w:rPr>
                <w:delText>EGIS SLOVAKIA spol. s r.o</w:delText>
              </w:r>
            </w:del>
          </w:p>
          <w:p w14:paraId="56AC6AB0"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w:t>
            </w:r>
            <w:ins w:id="71" w:author="만든 이">
              <w:r w:rsidRPr="00FB062E">
                <w:rPr>
                  <w:rFonts w:eastAsia="Times New Roman"/>
                  <w:noProof/>
                  <w:lang w:val="en-US"/>
                </w:rPr>
                <w:t>36 1 231 0493</w:t>
              </w:r>
            </w:ins>
            <w:del w:id="72" w:author="만든 이">
              <w:r w:rsidRPr="00FB062E" w:rsidDel="009D2085">
                <w:rPr>
                  <w:rFonts w:eastAsia="Times New Roman"/>
                  <w:noProof/>
                  <w:lang w:val="en-US"/>
                </w:rPr>
                <w:delText>421 2 3240 9422</w:delText>
              </w:r>
            </w:del>
          </w:p>
          <w:p w14:paraId="2F85BA81" w14:textId="77777777" w:rsidR="00FB062E" w:rsidRPr="00FB062E" w:rsidRDefault="00FB062E" w:rsidP="00FB062E">
            <w:pPr>
              <w:widowControl w:val="0"/>
              <w:tabs>
                <w:tab w:val="clear" w:pos="567"/>
              </w:tabs>
              <w:autoSpaceDE w:val="0"/>
              <w:autoSpaceDN w:val="0"/>
              <w:adjustRightInd w:val="0"/>
              <w:rPr>
                <w:rFonts w:eastAsia="Times New Roman"/>
                <w:b/>
                <w:noProof/>
                <w:color w:val="008000"/>
                <w:lang w:val="en-US"/>
              </w:rPr>
            </w:pPr>
          </w:p>
        </w:tc>
      </w:tr>
      <w:tr w:rsidR="00FB062E" w:rsidRPr="00FB062E" w14:paraId="73E835E0" w14:textId="77777777" w:rsidTr="00527191">
        <w:tc>
          <w:tcPr>
            <w:tcW w:w="4678" w:type="dxa"/>
          </w:tcPr>
          <w:p w14:paraId="0B42DEFB" w14:textId="77777777" w:rsidR="00FB062E" w:rsidRPr="00FB062E" w:rsidRDefault="00FB062E" w:rsidP="00FB062E">
            <w:pPr>
              <w:widowControl w:val="0"/>
              <w:tabs>
                <w:tab w:val="clear" w:pos="567"/>
              </w:tabs>
              <w:autoSpaceDE w:val="0"/>
              <w:autoSpaceDN w:val="0"/>
              <w:rPr>
                <w:rFonts w:eastAsia="Times New Roman"/>
                <w:noProof/>
                <w:lang w:val="it-IT"/>
              </w:rPr>
            </w:pPr>
            <w:r w:rsidRPr="00FB062E">
              <w:rPr>
                <w:rFonts w:eastAsia="Times New Roman"/>
                <w:b/>
                <w:noProof/>
                <w:lang w:val="it-IT"/>
              </w:rPr>
              <w:t>Italia</w:t>
            </w:r>
          </w:p>
          <w:p w14:paraId="1F710B0B"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 xml:space="preserve">Celltrion Healthcare Italy S.R.L. </w:t>
            </w:r>
          </w:p>
          <w:p w14:paraId="4EC15FE4"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Tel: +39 0247927040</w:t>
            </w:r>
          </w:p>
          <w:p w14:paraId="6B887ED3" w14:textId="77777777" w:rsidR="00FB062E" w:rsidRPr="00FB062E" w:rsidRDefault="00FB062E" w:rsidP="00FB062E">
            <w:pPr>
              <w:widowControl w:val="0"/>
              <w:tabs>
                <w:tab w:val="clear" w:pos="567"/>
              </w:tabs>
              <w:autoSpaceDE w:val="0"/>
              <w:autoSpaceDN w:val="0"/>
              <w:rPr>
                <w:rFonts w:eastAsia="SimSun"/>
                <w:color w:val="0000FF"/>
                <w:u w:val="single"/>
                <w:lang w:val="en-US" w:eastAsia="en-GB"/>
              </w:rPr>
            </w:pPr>
            <w:hyperlink r:id="rId22" w:history="1">
              <w:r w:rsidRPr="00FB062E">
                <w:rPr>
                  <w:rFonts w:eastAsia="Times New Roman"/>
                  <w:color w:val="0000FF"/>
                  <w:u w:val="single"/>
                  <w:lang w:val="en-US"/>
                </w:rPr>
                <w:t>celltrionhealthcare_italy@legalmail.it</w:t>
              </w:r>
            </w:hyperlink>
          </w:p>
          <w:p w14:paraId="6E764C0D" w14:textId="77777777" w:rsidR="00FB062E" w:rsidRPr="00FB062E" w:rsidRDefault="00FB062E" w:rsidP="00FB062E">
            <w:pPr>
              <w:widowControl w:val="0"/>
              <w:tabs>
                <w:tab w:val="clear" w:pos="567"/>
              </w:tabs>
              <w:autoSpaceDE w:val="0"/>
              <w:autoSpaceDN w:val="0"/>
              <w:rPr>
                <w:rFonts w:eastAsia="Times New Roman"/>
                <w:b/>
                <w:noProof/>
                <w:lang w:val="it-IT"/>
              </w:rPr>
            </w:pPr>
          </w:p>
        </w:tc>
        <w:tc>
          <w:tcPr>
            <w:tcW w:w="4678" w:type="dxa"/>
          </w:tcPr>
          <w:p w14:paraId="4B508209"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noProof/>
                <w:lang w:val="en-GB"/>
              </w:rPr>
            </w:pPr>
            <w:r w:rsidRPr="00FB062E">
              <w:rPr>
                <w:rFonts w:eastAsia="Times New Roman"/>
                <w:b/>
                <w:noProof/>
                <w:lang w:val="en-GB"/>
              </w:rPr>
              <w:t>Suomi/Finland</w:t>
            </w:r>
          </w:p>
          <w:p w14:paraId="6A998216"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Celltrion Healthcare Finland Oy.</w:t>
            </w:r>
          </w:p>
          <w:p w14:paraId="1E2078A3"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Puh/Tel: +358 29 170 7755</w:t>
            </w:r>
          </w:p>
          <w:p w14:paraId="5EC0B53E"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hyperlink r:id="rId23" w:history="1">
              <w:r w:rsidRPr="00FB062E">
                <w:rPr>
                  <w:rFonts w:eastAsia="Times New Roman"/>
                  <w:color w:val="0000FF"/>
                  <w:u w:val="single"/>
                  <w:lang w:val="en-US"/>
                </w:rPr>
                <w:t>contact_fi@celltrionhc.com</w:t>
              </w:r>
            </w:hyperlink>
          </w:p>
          <w:p w14:paraId="21F5F5EC"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en-US"/>
              </w:rPr>
            </w:pPr>
          </w:p>
        </w:tc>
      </w:tr>
      <w:tr w:rsidR="00FB062E" w:rsidRPr="00FB062E" w14:paraId="4406909C" w14:textId="77777777" w:rsidTr="00527191">
        <w:tc>
          <w:tcPr>
            <w:tcW w:w="4678" w:type="dxa"/>
          </w:tcPr>
          <w:p w14:paraId="2E67B5BB" w14:textId="77777777" w:rsidR="00FB062E" w:rsidRPr="00FB062E" w:rsidRDefault="00FB062E" w:rsidP="00FB062E">
            <w:pPr>
              <w:widowControl w:val="0"/>
              <w:tabs>
                <w:tab w:val="clear" w:pos="567"/>
              </w:tabs>
              <w:autoSpaceDE w:val="0"/>
              <w:autoSpaceDN w:val="0"/>
              <w:rPr>
                <w:rFonts w:eastAsia="Times New Roman"/>
                <w:b/>
                <w:noProof/>
                <w:lang w:val="el-GR"/>
              </w:rPr>
            </w:pPr>
            <w:r w:rsidRPr="00FB062E">
              <w:rPr>
                <w:rFonts w:eastAsia="Times New Roman"/>
                <w:b/>
                <w:noProof/>
                <w:lang w:val="el-GR"/>
              </w:rPr>
              <w:t>Κύπρος</w:t>
            </w:r>
          </w:p>
          <w:p w14:paraId="5BB39B60"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Times New Roman"/>
                <w:noProof/>
                <w:lang w:val="en-US"/>
              </w:rPr>
              <w:t>C.A. Papaellinas Ltd</w:t>
            </w:r>
          </w:p>
          <w:p w14:paraId="145CA6EA" w14:textId="77777777" w:rsidR="00FB062E" w:rsidRPr="00FB062E" w:rsidRDefault="00FB062E" w:rsidP="00FB062E">
            <w:pPr>
              <w:widowControl w:val="0"/>
              <w:tabs>
                <w:tab w:val="clear" w:pos="567"/>
              </w:tabs>
              <w:autoSpaceDE w:val="0"/>
              <w:autoSpaceDN w:val="0"/>
              <w:adjustRightInd w:val="0"/>
              <w:rPr>
                <w:rFonts w:eastAsia="Times New Roman"/>
                <w:noProof/>
                <w:lang w:val="en-GB"/>
              </w:rPr>
            </w:pPr>
            <w:r w:rsidRPr="00FB062E">
              <w:rPr>
                <w:rFonts w:eastAsia="Times New Roman"/>
                <w:noProof/>
                <w:lang w:val="en-US"/>
              </w:rPr>
              <w:t>Τηλ: +357 22741741</w:t>
            </w:r>
          </w:p>
          <w:p w14:paraId="417C2E35" w14:textId="77777777" w:rsidR="00FB062E" w:rsidRPr="00FB062E" w:rsidRDefault="00FB062E" w:rsidP="00FB062E">
            <w:pPr>
              <w:widowControl w:val="0"/>
              <w:tabs>
                <w:tab w:val="clear" w:pos="567"/>
              </w:tabs>
              <w:autoSpaceDE w:val="0"/>
              <w:autoSpaceDN w:val="0"/>
              <w:rPr>
                <w:rFonts w:eastAsia="Times New Roman"/>
                <w:b/>
                <w:noProof/>
                <w:lang w:val="el-GR"/>
              </w:rPr>
            </w:pPr>
          </w:p>
        </w:tc>
        <w:tc>
          <w:tcPr>
            <w:tcW w:w="4678" w:type="dxa"/>
          </w:tcPr>
          <w:p w14:paraId="540580DE"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l-GR"/>
              </w:rPr>
            </w:pPr>
            <w:r w:rsidRPr="00FB062E">
              <w:rPr>
                <w:rFonts w:eastAsia="Times New Roman"/>
                <w:b/>
                <w:noProof/>
                <w:lang w:val="en-US"/>
              </w:rPr>
              <w:t>Sverige</w:t>
            </w:r>
          </w:p>
          <w:p w14:paraId="722DA7C7"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ins w:id="73" w:author="만든 이">
              <w:r w:rsidRPr="00FB062E">
                <w:rPr>
                  <w:rFonts w:eastAsia="Times New Roman"/>
                  <w:noProof/>
                  <w:lang w:val="en-US"/>
                </w:rPr>
                <w:t>Celltrion Sweden AB</w:t>
              </w:r>
            </w:ins>
            <w:del w:id="74" w:author="만든 이">
              <w:r w:rsidRPr="00FB062E" w:rsidDel="009D2085">
                <w:rPr>
                  <w:rFonts w:eastAsia="Times New Roman"/>
                  <w:noProof/>
                  <w:lang w:val="en-US"/>
                </w:rPr>
                <w:delText>Celltrion Healthcare Hungary Kft.</w:delText>
              </w:r>
            </w:del>
            <w:r w:rsidRPr="00FB062E">
              <w:rPr>
                <w:rFonts w:eastAsia="Times New Roman"/>
                <w:noProof/>
                <w:lang w:val="en-US"/>
              </w:rPr>
              <w:t xml:space="preserve"> </w:t>
            </w:r>
          </w:p>
          <w:p w14:paraId="5C8A630B" w14:textId="77777777" w:rsidR="00FB062E" w:rsidRPr="00FB062E" w:rsidRDefault="00FB062E" w:rsidP="00FB062E">
            <w:pPr>
              <w:widowControl w:val="0"/>
              <w:tabs>
                <w:tab w:val="clear" w:pos="567"/>
                <w:tab w:val="left" w:pos="-720"/>
                <w:tab w:val="left" w:pos="4536"/>
              </w:tabs>
              <w:suppressAutoHyphens/>
              <w:autoSpaceDE w:val="0"/>
              <w:autoSpaceDN w:val="0"/>
              <w:rPr>
                <w:rFonts w:eastAsia="Times New Roman"/>
                <w:b/>
                <w:noProof/>
                <w:lang w:val="en-US"/>
              </w:rPr>
            </w:pPr>
            <w:hyperlink r:id="rId24" w:history="1">
              <w:r w:rsidRPr="00FB062E">
                <w:rPr>
                  <w:rFonts w:eastAsia="Times New Roman" w:hint="eastAsia"/>
                  <w:noProof/>
                  <w:color w:val="0000FF"/>
                  <w:u w:val="single"/>
                  <w:lang w:val="en-US"/>
                </w:rPr>
                <w:t>contact_se@celltrionhc.com</w:t>
              </w:r>
            </w:hyperlink>
          </w:p>
        </w:tc>
      </w:tr>
      <w:tr w:rsidR="00FB062E" w:rsidRPr="00FB062E" w14:paraId="2358676B" w14:textId="77777777" w:rsidTr="00527191">
        <w:tc>
          <w:tcPr>
            <w:tcW w:w="4678" w:type="dxa"/>
          </w:tcPr>
          <w:p w14:paraId="4AE694ED" w14:textId="77777777" w:rsidR="00FB062E" w:rsidRPr="00FB062E" w:rsidRDefault="00FB062E" w:rsidP="00FB062E">
            <w:pPr>
              <w:widowControl w:val="0"/>
              <w:tabs>
                <w:tab w:val="clear" w:pos="567"/>
              </w:tabs>
              <w:autoSpaceDE w:val="0"/>
              <w:autoSpaceDN w:val="0"/>
              <w:rPr>
                <w:rFonts w:eastAsia="Times New Roman"/>
                <w:b/>
                <w:noProof/>
                <w:lang w:val="en-US"/>
              </w:rPr>
            </w:pPr>
            <w:r w:rsidRPr="00FB062E">
              <w:rPr>
                <w:rFonts w:eastAsia="Times New Roman"/>
                <w:b/>
                <w:noProof/>
                <w:lang w:val="en-US"/>
              </w:rPr>
              <w:t>Latvija</w:t>
            </w:r>
          </w:p>
          <w:p w14:paraId="0AEC234A"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ins w:id="75" w:author="만든 이">
              <w:r w:rsidRPr="00FB062E">
                <w:rPr>
                  <w:rFonts w:eastAsia="Times New Roman"/>
                  <w:noProof/>
                  <w:lang w:val="en-US"/>
                </w:rPr>
                <w:t>Celltrion Healthcare Hungary Kft.</w:t>
              </w:r>
            </w:ins>
            <w:del w:id="76" w:author="만든 이">
              <w:r w:rsidRPr="00FB062E" w:rsidDel="009D2085">
                <w:rPr>
                  <w:rFonts w:eastAsia="Times New Roman"/>
                  <w:noProof/>
                  <w:lang w:val="en-US"/>
                </w:rPr>
                <w:delText xml:space="preserve">EGIS Pharmaceuticals PLC pārstāvniecība </w:delText>
              </w:r>
              <w:r w:rsidRPr="00FB062E" w:rsidDel="009D2085">
                <w:rPr>
                  <w:rFonts w:eastAsia="Times New Roman"/>
                  <w:noProof/>
                  <w:lang w:val="en-US"/>
                </w:rPr>
                <w:br/>
                <w:delText>Latvijā</w:delText>
              </w:r>
            </w:del>
          </w:p>
          <w:p w14:paraId="20128389" w14:textId="77777777" w:rsidR="00FB062E" w:rsidRPr="00FB062E" w:rsidRDefault="00FB062E" w:rsidP="00FB062E">
            <w:pPr>
              <w:widowControl w:val="0"/>
              <w:tabs>
                <w:tab w:val="clear" w:pos="567"/>
              </w:tabs>
              <w:autoSpaceDE w:val="0"/>
              <w:autoSpaceDN w:val="0"/>
              <w:adjustRightInd w:val="0"/>
              <w:rPr>
                <w:rFonts w:eastAsia="Times New Roman"/>
                <w:noProof/>
                <w:lang w:val="en-US"/>
              </w:rPr>
            </w:pPr>
            <w:r w:rsidRPr="00FB062E">
              <w:rPr>
                <w:rFonts w:eastAsia="맑은 고딕" w:hint="eastAsia"/>
                <w:noProof/>
                <w:lang w:val="en-US" w:eastAsia="ko-KR"/>
              </w:rPr>
              <w:t>Tel</w:t>
            </w:r>
            <w:r w:rsidRPr="00FB062E">
              <w:rPr>
                <w:rFonts w:eastAsia="Times New Roman"/>
                <w:noProof/>
                <w:lang w:val="en-US"/>
              </w:rPr>
              <w:t>: +</w:t>
            </w:r>
            <w:ins w:id="77" w:author="만든 이">
              <w:r w:rsidRPr="00FB062E">
                <w:rPr>
                  <w:rFonts w:eastAsia="Times New Roman"/>
                  <w:noProof/>
                  <w:lang w:val="en-US"/>
                </w:rPr>
                <w:t>36 1 231 0493</w:t>
              </w:r>
            </w:ins>
            <w:del w:id="78" w:author="만든 이">
              <w:r w:rsidRPr="00FB062E" w:rsidDel="009D2085">
                <w:rPr>
                  <w:rFonts w:eastAsia="Times New Roman"/>
                  <w:noProof/>
                  <w:lang w:val="en-US"/>
                </w:rPr>
                <w:delText>371 67613859</w:delText>
              </w:r>
            </w:del>
          </w:p>
          <w:p w14:paraId="014CD459"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pt-PT"/>
              </w:rPr>
            </w:pPr>
          </w:p>
          <w:p w14:paraId="7B7B08EF" w14:textId="77777777" w:rsidR="00FB062E" w:rsidRPr="00FB062E" w:rsidRDefault="00FB062E" w:rsidP="00FB062E">
            <w:pPr>
              <w:widowControl w:val="0"/>
              <w:tabs>
                <w:tab w:val="clear" w:pos="567"/>
                <w:tab w:val="left" w:pos="-720"/>
              </w:tabs>
              <w:suppressAutoHyphens/>
              <w:autoSpaceDE w:val="0"/>
              <w:autoSpaceDN w:val="0"/>
              <w:rPr>
                <w:rFonts w:eastAsia="Times New Roman"/>
                <w:noProof/>
                <w:lang w:val="pt-PT"/>
              </w:rPr>
            </w:pPr>
          </w:p>
        </w:tc>
        <w:tc>
          <w:tcPr>
            <w:tcW w:w="4678" w:type="dxa"/>
          </w:tcPr>
          <w:p w14:paraId="3A12B847" w14:textId="77777777" w:rsidR="00FB062E" w:rsidRPr="00FB062E" w:rsidRDefault="00FB062E" w:rsidP="00FB062E">
            <w:pPr>
              <w:widowControl w:val="0"/>
              <w:tabs>
                <w:tab w:val="clear" w:pos="567"/>
              </w:tabs>
              <w:autoSpaceDE w:val="0"/>
              <w:autoSpaceDN w:val="0"/>
              <w:rPr>
                <w:rFonts w:eastAsia="Times New Roman"/>
                <w:noProof/>
                <w:lang w:val="en-US"/>
              </w:rPr>
            </w:pPr>
          </w:p>
          <w:p w14:paraId="7B34601E" w14:textId="77777777" w:rsidR="00FB062E" w:rsidRPr="00FB062E" w:rsidRDefault="00FB062E" w:rsidP="00FB062E">
            <w:pPr>
              <w:widowControl w:val="0"/>
              <w:tabs>
                <w:tab w:val="clear" w:pos="567"/>
              </w:tabs>
              <w:autoSpaceDE w:val="0"/>
              <w:autoSpaceDN w:val="0"/>
              <w:rPr>
                <w:rFonts w:eastAsia="Times New Roman"/>
                <w:noProof/>
                <w:lang w:val="en-US"/>
              </w:rPr>
            </w:pPr>
          </w:p>
        </w:tc>
      </w:tr>
    </w:tbl>
    <w:p w14:paraId="1A434E0F" w14:textId="77777777" w:rsidR="008603DE" w:rsidRPr="00882AF5" w:rsidRDefault="00382BC2" w:rsidP="00F51F12">
      <w:pPr>
        <w:keepNext/>
        <w:tabs>
          <w:tab w:val="clear" w:pos="567"/>
        </w:tabs>
        <w:rPr>
          <w:b/>
          <w:bCs/>
        </w:rPr>
      </w:pPr>
      <w:r w:rsidRPr="00882AF5">
        <w:rPr>
          <w:b/>
        </w:rPr>
        <w:t>Šī lietošanas instrukcija pēdējo reizi pārskatīta</w:t>
      </w:r>
    </w:p>
    <w:p w14:paraId="23165A4F" w14:textId="77777777" w:rsidR="00382BC2" w:rsidRPr="00882AF5" w:rsidRDefault="00382BC2" w:rsidP="008B4ED7">
      <w:pPr>
        <w:keepNext/>
      </w:pPr>
    </w:p>
    <w:p w14:paraId="2B935FC4" w14:textId="77777777" w:rsidR="00420B9A" w:rsidRPr="00882AF5" w:rsidRDefault="00420B9A" w:rsidP="00F51F12">
      <w:pPr>
        <w:keepNext/>
        <w:tabs>
          <w:tab w:val="clear" w:pos="567"/>
        </w:tabs>
        <w:rPr>
          <w:b/>
          <w:bCs/>
        </w:rPr>
      </w:pPr>
      <w:r w:rsidRPr="00882AF5">
        <w:rPr>
          <w:b/>
        </w:rPr>
        <w:t>Citi informācijas avoti</w:t>
      </w:r>
    </w:p>
    <w:p w14:paraId="4FCDBE97" w14:textId="77777777" w:rsidR="00420B9A" w:rsidRPr="00882AF5" w:rsidRDefault="00420B9A" w:rsidP="00210844">
      <w:pPr>
        <w:keepNext/>
        <w:tabs>
          <w:tab w:val="clear" w:pos="567"/>
        </w:tabs>
      </w:pPr>
    </w:p>
    <w:p w14:paraId="23157F46" w14:textId="54B5DB68" w:rsidR="00382BC2" w:rsidRPr="00882AF5" w:rsidRDefault="00382BC2" w:rsidP="008B4ED7">
      <w:pPr>
        <w:tabs>
          <w:tab w:val="clear" w:pos="567"/>
        </w:tabs>
      </w:pPr>
      <w:r w:rsidRPr="00882AF5">
        <w:t xml:space="preserve">Sīkāka informācija par šīm zālēm ir pieejama Eiropas Zāļu aģentūras tīmekļa vietnē: </w:t>
      </w:r>
      <w:hyperlink r:id="rId25" w:history="1">
        <w:r w:rsidR="000F6C10" w:rsidRPr="00882AF5">
          <w:rPr>
            <w:rStyle w:val="ab"/>
          </w:rPr>
          <w:t>https://www.ema.europa.eu/</w:t>
        </w:r>
      </w:hyperlink>
    </w:p>
    <w:p w14:paraId="0AC060CC" w14:textId="77777777" w:rsidR="00382BC2" w:rsidRPr="00882AF5" w:rsidRDefault="00382BC2" w:rsidP="008B4ED7">
      <w:pPr>
        <w:tabs>
          <w:tab w:val="clear" w:pos="567"/>
        </w:tabs>
      </w:pPr>
    </w:p>
    <w:p w14:paraId="7E2FDB38" w14:textId="1B95EFBF" w:rsidR="0018177D" w:rsidRPr="00882AF5" w:rsidRDefault="00382BC2" w:rsidP="000F6C10">
      <w:pPr>
        <w:numPr>
          <w:ilvl w:val="12"/>
          <w:numId w:val="0"/>
        </w:numPr>
        <w:ind w:right="-2"/>
      </w:pPr>
      <w:r w:rsidRPr="00882AF5">
        <w:t>--------------------------------------------------------------------------------------------------------------------------</w:t>
      </w:r>
    </w:p>
    <w:p w14:paraId="4E14D0A1" w14:textId="77777777" w:rsidR="00A167B5" w:rsidRDefault="00A167B5" w:rsidP="000F6C10">
      <w:pPr>
        <w:numPr>
          <w:ilvl w:val="12"/>
          <w:numId w:val="0"/>
        </w:numPr>
        <w:ind w:right="-2"/>
        <w:rPr>
          <w:rFonts w:eastAsia="맑은 고딕"/>
          <w:b/>
          <w:bCs/>
          <w:lang w:eastAsia="ko-KR"/>
        </w:rPr>
      </w:pPr>
    </w:p>
    <w:p w14:paraId="340A9A81" w14:textId="77777777" w:rsidR="009A78C1" w:rsidRPr="009A78C1" w:rsidRDefault="009A78C1" w:rsidP="000F6C10">
      <w:pPr>
        <w:numPr>
          <w:ilvl w:val="12"/>
          <w:numId w:val="0"/>
        </w:numPr>
        <w:ind w:right="-2"/>
        <w:rPr>
          <w:rFonts w:eastAsia="맑은 고딕"/>
          <w:b/>
          <w:bCs/>
          <w:lang w:eastAsia="ko-KR"/>
        </w:rPr>
      </w:pPr>
    </w:p>
    <w:p w14:paraId="0FC0FA54" w14:textId="433BBD36" w:rsidR="005303AC" w:rsidRPr="00882AF5" w:rsidRDefault="00886619" w:rsidP="005303AC">
      <w:pPr>
        <w:keepNext/>
        <w:rPr>
          <w:b/>
          <w:bCs/>
        </w:rPr>
      </w:pPr>
      <w:r w:rsidRPr="00882AF5">
        <w:rPr>
          <w:b/>
          <w:bCs/>
        </w:rPr>
        <w:t>Lietošanas norādījumi</w:t>
      </w:r>
    </w:p>
    <w:p w14:paraId="795015C5" w14:textId="77777777" w:rsidR="005303AC" w:rsidRPr="00882AF5" w:rsidRDefault="005303AC" w:rsidP="005303AC">
      <w:pPr>
        <w:keepNext/>
      </w:pPr>
    </w:p>
    <w:p w14:paraId="10601BAF" w14:textId="66AF390E" w:rsidR="005303AC" w:rsidRPr="00882AF5" w:rsidRDefault="001B12FE" w:rsidP="005303AC">
      <w:r>
        <w:t>P</w:t>
      </w:r>
      <w:r w:rsidRPr="00882AF5">
        <w:t>irms sākat lietot pilnšļirci, un ikreiz, kad saņemat jaunu pilnšļirci</w:t>
      </w:r>
      <w:r>
        <w:t>, i</w:t>
      </w:r>
      <w:r w:rsidR="00FD0237" w:rsidRPr="00882AF5">
        <w:t>zlasiet un ievērojiet Stoboclo pilnšļircei pievienotos lietošanas norādījumus</w:t>
      </w:r>
      <w:r w:rsidR="005303AC" w:rsidRPr="00882AF5">
        <w:t xml:space="preserve">. </w:t>
      </w:r>
      <w:r w:rsidR="009A0D8E" w:rsidRPr="00882AF5">
        <w:t>Tur var būt jauna informācija</w:t>
      </w:r>
      <w:r w:rsidR="005303AC" w:rsidRPr="00882AF5">
        <w:t xml:space="preserve">. Stoboclo </w:t>
      </w:r>
      <w:r w:rsidR="000247C4" w:rsidRPr="00882AF5">
        <w:t xml:space="preserve">var ievadīt veselības aprūpes </w:t>
      </w:r>
      <w:r w:rsidR="008839CC">
        <w:t>speciālisti</w:t>
      </w:r>
      <w:r w:rsidR="000247C4" w:rsidRPr="00882AF5">
        <w:t xml:space="preserve"> </w:t>
      </w:r>
      <w:r w:rsidR="005303AC" w:rsidRPr="00882AF5">
        <w:t>(</w:t>
      </w:r>
      <w:r w:rsidR="00016183" w:rsidRPr="00882AF5">
        <w:t>VA</w:t>
      </w:r>
      <w:r w:rsidR="008839CC">
        <w:t>S</w:t>
      </w:r>
      <w:r w:rsidR="005303AC" w:rsidRPr="00882AF5">
        <w:t xml:space="preserve">), </w:t>
      </w:r>
      <w:r w:rsidR="00016183" w:rsidRPr="00882AF5">
        <w:t>aprūpētāji vai paši pacienti, ja viņi ir tikuši apmācīti</w:t>
      </w:r>
      <w:r w:rsidR="005303AC" w:rsidRPr="00882AF5">
        <w:t xml:space="preserve">. </w:t>
      </w:r>
      <w:r w:rsidR="00D22E56" w:rsidRPr="00882AF5">
        <w:t>Ja Jums ir jautājumi par pašinjicēšanu, jautājiet savam ārstam.</w:t>
      </w:r>
    </w:p>
    <w:p w14:paraId="2F609628" w14:textId="77777777" w:rsidR="006D531D" w:rsidRPr="00882AF5" w:rsidRDefault="006D531D" w:rsidP="006D53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DC07D9" w:rsidRPr="00882AF5" w14:paraId="1CC9F0D2" w14:textId="77777777" w:rsidTr="004126A3">
        <w:trPr>
          <w:cantSplit/>
        </w:trPr>
        <w:tc>
          <w:tcPr>
            <w:tcW w:w="10068" w:type="dxa"/>
            <w:shd w:val="clear" w:color="auto" w:fill="auto"/>
          </w:tcPr>
          <w:p w14:paraId="74FCAEC7" w14:textId="1A6F27C4" w:rsidR="00DC07D9" w:rsidRPr="00666FDE" w:rsidRDefault="00D22E56" w:rsidP="00DC07D9">
            <w:pPr>
              <w:keepNext/>
              <w:tabs>
                <w:tab w:val="clear" w:pos="567"/>
              </w:tabs>
              <w:rPr>
                <w:rFonts w:eastAsia="맑은 고딕"/>
                <w:b/>
                <w:bCs/>
                <w:lang w:eastAsia="zh-CN"/>
              </w:rPr>
            </w:pPr>
            <w:r w:rsidRPr="00666FDE">
              <w:rPr>
                <w:rFonts w:eastAsia="맑은 고딕"/>
                <w:b/>
                <w:bCs/>
                <w:lang w:eastAsia="zh-CN"/>
              </w:rPr>
              <w:t>Svarīga informācija</w:t>
            </w:r>
          </w:p>
        </w:tc>
      </w:tr>
      <w:tr w:rsidR="00DC07D9" w:rsidRPr="00882AF5" w14:paraId="0DDDB289" w14:textId="77777777" w:rsidTr="004126A3">
        <w:trPr>
          <w:cantSplit/>
        </w:trPr>
        <w:tc>
          <w:tcPr>
            <w:tcW w:w="10068" w:type="dxa"/>
            <w:shd w:val="clear" w:color="auto" w:fill="auto"/>
          </w:tcPr>
          <w:p w14:paraId="0A286AC1" w14:textId="4F655CC4" w:rsidR="00DC07D9" w:rsidRPr="00666FDE" w:rsidRDefault="00DC07D9" w:rsidP="00DC07D9">
            <w:pPr>
              <w:numPr>
                <w:ilvl w:val="0"/>
                <w:numId w:val="57"/>
              </w:numPr>
              <w:tabs>
                <w:tab w:val="clear" w:pos="567"/>
              </w:tabs>
              <w:suppressAutoHyphens/>
              <w:ind w:left="567" w:hanging="567"/>
              <w:rPr>
                <w:rFonts w:eastAsia="맑은 고딕"/>
                <w:lang w:eastAsia="zh-CN"/>
              </w:rPr>
            </w:pPr>
            <w:r w:rsidRPr="00666FDE">
              <w:rPr>
                <w:rFonts w:eastAsia="맑은 고딕"/>
                <w:lang w:eastAsia="zh-CN"/>
              </w:rPr>
              <w:t xml:space="preserve">Stoboclo </w:t>
            </w:r>
            <w:r w:rsidR="00D6113D" w:rsidRPr="00666FDE">
              <w:rPr>
                <w:rFonts w:eastAsia="맑은 고딕"/>
                <w:lang w:eastAsia="zh-CN"/>
              </w:rPr>
              <w:t>ievada injekcijas veidā audos tieši zem ādas (subkutāna injekcija).</w:t>
            </w:r>
          </w:p>
          <w:p w14:paraId="4B942602" w14:textId="3D760650" w:rsidR="00DC07D9" w:rsidRPr="00666FDE" w:rsidRDefault="00D6113D" w:rsidP="00DC07D9">
            <w:pPr>
              <w:numPr>
                <w:ilvl w:val="0"/>
                <w:numId w:val="57"/>
              </w:numPr>
              <w:tabs>
                <w:tab w:val="clear" w:pos="567"/>
              </w:tabs>
              <w:suppressAutoHyphens/>
              <w:ind w:left="567" w:hanging="567"/>
              <w:rPr>
                <w:rFonts w:eastAsia="맑은 고딕"/>
                <w:lang w:eastAsia="zh-CN"/>
              </w:rPr>
            </w:pPr>
            <w:r w:rsidRPr="00666FDE">
              <w:rPr>
                <w:rFonts w:eastAsia="맑은 고딕"/>
                <w:b/>
                <w:lang w:eastAsia="zh-CN"/>
              </w:rPr>
              <w:t>Neatverie</w:t>
            </w:r>
            <w:r w:rsidR="000C4299" w:rsidRPr="00666FDE">
              <w:rPr>
                <w:rFonts w:eastAsia="맑은 고딕"/>
                <w:b/>
                <w:lang w:eastAsia="zh-CN"/>
              </w:rPr>
              <w:t>t</w:t>
            </w:r>
            <w:r w:rsidR="00DC07D9" w:rsidRPr="00666FDE">
              <w:rPr>
                <w:rFonts w:eastAsia="맑은 고딕"/>
                <w:b/>
                <w:lang w:eastAsia="zh-CN"/>
              </w:rPr>
              <w:t xml:space="preserve"> </w:t>
            </w:r>
            <w:r w:rsidRPr="00666FDE">
              <w:rPr>
                <w:rFonts w:eastAsia="맑은 고딕"/>
                <w:bCs/>
                <w:lang w:eastAsia="zh-CN"/>
              </w:rPr>
              <w:t>slēgto kastīti, kamēr neesat gatavs</w:t>
            </w:r>
            <w:r w:rsidR="00EF7CE0" w:rsidRPr="00882AF5">
              <w:rPr>
                <w:rFonts w:eastAsia="맑은 고딕"/>
                <w:bCs/>
                <w:lang w:eastAsia="zh-CN"/>
              </w:rPr>
              <w:t>(-a)</w:t>
            </w:r>
            <w:r w:rsidRPr="00666FDE">
              <w:rPr>
                <w:rFonts w:eastAsia="맑은 고딕"/>
                <w:bCs/>
                <w:lang w:eastAsia="zh-CN"/>
              </w:rPr>
              <w:t xml:space="preserve"> izmantot pilnšļirci</w:t>
            </w:r>
            <w:r w:rsidR="00DC07D9" w:rsidRPr="00666FDE">
              <w:rPr>
                <w:rFonts w:eastAsia="맑은 고딕"/>
                <w:bCs/>
                <w:lang w:eastAsia="zh-CN"/>
              </w:rPr>
              <w:t>.</w:t>
            </w:r>
          </w:p>
          <w:p w14:paraId="0D8307E7" w14:textId="12D7CCBD" w:rsidR="00DC07D9" w:rsidRPr="00666FDE" w:rsidRDefault="00E73E38" w:rsidP="00DC07D9">
            <w:pPr>
              <w:numPr>
                <w:ilvl w:val="0"/>
                <w:numId w:val="57"/>
              </w:numPr>
              <w:tabs>
                <w:tab w:val="clear" w:pos="567"/>
              </w:tabs>
              <w:suppressAutoHyphens/>
              <w:ind w:left="567" w:hanging="567"/>
              <w:rPr>
                <w:rFonts w:eastAsia="맑은 고딕"/>
                <w:b/>
                <w:lang w:eastAsia="zh-CN"/>
              </w:rPr>
            </w:pPr>
            <w:r w:rsidRPr="00666FDE">
              <w:rPr>
                <w:rFonts w:eastAsia="맑은 고딕"/>
                <w:b/>
                <w:lang w:eastAsia="zh-CN"/>
              </w:rPr>
              <w:t>N</w:t>
            </w:r>
            <w:r w:rsidR="007E2BA5">
              <w:rPr>
                <w:rFonts w:eastAsia="맑은 고딕"/>
                <w:b/>
                <w:lang w:eastAsia="zh-CN"/>
              </w:rPr>
              <w:t>en</w:t>
            </w:r>
            <w:r w:rsidRPr="00666FDE">
              <w:rPr>
                <w:rFonts w:eastAsia="맑은 고딕"/>
                <w:b/>
                <w:lang w:eastAsia="zh-CN"/>
              </w:rPr>
              <w:t>oņemiet</w:t>
            </w:r>
            <w:r w:rsidRPr="00882AF5">
              <w:rPr>
                <w:rFonts w:eastAsia="맑은 고딕"/>
                <w:bCs/>
                <w:lang w:eastAsia="zh-CN"/>
              </w:rPr>
              <w:t xml:space="preserve"> </w:t>
            </w:r>
            <w:r w:rsidR="00D6113D" w:rsidRPr="00666FDE">
              <w:rPr>
                <w:rFonts w:eastAsia="맑은 고딕"/>
                <w:bCs/>
                <w:lang w:eastAsia="zh-CN"/>
              </w:rPr>
              <w:t>adatas uzgali no pilnšļirces</w:t>
            </w:r>
            <w:r w:rsidR="000C4299" w:rsidRPr="00666FDE">
              <w:rPr>
                <w:rFonts w:eastAsia="맑은 고딕"/>
                <w:bCs/>
                <w:lang w:eastAsia="zh-CN"/>
              </w:rPr>
              <w:t xml:space="preserve"> </w:t>
            </w:r>
            <w:r w:rsidR="008839CC">
              <w:rPr>
                <w:rFonts w:eastAsia="맑은 고딕"/>
                <w:bCs/>
                <w:lang w:eastAsia="zh-CN"/>
              </w:rPr>
              <w:t xml:space="preserve">ātrāk kā </w:t>
            </w:r>
            <w:r w:rsidRPr="00882AF5">
              <w:rPr>
                <w:rFonts w:eastAsia="맑은 고딕"/>
                <w:bCs/>
                <w:lang w:eastAsia="zh-CN"/>
              </w:rPr>
              <w:t>tieši pirms injekcijas.</w:t>
            </w:r>
          </w:p>
          <w:p w14:paraId="76D2CEFB" w14:textId="6742CE09" w:rsidR="00DC07D9" w:rsidRPr="00666FDE" w:rsidRDefault="00D6113D" w:rsidP="00DC07D9">
            <w:pPr>
              <w:numPr>
                <w:ilvl w:val="0"/>
                <w:numId w:val="57"/>
              </w:numPr>
              <w:tabs>
                <w:tab w:val="clear" w:pos="567"/>
              </w:tabs>
              <w:suppressAutoHyphens/>
              <w:ind w:left="567" w:hanging="567"/>
              <w:rPr>
                <w:rFonts w:eastAsia="맑은 고딕"/>
                <w:b/>
                <w:lang w:eastAsia="zh-CN"/>
              </w:rPr>
            </w:pPr>
            <w:r w:rsidRPr="00666FDE">
              <w:rPr>
                <w:rFonts w:eastAsia="맑은 고딕"/>
                <w:b/>
                <w:lang w:eastAsia="zh-CN"/>
              </w:rPr>
              <w:t>Nemēģiniet</w:t>
            </w:r>
            <w:r w:rsidR="00DC07D9" w:rsidRPr="00666FDE">
              <w:rPr>
                <w:rFonts w:eastAsia="맑은 고딕"/>
                <w:b/>
                <w:spacing w:val="-3"/>
                <w:lang w:eastAsia="zh-CN"/>
              </w:rPr>
              <w:t xml:space="preserve"> </w:t>
            </w:r>
            <w:r w:rsidR="0078654E" w:rsidRPr="00882AF5">
              <w:rPr>
                <w:rFonts w:eastAsia="맑은 고딕"/>
                <w:lang w:eastAsia="zh-CN"/>
              </w:rPr>
              <w:t>aktivizēt pilnšļirci pirms injekcijas.</w:t>
            </w:r>
          </w:p>
          <w:p w14:paraId="105B5784" w14:textId="10ABEC20" w:rsidR="00DC07D9" w:rsidRPr="00666FDE" w:rsidRDefault="0078654E" w:rsidP="00DC07D9">
            <w:pPr>
              <w:numPr>
                <w:ilvl w:val="0"/>
                <w:numId w:val="57"/>
              </w:numPr>
              <w:tabs>
                <w:tab w:val="clear" w:pos="567"/>
              </w:tabs>
              <w:suppressAutoHyphens/>
              <w:ind w:left="567" w:hanging="567"/>
              <w:rPr>
                <w:rFonts w:eastAsia="맑은 고딕"/>
                <w:b/>
                <w:lang w:eastAsia="zh-CN"/>
              </w:rPr>
            </w:pPr>
            <w:r w:rsidRPr="00882AF5">
              <w:rPr>
                <w:rFonts w:eastAsia="맑은 고딕"/>
                <w:b/>
                <w:lang w:eastAsia="zh-CN"/>
              </w:rPr>
              <w:t>Nemēģiniet</w:t>
            </w:r>
            <w:r w:rsidR="00DC07D9" w:rsidRPr="00666FDE">
              <w:rPr>
                <w:rFonts w:eastAsia="맑은 고딕"/>
                <w:b/>
                <w:spacing w:val="-4"/>
                <w:lang w:eastAsia="zh-CN"/>
              </w:rPr>
              <w:t xml:space="preserve"> </w:t>
            </w:r>
            <w:r w:rsidRPr="00882AF5">
              <w:rPr>
                <w:rFonts w:eastAsia="맑은 고딕"/>
                <w:lang w:eastAsia="zh-CN"/>
              </w:rPr>
              <w:t>noņemt caurspīdīgo adatas aizsa</w:t>
            </w:r>
            <w:r w:rsidR="00EF7CE0" w:rsidRPr="00882AF5">
              <w:rPr>
                <w:rFonts w:eastAsia="맑은 고딕"/>
                <w:lang w:eastAsia="zh-CN"/>
              </w:rPr>
              <w:t>r</w:t>
            </w:r>
            <w:r w:rsidRPr="00882AF5">
              <w:rPr>
                <w:rFonts w:eastAsia="맑은 고딕"/>
                <w:lang w:eastAsia="zh-CN"/>
              </w:rPr>
              <w:t>gu no pilnšļirces.</w:t>
            </w:r>
          </w:p>
          <w:p w14:paraId="1B391ED3" w14:textId="4331A433" w:rsidR="00DC07D9" w:rsidRPr="00666FDE" w:rsidRDefault="00137969" w:rsidP="00DC07D9">
            <w:pPr>
              <w:numPr>
                <w:ilvl w:val="0"/>
                <w:numId w:val="57"/>
              </w:numPr>
              <w:tabs>
                <w:tab w:val="clear" w:pos="567"/>
              </w:tabs>
              <w:suppressAutoHyphens/>
              <w:ind w:left="567" w:hanging="567"/>
              <w:rPr>
                <w:rFonts w:eastAsia="맑은 고딕"/>
                <w:lang w:eastAsia="zh-CN"/>
              </w:rPr>
            </w:pPr>
            <w:r w:rsidRPr="00882AF5">
              <w:rPr>
                <w:rFonts w:eastAsia="맑은 고딕"/>
                <w:b/>
                <w:bCs/>
                <w:lang w:eastAsia="zh-CN"/>
              </w:rPr>
              <w:t>Nelietojiet</w:t>
            </w:r>
            <w:r w:rsidR="00DC07D9" w:rsidRPr="00666FDE">
              <w:rPr>
                <w:rFonts w:eastAsia="맑은 고딕"/>
                <w:lang w:eastAsia="zh-CN"/>
              </w:rPr>
              <w:t xml:space="preserve"> </w:t>
            </w:r>
            <w:r w:rsidRPr="00882AF5">
              <w:rPr>
                <w:rFonts w:eastAsia="맑은 고딕"/>
                <w:lang w:eastAsia="zh-CN"/>
              </w:rPr>
              <w:t>pilnšļirci, ja tā ir nokritusi uz cietas virsmas. Lietojiet jaunu pilnšļirci.</w:t>
            </w:r>
          </w:p>
          <w:p w14:paraId="79603D25" w14:textId="11B7CAFA" w:rsidR="00DC07D9" w:rsidRPr="00666FDE" w:rsidRDefault="00137969" w:rsidP="00DC07D9">
            <w:pPr>
              <w:numPr>
                <w:ilvl w:val="0"/>
                <w:numId w:val="57"/>
              </w:numPr>
              <w:tabs>
                <w:tab w:val="clear" w:pos="567"/>
              </w:tabs>
              <w:suppressAutoHyphens/>
              <w:ind w:left="567" w:hanging="567"/>
              <w:rPr>
                <w:rFonts w:eastAsia="맑은 고딕"/>
                <w:lang w:eastAsia="zh-CN"/>
              </w:rPr>
            </w:pPr>
            <w:r w:rsidRPr="00882AF5">
              <w:rPr>
                <w:rFonts w:eastAsia="맑은 고딕"/>
                <w:b/>
                <w:bCs/>
                <w:lang w:eastAsia="zh-CN"/>
              </w:rPr>
              <w:t xml:space="preserve">Nekratiet </w:t>
            </w:r>
            <w:r w:rsidRPr="00882AF5">
              <w:rPr>
                <w:rFonts w:eastAsia="맑은 고딕"/>
                <w:lang w:eastAsia="zh-CN"/>
              </w:rPr>
              <w:t xml:space="preserve">pilnšļirci. Spēcīga kratīšana var </w:t>
            </w:r>
            <w:r w:rsidR="001B12FE">
              <w:rPr>
                <w:rFonts w:eastAsia="맑은 고딕"/>
                <w:lang w:eastAsia="zh-CN"/>
              </w:rPr>
              <w:t>sa</w:t>
            </w:r>
            <w:r w:rsidRPr="00882AF5">
              <w:rPr>
                <w:rFonts w:eastAsia="맑은 고딕"/>
                <w:lang w:eastAsia="zh-CN"/>
              </w:rPr>
              <w:t>bojāt zāles</w:t>
            </w:r>
            <w:r w:rsidR="00DC07D9" w:rsidRPr="00666FDE">
              <w:rPr>
                <w:rFonts w:eastAsia="맑은 고딕"/>
                <w:lang w:eastAsia="zh-CN"/>
              </w:rPr>
              <w:t>.</w:t>
            </w:r>
          </w:p>
          <w:p w14:paraId="7C16B2FE" w14:textId="2D99ECDB" w:rsidR="00DC07D9" w:rsidRPr="00666FDE" w:rsidRDefault="00137969" w:rsidP="00DC07D9">
            <w:pPr>
              <w:numPr>
                <w:ilvl w:val="0"/>
                <w:numId w:val="57"/>
              </w:numPr>
              <w:tabs>
                <w:tab w:val="clear" w:pos="567"/>
              </w:tabs>
              <w:suppressAutoHyphens/>
              <w:ind w:left="567" w:hanging="567"/>
              <w:rPr>
                <w:rFonts w:eastAsia="맑은 고딕"/>
                <w:lang w:eastAsia="zh-CN"/>
              </w:rPr>
            </w:pPr>
            <w:r w:rsidRPr="00882AF5">
              <w:rPr>
                <w:rFonts w:eastAsia="맑은 고딕"/>
                <w:bCs/>
                <w:lang w:eastAsia="zh-CN"/>
              </w:rPr>
              <w:t xml:space="preserve">Pilnšļirci </w:t>
            </w:r>
            <w:r w:rsidR="003E46C2" w:rsidRPr="00882AF5">
              <w:rPr>
                <w:rFonts w:eastAsia="맑은 고딕"/>
                <w:bCs/>
                <w:lang w:eastAsia="zh-CN"/>
              </w:rPr>
              <w:t>nedrīkst lietot atkārtoti</w:t>
            </w:r>
            <w:r w:rsidR="00A13BA2" w:rsidRPr="00882AF5">
              <w:rPr>
                <w:rFonts w:eastAsia="맑은 고딕"/>
                <w:bCs/>
                <w:lang w:eastAsia="zh-CN"/>
              </w:rPr>
              <w:t>. Uzreiz pēc lietošanas izmetiet izlietot</w:t>
            </w:r>
            <w:r w:rsidR="001B12FE">
              <w:rPr>
                <w:rFonts w:eastAsia="맑은 고딕"/>
                <w:bCs/>
                <w:lang w:eastAsia="zh-CN"/>
              </w:rPr>
              <w:t>o</w:t>
            </w:r>
            <w:r w:rsidR="00A13BA2" w:rsidRPr="00882AF5">
              <w:rPr>
                <w:rFonts w:eastAsia="맑은 고딕"/>
                <w:bCs/>
                <w:lang w:eastAsia="zh-CN"/>
              </w:rPr>
              <w:t xml:space="preserve"> pilnšļirci </w:t>
            </w:r>
            <w:r w:rsidR="002D069C" w:rsidRPr="00882AF5">
              <w:rPr>
                <w:rFonts w:eastAsia="맑은 고딕"/>
                <w:bCs/>
                <w:lang w:eastAsia="zh-CN"/>
              </w:rPr>
              <w:t xml:space="preserve">asiem priekšmetiem paredzētā atkritumu konteinerā </w:t>
            </w:r>
            <w:r w:rsidR="00DC07D9" w:rsidRPr="00666FDE">
              <w:rPr>
                <w:rFonts w:eastAsia="맑은 고딕"/>
                <w:bCs/>
                <w:lang w:eastAsia="zh-CN"/>
              </w:rPr>
              <w:t>(</w:t>
            </w:r>
            <w:r w:rsidR="002D069C" w:rsidRPr="00882AF5">
              <w:rPr>
                <w:rFonts w:eastAsia="맑은 고딕"/>
                <w:bCs/>
                <w:lang w:eastAsia="zh-CN"/>
              </w:rPr>
              <w:t>sk</w:t>
            </w:r>
            <w:r w:rsidR="007E2BA5">
              <w:rPr>
                <w:rFonts w:eastAsia="맑은 고딕"/>
                <w:bCs/>
                <w:lang w:eastAsia="zh-CN"/>
              </w:rPr>
              <w:t>atīt</w:t>
            </w:r>
            <w:r w:rsidR="002D069C" w:rsidRPr="00882AF5">
              <w:rPr>
                <w:rFonts w:eastAsia="맑은 고딕"/>
                <w:bCs/>
                <w:lang w:eastAsia="zh-CN"/>
              </w:rPr>
              <w:t xml:space="preserve"> </w:t>
            </w:r>
            <w:r w:rsidR="00DC07D9" w:rsidRPr="00666FDE">
              <w:rPr>
                <w:rFonts w:eastAsia="맑은 고딕"/>
                <w:b/>
                <w:lang w:eastAsia="zh-CN"/>
              </w:rPr>
              <w:t>15.</w:t>
            </w:r>
            <w:r w:rsidR="002D069C" w:rsidRPr="00882AF5">
              <w:rPr>
                <w:rFonts w:eastAsia="맑은 고딕"/>
                <w:b/>
                <w:lang w:eastAsia="zh-CN"/>
              </w:rPr>
              <w:t> darbību</w:t>
            </w:r>
            <w:r w:rsidR="00DC07D9" w:rsidRPr="00666FDE">
              <w:rPr>
                <w:rFonts w:eastAsia="맑은 고딕"/>
                <w:b/>
                <w:lang w:eastAsia="zh-CN"/>
              </w:rPr>
              <w:t xml:space="preserve"> </w:t>
            </w:r>
            <w:r w:rsidR="007E2BA5">
              <w:rPr>
                <w:rFonts w:eastAsia="맑은 고딕"/>
                <w:b/>
                <w:lang w:eastAsia="zh-CN"/>
              </w:rPr>
              <w:t>“</w:t>
            </w:r>
            <w:r w:rsidR="001F0B3E" w:rsidRPr="00882AF5">
              <w:rPr>
                <w:rFonts w:eastAsia="맑은 고딕"/>
                <w:b/>
                <w:lang w:eastAsia="zh-CN"/>
              </w:rPr>
              <w:t xml:space="preserve">Izmetiet </w:t>
            </w:r>
            <w:r w:rsidR="00DC07D9" w:rsidRPr="00666FDE">
              <w:rPr>
                <w:rFonts w:eastAsia="맑은 고딕"/>
                <w:b/>
                <w:lang w:eastAsia="zh-CN"/>
              </w:rPr>
              <w:t>Stoboclo</w:t>
            </w:r>
            <w:r w:rsidR="001F0B3E" w:rsidRPr="00882AF5">
              <w:rPr>
                <w:rFonts w:eastAsia="맑은 고딕"/>
                <w:b/>
                <w:lang w:eastAsia="zh-CN"/>
              </w:rPr>
              <w:t xml:space="preserve"> atk</w:t>
            </w:r>
            <w:r w:rsidR="00D01EE4" w:rsidRPr="00882AF5">
              <w:rPr>
                <w:rFonts w:eastAsia="맑은 고딕"/>
                <w:b/>
                <w:lang w:eastAsia="zh-CN"/>
              </w:rPr>
              <w:t>ritumos</w:t>
            </w:r>
            <w:r w:rsidR="002D069C" w:rsidRPr="00882AF5">
              <w:rPr>
                <w:rFonts w:eastAsia="맑은 고딕"/>
                <w:b/>
                <w:lang w:eastAsia="zh-CN"/>
              </w:rPr>
              <w:t>”</w:t>
            </w:r>
            <w:r w:rsidR="00DC07D9" w:rsidRPr="00666FDE">
              <w:rPr>
                <w:rFonts w:eastAsia="맑은 고딕"/>
                <w:bCs/>
                <w:lang w:eastAsia="zh-CN"/>
              </w:rPr>
              <w:t>).</w:t>
            </w:r>
          </w:p>
        </w:tc>
      </w:tr>
    </w:tbl>
    <w:p w14:paraId="173F8DAF" w14:textId="77777777" w:rsidR="006D531D" w:rsidRPr="00882AF5" w:rsidRDefault="006D531D"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731911" w:rsidRPr="00882AF5" w14:paraId="28AECAE7" w14:textId="77777777" w:rsidTr="004126A3">
        <w:trPr>
          <w:cantSplit/>
        </w:trPr>
        <w:tc>
          <w:tcPr>
            <w:tcW w:w="10068" w:type="dxa"/>
            <w:shd w:val="clear" w:color="auto" w:fill="auto"/>
          </w:tcPr>
          <w:p w14:paraId="74B6ECFE" w14:textId="44651223" w:rsidR="00731911" w:rsidRPr="00882AF5" w:rsidRDefault="00731911" w:rsidP="004126A3">
            <w:pPr>
              <w:keepNext/>
              <w:rPr>
                <w:b/>
                <w:bCs/>
              </w:rPr>
            </w:pPr>
            <w:r w:rsidRPr="00882AF5">
              <w:rPr>
                <w:b/>
                <w:bCs/>
              </w:rPr>
              <w:t>Stoboclo</w:t>
            </w:r>
            <w:r w:rsidR="004471DF" w:rsidRPr="00882AF5">
              <w:rPr>
                <w:b/>
                <w:bCs/>
              </w:rPr>
              <w:t xml:space="preserve"> glabāšana</w:t>
            </w:r>
          </w:p>
        </w:tc>
      </w:tr>
      <w:tr w:rsidR="00731911" w:rsidRPr="00882AF5" w14:paraId="77230BA6" w14:textId="77777777" w:rsidTr="004126A3">
        <w:trPr>
          <w:cantSplit/>
        </w:trPr>
        <w:tc>
          <w:tcPr>
            <w:tcW w:w="10068" w:type="dxa"/>
            <w:shd w:val="clear" w:color="auto" w:fill="auto"/>
          </w:tcPr>
          <w:p w14:paraId="54AAD8DB" w14:textId="4F7633B3" w:rsidR="00731911" w:rsidRPr="00666FDE" w:rsidRDefault="005C045D" w:rsidP="005C045D">
            <w:pPr>
              <w:pStyle w:val="af5"/>
              <w:numPr>
                <w:ilvl w:val="0"/>
                <w:numId w:val="57"/>
              </w:numPr>
              <w:suppressAutoHyphens/>
              <w:ind w:left="567" w:hanging="567"/>
              <w:contextualSpacing w:val="0"/>
              <w:rPr>
                <w:b/>
                <w:bCs/>
                <w:sz w:val="22"/>
                <w:szCs w:val="22"/>
              </w:rPr>
            </w:pPr>
            <w:r w:rsidRPr="00666FDE">
              <w:rPr>
                <w:b/>
                <w:bCs/>
                <w:sz w:val="22"/>
                <w:szCs w:val="22"/>
              </w:rPr>
              <w:t>Uzg</w:t>
            </w:r>
            <w:r w:rsidR="00C570DE" w:rsidRPr="00666FDE">
              <w:rPr>
                <w:b/>
                <w:bCs/>
                <w:sz w:val="22"/>
                <w:szCs w:val="22"/>
              </w:rPr>
              <w:t>labāt pilnšļirci bērniem neredzamā un nepieejamā vietā. Satur sīkas detaļas</w:t>
            </w:r>
          </w:p>
          <w:p w14:paraId="394E3AB3" w14:textId="55DF3678" w:rsidR="00731911" w:rsidRPr="00666FDE" w:rsidRDefault="005C045D" w:rsidP="00731911">
            <w:pPr>
              <w:pStyle w:val="af5"/>
              <w:numPr>
                <w:ilvl w:val="0"/>
                <w:numId w:val="57"/>
              </w:numPr>
              <w:suppressAutoHyphens/>
              <w:ind w:left="567" w:hanging="567"/>
              <w:contextualSpacing w:val="0"/>
              <w:rPr>
                <w:sz w:val="22"/>
                <w:szCs w:val="22"/>
              </w:rPr>
            </w:pPr>
            <w:r w:rsidRPr="00666FDE">
              <w:rPr>
                <w:sz w:val="22"/>
                <w:szCs w:val="22"/>
              </w:rPr>
              <w:t>Uzg</w:t>
            </w:r>
            <w:r w:rsidR="00C570DE" w:rsidRPr="00666FDE">
              <w:rPr>
                <w:sz w:val="22"/>
                <w:szCs w:val="22"/>
              </w:rPr>
              <w:t xml:space="preserve">labāt pilnšļirci ledusskapī </w:t>
            </w:r>
            <w:r w:rsidR="00731911" w:rsidRPr="00666FDE">
              <w:rPr>
                <w:sz w:val="22"/>
                <w:szCs w:val="22"/>
              </w:rPr>
              <w:t>2</w:t>
            </w:r>
            <w:r w:rsidR="00C570DE" w:rsidRPr="00666FDE">
              <w:rPr>
                <w:sz w:val="22"/>
                <w:szCs w:val="22"/>
              </w:rPr>
              <w:t>–</w:t>
            </w:r>
            <w:r w:rsidR="00731911" w:rsidRPr="00666FDE">
              <w:rPr>
                <w:sz w:val="22"/>
                <w:szCs w:val="22"/>
              </w:rPr>
              <w:t>8 ºC</w:t>
            </w:r>
            <w:r w:rsidR="00C570DE" w:rsidRPr="00666FDE">
              <w:rPr>
                <w:sz w:val="22"/>
                <w:szCs w:val="22"/>
              </w:rPr>
              <w:t xml:space="preserve"> temperatūrā</w:t>
            </w:r>
            <w:r w:rsidRPr="00666FDE">
              <w:rPr>
                <w:sz w:val="22"/>
                <w:szCs w:val="22"/>
              </w:rPr>
              <w:t xml:space="preserve">. </w:t>
            </w:r>
            <w:r w:rsidRPr="00666FDE">
              <w:rPr>
                <w:b/>
                <w:bCs/>
                <w:sz w:val="22"/>
                <w:szCs w:val="22"/>
              </w:rPr>
              <w:t>Nesasaldēt</w:t>
            </w:r>
            <w:r w:rsidR="00731911" w:rsidRPr="00666FDE">
              <w:rPr>
                <w:sz w:val="22"/>
                <w:szCs w:val="22"/>
              </w:rPr>
              <w:t>.</w:t>
            </w:r>
          </w:p>
          <w:p w14:paraId="092EC983" w14:textId="1E33F4A1" w:rsidR="00731911" w:rsidRPr="00666FDE" w:rsidRDefault="00CC67F0" w:rsidP="00731911">
            <w:pPr>
              <w:pStyle w:val="a7"/>
              <w:numPr>
                <w:ilvl w:val="0"/>
                <w:numId w:val="57"/>
              </w:numPr>
              <w:suppressAutoHyphens/>
              <w:ind w:left="567" w:hanging="567"/>
              <w:rPr>
                <w:i w:val="0"/>
                <w:iCs/>
                <w:color w:val="auto"/>
              </w:rPr>
            </w:pPr>
            <w:r w:rsidRPr="00666FDE">
              <w:rPr>
                <w:i w:val="0"/>
                <w:iCs/>
                <w:color w:val="auto"/>
              </w:rPr>
              <w:t xml:space="preserve">Pēc izņemšanas no ledusskapja </w:t>
            </w:r>
            <w:r w:rsidR="00731911" w:rsidRPr="00666FDE">
              <w:rPr>
                <w:i w:val="0"/>
                <w:iCs/>
                <w:color w:val="auto"/>
              </w:rPr>
              <w:t xml:space="preserve">Stoboclo </w:t>
            </w:r>
            <w:r w:rsidRPr="00666FDE">
              <w:rPr>
                <w:i w:val="0"/>
                <w:iCs/>
                <w:color w:val="auto"/>
              </w:rPr>
              <w:t xml:space="preserve">nedrīkst pakļaut temperatūrai, kas pārsniedz </w:t>
            </w:r>
            <w:r w:rsidR="00731911" w:rsidRPr="00666FDE">
              <w:rPr>
                <w:i w:val="0"/>
                <w:iCs/>
                <w:color w:val="auto"/>
              </w:rPr>
              <w:t xml:space="preserve">25 °C. Stoboclo </w:t>
            </w:r>
            <w:r w:rsidR="006076ED" w:rsidRPr="00666FDE">
              <w:rPr>
                <w:i w:val="0"/>
                <w:iCs/>
                <w:color w:val="auto"/>
              </w:rPr>
              <w:t xml:space="preserve">jāuzglabā oriģinālajā kastītē un jāizlieto </w:t>
            </w:r>
            <w:r w:rsidR="00731911" w:rsidRPr="00666FDE">
              <w:rPr>
                <w:i w:val="0"/>
                <w:iCs/>
                <w:color w:val="auto"/>
              </w:rPr>
              <w:t>30 </w:t>
            </w:r>
            <w:r w:rsidR="006076ED" w:rsidRPr="00666FDE">
              <w:rPr>
                <w:i w:val="0"/>
                <w:iCs/>
                <w:color w:val="auto"/>
              </w:rPr>
              <w:t>dienu laikā</w:t>
            </w:r>
            <w:r w:rsidR="00731911" w:rsidRPr="00666FDE">
              <w:rPr>
                <w:i w:val="0"/>
                <w:iCs/>
                <w:color w:val="auto"/>
              </w:rPr>
              <w:t xml:space="preserve">. </w:t>
            </w:r>
            <w:r w:rsidR="006076ED" w:rsidRPr="00666FDE">
              <w:rPr>
                <w:i w:val="0"/>
                <w:iCs/>
                <w:color w:val="auto"/>
              </w:rPr>
              <w:t xml:space="preserve">Ja </w:t>
            </w:r>
            <w:r w:rsidR="00EF7CE0" w:rsidRPr="00666FDE">
              <w:rPr>
                <w:i w:val="0"/>
                <w:iCs/>
                <w:color w:val="auto"/>
              </w:rPr>
              <w:t xml:space="preserve">Stoboclo </w:t>
            </w:r>
            <w:r w:rsidR="006076ED" w:rsidRPr="00666FDE">
              <w:rPr>
                <w:i w:val="0"/>
                <w:iCs/>
                <w:color w:val="auto"/>
              </w:rPr>
              <w:t>neizlieto 1 mēneša lai</w:t>
            </w:r>
            <w:r w:rsidR="00EF7CE0" w:rsidRPr="00666FDE">
              <w:rPr>
                <w:i w:val="0"/>
                <w:iCs/>
                <w:color w:val="auto"/>
              </w:rPr>
              <w:t>k</w:t>
            </w:r>
            <w:r w:rsidR="006076ED" w:rsidRPr="00666FDE">
              <w:rPr>
                <w:i w:val="0"/>
                <w:iCs/>
                <w:color w:val="auto"/>
              </w:rPr>
              <w:t>ā</w:t>
            </w:r>
            <w:r w:rsidR="00731911" w:rsidRPr="00666FDE">
              <w:rPr>
                <w:i w:val="0"/>
                <w:iCs/>
                <w:color w:val="auto"/>
              </w:rPr>
              <w:t xml:space="preserve">, </w:t>
            </w:r>
            <w:r w:rsidR="001F0B3E" w:rsidRPr="00666FDE">
              <w:rPr>
                <w:i w:val="0"/>
                <w:iCs/>
                <w:color w:val="auto"/>
              </w:rPr>
              <w:t>t</w:t>
            </w:r>
            <w:r w:rsidR="00002EC1" w:rsidRPr="00666FDE">
              <w:rPr>
                <w:i w:val="0"/>
                <w:iCs/>
                <w:color w:val="auto"/>
              </w:rPr>
              <w:t>ā</w:t>
            </w:r>
            <w:r w:rsidR="001F0B3E" w:rsidRPr="00666FDE">
              <w:rPr>
                <w:i w:val="0"/>
                <w:iCs/>
                <w:color w:val="auto"/>
              </w:rPr>
              <w:t xml:space="preserve">s </w:t>
            </w:r>
            <w:r w:rsidR="006076ED" w:rsidRPr="00666FDE">
              <w:rPr>
                <w:i w:val="0"/>
                <w:iCs/>
                <w:color w:val="auto"/>
              </w:rPr>
              <w:t>ir jāizmet</w:t>
            </w:r>
            <w:r w:rsidR="00731911" w:rsidRPr="00666FDE">
              <w:rPr>
                <w:i w:val="0"/>
                <w:iCs/>
                <w:color w:val="auto"/>
              </w:rPr>
              <w:t>.</w:t>
            </w:r>
          </w:p>
          <w:p w14:paraId="62F549F4" w14:textId="083A7E5C" w:rsidR="00731911" w:rsidRPr="00882AF5" w:rsidRDefault="006076ED" w:rsidP="00731911">
            <w:pPr>
              <w:pStyle w:val="af5"/>
              <w:numPr>
                <w:ilvl w:val="0"/>
                <w:numId w:val="58"/>
              </w:numPr>
              <w:suppressAutoHyphens/>
              <w:ind w:left="567" w:hanging="567"/>
              <w:contextualSpacing w:val="0"/>
            </w:pPr>
            <w:r w:rsidRPr="00882AF5">
              <w:rPr>
                <w:sz w:val="22"/>
                <w:szCs w:val="22"/>
              </w:rPr>
              <w:t xml:space="preserve">Uzglabāt pilnšļirci </w:t>
            </w:r>
            <w:r w:rsidR="00C0265E" w:rsidRPr="00882AF5">
              <w:rPr>
                <w:sz w:val="22"/>
                <w:szCs w:val="22"/>
              </w:rPr>
              <w:t xml:space="preserve">slēgtā kastītē, lai </w:t>
            </w:r>
            <w:r w:rsidR="009978E1">
              <w:rPr>
                <w:sz w:val="22"/>
                <w:szCs w:val="22"/>
              </w:rPr>
              <w:t>pa</w:t>
            </w:r>
            <w:r w:rsidR="00C0265E" w:rsidRPr="00882AF5">
              <w:rPr>
                <w:sz w:val="22"/>
                <w:szCs w:val="22"/>
              </w:rPr>
              <w:t>sargātu to no gaismas</w:t>
            </w:r>
            <w:r w:rsidR="00731911" w:rsidRPr="00666FDE">
              <w:rPr>
                <w:sz w:val="22"/>
                <w:szCs w:val="22"/>
              </w:rPr>
              <w:t>.</w:t>
            </w:r>
          </w:p>
        </w:tc>
      </w:tr>
    </w:tbl>
    <w:p w14:paraId="4BCA09B2" w14:textId="77777777" w:rsidR="00BD0AD1" w:rsidRPr="00882AF5" w:rsidRDefault="00BD0AD1"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0330E0" w:rsidRPr="00882AF5" w14:paraId="164CBD87" w14:textId="77777777" w:rsidTr="004126A3">
        <w:trPr>
          <w:cantSplit/>
        </w:trPr>
        <w:tc>
          <w:tcPr>
            <w:tcW w:w="10068" w:type="dxa"/>
            <w:tcBorders>
              <w:bottom w:val="single" w:sz="4" w:space="0" w:color="auto"/>
            </w:tcBorders>
            <w:shd w:val="clear" w:color="auto" w:fill="auto"/>
          </w:tcPr>
          <w:p w14:paraId="224042BB" w14:textId="3E17CA79" w:rsidR="000330E0" w:rsidRPr="00882AF5" w:rsidRDefault="00C0265E" w:rsidP="004126A3">
            <w:pPr>
              <w:keepNext/>
              <w:rPr>
                <w:b/>
                <w:bCs/>
              </w:rPr>
            </w:pPr>
            <w:r w:rsidRPr="00882AF5">
              <w:rPr>
                <w:b/>
                <w:bCs/>
              </w:rPr>
              <w:lastRenderedPageBreak/>
              <w:t>Pilnšļirces daļas</w:t>
            </w:r>
            <w:r w:rsidR="000330E0" w:rsidRPr="00882AF5">
              <w:rPr>
                <w:b/>
                <w:bCs/>
              </w:rPr>
              <w:t xml:space="preserve"> (</w:t>
            </w:r>
            <w:r w:rsidRPr="00882AF5">
              <w:rPr>
                <w:b/>
                <w:bCs/>
              </w:rPr>
              <w:t>sk</w:t>
            </w:r>
            <w:r w:rsidR="007E2BA5">
              <w:rPr>
                <w:b/>
                <w:bCs/>
              </w:rPr>
              <w:t>atīt</w:t>
            </w:r>
            <w:r w:rsidRPr="00882AF5">
              <w:rPr>
                <w:b/>
                <w:bCs/>
              </w:rPr>
              <w:t xml:space="preserve"> </w:t>
            </w:r>
            <w:r w:rsidR="000330E0" w:rsidRPr="00882AF5">
              <w:rPr>
                <w:b/>
                <w:bCs/>
              </w:rPr>
              <w:t>A</w:t>
            </w:r>
            <w:r w:rsidRPr="00882AF5">
              <w:rPr>
                <w:b/>
                <w:bCs/>
              </w:rPr>
              <w:t> attēlu</w:t>
            </w:r>
            <w:r w:rsidR="000330E0" w:rsidRPr="00882AF5">
              <w:rPr>
                <w:b/>
                <w:bCs/>
              </w:rPr>
              <w:t>)</w:t>
            </w:r>
          </w:p>
        </w:tc>
      </w:tr>
      <w:tr w:rsidR="000330E0" w:rsidRPr="00882AF5" w14:paraId="2993993D" w14:textId="77777777" w:rsidTr="004126A3">
        <w:trPr>
          <w:cantSplit/>
        </w:trPr>
        <w:tc>
          <w:tcPr>
            <w:tcW w:w="10068" w:type="dxa"/>
            <w:tcBorders>
              <w:bottom w:val="nil"/>
            </w:tcBorders>
            <w:shd w:val="clear" w:color="auto" w:fill="auto"/>
          </w:tcPr>
          <w:p w14:paraId="190FA35C" w14:textId="77777777" w:rsidR="000330E0" w:rsidRPr="00882AF5" w:rsidRDefault="000330E0" w:rsidP="004126A3">
            <w:pPr>
              <w:jc w:val="center"/>
            </w:pPr>
          </w:p>
          <w:p w14:paraId="07FAC68F" w14:textId="6FB44C10" w:rsidR="000330E0" w:rsidRPr="00882AF5" w:rsidRDefault="00000000" w:rsidP="004126A3">
            <w:pPr>
              <w:keepNext/>
              <w:jc w:val="center"/>
            </w:pPr>
            <w:r>
              <w:rPr>
                <w:noProof/>
              </w:rPr>
              <w:pict w14:anchorId="63DBC2EF">
                <v:shapetype id="_x0000_t202" coordsize="21600,21600" o:spt="202" path="m,l,21600r21600,l21600,xe">
                  <v:stroke joinstyle="miter"/>
                  <v:path gradientshapeok="t" o:connecttype="rect"/>
                </v:shapetype>
                <v:shape id="Text Box 33" o:spid="_x0000_s2108" type="#_x0000_t202" style="position:absolute;left:0;text-align:left;margin-left:232.6pt;margin-top:8.5pt;width:92.55pt;height:22.85pt;z-index:9;visibility:visible;mso-height-percent:0;mso-wrap-distance-left:9pt;mso-wrap-distance-top:3.6pt;mso-wrap-distance-right:9pt;mso-wrap-distance-bottom:3.6pt;mso-position-horizontal-relative:text;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79F993FE" w14:textId="76C159E4" w:rsidR="000330E0" w:rsidRPr="00556D80" w:rsidRDefault="006235E4" w:rsidP="000330E0">
                        <w:pPr>
                          <w:jc w:val="center"/>
                          <w:rPr>
                            <w:rFonts w:ascii="Arial" w:hAnsi="Arial" w:cs="Arial"/>
                            <w:b/>
                            <w:bCs/>
                            <w:lang w:val="es-ES"/>
                          </w:rPr>
                        </w:pPr>
                        <w:r w:rsidRPr="006235E4">
                          <w:rPr>
                            <w:rFonts w:ascii="Arial" w:hAnsi="Arial" w:cs="Arial"/>
                            <w:b/>
                            <w:bCs/>
                            <w:lang w:val="es-ES"/>
                          </w:rPr>
                          <w:t>Pēc izmantošanas</w:t>
                        </w:r>
                      </w:p>
                    </w:txbxContent>
                  </v:textbox>
                  <w10:wrap anchory="page"/>
                  <w10:anchorlock/>
                </v:shape>
              </w:pict>
            </w:r>
            <w:r>
              <w:rPr>
                <w:noProof/>
              </w:rPr>
              <w:pict w14:anchorId="787A0EE5">
                <v:shape id="Text Box 32" o:spid="_x0000_s2107" type="#_x0000_t202" style="position:absolute;left:0;text-align:left;margin-left:125.6pt;margin-top:8.5pt;width:100.5pt;height:22.85pt;z-index: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76AF6D0F" w14:textId="75E05FE4" w:rsidR="000330E0" w:rsidRPr="00556D80" w:rsidRDefault="006235E4" w:rsidP="000330E0">
                        <w:pPr>
                          <w:jc w:val="center"/>
                          <w:rPr>
                            <w:rFonts w:ascii="Arial" w:hAnsi="Arial" w:cs="Arial"/>
                            <w:b/>
                            <w:bCs/>
                            <w:lang w:val="es-ES"/>
                          </w:rPr>
                        </w:pPr>
                        <w:r w:rsidRPr="006235E4">
                          <w:rPr>
                            <w:rFonts w:ascii="Arial" w:hAnsi="Arial" w:cs="Arial"/>
                            <w:b/>
                            <w:bCs/>
                            <w:lang w:val="es-ES"/>
                          </w:rPr>
                          <w:t>Pirms izmantošanas</w:t>
                        </w:r>
                      </w:p>
                    </w:txbxContent>
                  </v:textbox>
                  <w10:wrap anchory="page"/>
                  <w10:anchorlock/>
                </v:shape>
              </w:pict>
            </w:r>
            <w:r>
              <w:rPr>
                <w:noProof/>
              </w:rPr>
              <w:pict w14:anchorId="2063A2B4">
                <v:shape id="Text Box 34" o:spid="_x0000_s2106" type="#_x0000_t202" style="position:absolute;left:0;text-align:left;margin-left:208.1pt;margin-top:211.05pt;width:39.9pt;height:15.5pt;z-index:10;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" stroked="f">
                  <v:textbox inset="0,0,0,0">
                    <w:txbxContent>
                      <w:p w14:paraId="42F7C6F8" w14:textId="7C9E6D35"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Uzgalis</w:t>
                        </w:r>
                      </w:p>
                    </w:txbxContent>
                  </v:textbox>
                  <w10:wrap anchory="page"/>
                  <w10:anchorlock/>
                </v:shape>
              </w:pict>
            </w:r>
            <w:r>
              <w:rPr>
                <w:noProof/>
              </w:rPr>
              <w:pict w14:anchorId="1D4D52F2">
                <v:shape id="Text Box 31" o:spid="_x0000_s2105" type="#_x0000_t202" style="position:absolute;left:0;text-align:left;margin-left:203.05pt;margin-top:151.85pt;width:44.95pt;height:22.85pt;z-index:7;visibility:visible;mso-height-percent:0;mso-wrap-distance-left:9pt;mso-wrap-distance-top:3.6pt;mso-wrap-distance-right:9pt;mso-wrap-distance-bottom:3.6pt;mso-position-horizontal-relative:text;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" stroked="f">
                  <v:textbox inset="0,0,0,0">
                    <w:txbxContent>
                      <w:p w14:paraId="3698EEF0" w14:textId="60336E87"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Adatas aizsargs</w:t>
                        </w:r>
                      </w:p>
                    </w:txbxContent>
                  </v:textbox>
                  <w10:wrap anchory="page"/>
                  <w10:anchorlock/>
                </v:shape>
              </w:pict>
            </w:r>
            <w:r>
              <w:rPr>
                <w:noProof/>
              </w:rPr>
              <w:pict w14:anchorId="4EC991C9">
                <v:shape id="Text Box 30" o:spid="_x0000_s2104" type="#_x0000_t202" style="position:absolute;left:0;text-align:left;margin-left:201.4pt;margin-top:125.7pt;width:55.1pt;height:13.45pt;z-index:6;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" stroked="f">
                  <v:textbox inset="0,0,0,0">
                    <w:txbxContent>
                      <w:p w14:paraId="241334AC" w14:textId="01A13AF3"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Skatlodziņš</w:t>
                        </w:r>
                      </w:p>
                    </w:txbxContent>
                  </v:textbox>
                  <w10:wrap anchory="page"/>
                  <w10:anchorlock/>
                </v:shape>
              </w:pict>
            </w:r>
            <w:r>
              <w:rPr>
                <w:noProof/>
              </w:rPr>
              <w:pict w14:anchorId="2DA61391">
                <v:shape id="Text Box 29" o:spid="_x0000_s2103" type="#_x0000_t202" style="position:absolute;left:0;text-align:left;margin-left:211.05pt;margin-top:100.2pt;width:36.3pt;height:22.85pt;z-index: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" stroked="f">
                  <v:textbox inset="0,0,0,0">
                    <w:txbxContent>
                      <w:p w14:paraId="0FD868E7" w14:textId="33CB2719"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Pirkstu balsti</w:t>
                        </w:r>
                      </w:p>
                    </w:txbxContent>
                  </v:textbox>
                  <w10:wrap anchory="page"/>
                  <w10:anchorlock/>
                </v:shape>
              </w:pict>
            </w:r>
            <w:r>
              <w:rPr>
                <w:noProof/>
              </w:rPr>
              <w:pict w14:anchorId="2C017B71">
                <v:shape id="Text Box 27" o:spid="_x0000_s2102" type="#_x0000_t202" style="position:absolute;left:0;text-align:left;margin-left:208.1pt;margin-top:68.7pt;width:41.2pt;height:22.85pt;z-index: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7C3D2527" w14:textId="77486BB6" w:rsidR="000330E0" w:rsidRPr="00556D80" w:rsidRDefault="006235E4" w:rsidP="000330E0">
                        <w:pPr>
                          <w:jc w:val="center"/>
                          <w:rPr>
                            <w:rFonts w:ascii="Arial" w:hAnsi="Arial" w:cs="Arial"/>
                            <w:b/>
                            <w:bCs/>
                            <w:sz w:val="18"/>
                            <w:szCs w:val="18"/>
                            <w:lang w:val="es-ES"/>
                          </w:rPr>
                        </w:pPr>
                        <w:r w:rsidRPr="006235E4">
                          <w:rPr>
                            <w:rFonts w:ascii="Arial" w:hAnsi="Arial" w:cs="Arial"/>
                            <w:b/>
                            <w:bCs/>
                            <w:sz w:val="18"/>
                            <w:szCs w:val="18"/>
                            <w:lang w:val="es-ES"/>
                          </w:rPr>
                          <w:t>Šļirces virzulis</w:t>
                        </w:r>
                      </w:p>
                    </w:txbxContent>
                  </v:textbox>
                  <w10:wrap anchory="page"/>
                  <w10:anchorlock/>
                </v:shape>
              </w:pict>
            </w:r>
            <w:r>
              <w:rPr>
                <w:noProof/>
              </w:rPr>
              <w:pict w14:anchorId="38527BDF">
                <v:shape id="Text Box 28" o:spid="_x0000_s2099" type="#_x0000_t202" style="position:absolute;left:0;text-align:left;margin-left:214.1pt;margin-top:177.2pt;width:97.75pt;height:22.85pt;z-index: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L3DBSvaAQAAmAMAAA4AAAAAAAAAAAAAAAAALgIAAGRycy9lMm9Eb2MueG1sUEsBAi0AFAAGAAgA&#10;AAAhAHb4uTLgAAAACwEAAA8AAAAAAAAAAAAAAAAANAQAAGRycy9kb3ducmV2LnhtbFBLBQYAAAAA&#10;BAAEAPMAAABBBQAAAAA=&#10;" filled="f" stroked="f">
                  <v:textbox inset="0,0,0,0">
                    <w:txbxContent>
                      <w:p w14:paraId="2F44B247" w14:textId="169C0EF8" w:rsidR="000330E0" w:rsidRPr="00556D80" w:rsidRDefault="006235E4" w:rsidP="000330E0">
                        <w:pPr>
                          <w:rPr>
                            <w:rFonts w:ascii="Arial" w:hAnsi="Arial" w:cs="Arial"/>
                            <w:b/>
                            <w:bCs/>
                            <w:sz w:val="18"/>
                            <w:szCs w:val="18"/>
                            <w:lang w:val="es-ES"/>
                          </w:rPr>
                        </w:pPr>
                        <w:r w:rsidRPr="006235E4">
                          <w:rPr>
                            <w:rFonts w:ascii="Arial" w:hAnsi="Arial" w:cs="Arial"/>
                            <w:b/>
                            <w:bCs/>
                            <w:sz w:val="18"/>
                            <w:szCs w:val="18"/>
                            <w:lang w:val="es-ES"/>
                          </w:rPr>
                          <w:t>Adata</w:t>
                        </w:r>
                      </w:p>
                    </w:txbxContent>
                  </v:textbox>
                  <w10:wrap anchory="page"/>
                  <w10:anchorlock/>
                </v:shape>
              </w:pict>
            </w:r>
            <w:r>
              <w:rPr>
                <w:noProof/>
              </w:rPr>
              <w:pict w14:anchorId="71D967A9">
                <v:shape id="Text Box 26" o:spid="_x0000_s2098" type="#_x0000_t202" style="position:absolute;left:0;text-align:left;margin-left:305.1pt;margin-top:137.7pt;width:97.75pt;height:22.85pt;z-index: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xW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" filled="f" stroked="f">
                  <v:textbox inset="0,0,0,0">
                    <w:txbxContent>
                      <w:p w14:paraId="79782BFA" w14:textId="17A7C451" w:rsidR="000330E0" w:rsidRPr="00556D80" w:rsidRDefault="006235E4" w:rsidP="000330E0">
                        <w:pPr>
                          <w:rPr>
                            <w:rFonts w:ascii="Arial" w:hAnsi="Arial" w:cs="Arial"/>
                            <w:b/>
                            <w:bCs/>
                            <w:sz w:val="18"/>
                            <w:szCs w:val="18"/>
                            <w:lang w:val="es-ES"/>
                          </w:rPr>
                        </w:pPr>
                        <w:r w:rsidRPr="006235E4">
                          <w:rPr>
                            <w:rFonts w:ascii="Arial" w:hAnsi="Arial" w:cs="Arial"/>
                            <w:b/>
                            <w:bCs/>
                            <w:sz w:val="18"/>
                            <w:szCs w:val="18"/>
                            <w:lang w:val="es-ES"/>
                          </w:rPr>
                          <w:t>Adata</w:t>
                        </w:r>
                      </w:p>
                    </w:txbxContent>
                  </v:textbox>
                  <w10:wrap anchory="page"/>
                  <w10:anchorlock/>
                </v:shape>
              </w:pict>
            </w:r>
            <w:r>
              <w:rPr>
                <w:noProof/>
              </w:rPr>
              <w:pict w14:anchorId="6920F5C3">
                <v:shape id="Text Box 2" o:spid="_x0000_s2097" type="#_x0000_t202" style="position:absolute;left:0;text-align:left;margin-left:56.1pt;margin-top:139.15pt;width:97.75pt;height:22.85pt;z-index: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" filled="f" stroked="f">
                  <v:textbox inset="0,0,0,0">
                    <w:txbxContent>
                      <w:p w14:paraId="123BFC07" w14:textId="0E796F51" w:rsidR="000330E0" w:rsidRPr="00556D80" w:rsidRDefault="006235E4" w:rsidP="000330E0">
                        <w:pPr>
                          <w:jc w:val="right"/>
                          <w:rPr>
                            <w:rFonts w:ascii="Arial" w:hAnsi="Arial" w:cs="Arial"/>
                            <w:b/>
                            <w:bCs/>
                            <w:sz w:val="18"/>
                            <w:szCs w:val="18"/>
                            <w:lang w:val="es-ES"/>
                          </w:rPr>
                        </w:pPr>
                        <w:r w:rsidRPr="006235E4">
                          <w:rPr>
                            <w:rFonts w:ascii="Arial" w:hAnsi="Arial" w:cs="Arial"/>
                            <w:b/>
                            <w:bCs/>
                            <w:sz w:val="18"/>
                            <w:szCs w:val="18"/>
                            <w:lang w:val="es-ES"/>
                          </w:rPr>
                          <w:t>Zāles</w:t>
                        </w:r>
                      </w:p>
                    </w:txbxContent>
                  </v:textbox>
                  <w10:wrap anchory="page"/>
                  <w10:anchorlock/>
                </v:shape>
              </w:pict>
            </w:r>
            <w:r w:rsidR="00451C8B">
              <w:rPr>
                <w:noProof/>
              </w:rPr>
              <w:pict w14:anchorId="16D76FD0">
                <v:shape id="_x0000_i1027" type="#_x0000_t75" style="width:239.25pt;height:225.75pt;visibility:visible;mso-wrap-style:square">
                  <v:imagedata r:id="rId26" o:title="" cropleft="677f"/>
                </v:shape>
              </w:pict>
            </w:r>
          </w:p>
          <w:p w14:paraId="3AA01006" w14:textId="77777777" w:rsidR="000330E0" w:rsidRPr="00882AF5" w:rsidRDefault="000330E0" w:rsidP="004126A3">
            <w:pPr>
              <w:keepNext/>
              <w:jc w:val="center"/>
              <w:rPr>
                <w:lang w:eastAsia="ko-KR"/>
              </w:rPr>
            </w:pPr>
          </w:p>
        </w:tc>
      </w:tr>
      <w:tr w:rsidR="000330E0" w:rsidRPr="00882AF5" w14:paraId="74943259" w14:textId="77777777" w:rsidTr="004126A3">
        <w:trPr>
          <w:cantSplit/>
        </w:trPr>
        <w:tc>
          <w:tcPr>
            <w:tcW w:w="10068" w:type="dxa"/>
            <w:tcBorders>
              <w:top w:val="nil"/>
              <w:left w:val="single" w:sz="4" w:space="0" w:color="auto"/>
              <w:bottom w:val="single" w:sz="4" w:space="0" w:color="auto"/>
              <w:right w:val="single" w:sz="4" w:space="0" w:color="auto"/>
            </w:tcBorders>
            <w:shd w:val="clear" w:color="auto" w:fill="auto"/>
          </w:tcPr>
          <w:p w14:paraId="1E6A7195" w14:textId="535944DB" w:rsidR="000330E0" w:rsidRPr="00882AF5" w:rsidRDefault="000330E0" w:rsidP="004126A3">
            <w:pPr>
              <w:jc w:val="center"/>
              <w:rPr>
                <w:b/>
                <w:bCs/>
              </w:rPr>
            </w:pPr>
            <w:r w:rsidRPr="00882AF5">
              <w:rPr>
                <w:b/>
                <w:bCs/>
                <w:lang w:eastAsia="ko-KR"/>
              </w:rPr>
              <w:t>A</w:t>
            </w:r>
            <w:r w:rsidR="00C0265E" w:rsidRPr="00882AF5">
              <w:rPr>
                <w:b/>
                <w:bCs/>
                <w:lang w:eastAsia="ko-KR"/>
              </w:rPr>
              <w:t> attēls</w:t>
            </w:r>
          </w:p>
        </w:tc>
      </w:tr>
    </w:tbl>
    <w:p w14:paraId="12CEF235" w14:textId="77777777" w:rsidR="006C15E0" w:rsidRPr="00882AF5" w:rsidRDefault="006C15E0"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087196" w:rsidRPr="00882AF5" w14:paraId="0294AAEE" w14:textId="77777777" w:rsidTr="004126A3">
        <w:trPr>
          <w:cantSplit/>
          <w:tblHeader/>
        </w:trPr>
        <w:tc>
          <w:tcPr>
            <w:tcW w:w="9064" w:type="dxa"/>
            <w:gridSpan w:val="2"/>
            <w:tcBorders>
              <w:bottom w:val="single" w:sz="4" w:space="0" w:color="auto"/>
            </w:tcBorders>
            <w:shd w:val="clear" w:color="auto" w:fill="auto"/>
          </w:tcPr>
          <w:p w14:paraId="60DFBE4E" w14:textId="5E939FC9" w:rsidR="00087196" w:rsidRPr="00666FDE" w:rsidRDefault="00C0265E" w:rsidP="00087196">
            <w:pPr>
              <w:keepNext/>
              <w:tabs>
                <w:tab w:val="clear" w:pos="567"/>
              </w:tabs>
              <w:suppressAutoHyphens/>
              <w:rPr>
                <w:rFonts w:eastAsia="맑은 고딕"/>
                <w:b/>
                <w:bCs/>
                <w:lang w:eastAsia="zh-CN"/>
              </w:rPr>
            </w:pPr>
            <w:r w:rsidRPr="00666FDE">
              <w:rPr>
                <w:rFonts w:eastAsia="맑은 고딕"/>
                <w:b/>
                <w:bCs/>
                <w:lang w:eastAsia="zh-CN"/>
              </w:rPr>
              <w:t>Sagatavošanās injicēšanai</w:t>
            </w:r>
          </w:p>
        </w:tc>
      </w:tr>
      <w:tr w:rsidR="00087196" w:rsidRPr="00882AF5" w14:paraId="3A11FAD3" w14:textId="77777777" w:rsidTr="004126A3">
        <w:trPr>
          <w:cantSplit/>
        </w:trPr>
        <w:tc>
          <w:tcPr>
            <w:tcW w:w="3010" w:type="dxa"/>
            <w:tcBorders>
              <w:bottom w:val="nil"/>
              <w:right w:val="nil"/>
            </w:tcBorders>
            <w:shd w:val="clear" w:color="auto" w:fill="auto"/>
            <w:vAlign w:val="center"/>
          </w:tcPr>
          <w:p w14:paraId="1C6E11DA" w14:textId="44366159" w:rsidR="00087196" w:rsidRPr="00666FDE" w:rsidRDefault="00000000" w:rsidP="00087196">
            <w:pPr>
              <w:keepNext/>
              <w:tabs>
                <w:tab w:val="clear" w:pos="567"/>
              </w:tabs>
              <w:suppressAutoHyphens/>
              <w:jc w:val="center"/>
              <w:rPr>
                <w:rFonts w:eastAsia="맑은 고딕"/>
                <w:lang w:eastAsia="ko-KR"/>
              </w:rPr>
            </w:pPr>
            <w:r>
              <w:rPr>
                <w:noProof/>
              </w:rPr>
              <w:pict w14:anchorId="70BD746E">
                <v:shape id="Text Box 43" o:spid="_x0000_s2120" type="#_x0000_t202" style="position:absolute;left:0;text-align:left;margin-left:32pt;margin-top:77.9pt;width:19.75pt;height:22.85pt;z-index: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" filled="f" stroked="f">
                  <v:textbox inset="0,0,0,0">
                    <w:txbxContent>
                      <w:p w14:paraId="54E072CE" w14:textId="77777777" w:rsidR="00087196" w:rsidRPr="003866BF" w:rsidRDefault="00087196" w:rsidP="00087196">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45AFA42D" w14:textId="644BAC5C" w:rsidR="00087196" w:rsidRPr="00666FDE" w:rsidRDefault="00000000" w:rsidP="00087196">
            <w:pPr>
              <w:keepNext/>
              <w:tabs>
                <w:tab w:val="clear" w:pos="567"/>
              </w:tabs>
              <w:suppressAutoHyphens/>
              <w:jc w:val="center"/>
              <w:rPr>
                <w:rFonts w:eastAsia="맑은 고딕"/>
                <w:lang w:eastAsia="ko-KR"/>
              </w:rPr>
            </w:pPr>
            <w:r>
              <w:rPr>
                <w:noProof/>
              </w:rPr>
              <w:pict w14:anchorId="58A434DB">
                <v:shape id="Text Box 42" o:spid="_x0000_s2119" type="#_x0000_t202" style="position:absolute;left:0;text-align:left;margin-left:66.2pt;margin-top:209.35pt;width:102.1pt;height:22.85pt;z-index:15;visibility:visible;mso-height-percent:0;mso-wrap-distance-left:9pt;mso-wrap-distance-top:3.6pt;mso-wrap-distance-right:9pt;mso-wrap-distance-bottom:3.6pt;mso-position-horizontal:absolute;mso-position-horizontal-relative:text;mso-position-vertical:absolute;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Py2wEAAJgDAAAOAAAAZHJzL2Uyb0RvYy54bWysU9tu2zAMfR+wfxD0vjjJ0L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" filled="f" stroked="f">
                  <v:textbox inset="0,0,0,0">
                    <w:txbxContent>
                      <w:p w14:paraId="5CB3A46B" w14:textId="2752AF5A"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Atkritumu konteiners asiem priekšmetiem</w:t>
                        </w:r>
                      </w:p>
                    </w:txbxContent>
                  </v:textbox>
                  <w10:wrap anchory="page"/>
                  <w10:anchorlock/>
                </v:shape>
              </w:pict>
            </w:r>
            <w:r>
              <w:rPr>
                <w:noProof/>
              </w:rPr>
              <w:pict w14:anchorId="67618CA1">
                <v:shape id="Text Box 41" o:spid="_x0000_s2118" type="#_x0000_t202" style="position:absolute;left:0;text-align:left;margin-left:66.4pt;margin-top:157.75pt;width:68.25pt;height:22.85pt;z-index:1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AO2naB2wEAAJgDAAAOAAAAAAAAAAAAAAAAAC4CAABkcnMvZTJvRG9jLnhtbFBLAQItABQABgAI&#10;AAAAIQDhw6ZV4AAAAAsBAAAPAAAAAAAAAAAAAAAAADUEAABkcnMvZG93bnJldi54bWxQSwUGAAAA&#10;AAQABADzAAAAQgUAAAAA&#10;" filled="f" stroked="f">
                  <v:textbox inset="0,0,0,0">
                    <w:txbxContent>
                      <w:p w14:paraId="02943E54" w14:textId="60C68909"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Plāksteris</w:t>
                        </w:r>
                      </w:p>
                    </w:txbxContent>
                  </v:textbox>
                  <w10:wrap anchory="page"/>
                  <w10:anchorlock/>
                </v:shape>
              </w:pict>
            </w:r>
            <w:r>
              <w:rPr>
                <w:noProof/>
              </w:rPr>
              <w:pict w14:anchorId="1E524349">
                <v:shape id="Text Box 39" o:spid="_x0000_s2117" type="#_x0000_t202" style="position:absolute;left:0;text-align:left;margin-left:66.9pt;margin-top:79.2pt;width:75.75pt;height:22.85pt;z-index: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" filled="f" stroked="f">
                  <v:textbox inset="0,0,0,0">
                    <w:txbxContent>
                      <w:p w14:paraId="6ED60FC6" w14:textId="13D500F0"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Spirta salvete</w:t>
                        </w:r>
                      </w:p>
                    </w:txbxContent>
                  </v:textbox>
                  <w10:wrap anchory="page"/>
                  <w10:anchorlock/>
                </v:shape>
              </w:pict>
            </w:r>
            <w:r>
              <w:rPr>
                <w:noProof/>
              </w:rPr>
              <w:pict w14:anchorId="3987CB81">
                <v:shape id="Text Box 40" o:spid="_x0000_s2116" type="#_x0000_t202" style="position:absolute;left:0;text-align:left;margin-left:66.35pt;margin-top:115.6pt;width:75.75pt;height:22.85pt;z-index:1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OTtlmLaAQAAmAMAAA4AAAAAAAAAAAAAAAAALgIAAGRycy9lMm9Eb2MueG1sUEsBAi0AFAAGAAgA&#10;AAAhAFjLpA3gAAAACwEAAA8AAAAAAAAAAAAAAAAANAQAAGRycy9kb3ducmV2LnhtbFBLBQYAAAAA&#10;BAAEAPMAAABBBQAAAAA=&#10;" filled="f" stroked="f">
                  <v:textbox inset="0,0,0,0">
                    <w:txbxContent>
                      <w:p w14:paraId="0B2B601C" w14:textId="161A2F86"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Vates tampons vai marle</w:t>
                        </w:r>
                      </w:p>
                    </w:txbxContent>
                  </v:textbox>
                  <w10:wrap anchory="page"/>
                  <w10:anchorlock/>
                </v:shape>
              </w:pict>
            </w:r>
            <w:r>
              <w:rPr>
                <w:noProof/>
              </w:rPr>
              <w:pict w14:anchorId="4B8D8858">
                <v:shape id="Text Box 38" o:spid="_x0000_s2115" type="#_x0000_t202" style="position:absolute;left:0;text-align:left;margin-left:66.6pt;margin-top:28.95pt;width:75.75pt;height:22.85pt;z-index:1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w32gEAAJgDAAAOAAAAZHJzL2Uyb0RvYy54bWysU9tu2zAMfR+wfxD0vtgx0G4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" filled="f" stroked="f">
                  <v:textbox inset="0,0,0,0">
                    <w:txbxContent>
                      <w:p w14:paraId="5EE18FB5" w14:textId="0DF4267F" w:rsidR="00087196" w:rsidRPr="00237B1F" w:rsidRDefault="00074009" w:rsidP="00087196">
                        <w:pPr>
                          <w:rPr>
                            <w:rFonts w:ascii="Arial" w:hAnsi="Arial" w:cs="Arial"/>
                            <w:sz w:val="18"/>
                            <w:szCs w:val="18"/>
                            <w:lang w:val="es-ES"/>
                          </w:rPr>
                        </w:pPr>
                        <w:r w:rsidRPr="00074009">
                          <w:rPr>
                            <w:rFonts w:ascii="Arial" w:hAnsi="Arial" w:cs="Arial"/>
                            <w:sz w:val="18"/>
                            <w:szCs w:val="18"/>
                            <w:lang w:val="es-ES"/>
                          </w:rPr>
                          <w:t>Kastīte ar pilnšļirci</w:t>
                        </w:r>
                      </w:p>
                    </w:txbxContent>
                  </v:textbox>
                  <w10:wrap anchory="page"/>
                  <w10:anchorlock/>
                </v:shape>
              </w:pict>
            </w:r>
            <w:r w:rsidR="00451C8B">
              <w:rPr>
                <w:rFonts w:eastAsia="맑은 고딕"/>
                <w:noProof/>
                <w:lang w:eastAsia="ko-KR"/>
              </w:rPr>
              <w:pict w14:anchorId="49A34563">
                <v:shape id="_x0000_i1028" type="#_x0000_t75" style="width:137.25pt;height:225.75pt;visibility:visible;mso-wrap-style:square">
                  <v:imagedata r:id="rId27" o:title=""/>
                </v:shape>
              </w:pict>
            </w:r>
          </w:p>
          <w:p w14:paraId="7E3A23DE" w14:textId="77777777" w:rsidR="00087196" w:rsidRPr="00666FDE" w:rsidRDefault="00087196" w:rsidP="00087196">
            <w:pPr>
              <w:keepNext/>
              <w:tabs>
                <w:tab w:val="clear" w:pos="567"/>
              </w:tabs>
              <w:suppressAutoHyphens/>
              <w:jc w:val="center"/>
              <w:rPr>
                <w:rFonts w:eastAsia="맑은 고딕"/>
                <w:lang w:eastAsia="ko-KR"/>
              </w:rPr>
            </w:pPr>
          </w:p>
        </w:tc>
        <w:tc>
          <w:tcPr>
            <w:tcW w:w="6054" w:type="dxa"/>
            <w:vMerge w:val="restart"/>
            <w:tcBorders>
              <w:left w:val="nil"/>
            </w:tcBorders>
            <w:shd w:val="clear" w:color="auto" w:fill="auto"/>
          </w:tcPr>
          <w:p w14:paraId="177EED78" w14:textId="50D41946" w:rsidR="00087196" w:rsidRPr="00666FDE" w:rsidRDefault="009D5B33" w:rsidP="00087196">
            <w:pPr>
              <w:keepNext/>
              <w:tabs>
                <w:tab w:val="clear" w:pos="567"/>
              </w:tabs>
              <w:suppressAutoHyphens/>
              <w:ind w:left="284" w:hanging="284"/>
              <w:rPr>
                <w:rFonts w:eastAsia="맑은 고딕"/>
                <w:b/>
                <w:bCs/>
                <w:lang w:eastAsia="zh-CN"/>
              </w:rPr>
            </w:pPr>
            <w:r w:rsidRPr="00882AF5">
              <w:rPr>
                <w:rFonts w:eastAsia="맑은 고딕"/>
                <w:b/>
                <w:bCs/>
                <w:lang w:eastAsia="zh-CN"/>
              </w:rPr>
              <w:t> </w:t>
            </w:r>
            <w:r w:rsidR="00087196" w:rsidRPr="00666FDE">
              <w:rPr>
                <w:rFonts w:eastAsia="맑은 고딕"/>
                <w:b/>
                <w:bCs/>
                <w:lang w:eastAsia="zh-CN"/>
              </w:rPr>
              <w:t>1.</w:t>
            </w:r>
            <w:r w:rsidR="00087196" w:rsidRPr="00666FDE">
              <w:rPr>
                <w:rFonts w:eastAsia="맑은 고딕"/>
                <w:b/>
                <w:bCs/>
                <w:lang w:eastAsia="zh-CN"/>
              </w:rPr>
              <w:tab/>
            </w:r>
            <w:r w:rsidR="00B24347" w:rsidRPr="00666FDE">
              <w:rPr>
                <w:rFonts w:eastAsia="맑은 고딕"/>
                <w:b/>
                <w:bCs/>
                <w:lang w:eastAsia="zh-CN"/>
              </w:rPr>
              <w:t>Paņemiet injicēšanai nepieciešamos piederumus</w:t>
            </w:r>
            <w:r w:rsidR="00087196" w:rsidRPr="00666FDE">
              <w:rPr>
                <w:rFonts w:eastAsia="맑은 고딕"/>
                <w:b/>
                <w:bCs/>
                <w:lang w:eastAsia="zh-CN"/>
              </w:rPr>
              <w:t>.</w:t>
            </w:r>
          </w:p>
          <w:p w14:paraId="7B68C4C5" w14:textId="00F2D2D8"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1a. </w:t>
            </w:r>
            <w:r w:rsidR="00B24347" w:rsidRPr="00666FDE">
              <w:rPr>
                <w:rFonts w:eastAsia="맑은 고딕"/>
                <w:lang w:eastAsia="zh-CN"/>
              </w:rPr>
              <w:t>Sagatavojiet tīru, līdzenu virsmu, piemēram, galdu vai darba virsmu, labi apgaismotā vietā</w:t>
            </w:r>
            <w:r w:rsidRPr="00666FDE">
              <w:rPr>
                <w:rFonts w:eastAsia="맑은 고딕"/>
                <w:lang w:eastAsia="zh-CN"/>
              </w:rPr>
              <w:t>.</w:t>
            </w:r>
          </w:p>
          <w:p w14:paraId="7D51B1E6" w14:textId="6FE78CEB"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1b. </w:t>
            </w:r>
            <w:r w:rsidR="00B24347" w:rsidRPr="00666FDE">
              <w:rPr>
                <w:rFonts w:eastAsia="맑은 고딕"/>
                <w:lang w:eastAsia="zh-CN"/>
              </w:rPr>
              <w:t>Izņemiet no ledusskapja kas</w:t>
            </w:r>
            <w:r w:rsidR="007E2BA5">
              <w:rPr>
                <w:rFonts w:eastAsia="맑은 고딕"/>
                <w:lang w:eastAsia="zh-CN"/>
              </w:rPr>
              <w:t>t</w:t>
            </w:r>
            <w:r w:rsidR="00B24347" w:rsidRPr="00666FDE">
              <w:rPr>
                <w:rFonts w:eastAsia="맑은 고딕"/>
                <w:lang w:eastAsia="zh-CN"/>
              </w:rPr>
              <w:t>īti ar pilnšļirci</w:t>
            </w:r>
            <w:r w:rsidRPr="00666FDE">
              <w:rPr>
                <w:rFonts w:eastAsia="맑은 고딕"/>
                <w:lang w:eastAsia="zh-CN"/>
              </w:rPr>
              <w:t>.</w:t>
            </w:r>
          </w:p>
          <w:p w14:paraId="4222B9F8" w14:textId="5CD113AF"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1c. </w:t>
            </w:r>
            <w:r w:rsidR="009D5B33" w:rsidRPr="00666FDE">
              <w:rPr>
                <w:rFonts w:eastAsia="맑은 고딕"/>
                <w:lang w:eastAsia="zh-CN"/>
              </w:rPr>
              <w:t xml:space="preserve">Pārliecinieties, ka Jums ir šādi piederumi </w:t>
            </w:r>
            <w:r w:rsidRPr="00666FDE">
              <w:rPr>
                <w:rFonts w:eastAsia="맑은 고딕"/>
                <w:lang w:eastAsia="zh-CN"/>
              </w:rPr>
              <w:t>(</w:t>
            </w:r>
            <w:r w:rsidR="009D5B33" w:rsidRPr="00666FDE">
              <w:rPr>
                <w:rFonts w:eastAsia="맑은 고딕"/>
                <w:lang w:eastAsia="zh-CN"/>
              </w:rPr>
              <w:t>sk</w:t>
            </w:r>
            <w:r w:rsidR="007E2BA5">
              <w:rPr>
                <w:rFonts w:eastAsia="맑은 고딕"/>
                <w:lang w:eastAsia="zh-CN"/>
              </w:rPr>
              <w:t>atīt</w:t>
            </w:r>
            <w:r w:rsidR="009D5B33" w:rsidRPr="00666FDE">
              <w:rPr>
                <w:rFonts w:eastAsia="맑은 고딕"/>
                <w:lang w:eastAsia="zh-CN"/>
              </w:rPr>
              <w:t xml:space="preserve"> </w:t>
            </w:r>
            <w:r w:rsidRPr="00666FDE">
              <w:rPr>
                <w:rFonts w:eastAsia="맑은 고딕"/>
                <w:b/>
                <w:bCs/>
                <w:lang w:eastAsia="zh-CN"/>
              </w:rPr>
              <w:t>B</w:t>
            </w:r>
            <w:r w:rsidR="009D5B33" w:rsidRPr="00666FDE">
              <w:rPr>
                <w:rFonts w:eastAsia="맑은 고딕"/>
                <w:b/>
                <w:bCs/>
                <w:lang w:eastAsia="zh-CN"/>
              </w:rPr>
              <w:t> attē</w:t>
            </w:r>
            <w:r w:rsidR="009D5B33" w:rsidRPr="00882AF5">
              <w:rPr>
                <w:rFonts w:eastAsia="맑은 고딕"/>
                <w:b/>
                <w:bCs/>
                <w:lang w:eastAsia="zh-CN"/>
              </w:rPr>
              <w:t>lu</w:t>
            </w:r>
            <w:r w:rsidRPr="00666FDE">
              <w:rPr>
                <w:rFonts w:eastAsia="맑은 고딕"/>
                <w:lang w:eastAsia="zh-CN"/>
              </w:rPr>
              <w:t>):</w:t>
            </w:r>
          </w:p>
          <w:p w14:paraId="49452AD9" w14:textId="1A974E0C"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Kastīte ar pilnš</w:t>
            </w:r>
            <w:r w:rsidRPr="00882AF5">
              <w:rPr>
                <w:rFonts w:eastAsia="맑은 고딕"/>
                <w:lang w:eastAsia="zh-CN"/>
              </w:rPr>
              <w:t>ļ</w:t>
            </w:r>
            <w:r w:rsidRPr="00666FDE">
              <w:rPr>
                <w:rFonts w:eastAsia="맑은 고딕"/>
                <w:lang w:eastAsia="zh-CN"/>
              </w:rPr>
              <w:t>i</w:t>
            </w:r>
            <w:r w:rsidRPr="00882AF5">
              <w:rPr>
                <w:rFonts w:eastAsia="맑은 고딕"/>
                <w:lang w:eastAsia="zh-CN"/>
              </w:rPr>
              <w:t>r</w:t>
            </w:r>
            <w:r w:rsidRPr="00666FDE">
              <w:rPr>
                <w:rFonts w:eastAsia="맑은 고딕"/>
                <w:lang w:eastAsia="zh-CN"/>
              </w:rPr>
              <w:t>ci</w:t>
            </w:r>
          </w:p>
          <w:p w14:paraId="7D8992CE" w14:textId="0973E183" w:rsidR="00087196" w:rsidRPr="00666FDE" w:rsidRDefault="009D5B33" w:rsidP="00087196">
            <w:pPr>
              <w:keepNext/>
              <w:tabs>
                <w:tab w:val="clear" w:pos="567"/>
              </w:tabs>
              <w:suppressAutoHyphens/>
              <w:ind w:left="567"/>
              <w:rPr>
                <w:rFonts w:eastAsia="맑은 고딕"/>
                <w:b/>
                <w:bCs/>
                <w:lang w:eastAsia="zh-CN"/>
              </w:rPr>
            </w:pPr>
            <w:r w:rsidRPr="00666FDE">
              <w:rPr>
                <w:rFonts w:eastAsia="맑은 고딕"/>
                <w:b/>
                <w:bCs/>
                <w:lang w:eastAsia="zh-CN"/>
              </w:rPr>
              <w:t>Nav ietverts kastītē</w:t>
            </w:r>
            <w:r w:rsidR="00087196" w:rsidRPr="00666FDE">
              <w:rPr>
                <w:rFonts w:eastAsia="맑은 고딕"/>
                <w:b/>
                <w:bCs/>
                <w:lang w:eastAsia="zh-CN"/>
              </w:rPr>
              <w:t>:</w:t>
            </w:r>
          </w:p>
          <w:p w14:paraId="21D1F015" w14:textId="4B025694"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Spirta salvete</w:t>
            </w:r>
          </w:p>
          <w:p w14:paraId="0DF42A3A" w14:textId="4236B701"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Vates tampons vai marle</w:t>
            </w:r>
          </w:p>
          <w:p w14:paraId="6B04A951" w14:textId="22E0B5FE"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Plāksteris</w:t>
            </w:r>
          </w:p>
          <w:p w14:paraId="2CE075BF" w14:textId="507135BC" w:rsidR="00087196" w:rsidRPr="00666FDE" w:rsidRDefault="009D5B33" w:rsidP="00087196">
            <w:pPr>
              <w:keepNext/>
              <w:numPr>
                <w:ilvl w:val="0"/>
                <w:numId w:val="59"/>
              </w:numPr>
              <w:tabs>
                <w:tab w:val="clear" w:pos="567"/>
                <w:tab w:val="left" w:pos="851"/>
              </w:tabs>
              <w:suppressAutoHyphens/>
              <w:ind w:left="851" w:hanging="284"/>
              <w:rPr>
                <w:rFonts w:eastAsia="맑은 고딕"/>
                <w:lang w:eastAsia="zh-CN"/>
              </w:rPr>
            </w:pPr>
            <w:r w:rsidRPr="00666FDE">
              <w:rPr>
                <w:rFonts w:eastAsia="맑은 고딕"/>
                <w:lang w:eastAsia="zh-CN"/>
              </w:rPr>
              <w:t>Atkritumu konteiners asiem priekšmetiem</w:t>
            </w:r>
          </w:p>
        </w:tc>
      </w:tr>
      <w:tr w:rsidR="00087196" w:rsidRPr="00882AF5" w14:paraId="1434F05C" w14:textId="77777777" w:rsidTr="004126A3">
        <w:trPr>
          <w:cantSplit/>
        </w:trPr>
        <w:tc>
          <w:tcPr>
            <w:tcW w:w="3010" w:type="dxa"/>
            <w:tcBorders>
              <w:top w:val="nil"/>
              <w:left w:val="single" w:sz="4" w:space="0" w:color="auto"/>
              <w:bottom w:val="single" w:sz="4" w:space="0" w:color="auto"/>
              <w:right w:val="nil"/>
            </w:tcBorders>
            <w:shd w:val="clear" w:color="auto" w:fill="auto"/>
          </w:tcPr>
          <w:p w14:paraId="5ED053B5" w14:textId="7847659D" w:rsidR="00087196" w:rsidRPr="00666FDE" w:rsidRDefault="00087196" w:rsidP="00087196">
            <w:pPr>
              <w:tabs>
                <w:tab w:val="clear" w:pos="567"/>
              </w:tabs>
              <w:suppressAutoHyphens/>
              <w:jc w:val="center"/>
              <w:rPr>
                <w:rFonts w:eastAsia="맑은 고딕"/>
                <w:b/>
                <w:bCs/>
                <w:lang w:eastAsia="ko-KR"/>
              </w:rPr>
            </w:pPr>
            <w:r w:rsidRPr="00666FDE">
              <w:rPr>
                <w:rFonts w:eastAsia="맑은 고딕"/>
                <w:b/>
                <w:bCs/>
                <w:lang w:eastAsia="ko-KR"/>
              </w:rPr>
              <w:t>B</w:t>
            </w:r>
            <w:r w:rsidR="009D5B33" w:rsidRPr="00882AF5">
              <w:rPr>
                <w:rFonts w:eastAsia="맑은 고딕"/>
                <w:b/>
                <w:bCs/>
                <w:lang w:eastAsia="ko-KR"/>
              </w:rPr>
              <w:t> attēls</w:t>
            </w:r>
          </w:p>
        </w:tc>
        <w:tc>
          <w:tcPr>
            <w:tcW w:w="6054" w:type="dxa"/>
            <w:vMerge/>
            <w:tcBorders>
              <w:left w:val="nil"/>
              <w:bottom w:val="single" w:sz="4" w:space="0" w:color="auto"/>
            </w:tcBorders>
            <w:shd w:val="clear" w:color="auto" w:fill="auto"/>
          </w:tcPr>
          <w:p w14:paraId="79282589" w14:textId="77777777" w:rsidR="00087196" w:rsidRPr="00666FDE" w:rsidRDefault="00087196" w:rsidP="00087196">
            <w:pPr>
              <w:tabs>
                <w:tab w:val="clear" w:pos="567"/>
              </w:tabs>
              <w:suppressAutoHyphens/>
              <w:rPr>
                <w:rFonts w:eastAsia="맑은 고딕"/>
                <w:b/>
                <w:bCs/>
                <w:lang w:eastAsia="zh-CN"/>
              </w:rPr>
            </w:pPr>
          </w:p>
        </w:tc>
      </w:tr>
      <w:tr w:rsidR="00087196" w:rsidRPr="00882AF5" w14:paraId="0092C2AE" w14:textId="77777777" w:rsidTr="004126A3">
        <w:trPr>
          <w:cantSplit/>
        </w:trPr>
        <w:tc>
          <w:tcPr>
            <w:tcW w:w="3010" w:type="dxa"/>
            <w:tcBorders>
              <w:top w:val="single" w:sz="4" w:space="0" w:color="auto"/>
              <w:bottom w:val="nil"/>
              <w:right w:val="nil"/>
            </w:tcBorders>
            <w:shd w:val="clear" w:color="auto" w:fill="auto"/>
            <w:vAlign w:val="center"/>
          </w:tcPr>
          <w:p w14:paraId="4DF5A900" w14:textId="613179B5" w:rsidR="00087196" w:rsidRPr="00666FDE" w:rsidRDefault="00000000" w:rsidP="00087196">
            <w:pPr>
              <w:keepNext/>
              <w:tabs>
                <w:tab w:val="clear" w:pos="567"/>
              </w:tabs>
              <w:suppressAutoHyphens/>
              <w:jc w:val="center"/>
              <w:rPr>
                <w:rFonts w:eastAsia="맑은 고딕"/>
                <w:lang w:eastAsia="zh-CN"/>
              </w:rPr>
            </w:pPr>
            <w:r>
              <w:rPr>
                <w:noProof/>
              </w:rPr>
              <w:lastRenderedPageBreak/>
              <w:pict w14:anchorId="18B736CD">
                <v:shape id="Text Box 45" o:spid="_x0000_s2114" type="#_x0000_t202" style="position:absolute;left:0;text-align:left;margin-left:90.55pt;margin-top:124.2pt;width:68.25pt;height:22.85pt;z-index:1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DYiWjM2wEAAJgDAAAOAAAAAAAAAAAAAAAAAC4CAABkcnMvZTJvRG9jLnhtbFBLAQItABQABgAI&#10;AAAAIQDKfKwY4AAAAAsBAAAPAAAAAAAAAAAAAAAAADUEAABkcnMvZG93bnJldi54bWxQSwUGAAAA&#10;AAQABADzAAAAQgUAAAAA&#10;" filled="f" stroked="f">
                  <v:textbox inset="0,0,0,0">
                    <w:txbxContent>
                      <w:p w14:paraId="1E31760F" w14:textId="446D19C3" w:rsidR="00087196" w:rsidRPr="00B15769" w:rsidRDefault="00074009" w:rsidP="00087196">
                        <w:pPr>
                          <w:rPr>
                            <w:rFonts w:ascii="Arial" w:hAnsi="Arial" w:cs="Arial"/>
                            <w:b/>
                            <w:bCs/>
                            <w:sz w:val="10"/>
                            <w:szCs w:val="10"/>
                            <w:lang w:val="es-ES"/>
                          </w:rPr>
                        </w:pPr>
                        <w:r w:rsidRPr="00074009">
                          <w:rPr>
                            <w:rFonts w:ascii="Arial" w:hAnsi="Arial" w:cs="Arial"/>
                            <w:b/>
                            <w:bCs/>
                            <w:sz w:val="10"/>
                            <w:szCs w:val="10"/>
                            <w:lang w:val="es-ES"/>
                          </w:rPr>
                          <w:t>EXP: MM GGGG</w:t>
                        </w:r>
                      </w:p>
                    </w:txbxContent>
                  </v:textbox>
                  <w10:wrap anchory="page"/>
                  <w10:anchorlock/>
                </v:shape>
              </w:pict>
            </w:r>
            <w:r>
              <w:rPr>
                <w:noProof/>
              </w:rPr>
              <w:pict w14:anchorId="53163CB8">
                <v:shape id="Text Box 44" o:spid="_x0000_s2113" type="#_x0000_t202" style="position:absolute;left:0;text-align:left;margin-left:72.85pt;margin-top:57.9pt;width:68.25pt;height:22.85pt;z-index:1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Gt7wpnbAQAAmAMAAA4AAAAAAAAAAAAAAAAALgIAAGRycy9lMm9Eb2MueG1sUEsBAi0AFAAGAAgA&#10;AAAhABXsyKTfAAAACwEAAA8AAAAAAAAAAAAAAAAANQQAAGRycy9kb3ducmV2LnhtbFBLBQYAAAAA&#10;BAAEAPMAAABBBQAAAAA=&#10;" filled="f" stroked="f">
                  <v:textbox inset="0,0,0,0">
                    <w:txbxContent>
                      <w:p w14:paraId="6A3BC8BE" w14:textId="649003EB" w:rsidR="00087196" w:rsidRPr="00B15769" w:rsidRDefault="00074009" w:rsidP="00087196">
                        <w:pPr>
                          <w:rPr>
                            <w:rFonts w:ascii="Arial" w:hAnsi="Arial" w:cs="Arial"/>
                            <w:b/>
                            <w:bCs/>
                            <w:sz w:val="14"/>
                            <w:szCs w:val="14"/>
                            <w:lang w:val="es-ES"/>
                          </w:rPr>
                        </w:pPr>
                        <w:r w:rsidRPr="00074009">
                          <w:rPr>
                            <w:rFonts w:ascii="Arial" w:hAnsi="Arial" w:cs="Arial"/>
                            <w:b/>
                            <w:bCs/>
                            <w:sz w:val="14"/>
                            <w:szCs w:val="14"/>
                            <w:lang w:val="es-ES"/>
                          </w:rPr>
                          <w:t>EXP: MM GGGG</w:t>
                        </w:r>
                      </w:p>
                    </w:txbxContent>
                  </v:textbox>
                  <w10:wrap anchory="page"/>
                  <w10:anchorlock/>
                </v:shape>
              </w:pict>
            </w:r>
          </w:p>
          <w:p w14:paraId="64614BF3" w14:textId="4BBACD10" w:rsidR="00087196" w:rsidRPr="00666FDE" w:rsidRDefault="00451C8B" w:rsidP="00087196">
            <w:pPr>
              <w:keepNext/>
              <w:tabs>
                <w:tab w:val="clear" w:pos="567"/>
              </w:tabs>
              <w:suppressAutoHyphens/>
              <w:jc w:val="center"/>
              <w:rPr>
                <w:rFonts w:eastAsia="맑은 고딕"/>
                <w:lang w:eastAsia="zh-CN"/>
              </w:rPr>
            </w:pPr>
            <w:r>
              <w:rPr>
                <w:rFonts w:eastAsia="맑은 고딕"/>
                <w:noProof/>
                <w:lang w:eastAsia="zh-CN"/>
              </w:rPr>
              <w:pict w14:anchorId="6CEF0FA6">
                <v:shape id="_x0000_i1029" type="#_x0000_t75" style="width:140.25pt;height:151.5pt;visibility:visible;mso-wrap-style:square">
                  <v:imagedata r:id="rId28" o:title="" croptop="6858f"/>
                </v:shape>
              </w:pict>
            </w:r>
          </w:p>
          <w:p w14:paraId="03AB9926" w14:textId="77777777" w:rsidR="00087196" w:rsidRPr="00666FDE" w:rsidRDefault="00087196" w:rsidP="00087196">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shd w:val="clear" w:color="auto" w:fill="auto"/>
          </w:tcPr>
          <w:p w14:paraId="691F018C" w14:textId="32473655" w:rsidR="00087196" w:rsidRPr="00666FDE" w:rsidRDefault="002C4561" w:rsidP="00087196">
            <w:pPr>
              <w:keepNext/>
              <w:tabs>
                <w:tab w:val="clear" w:pos="567"/>
              </w:tabs>
              <w:suppressAutoHyphens/>
              <w:ind w:left="284" w:hanging="284"/>
              <w:rPr>
                <w:rFonts w:eastAsia="맑은 고딕"/>
                <w:b/>
                <w:bCs/>
                <w:lang w:eastAsia="zh-CN"/>
              </w:rPr>
            </w:pPr>
            <w:r w:rsidRPr="00882AF5">
              <w:rPr>
                <w:rFonts w:eastAsia="맑은 고딕"/>
                <w:b/>
                <w:bCs/>
                <w:lang w:eastAsia="zh-CN"/>
              </w:rPr>
              <w:t> </w:t>
            </w:r>
            <w:r w:rsidR="00087196" w:rsidRPr="00666FDE">
              <w:rPr>
                <w:rFonts w:eastAsia="맑은 고딕"/>
                <w:b/>
                <w:bCs/>
                <w:lang w:eastAsia="zh-CN"/>
              </w:rPr>
              <w:t>2.</w:t>
            </w:r>
            <w:r w:rsidR="00087196" w:rsidRPr="00666FDE">
              <w:rPr>
                <w:rFonts w:eastAsia="맑은 고딕"/>
                <w:b/>
                <w:bCs/>
                <w:lang w:eastAsia="zh-CN"/>
              </w:rPr>
              <w:tab/>
            </w:r>
            <w:r w:rsidR="009D5B33" w:rsidRPr="00882AF5">
              <w:rPr>
                <w:rFonts w:eastAsia="맑은 고딕"/>
                <w:b/>
                <w:bCs/>
                <w:lang w:eastAsia="zh-CN"/>
              </w:rPr>
              <w:t>Pārbaudiet uz kastītes norādīt</w:t>
            </w:r>
            <w:r w:rsidR="007E2BA5">
              <w:rPr>
                <w:rFonts w:eastAsia="맑은 고딕"/>
                <w:b/>
                <w:bCs/>
                <w:lang w:eastAsia="zh-CN"/>
              </w:rPr>
              <w:t>o</w:t>
            </w:r>
            <w:r w:rsidR="009D5B33" w:rsidRPr="00882AF5">
              <w:rPr>
                <w:rFonts w:eastAsia="맑은 고딕"/>
                <w:b/>
                <w:bCs/>
                <w:lang w:eastAsia="zh-CN"/>
              </w:rPr>
              <w:t xml:space="preserve"> derīguma termiņu </w:t>
            </w:r>
            <w:r w:rsidR="00087196" w:rsidRPr="00666FDE">
              <w:rPr>
                <w:rFonts w:eastAsia="맑은 고딕"/>
                <w:b/>
                <w:bCs/>
                <w:lang w:eastAsia="zh-CN"/>
              </w:rPr>
              <w:t>(</w:t>
            </w:r>
            <w:r w:rsidR="009D5B33" w:rsidRPr="00882AF5">
              <w:rPr>
                <w:rFonts w:eastAsia="맑은 고딕"/>
                <w:b/>
                <w:bCs/>
                <w:lang w:eastAsia="zh-CN"/>
              </w:rPr>
              <w:t>sk</w:t>
            </w:r>
            <w:r w:rsidR="007E2BA5">
              <w:rPr>
                <w:rFonts w:eastAsia="맑은 고딕"/>
                <w:b/>
                <w:bCs/>
                <w:lang w:eastAsia="zh-CN"/>
              </w:rPr>
              <w:t>atīt</w:t>
            </w:r>
            <w:r w:rsidR="009D5B33" w:rsidRPr="00882AF5">
              <w:rPr>
                <w:rFonts w:eastAsia="맑은 고딕"/>
                <w:b/>
                <w:bCs/>
                <w:lang w:eastAsia="zh-CN"/>
              </w:rPr>
              <w:t xml:space="preserve"> </w:t>
            </w:r>
            <w:r w:rsidR="00087196" w:rsidRPr="00666FDE">
              <w:rPr>
                <w:rFonts w:eastAsia="맑은 고딕"/>
                <w:b/>
                <w:bCs/>
                <w:lang w:eastAsia="zh-CN"/>
              </w:rPr>
              <w:t>C</w:t>
            </w:r>
            <w:r w:rsidR="009D5B33" w:rsidRPr="00882AF5">
              <w:rPr>
                <w:rFonts w:eastAsia="맑은 고딕"/>
                <w:b/>
                <w:bCs/>
                <w:lang w:eastAsia="zh-CN"/>
              </w:rPr>
              <w:t> attēlu</w:t>
            </w:r>
            <w:r w:rsidR="00087196" w:rsidRPr="00666FDE">
              <w:rPr>
                <w:rFonts w:eastAsia="맑은 고딕"/>
                <w:b/>
                <w:bCs/>
                <w:lang w:eastAsia="zh-CN"/>
              </w:rPr>
              <w:t>).</w:t>
            </w:r>
          </w:p>
          <w:p w14:paraId="658B4148" w14:textId="033F9AB3" w:rsidR="00087196" w:rsidRPr="00666FDE" w:rsidRDefault="009D5B33" w:rsidP="00087196">
            <w:pPr>
              <w:keepNext/>
              <w:numPr>
                <w:ilvl w:val="0"/>
                <w:numId w:val="58"/>
              </w:numPr>
              <w:tabs>
                <w:tab w:val="clear" w:pos="567"/>
              </w:tabs>
              <w:suppressAutoHyphens/>
              <w:ind w:left="568" w:hanging="284"/>
              <w:rPr>
                <w:rFonts w:eastAsia="맑은 고딕"/>
                <w:lang w:eastAsia="ko-KR"/>
              </w:rPr>
            </w:pPr>
            <w:r w:rsidRPr="00882AF5">
              <w:rPr>
                <w:rFonts w:eastAsia="맑은 고딕"/>
                <w:b/>
                <w:bCs/>
                <w:lang w:eastAsia="zh-CN"/>
              </w:rPr>
              <w:t>Nelieto</w:t>
            </w:r>
            <w:r w:rsidR="00262BD4">
              <w:rPr>
                <w:rFonts w:eastAsia="맑은 고딕"/>
                <w:b/>
                <w:bCs/>
                <w:lang w:eastAsia="zh-CN"/>
              </w:rPr>
              <w:t>jie</w:t>
            </w:r>
            <w:r w:rsidRPr="00882AF5">
              <w:rPr>
                <w:rFonts w:eastAsia="맑은 고딕"/>
                <w:b/>
                <w:bCs/>
                <w:lang w:eastAsia="zh-CN"/>
              </w:rPr>
              <w:t>t</w:t>
            </w:r>
            <w:r w:rsidRPr="00882AF5">
              <w:rPr>
                <w:rFonts w:eastAsia="맑은 고딕"/>
                <w:lang w:eastAsia="zh-CN"/>
              </w:rPr>
              <w:t>, ja derīguma termiņš ir beidzies</w:t>
            </w:r>
            <w:r w:rsidR="00087196" w:rsidRPr="00666FDE">
              <w:rPr>
                <w:rFonts w:eastAsia="맑은 고딕"/>
                <w:lang w:eastAsia="zh-CN"/>
              </w:rPr>
              <w:t xml:space="preserve">. </w:t>
            </w:r>
            <w:r w:rsidRPr="00882AF5">
              <w:rPr>
                <w:rFonts w:eastAsia="맑은 고딕"/>
                <w:lang w:eastAsia="zh-CN"/>
              </w:rPr>
              <w:t>Ja derīguma termiņš ir beidzies,</w:t>
            </w:r>
            <w:r w:rsidR="007E2BA5">
              <w:rPr>
                <w:rFonts w:eastAsia="맑은 고딕"/>
                <w:lang w:eastAsia="zh-CN"/>
              </w:rPr>
              <w:t xml:space="preserve"> atdodiet</w:t>
            </w:r>
            <w:r w:rsidRPr="00882AF5">
              <w:rPr>
                <w:rFonts w:eastAsia="맑은 고딕"/>
                <w:lang w:eastAsia="zh-CN"/>
              </w:rPr>
              <w:t xml:space="preserve"> visu kastīti aptiekā</w:t>
            </w:r>
            <w:r w:rsidR="00087196" w:rsidRPr="00666FDE">
              <w:rPr>
                <w:rFonts w:eastAsia="맑은 고딕"/>
                <w:lang w:eastAsia="zh-CN"/>
              </w:rPr>
              <w:t>.</w:t>
            </w:r>
          </w:p>
          <w:p w14:paraId="2A5456CD" w14:textId="3BAF3FB0" w:rsidR="00087196" w:rsidRPr="00666FDE" w:rsidRDefault="009D5B33" w:rsidP="00087196">
            <w:pPr>
              <w:keepNext/>
              <w:numPr>
                <w:ilvl w:val="0"/>
                <w:numId w:val="58"/>
              </w:numPr>
              <w:tabs>
                <w:tab w:val="clear" w:pos="567"/>
              </w:tabs>
              <w:suppressAutoHyphens/>
              <w:ind w:left="568" w:hanging="284"/>
              <w:rPr>
                <w:rFonts w:eastAsia="맑은 고딕"/>
                <w:lang w:eastAsia="ko-KR"/>
              </w:rPr>
            </w:pPr>
            <w:r w:rsidRPr="00882AF5">
              <w:rPr>
                <w:rFonts w:eastAsia="맑은 고딕"/>
                <w:lang w:eastAsia="ko-KR"/>
              </w:rPr>
              <w:t>Iespiest</w:t>
            </w:r>
            <w:r w:rsidR="002C4561" w:rsidRPr="00882AF5">
              <w:rPr>
                <w:rFonts w:eastAsia="맑은 고딕"/>
                <w:lang w:eastAsia="ko-KR"/>
              </w:rPr>
              <w:t>ais derīguma termiņš attiecas uz norādītā mēneša pēdējo dienu</w:t>
            </w:r>
            <w:r w:rsidR="00087196" w:rsidRPr="00666FDE">
              <w:rPr>
                <w:rFonts w:eastAsia="맑은 고딕"/>
                <w:lang w:eastAsia="ko-KR"/>
              </w:rPr>
              <w:t>.</w:t>
            </w:r>
          </w:p>
        </w:tc>
      </w:tr>
      <w:tr w:rsidR="00087196" w:rsidRPr="00882AF5" w14:paraId="2578D3C3" w14:textId="77777777" w:rsidTr="004126A3">
        <w:trPr>
          <w:cantSplit/>
        </w:trPr>
        <w:tc>
          <w:tcPr>
            <w:tcW w:w="3010" w:type="dxa"/>
            <w:tcBorders>
              <w:top w:val="nil"/>
              <w:left w:val="single" w:sz="4" w:space="0" w:color="auto"/>
              <w:bottom w:val="single" w:sz="4" w:space="0" w:color="auto"/>
              <w:right w:val="nil"/>
            </w:tcBorders>
            <w:shd w:val="clear" w:color="auto" w:fill="auto"/>
          </w:tcPr>
          <w:p w14:paraId="19433646" w14:textId="21A0C07D" w:rsidR="00087196" w:rsidRPr="00666FDE" w:rsidRDefault="00087196" w:rsidP="00087196">
            <w:pPr>
              <w:tabs>
                <w:tab w:val="clear" w:pos="567"/>
              </w:tabs>
              <w:suppressAutoHyphens/>
              <w:jc w:val="center"/>
              <w:rPr>
                <w:rFonts w:eastAsia="맑은 고딕"/>
                <w:noProof/>
                <w:lang w:eastAsia="zh-CN"/>
              </w:rPr>
            </w:pPr>
            <w:r w:rsidRPr="00666FDE">
              <w:rPr>
                <w:rFonts w:eastAsia="맑은 고딕"/>
                <w:b/>
                <w:bCs/>
                <w:lang w:eastAsia="ko-KR"/>
              </w:rPr>
              <w:t>C</w:t>
            </w:r>
            <w:r w:rsidR="002C4561" w:rsidRPr="00882AF5">
              <w:rPr>
                <w:rFonts w:eastAsia="맑은 고딕"/>
                <w:b/>
                <w:bCs/>
                <w:lang w:eastAsia="ko-KR"/>
              </w:rPr>
              <w:t> attēls</w:t>
            </w:r>
          </w:p>
        </w:tc>
        <w:tc>
          <w:tcPr>
            <w:tcW w:w="6054" w:type="dxa"/>
            <w:vMerge/>
            <w:tcBorders>
              <w:left w:val="nil"/>
              <w:bottom w:val="single" w:sz="4" w:space="0" w:color="auto"/>
            </w:tcBorders>
            <w:shd w:val="clear" w:color="auto" w:fill="auto"/>
          </w:tcPr>
          <w:p w14:paraId="4285E396" w14:textId="77777777" w:rsidR="00087196" w:rsidRPr="00666FDE" w:rsidRDefault="00087196" w:rsidP="00087196">
            <w:pPr>
              <w:tabs>
                <w:tab w:val="clear" w:pos="567"/>
              </w:tabs>
              <w:suppressAutoHyphens/>
              <w:rPr>
                <w:rFonts w:eastAsia="맑은 고딕"/>
                <w:b/>
                <w:bCs/>
                <w:lang w:eastAsia="zh-CN"/>
              </w:rPr>
            </w:pPr>
          </w:p>
        </w:tc>
      </w:tr>
      <w:tr w:rsidR="00087196" w:rsidRPr="00882AF5" w14:paraId="58C4D522" w14:textId="77777777" w:rsidTr="004126A3">
        <w:trPr>
          <w:cantSplit/>
        </w:trPr>
        <w:tc>
          <w:tcPr>
            <w:tcW w:w="3010" w:type="dxa"/>
            <w:tcBorders>
              <w:top w:val="single" w:sz="4" w:space="0" w:color="auto"/>
              <w:bottom w:val="nil"/>
              <w:right w:val="nil"/>
            </w:tcBorders>
            <w:shd w:val="clear" w:color="auto" w:fill="auto"/>
            <w:vAlign w:val="center"/>
          </w:tcPr>
          <w:p w14:paraId="2760AEF7" w14:textId="77777777" w:rsidR="00087196" w:rsidRPr="00666FDE" w:rsidRDefault="00087196" w:rsidP="00087196">
            <w:pPr>
              <w:keepNext/>
              <w:tabs>
                <w:tab w:val="clear" w:pos="567"/>
              </w:tabs>
              <w:suppressAutoHyphens/>
              <w:jc w:val="center"/>
              <w:rPr>
                <w:rFonts w:eastAsia="맑은 고딕"/>
                <w:lang w:eastAsia="zh-CN"/>
              </w:rPr>
            </w:pPr>
          </w:p>
          <w:p w14:paraId="43250C60" w14:textId="7B85DC28" w:rsidR="00087196" w:rsidRPr="00666FDE" w:rsidRDefault="00451C8B" w:rsidP="00087196">
            <w:pPr>
              <w:keepNext/>
              <w:tabs>
                <w:tab w:val="clear" w:pos="567"/>
              </w:tabs>
              <w:suppressAutoHyphens/>
              <w:jc w:val="center"/>
              <w:rPr>
                <w:rFonts w:eastAsia="맑은 고딕"/>
                <w:lang w:eastAsia="zh-CN"/>
              </w:rPr>
            </w:pPr>
            <w:r>
              <w:rPr>
                <w:rFonts w:eastAsia="맑은 고딕"/>
                <w:noProof/>
                <w:lang w:eastAsia="zh-CN"/>
              </w:rPr>
              <w:pict w14:anchorId="68C12229">
                <v:shape id="_x0000_i1030" type="#_x0000_t75" alt="스케치, 그림, 클립아트, 만화 영화이(가) 표시된 사진&#10;&#10;자동 생성된 설명" style="width:140.25pt;height:170.25pt;visibility:visible;mso-wrap-style:square">
                  <v:imagedata r:id="rId29" o:title="스케치, 그림, 클립아트, 만화 영화이(가) 표시된 사진&#10;&#10;자동 생성된 설명"/>
                </v:shape>
              </w:pict>
            </w:r>
          </w:p>
          <w:p w14:paraId="7F58A61F" w14:textId="77777777" w:rsidR="00087196" w:rsidRPr="00666FDE" w:rsidRDefault="00087196" w:rsidP="00087196">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shd w:val="clear" w:color="auto" w:fill="auto"/>
          </w:tcPr>
          <w:p w14:paraId="06E9FF02" w14:textId="62CE0D0A" w:rsidR="00087196" w:rsidRPr="00666FDE" w:rsidRDefault="00087196" w:rsidP="00087196">
            <w:pPr>
              <w:keepNext/>
              <w:tabs>
                <w:tab w:val="clear" w:pos="567"/>
              </w:tabs>
              <w:suppressAutoHyphens/>
              <w:ind w:left="284" w:hanging="284"/>
              <w:rPr>
                <w:rFonts w:eastAsia="맑은 고딕"/>
                <w:b/>
                <w:bCs/>
                <w:lang w:eastAsia="ko-KR"/>
              </w:rPr>
            </w:pPr>
            <w:r w:rsidRPr="00666FDE">
              <w:rPr>
                <w:rFonts w:eastAsia="맑은 고딕"/>
                <w:b/>
                <w:bCs/>
                <w:lang w:eastAsia="ko-KR"/>
              </w:rPr>
              <w:t>3.</w:t>
            </w:r>
            <w:r w:rsidRPr="00666FDE">
              <w:rPr>
                <w:rFonts w:eastAsia="맑은 고딕"/>
                <w:b/>
                <w:bCs/>
                <w:lang w:eastAsia="zh-CN"/>
              </w:rPr>
              <w:tab/>
            </w:r>
            <w:r w:rsidR="00D27697" w:rsidRPr="00882AF5">
              <w:rPr>
                <w:rFonts w:eastAsia="맑은 고딕"/>
                <w:b/>
                <w:bCs/>
                <w:lang w:eastAsia="zh-CN"/>
              </w:rPr>
              <w:t>Izņemiet pilnšļirci no kastītes</w:t>
            </w:r>
          </w:p>
          <w:p w14:paraId="59E89A0F" w14:textId="7D6EB676"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3a. </w:t>
            </w:r>
            <w:r w:rsidR="00D27697" w:rsidRPr="00882AF5">
              <w:rPr>
                <w:rFonts w:eastAsia="맑은 고딕"/>
                <w:lang w:eastAsia="zh-CN"/>
              </w:rPr>
              <w:t>Atveriet kastīti</w:t>
            </w:r>
            <w:r w:rsidRPr="00666FDE">
              <w:rPr>
                <w:rFonts w:eastAsia="맑은 고딕"/>
                <w:lang w:eastAsia="zh-CN"/>
              </w:rPr>
              <w:t xml:space="preserve">. </w:t>
            </w:r>
            <w:r w:rsidR="00D27697" w:rsidRPr="00882AF5">
              <w:rPr>
                <w:rFonts w:eastAsia="맑은 고딕"/>
                <w:lang w:eastAsia="zh-CN"/>
              </w:rPr>
              <w:t xml:space="preserve">Satverot šļirces </w:t>
            </w:r>
            <w:r w:rsidR="002558CE" w:rsidRPr="00882AF5">
              <w:rPr>
                <w:rFonts w:eastAsia="맑은 고딕"/>
                <w:lang w:eastAsia="zh-CN"/>
              </w:rPr>
              <w:t>cilindru</w:t>
            </w:r>
            <w:r w:rsidR="00D27697" w:rsidRPr="00882AF5">
              <w:rPr>
                <w:rFonts w:eastAsia="맑은 고딕"/>
                <w:lang w:eastAsia="zh-CN"/>
              </w:rPr>
              <w:t xml:space="preserve">, izceliet pilnšļirci no kastītes </w:t>
            </w:r>
            <w:r w:rsidRPr="00666FDE">
              <w:rPr>
                <w:rFonts w:eastAsia="맑은 고딕"/>
                <w:lang w:eastAsia="zh-CN"/>
              </w:rPr>
              <w:t>(</w:t>
            </w:r>
            <w:r w:rsidRPr="00666FDE">
              <w:rPr>
                <w:rFonts w:eastAsia="맑은 고딕"/>
                <w:b/>
                <w:bCs/>
                <w:lang w:eastAsia="zh-CN"/>
              </w:rPr>
              <w:t>D</w:t>
            </w:r>
            <w:r w:rsidR="00D407BF" w:rsidRPr="00882AF5">
              <w:rPr>
                <w:rFonts w:eastAsia="맑은 고딕"/>
                <w:b/>
                <w:bCs/>
                <w:lang w:eastAsia="zh-CN"/>
              </w:rPr>
              <w:t> attēls</w:t>
            </w:r>
            <w:r w:rsidRPr="00666FDE">
              <w:rPr>
                <w:rFonts w:eastAsia="맑은 고딕"/>
                <w:lang w:eastAsia="zh-CN"/>
              </w:rPr>
              <w:t>).</w:t>
            </w:r>
          </w:p>
          <w:p w14:paraId="4B6B2357" w14:textId="565C1A53" w:rsidR="00087196" w:rsidRPr="00666FDE" w:rsidRDefault="00D407BF"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Neturiet</w:t>
            </w:r>
            <w:r w:rsidR="00087196" w:rsidRPr="00666FDE">
              <w:rPr>
                <w:rFonts w:eastAsia="맑은 고딕"/>
                <w:b/>
                <w:bCs/>
                <w:lang w:eastAsia="zh-CN"/>
              </w:rPr>
              <w:t xml:space="preserve"> </w:t>
            </w:r>
            <w:r w:rsidRPr="00882AF5">
              <w:rPr>
                <w:rFonts w:eastAsia="맑은 고딕"/>
                <w:lang w:eastAsia="zh-CN"/>
              </w:rPr>
              <w:t>aiz šļirces virzuļa gala, virzuļa, adatas aizsarga, pirkstu balstiem vai adatas uzgaļa</w:t>
            </w:r>
            <w:r w:rsidR="00087196" w:rsidRPr="00666FDE">
              <w:rPr>
                <w:rFonts w:eastAsia="맑은 고딕"/>
                <w:lang w:eastAsia="zh-CN"/>
              </w:rPr>
              <w:t>.</w:t>
            </w:r>
          </w:p>
          <w:p w14:paraId="68379E0A" w14:textId="26C19C3D" w:rsidR="00087196" w:rsidRPr="00666FDE" w:rsidRDefault="00D407BF"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Nevelciet</w:t>
            </w:r>
            <w:r w:rsidR="00087196" w:rsidRPr="00666FDE">
              <w:rPr>
                <w:rFonts w:eastAsia="맑은 고딕"/>
                <w:lang w:eastAsia="zh-CN"/>
              </w:rPr>
              <w:t xml:space="preserve"> </w:t>
            </w:r>
            <w:r w:rsidR="00EC7D7A" w:rsidRPr="00882AF5">
              <w:rPr>
                <w:rFonts w:eastAsia="맑은 고딕"/>
                <w:lang w:eastAsia="zh-CN"/>
              </w:rPr>
              <w:t xml:space="preserve">atpakaļ </w:t>
            </w:r>
            <w:r w:rsidR="00FD5316" w:rsidRPr="00FD5316">
              <w:rPr>
                <w:rFonts w:eastAsia="맑은 고딕"/>
                <w:lang w:eastAsia="zh-CN"/>
              </w:rPr>
              <w:t>šļirces</w:t>
            </w:r>
            <w:r w:rsidR="00FD5316">
              <w:rPr>
                <w:rFonts w:eastAsia="맑은 고딕" w:hint="eastAsia"/>
                <w:lang w:eastAsia="ko-KR"/>
              </w:rPr>
              <w:t xml:space="preserve"> </w:t>
            </w:r>
            <w:r w:rsidR="00EC7D7A" w:rsidRPr="00882AF5">
              <w:rPr>
                <w:rFonts w:eastAsia="맑은 고딕"/>
                <w:lang w:eastAsia="zh-CN"/>
              </w:rPr>
              <w:t xml:space="preserve">virzuli </w:t>
            </w:r>
            <w:r w:rsidR="00ED15DF" w:rsidRPr="00882AF5">
              <w:rPr>
                <w:rFonts w:eastAsia="맑은 고딕"/>
                <w:lang w:eastAsia="zh-CN"/>
              </w:rPr>
              <w:t>nevienā brīdī</w:t>
            </w:r>
            <w:r w:rsidR="00087196" w:rsidRPr="00666FDE">
              <w:rPr>
                <w:rFonts w:eastAsia="맑은 고딕"/>
                <w:lang w:eastAsia="zh-CN"/>
              </w:rPr>
              <w:t>.</w:t>
            </w:r>
          </w:p>
          <w:p w14:paraId="38B6D2E1" w14:textId="77777777" w:rsidR="00087196" w:rsidRPr="00666FDE" w:rsidRDefault="00087196" w:rsidP="00087196">
            <w:pPr>
              <w:keepNext/>
              <w:tabs>
                <w:tab w:val="clear" w:pos="567"/>
              </w:tabs>
              <w:suppressAutoHyphens/>
              <w:rPr>
                <w:rFonts w:eastAsia="맑은 고딕"/>
                <w:lang w:eastAsia="zh-CN"/>
              </w:rPr>
            </w:pPr>
          </w:p>
        </w:tc>
      </w:tr>
      <w:tr w:rsidR="00087196" w:rsidRPr="00882AF5" w14:paraId="2CEA340E" w14:textId="77777777" w:rsidTr="004126A3">
        <w:trPr>
          <w:cantSplit/>
        </w:trPr>
        <w:tc>
          <w:tcPr>
            <w:tcW w:w="3010" w:type="dxa"/>
            <w:tcBorders>
              <w:top w:val="nil"/>
              <w:left w:val="single" w:sz="4" w:space="0" w:color="auto"/>
              <w:bottom w:val="single" w:sz="4" w:space="0" w:color="auto"/>
              <w:right w:val="nil"/>
            </w:tcBorders>
            <w:shd w:val="clear" w:color="auto" w:fill="auto"/>
          </w:tcPr>
          <w:p w14:paraId="12315990" w14:textId="49254CB5" w:rsidR="00087196" w:rsidRPr="00666FDE" w:rsidRDefault="00087196" w:rsidP="00087196">
            <w:pPr>
              <w:tabs>
                <w:tab w:val="clear" w:pos="567"/>
              </w:tabs>
              <w:suppressAutoHyphens/>
              <w:jc w:val="center"/>
              <w:rPr>
                <w:rFonts w:eastAsia="맑은 고딕"/>
                <w:b/>
                <w:bCs/>
                <w:lang w:eastAsia="zh-CN"/>
              </w:rPr>
            </w:pPr>
            <w:r w:rsidRPr="00666FDE">
              <w:rPr>
                <w:rFonts w:eastAsia="맑은 고딕"/>
                <w:b/>
                <w:bCs/>
                <w:lang w:eastAsia="ko-KR"/>
              </w:rPr>
              <w:t>D</w:t>
            </w:r>
            <w:r w:rsidR="002C4561" w:rsidRPr="00882AF5">
              <w:rPr>
                <w:rFonts w:eastAsia="맑은 고딕"/>
                <w:b/>
                <w:bCs/>
                <w:lang w:eastAsia="ko-KR"/>
              </w:rPr>
              <w:t> attēls</w:t>
            </w:r>
          </w:p>
        </w:tc>
        <w:tc>
          <w:tcPr>
            <w:tcW w:w="6054" w:type="dxa"/>
            <w:vMerge/>
            <w:tcBorders>
              <w:left w:val="nil"/>
              <w:bottom w:val="single" w:sz="4" w:space="0" w:color="auto"/>
            </w:tcBorders>
            <w:shd w:val="clear" w:color="auto" w:fill="auto"/>
          </w:tcPr>
          <w:p w14:paraId="0A45A57C" w14:textId="77777777" w:rsidR="00087196" w:rsidRPr="00666FDE" w:rsidRDefault="00087196" w:rsidP="00087196">
            <w:pPr>
              <w:tabs>
                <w:tab w:val="clear" w:pos="567"/>
              </w:tabs>
              <w:suppressAutoHyphens/>
              <w:rPr>
                <w:rFonts w:eastAsia="맑은 고딕"/>
                <w:b/>
                <w:bCs/>
                <w:lang w:eastAsia="ko-KR"/>
              </w:rPr>
            </w:pPr>
          </w:p>
        </w:tc>
      </w:tr>
      <w:tr w:rsidR="00087196" w:rsidRPr="00882AF5" w14:paraId="18FD2EB3" w14:textId="77777777" w:rsidTr="004126A3">
        <w:trPr>
          <w:cantSplit/>
        </w:trPr>
        <w:tc>
          <w:tcPr>
            <w:tcW w:w="3010" w:type="dxa"/>
            <w:tcBorders>
              <w:top w:val="single" w:sz="4" w:space="0" w:color="auto"/>
              <w:bottom w:val="nil"/>
              <w:right w:val="nil"/>
            </w:tcBorders>
            <w:shd w:val="clear" w:color="auto" w:fill="auto"/>
            <w:vAlign w:val="center"/>
          </w:tcPr>
          <w:p w14:paraId="2FDBC4CB" w14:textId="2DE9AA55" w:rsidR="00087196" w:rsidRPr="00666FDE" w:rsidRDefault="00000000" w:rsidP="00087196">
            <w:pPr>
              <w:keepNext/>
              <w:tabs>
                <w:tab w:val="clear" w:pos="567"/>
              </w:tabs>
              <w:jc w:val="center"/>
              <w:rPr>
                <w:rFonts w:eastAsia="맑은 고딕"/>
                <w:lang w:eastAsia="zh-CN"/>
              </w:rPr>
            </w:pPr>
            <w:r>
              <w:rPr>
                <w:noProof/>
              </w:rPr>
              <w:pict w14:anchorId="3BA0E8B8">
                <v:shape id="Text Box 46" o:spid="_x0000_s2112" type="#_x0000_t202" style="position:absolute;left:0;text-align:left;margin-left:80.4pt;margin-top:110.35pt;width:61.35pt;height:20.75pt;z-index:1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" filled="f" stroked="f">
                  <v:textbox inset="0,0,0,0">
                    <w:txbxContent>
                      <w:p w14:paraId="61984390" w14:textId="735C68B3" w:rsidR="00087196" w:rsidRPr="00D723EF" w:rsidRDefault="00074009" w:rsidP="00087196">
                        <w:pPr>
                          <w:rPr>
                            <w:rFonts w:ascii="Arial" w:hAnsi="Arial" w:cs="Arial"/>
                            <w:b/>
                            <w:bCs/>
                            <w:sz w:val="11"/>
                            <w:szCs w:val="11"/>
                            <w:lang w:val="es-ES"/>
                          </w:rPr>
                        </w:pPr>
                        <w:r w:rsidRPr="00074009">
                          <w:rPr>
                            <w:rFonts w:ascii="Arial" w:hAnsi="Arial" w:cs="Arial"/>
                            <w:b/>
                            <w:bCs/>
                            <w:sz w:val="11"/>
                            <w:szCs w:val="11"/>
                            <w:lang w:val="es-ES"/>
                          </w:rPr>
                          <w:t>EXP: MM GGGG</w:t>
                        </w:r>
                      </w:p>
                    </w:txbxContent>
                  </v:textbox>
                  <w10:wrap anchory="page"/>
                  <w10:anchorlock/>
                </v:shape>
              </w:pict>
            </w:r>
          </w:p>
          <w:p w14:paraId="1D197312" w14:textId="05D927C7" w:rsidR="00087196" w:rsidRPr="00666FDE" w:rsidRDefault="00451C8B" w:rsidP="00087196">
            <w:pPr>
              <w:keepNext/>
              <w:tabs>
                <w:tab w:val="clear" w:pos="567"/>
              </w:tabs>
              <w:jc w:val="center"/>
              <w:rPr>
                <w:rFonts w:eastAsia="맑은 고딕"/>
                <w:lang w:eastAsia="zh-CN"/>
              </w:rPr>
            </w:pPr>
            <w:r>
              <w:rPr>
                <w:rFonts w:eastAsia="맑은 고딕"/>
                <w:noProof/>
                <w:lang w:eastAsia="zh-CN"/>
              </w:rPr>
              <w:pict w14:anchorId="059B3361">
                <v:shape id="_x0000_i1031" type="#_x0000_t75" style="width:132pt;height:162.75pt;visibility:visible;mso-wrap-style:square">
                  <v:imagedata r:id="rId30" o:title=""/>
                </v:shape>
              </w:pict>
            </w:r>
          </w:p>
          <w:p w14:paraId="74602C6A"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2894C529" w14:textId="3E77F771"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ko-KR"/>
              </w:rPr>
              <w:t>4</w:t>
            </w:r>
            <w:r w:rsidRPr="00666FDE">
              <w:rPr>
                <w:rFonts w:eastAsia="맑은 고딕"/>
                <w:b/>
                <w:bCs/>
                <w:lang w:eastAsia="zh-CN"/>
              </w:rPr>
              <w:t>.</w:t>
            </w:r>
            <w:r w:rsidRPr="00666FDE">
              <w:rPr>
                <w:rFonts w:eastAsia="맑은 고딕"/>
                <w:b/>
                <w:bCs/>
                <w:lang w:eastAsia="zh-CN"/>
              </w:rPr>
              <w:tab/>
            </w:r>
            <w:r w:rsidR="00ED15DF" w:rsidRPr="00882AF5">
              <w:rPr>
                <w:rFonts w:eastAsia="맑은 고딕"/>
                <w:b/>
                <w:bCs/>
                <w:lang w:eastAsia="zh-CN"/>
              </w:rPr>
              <w:t>Pārbaudiet pilnšļirci</w:t>
            </w:r>
            <w:r w:rsidRPr="00666FDE">
              <w:rPr>
                <w:rFonts w:eastAsia="맑은 고딕"/>
                <w:b/>
                <w:bCs/>
                <w:lang w:eastAsia="zh-CN"/>
              </w:rPr>
              <w:t>.</w:t>
            </w:r>
          </w:p>
          <w:p w14:paraId="6E5C8A09" w14:textId="165DEDF1"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ko-KR"/>
              </w:rPr>
              <w:t>4</w:t>
            </w:r>
            <w:r w:rsidRPr="00666FDE">
              <w:rPr>
                <w:rFonts w:eastAsia="맑은 고딕"/>
                <w:lang w:eastAsia="zh-CN"/>
              </w:rPr>
              <w:t xml:space="preserve">a. </w:t>
            </w:r>
            <w:r w:rsidR="00ED15DF" w:rsidRPr="00882AF5">
              <w:rPr>
                <w:rFonts w:eastAsia="맑은 고딕"/>
                <w:lang w:eastAsia="zh-CN"/>
              </w:rPr>
              <w:t>Apskatiet pilnšļirci un pārliecinieties, ka Jums ir pareizās zāles</w:t>
            </w:r>
            <w:r w:rsidRPr="00666FDE">
              <w:rPr>
                <w:rFonts w:eastAsia="맑은 고딕"/>
                <w:lang w:eastAsia="zh-CN"/>
              </w:rPr>
              <w:t xml:space="preserve"> (Stoboclo).</w:t>
            </w:r>
          </w:p>
          <w:p w14:paraId="6F287ACC" w14:textId="5FE99E3B"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4b. </w:t>
            </w:r>
            <w:r w:rsidR="00AC23D5" w:rsidRPr="00882AF5">
              <w:rPr>
                <w:rFonts w:eastAsia="맑은 고딕"/>
                <w:lang w:eastAsia="zh-CN"/>
              </w:rPr>
              <w:t>Apskatiet pilnšļirci un pārliecinieties, ka t</w:t>
            </w:r>
            <w:r w:rsidR="00C854CB" w:rsidRPr="00882AF5">
              <w:rPr>
                <w:rFonts w:eastAsia="맑은 고딕"/>
                <w:lang w:eastAsia="zh-CN"/>
              </w:rPr>
              <w:t>ai nav plaisu vai bojājumu</w:t>
            </w:r>
            <w:r w:rsidRPr="00666FDE">
              <w:rPr>
                <w:rFonts w:eastAsia="맑은 고딕"/>
                <w:lang w:eastAsia="zh-CN"/>
              </w:rPr>
              <w:t>.</w:t>
            </w:r>
          </w:p>
          <w:p w14:paraId="7EFBC3F0" w14:textId="620F6F1A"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4c. </w:t>
            </w:r>
            <w:r w:rsidR="00C854CB" w:rsidRPr="00882AF5">
              <w:rPr>
                <w:rFonts w:eastAsia="맑은 고딕"/>
                <w:lang w:eastAsia="zh-CN"/>
              </w:rPr>
              <w:t xml:space="preserve">Pārbaudiet derīguma termiņu uz pilnšļirces </w:t>
            </w:r>
            <w:r w:rsidR="00DC5155" w:rsidRPr="00882AF5">
              <w:rPr>
                <w:rFonts w:eastAsia="맑은 고딕"/>
                <w:lang w:eastAsia="zh-CN"/>
              </w:rPr>
              <w:t xml:space="preserve">etiķetes </w:t>
            </w:r>
            <w:r w:rsidRPr="00666FDE">
              <w:rPr>
                <w:rFonts w:eastAsia="맑은 고딕"/>
                <w:lang w:eastAsia="zh-CN"/>
              </w:rPr>
              <w:t>(</w:t>
            </w:r>
            <w:r w:rsidR="00C854CB" w:rsidRPr="00882AF5">
              <w:rPr>
                <w:rFonts w:eastAsia="맑은 고딕"/>
                <w:lang w:eastAsia="zh-CN"/>
              </w:rPr>
              <w:t>sk</w:t>
            </w:r>
            <w:r w:rsidR="00077D04">
              <w:rPr>
                <w:rFonts w:eastAsia="맑은 고딕"/>
                <w:lang w:eastAsia="zh-CN"/>
              </w:rPr>
              <w:t>atīt</w:t>
            </w:r>
            <w:r w:rsidR="00C854CB" w:rsidRPr="00882AF5">
              <w:rPr>
                <w:rFonts w:eastAsia="맑은 고딕"/>
                <w:lang w:eastAsia="zh-CN"/>
              </w:rPr>
              <w:t xml:space="preserve"> </w:t>
            </w:r>
            <w:r w:rsidRPr="00666FDE">
              <w:rPr>
                <w:rFonts w:eastAsia="맑은 고딕"/>
                <w:b/>
                <w:bCs/>
                <w:lang w:eastAsia="ko-KR"/>
              </w:rPr>
              <w:t>E</w:t>
            </w:r>
            <w:r w:rsidR="00C854CB" w:rsidRPr="00882AF5">
              <w:rPr>
                <w:rFonts w:eastAsia="맑은 고딕"/>
                <w:b/>
                <w:bCs/>
                <w:lang w:eastAsia="ko-KR"/>
              </w:rPr>
              <w:t> attēlu</w:t>
            </w:r>
            <w:r w:rsidRPr="00666FDE">
              <w:rPr>
                <w:rFonts w:eastAsia="맑은 고딕"/>
                <w:lang w:eastAsia="zh-CN"/>
              </w:rPr>
              <w:t>).</w:t>
            </w:r>
          </w:p>
          <w:p w14:paraId="1B98DAAE" w14:textId="3F0FB2B8" w:rsidR="00087196" w:rsidRPr="00666FDE" w:rsidRDefault="00BF4304"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Nelieto</w:t>
            </w:r>
            <w:r w:rsidR="00B640DF" w:rsidRPr="00882AF5">
              <w:rPr>
                <w:rFonts w:eastAsia="맑은 고딕"/>
                <w:b/>
                <w:bCs/>
                <w:lang w:eastAsia="zh-CN"/>
              </w:rPr>
              <w:t>jie</w:t>
            </w:r>
            <w:r w:rsidRPr="00882AF5">
              <w:rPr>
                <w:rFonts w:eastAsia="맑은 고딕"/>
                <w:b/>
                <w:bCs/>
                <w:lang w:eastAsia="zh-CN"/>
              </w:rPr>
              <w:t>t</w:t>
            </w:r>
            <w:r w:rsidRPr="00882AF5">
              <w:rPr>
                <w:rFonts w:eastAsia="맑은 고딕"/>
                <w:lang w:eastAsia="zh-CN"/>
              </w:rPr>
              <w:t xml:space="preserve">, ja adatas uzgaļa trūkst vai tas nav cieši </w:t>
            </w:r>
            <w:r w:rsidR="00165290">
              <w:rPr>
                <w:rFonts w:eastAsia="맑은 고딕"/>
                <w:lang w:eastAsia="zh-CN"/>
              </w:rPr>
              <w:t>no</w:t>
            </w:r>
            <w:r w:rsidR="00B91912" w:rsidRPr="00882AF5">
              <w:rPr>
                <w:rFonts w:eastAsia="맑은 고딕"/>
                <w:lang w:eastAsia="zh-CN"/>
              </w:rPr>
              <w:t>stiprināts</w:t>
            </w:r>
            <w:r w:rsidR="00087196" w:rsidRPr="00666FDE">
              <w:rPr>
                <w:rFonts w:eastAsia="맑은 고딕"/>
                <w:lang w:eastAsia="zh-CN"/>
              </w:rPr>
              <w:t>.</w:t>
            </w:r>
          </w:p>
          <w:p w14:paraId="520A0EDD" w14:textId="3D79BA0F" w:rsidR="00087196" w:rsidRPr="00666FDE" w:rsidRDefault="00B91912"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Nelieto</w:t>
            </w:r>
            <w:r w:rsidR="00B640DF" w:rsidRPr="00882AF5">
              <w:rPr>
                <w:rFonts w:eastAsia="맑은 고딕"/>
                <w:b/>
                <w:bCs/>
                <w:lang w:eastAsia="zh-CN"/>
              </w:rPr>
              <w:t>jie</w:t>
            </w:r>
            <w:r w:rsidRPr="00882AF5">
              <w:rPr>
                <w:rFonts w:eastAsia="맑은 고딕"/>
                <w:b/>
                <w:bCs/>
                <w:lang w:eastAsia="zh-CN"/>
              </w:rPr>
              <w:t>t</w:t>
            </w:r>
            <w:r w:rsidRPr="00882AF5">
              <w:rPr>
                <w:rFonts w:eastAsia="맑은 고딕"/>
                <w:lang w:eastAsia="zh-CN"/>
              </w:rPr>
              <w:t>, ja ir beidzies derīguma termiņš</w:t>
            </w:r>
            <w:r w:rsidR="00087196" w:rsidRPr="00666FDE">
              <w:rPr>
                <w:rFonts w:eastAsia="맑은 고딕"/>
                <w:lang w:eastAsia="zh-CN"/>
              </w:rPr>
              <w:t>.</w:t>
            </w:r>
          </w:p>
          <w:p w14:paraId="66E92354" w14:textId="2090C574" w:rsidR="00087196" w:rsidRPr="00666FDE" w:rsidRDefault="00B91912"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Nekrat</w:t>
            </w:r>
            <w:r w:rsidR="00B640DF" w:rsidRPr="00882AF5">
              <w:rPr>
                <w:rFonts w:eastAsia="맑은 고딕"/>
                <w:b/>
                <w:bCs/>
                <w:lang w:eastAsia="zh-CN"/>
              </w:rPr>
              <w:t>ie</w:t>
            </w:r>
            <w:r w:rsidRPr="00882AF5">
              <w:rPr>
                <w:rFonts w:eastAsia="맑은 고딕"/>
                <w:b/>
                <w:bCs/>
                <w:lang w:eastAsia="zh-CN"/>
              </w:rPr>
              <w:t>t</w:t>
            </w:r>
            <w:r w:rsidR="00087196" w:rsidRPr="00666FDE">
              <w:rPr>
                <w:rFonts w:eastAsia="맑은 고딕"/>
                <w:lang w:eastAsia="zh-CN"/>
              </w:rPr>
              <w:t xml:space="preserve"> </w:t>
            </w:r>
            <w:r w:rsidRPr="00882AF5">
              <w:rPr>
                <w:rFonts w:eastAsia="맑은 고딕"/>
                <w:lang w:eastAsia="zh-CN"/>
              </w:rPr>
              <w:t>pilnšļirci</w:t>
            </w:r>
            <w:r w:rsidR="00087196" w:rsidRPr="00666FDE">
              <w:rPr>
                <w:rFonts w:eastAsia="맑은 고딕"/>
                <w:lang w:eastAsia="zh-CN"/>
              </w:rPr>
              <w:t>.</w:t>
            </w:r>
          </w:p>
        </w:tc>
      </w:tr>
      <w:tr w:rsidR="00087196" w:rsidRPr="00882AF5" w14:paraId="1115CC40" w14:textId="77777777" w:rsidTr="004126A3">
        <w:trPr>
          <w:cantSplit/>
        </w:trPr>
        <w:tc>
          <w:tcPr>
            <w:tcW w:w="3010" w:type="dxa"/>
            <w:tcBorders>
              <w:top w:val="nil"/>
              <w:left w:val="single" w:sz="4" w:space="0" w:color="auto"/>
              <w:bottom w:val="single" w:sz="4" w:space="0" w:color="auto"/>
              <w:right w:val="nil"/>
            </w:tcBorders>
            <w:shd w:val="clear" w:color="auto" w:fill="auto"/>
          </w:tcPr>
          <w:p w14:paraId="43F5530E" w14:textId="213A5623" w:rsidR="00087196" w:rsidRPr="00666FDE" w:rsidRDefault="002C4561" w:rsidP="00087196">
            <w:pPr>
              <w:tabs>
                <w:tab w:val="clear" w:pos="567"/>
              </w:tabs>
              <w:jc w:val="center"/>
              <w:rPr>
                <w:rFonts w:eastAsia="맑은 고딕"/>
                <w:b/>
                <w:bCs/>
                <w:lang w:eastAsia="zh-CN"/>
              </w:rPr>
            </w:pPr>
            <w:r w:rsidRPr="00882AF5">
              <w:rPr>
                <w:rFonts w:eastAsia="맑은 고딕"/>
                <w:b/>
                <w:bCs/>
                <w:lang w:eastAsia="ko-KR"/>
              </w:rPr>
              <w:t>E attēls</w:t>
            </w:r>
          </w:p>
        </w:tc>
        <w:tc>
          <w:tcPr>
            <w:tcW w:w="6054" w:type="dxa"/>
            <w:vMerge/>
            <w:tcBorders>
              <w:left w:val="nil"/>
              <w:bottom w:val="single" w:sz="4" w:space="0" w:color="auto"/>
            </w:tcBorders>
            <w:shd w:val="clear" w:color="auto" w:fill="auto"/>
          </w:tcPr>
          <w:p w14:paraId="35802B9C" w14:textId="77777777" w:rsidR="00087196" w:rsidRPr="00666FDE" w:rsidRDefault="00087196" w:rsidP="00087196">
            <w:pPr>
              <w:tabs>
                <w:tab w:val="clear" w:pos="567"/>
              </w:tabs>
              <w:suppressAutoHyphens/>
              <w:rPr>
                <w:rFonts w:eastAsia="맑은 고딕"/>
                <w:b/>
                <w:bCs/>
                <w:lang w:eastAsia="zh-CN"/>
              </w:rPr>
            </w:pPr>
          </w:p>
        </w:tc>
      </w:tr>
      <w:tr w:rsidR="00087196" w:rsidRPr="00882AF5" w14:paraId="49B28543" w14:textId="77777777" w:rsidTr="004126A3">
        <w:trPr>
          <w:cantSplit/>
        </w:trPr>
        <w:tc>
          <w:tcPr>
            <w:tcW w:w="3010" w:type="dxa"/>
            <w:tcBorders>
              <w:top w:val="single" w:sz="4" w:space="0" w:color="auto"/>
              <w:bottom w:val="nil"/>
              <w:right w:val="nil"/>
            </w:tcBorders>
            <w:shd w:val="clear" w:color="auto" w:fill="auto"/>
            <w:vAlign w:val="center"/>
          </w:tcPr>
          <w:p w14:paraId="0C497F28" w14:textId="77777777" w:rsidR="00087196" w:rsidRPr="00666FDE" w:rsidRDefault="00087196" w:rsidP="00087196">
            <w:pPr>
              <w:keepNext/>
              <w:tabs>
                <w:tab w:val="clear" w:pos="567"/>
              </w:tabs>
              <w:jc w:val="center"/>
              <w:rPr>
                <w:rFonts w:eastAsia="맑은 고딕"/>
                <w:lang w:eastAsia="zh-CN"/>
              </w:rPr>
            </w:pPr>
          </w:p>
          <w:p w14:paraId="7A9FD514" w14:textId="469DAE41" w:rsidR="00087196" w:rsidRPr="00666FDE" w:rsidRDefault="00451C8B" w:rsidP="00087196">
            <w:pPr>
              <w:keepNext/>
              <w:tabs>
                <w:tab w:val="clear" w:pos="567"/>
              </w:tabs>
              <w:jc w:val="center"/>
              <w:rPr>
                <w:rFonts w:eastAsia="맑은 고딕"/>
                <w:lang w:eastAsia="zh-CN"/>
              </w:rPr>
            </w:pPr>
            <w:r>
              <w:rPr>
                <w:rFonts w:eastAsia="맑은 고딕"/>
                <w:noProof/>
                <w:lang w:eastAsia="zh-CN"/>
              </w:rPr>
              <w:pict w14:anchorId="24B8C7BC">
                <v:shape id="_x0000_i1032" type="#_x0000_t75" alt="스케치, 그림, 일러스트레이션, 검이(가) 표시된 사진&#10;&#10;자동 생성된 설명" style="width:129.75pt;height:161.25pt;visibility:visible;mso-wrap-style:square">
                  <v:imagedata r:id="rId31" o:title="스케치, 그림, 일러스트레이션, 검이(가) 표시된 사진&#10;&#10;자동 생성된 설명"/>
                </v:shape>
              </w:pict>
            </w:r>
          </w:p>
          <w:p w14:paraId="60BE5F44"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0259AF6A" w14:textId="5D00177A" w:rsidR="00087196" w:rsidRPr="00666FDE" w:rsidRDefault="00087196" w:rsidP="00087196">
            <w:pPr>
              <w:keepNext/>
              <w:tabs>
                <w:tab w:val="clear" w:pos="567"/>
              </w:tabs>
              <w:suppressAutoHyphens/>
              <w:ind w:left="284" w:hanging="284"/>
              <w:rPr>
                <w:rFonts w:eastAsia="맑은 고딕"/>
                <w:b/>
                <w:bCs/>
                <w:lang w:eastAsia="ko-KR"/>
              </w:rPr>
            </w:pPr>
            <w:r w:rsidRPr="00666FDE">
              <w:rPr>
                <w:rFonts w:eastAsia="맑은 고딕"/>
                <w:b/>
                <w:bCs/>
                <w:lang w:eastAsia="ko-KR"/>
              </w:rPr>
              <w:t>5.</w:t>
            </w:r>
            <w:r w:rsidRPr="00666FDE">
              <w:rPr>
                <w:rFonts w:eastAsia="맑은 고딕"/>
                <w:b/>
                <w:bCs/>
                <w:lang w:eastAsia="zh-CN"/>
              </w:rPr>
              <w:tab/>
            </w:r>
            <w:r w:rsidR="00B640DF" w:rsidRPr="00882AF5">
              <w:rPr>
                <w:rFonts w:eastAsia="맑은 고딕"/>
                <w:b/>
                <w:bCs/>
                <w:lang w:eastAsia="zh-CN"/>
              </w:rPr>
              <w:t>Pārbaudiet zāles</w:t>
            </w:r>
            <w:r w:rsidRPr="00666FDE">
              <w:rPr>
                <w:rFonts w:eastAsia="맑은 고딕"/>
                <w:b/>
                <w:bCs/>
                <w:lang w:eastAsia="ko-KR"/>
              </w:rPr>
              <w:t>.</w:t>
            </w:r>
          </w:p>
          <w:p w14:paraId="45AB24B6" w14:textId="693624E5" w:rsidR="00087196" w:rsidRPr="00666FDE" w:rsidRDefault="00087196" w:rsidP="00087196">
            <w:pPr>
              <w:keepNext/>
              <w:tabs>
                <w:tab w:val="clear" w:pos="567"/>
              </w:tabs>
              <w:suppressAutoHyphens/>
              <w:ind w:left="283"/>
              <w:rPr>
                <w:rFonts w:eastAsia="맑은 고딕"/>
                <w:lang w:eastAsia="ko-KR"/>
              </w:rPr>
            </w:pPr>
            <w:r w:rsidRPr="00666FDE">
              <w:rPr>
                <w:rFonts w:eastAsia="맑은 고딕"/>
                <w:lang w:eastAsia="ko-KR"/>
              </w:rPr>
              <w:t xml:space="preserve">5a. </w:t>
            </w:r>
            <w:r w:rsidR="00B640DF" w:rsidRPr="00882AF5">
              <w:rPr>
                <w:rFonts w:eastAsia="맑은 고딕"/>
                <w:lang w:eastAsia="zh-CN"/>
              </w:rPr>
              <w:t>Apskatiet zāles un pārliecinieties, ka šķidrums ir caurspīdīgs, bezkrāsains vai blāvi dzeltens</w:t>
            </w:r>
            <w:r w:rsidR="00B640DF" w:rsidRPr="00882AF5">
              <w:rPr>
                <w:rFonts w:eastAsia="맑은 고딕"/>
                <w:lang w:eastAsia="ko-KR"/>
              </w:rPr>
              <w:t xml:space="preserve"> un ka tajā nav redzamu daļiņu vai pārslu </w:t>
            </w:r>
            <w:r w:rsidRPr="00666FDE">
              <w:rPr>
                <w:rFonts w:eastAsia="맑은 고딕"/>
                <w:lang w:eastAsia="ko-KR"/>
              </w:rPr>
              <w:t>(</w:t>
            </w:r>
            <w:r w:rsidR="00B640DF" w:rsidRPr="00882AF5">
              <w:rPr>
                <w:rFonts w:eastAsia="맑은 고딕"/>
                <w:lang w:eastAsia="ko-KR"/>
              </w:rPr>
              <w:t>s</w:t>
            </w:r>
            <w:r w:rsidR="00077D04">
              <w:rPr>
                <w:rFonts w:eastAsia="맑은 고딕"/>
                <w:lang w:eastAsia="ko-KR"/>
              </w:rPr>
              <w:t>katīt</w:t>
            </w:r>
            <w:r w:rsidR="00B640DF" w:rsidRPr="00882AF5">
              <w:rPr>
                <w:rFonts w:eastAsia="맑은 고딕"/>
                <w:lang w:eastAsia="ko-KR"/>
              </w:rPr>
              <w:t xml:space="preserve"> </w:t>
            </w:r>
            <w:r w:rsidRPr="00666FDE">
              <w:rPr>
                <w:rFonts w:eastAsia="맑은 고딕"/>
                <w:b/>
                <w:bCs/>
                <w:lang w:eastAsia="ko-KR"/>
              </w:rPr>
              <w:t>F</w:t>
            </w:r>
            <w:r w:rsidR="00B640DF" w:rsidRPr="00882AF5">
              <w:rPr>
                <w:rFonts w:eastAsia="맑은 고딕"/>
                <w:b/>
                <w:bCs/>
                <w:lang w:eastAsia="ko-KR"/>
              </w:rPr>
              <w:t> attēlu</w:t>
            </w:r>
            <w:r w:rsidRPr="00666FDE">
              <w:rPr>
                <w:rFonts w:eastAsia="맑은 고딕"/>
                <w:lang w:eastAsia="ko-KR"/>
              </w:rPr>
              <w:t>).</w:t>
            </w:r>
          </w:p>
          <w:p w14:paraId="51AC4498" w14:textId="75683805" w:rsidR="00087196" w:rsidRPr="00666FDE" w:rsidRDefault="00B640DF"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Nelietojiet</w:t>
            </w:r>
            <w:r w:rsidRPr="00882AF5">
              <w:rPr>
                <w:rFonts w:eastAsia="맑은 고딕"/>
                <w:lang w:eastAsia="zh-CN"/>
              </w:rPr>
              <w:t xml:space="preserve"> pilnšļirci, ja šķidrumam ir mainījusies krāsa, </w:t>
            </w:r>
            <w:r w:rsidR="00804A3C" w:rsidRPr="00882AF5">
              <w:rPr>
                <w:rFonts w:eastAsia="맑은 고딕"/>
                <w:lang w:eastAsia="zh-CN"/>
              </w:rPr>
              <w:t>tas ir duļķains vai ja tajā ir redzamas daļiņas vai pārslas</w:t>
            </w:r>
            <w:r w:rsidR="00087196" w:rsidRPr="00666FDE">
              <w:rPr>
                <w:rFonts w:eastAsia="맑은 고딕"/>
                <w:lang w:eastAsia="zh-CN"/>
              </w:rPr>
              <w:t>.</w:t>
            </w:r>
          </w:p>
          <w:p w14:paraId="58D049F8" w14:textId="7A5F2B8A" w:rsidR="00087196" w:rsidRPr="00666FDE" w:rsidRDefault="00804A3C"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Šķidrumā var būt redzami gaisa burbulīši. Tas ir normāli</w:t>
            </w:r>
            <w:r w:rsidR="00087196" w:rsidRPr="00666FDE">
              <w:rPr>
                <w:rFonts w:eastAsia="맑은 고딕"/>
                <w:lang w:eastAsia="zh-CN"/>
              </w:rPr>
              <w:t>.</w:t>
            </w:r>
          </w:p>
        </w:tc>
      </w:tr>
      <w:tr w:rsidR="00087196" w:rsidRPr="00882AF5" w14:paraId="31064655" w14:textId="77777777" w:rsidTr="004126A3">
        <w:trPr>
          <w:cantSplit/>
        </w:trPr>
        <w:tc>
          <w:tcPr>
            <w:tcW w:w="3010" w:type="dxa"/>
            <w:tcBorders>
              <w:top w:val="nil"/>
              <w:left w:val="single" w:sz="4" w:space="0" w:color="auto"/>
              <w:bottom w:val="single" w:sz="4" w:space="0" w:color="auto"/>
              <w:right w:val="nil"/>
            </w:tcBorders>
            <w:shd w:val="clear" w:color="auto" w:fill="auto"/>
          </w:tcPr>
          <w:p w14:paraId="60AF30D5" w14:textId="1DEA8ECC" w:rsidR="00087196" w:rsidRPr="00666FDE" w:rsidRDefault="002C4561" w:rsidP="00087196">
            <w:pPr>
              <w:tabs>
                <w:tab w:val="clear" w:pos="567"/>
              </w:tabs>
              <w:jc w:val="center"/>
              <w:rPr>
                <w:rFonts w:eastAsia="맑은 고딕"/>
                <w:b/>
                <w:bCs/>
                <w:lang w:eastAsia="zh-CN"/>
              </w:rPr>
            </w:pPr>
            <w:r w:rsidRPr="00882AF5">
              <w:rPr>
                <w:rFonts w:eastAsia="맑은 고딕"/>
                <w:b/>
                <w:bCs/>
                <w:lang w:eastAsia="ko-KR"/>
              </w:rPr>
              <w:t>F attēls</w:t>
            </w:r>
          </w:p>
        </w:tc>
        <w:tc>
          <w:tcPr>
            <w:tcW w:w="6054" w:type="dxa"/>
            <w:vMerge/>
            <w:tcBorders>
              <w:left w:val="nil"/>
              <w:bottom w:val="single" w:sz="4" w:space="0" w:color="auto"/>
            </w:tcBorders>
            <w:shd w:val="clear" w:color="auto" w:fill="auto"/>
          </w:tcPr>
          <w:p w14:paraId="3BF13EE2" w14:textId="77777777" w:rsidR="00087196" w:rsidRPr="00666FDE" w:rsidRDefault="00087196" w:rsidP="00087196">
            <w:pPr>
              <w:tabs>
                <w:tab w:val="clear" w:pos="567"/>
              </w:tabs>
              <w:suppressAutoHyphens/>
              <w:rPr>
                <w:rFonts w:eastAsia="맑은 고딕"/>
                <w:b/>
                <w:bCs/>
                <w:lang w:eastAsia="ko-KR"/>
              </w:rPr>
            </w:pPr>
          </w:p>
        </w:tc>
      </w:tr>
      <w:tr w:rsidR="00087196" w:rsidRPr="00882AF5" w14:paraId="6AF4EA8C" w14:textId="77777777" w:rsidTr="004126A3">
        <w:trPr>
          <w:cantSplit/>
        </w:trPr>
        <w:tc>
          <w:tcPr>
            <w:tcW w:w="3010" w:type="dxa"/>
            <w:tcBorders>
              <w:top w:val="single" w:sz="4" w:space="0" w:color="auto"/>
              <w:left w:val="single" w:sz="4" w:space="0" w:color="auto"/>
              <w:bottom w:val="nil"/>
              <w:right w:val="nil"/>
            </w:tcBorders>
            <w:shd w:val="clear" w:color="auto" w:fill="auto"/>
            <w:vAlign w:val="center"/>
          </w:tcPr>
          <w:p w14:paraId="58C509BD" w14:textId="77777777" w:rsidR="00087196" w:rsidRPr="00666FDE" w:rsidRDefault="00087196" w:rsidP="00087196">
            <w:pPr>
              <w:keepNext/>
              <w:tabs>
                <w:tab w:val="clear" w:pos="567"/>
              </w:tabs>
              <w:jc w:val="center"/>
              <w:rPr>
                <w:rFonts w:eastAsia="맑은 고딕"/>
                <w:lang w:eastAsia="zh-CN"/>
              </w:rPr>
            </w:pPr>
          </w:p>
          <w:p w14:paraId="1A136FDA" w14:textId="111B7C6C" w:rsidR="00087196" w:rsidRPr="00666FDE" w:rsidRDefault="00000000" w:rsidP="00087196">
            <w:pPr>
              <w:keepNext/>
              <w:tabs>
                <w:tab w:val="clear" w:pos="567"/>
              </w:tabs>
              <w:jc w:val="center"/>
              <w:rPr>
                <w:rFonts w:eastAsia="맑은 고딕"/>
                <w:lang w:eastAsia="zh-CN"/>
              </w:rPr>
            </w:pPr>
            <w:r>
              <w:rPr>
                <w:noProof/>
              </w:rPr>
              <w:pict w14:anchorId="70F9E43F">
                <v:shape id="Text Box 47" o:spid="_x0000_s2111" type="#_x0000_t202" style="position:absolute;left:0;text-align:left;margin-left:72.6pt;margin-top:32.1pt;width:54pt;height:32.85pt;z-index: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EVmEpNoBAACYAwAADgAAAAAAAAAAAAAAAAAuAgAAZHJzL2Uyb0RvYy54bWxQSwECLQAUAAYACAAA&#10;ACEA048EQ98AAAAKAQAADwAAAAAAAAAAAAAAAAA0BAAAZHJzL2Rvd25yZXYueG1sUEsFBgAAAAAE&#10;AAQA8wAAAEAFAAAAAA==&#10;" filled="f" stroked="f">
                  <v:textbox style="mso-next-textbox:#Text Box 47" inset="0,0,0,0">
                    <w:txbxContent>
                      <w:p w14:paraId="1E336992" w14:textId="2098B149" w:rsidR="00087196" w:rsidRPr="00D723EF" w:rsidRDefault="00074009" w:rsidP="00087196">
                        <w:pPr>
                          <w:jc w:val="center"/>
                          <w:rPr>
                            <w:rFonts w:ascii="Arial" w:hAnsi="Arial" w:cs="Arial"/>
                            <w:b/>
                            <w:bCs/>
                            <w:sz w:val="24"/>
                            <w:szCs w:val="24"/>
                            <w:lang w:val="es-ES"/>
                          </w:rPr>
                        </w:pPr>
                        <w:r w:rsidRPr="00074009">
                          <w:rPr>
                            <w:rFonts w:ascii="Arial" w:hAnsi="Arial" w:cs="Arial"/>
                            <w:b/>
                            <w:bCs/>
                            <w:sz w:val="24"/>
                            <w:szCs w:val="24"/>
                            <w:lang w:val="es-ES"/>
                          </w:rPr>
                          <w:t>30 minūtes</w:t>
                        </w:r>
                      </w:p>
                    </w:txbxContent>
                  </v:textbox>
                  <w10:wrap anchory="page"/>
                  <w10:anchorlock/>
                </v:shape>
              </w:pict>
            </w:r>
            <w:r w:rsidR="00451C8B">
              <w:rPr>
                <w:rFonts w:eastAsia="맑은 고딕"/>
                <w:noProof/>
                <w:lang w:eastAsia="zh-CN"/>
              </w:rPr>
              <w:pict w14:anchorId="1A4495D8">
                <v:shape id="_x0000_i1033" type="#_x0000_t75" style="width:131.25pt;height:141pt;visibility:visible;mso-wrap-style:square">
                  <v:imagedata r:id="rId32" o:title=""/>
                </v:shape>
              </w:pict>
            </w:r>
          </w:p>
          <w:p w14:paraId="76B6D004"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5E5710C7" w14:textId="7820B80D"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ko-KR"/>
              </w:rPr>
              <w:t>6</w:t>
            </w:r>
            <w:r w:rsidRPr="00666FDE">
              <w:rPr>
                <w:rFonts w:eastAsia="맑은 고딕"/>
                <w:b/>
                <w:bCs/>
                <w:lang w:eastAsia="zh-CN"/>
              </w:rPr>
              <w:t>.</w:t>
            </w:r>
            <w:r w:rsidRPr="00666FDE">
              <w:rPr>
                <w:rFonts w:eastAsia="맑은 고딕"/>
                <w:b/>
                <w:bCs/>
                <w:lang w:eastAsia="zh-CN"/>
              </w:rPr>
              <w:tab/>
            </w:r>
            <w:r w:rsidR="00804A3C" w:rsidRPr="00882AF5">
              <w:rPr>
                <w:rFonts w:eastAsia="맑은 고딕"/>
                <w:b/>
                <w:bCs/>
                <w:lang w:eastAsia="zh-CN"/>
              </w:rPr>
              <w:t>Nogaidiet</w:t>
            </w:r>
            <w:r w:rsidRPr="00666FDE">
              <w:rPr>
                <w:rFonts w:eastAsia="맑은 고딕"/>
                <w:b/>
                <w:bCs/>
                <w:lang w:eastAsia="zh-CN"/>
              </w:rPr>
              <w:t xml:space="preserve"> 30</w:t>
            </w:r>
            <w:r w:rsidR="00804A3C" w:rsidRPr="00882AF5">
              <w:rPr>
                <w:rFonts w:eastAsia="맑은 고딕"/>
                <w:b/>
                <w:bCs/>
                <w:lang w:eastAsia="zh-CN"/>
              </w:rPr>
              <w:t> </w:t>
            </w:r>
            <w:r w:rsidRPr="00666FDE">
              <w:rPr>
                <w:rFonts w:eastAsia="맑은 고딕"/>
                <w:b/>
                <w:bCs/>
                <w:lang w:eastAsia="zh-CN"/>
              </w:rPr>
              <w:t>min</w:t>
            </w:r>
            <w:r w:rsidR="00804A3C" w:rsidRPr="00882AF5">
              <w:rPr>
                <w:rFonts w:eastAsia="맑은 고딕"/>
                <w:b/>
                <w:bCs/>
                <w:lang w:eastAsia="zh-CN"/>
              </w:rPr>
              <w:t>ū</w:t>
            </w:r>
            <w:r w:rsidRPr="00666FDE">
              <w:rPr>
                <w:rFonts w:eastAsia="맑은 고딕"/>
                <w:b/>
                <w:bCs/>
                <w:lang w:eastAsia="zh-CN"/>
              </w:rPr>
              <w:t>tes.</w:t>
            </w:r>
          </w:p>
          <w:p w14:paraId="4D2B8EB7" w14:textId="71FFEE6B"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ko-KR"/>
              </w:rPr>
              <w:t>6</w:t>
            </w:r>
            <w:r w:rsidRPr="00666FDE">
              <w:rPr>
                <w:rFonts w:eastAsia="맑은 고딕"/>
                <w:lang w:eastAsia="zh-CN"/>
              </w:rPr>
              <w:t xml:space="preserve">a. </w:t>
            </w:r>
            <w:r w:rsidR="00804A3C" w:rsidRPr="00882AF5">
              <w:rPr>
                <w:rFonts w:eastAsia="맑은 고딕"/>
                <w:lang w:eastAsia="zh-CN"/>
              </w:rPr>
              <w:t xml:space="preserve">Atstājiet pilnšļirci ārpus kastītes uz </w:t>
            </w:r>
            <w:r w:rsidRPr="00666FDE">
              <w:rPr>
                <w:rFonts w:eastAsia="맑은 고딕"/>
                <w:lang w:eastAsia="zh-CN"/>
              </w:rPr>
              <w:t>30</w:t>
            </w:r>
            <w:r w:rsidR="00804A3C" w:rsidRPr="00882AF5">
              <w:rPr>
                <w:rFonts w:eastAsia="맑은 고딕"/>
                <w:lang w:eastAsia="zh-CN"/>
              </w:rPr>
              <w:t xml:space="preserve"> minūtēm istabas temperatūrā </w:t>
            </w:r>
            <w:r w:rsidRPr="00666FDE">
              <w:rPr>
                <w:rFonts w:eastAsia="맑은 고딕"/>
                <w:lang w:eastAsia="zh-CN"/>
              </w:rPr>
              <w:t>(20</w:t>
            </w:r>
            <w:r w:rsidR="00804A3C" w:rsidRPr="00882AF5">
              <w:rPr>
                <w:rFonts w:eastAsia="맑은 고딕"/>
                <w:lang w:eastAsia="zh-CN"/>
              </w:rPr>
              <w:t>–</w:t>
            </w:r>
            <w:r w:rsidRPr="00666FDE">
              <w:rPr>
                <w:rFonts w:eastAsia="맑은 고딕"/>
                <w:lang w:eastAsia="zh-CN"/>
              </w:rPr>
              <w:t>25 °C)</w:t>
            </w:r>
            <w:r w:rsidR="00804A3C" w:rsidRPr="00882AF5">
              <w:rPr>
                <w:rFonts w:eastAsia="맑은 고딕"/>
                <w:lang w:eastAsia="zh-CN"/>
              </w:rPr>
              <w:t xml:space="preserve">, lai tā sasiltu </w:t>
            </w:r>
            <w:r w:rsidRPr="00666FDE">
              <w:rPr>
                <w:rFonts w:eastAsia="맑은 고딕"/>
                <w:lang w:eastAsia="zh-CN"/>
              </w:rPr>
              <w:t>(</w:t>
            </w:r>
            <w:r w:rsidR="00804A3C" w:rsidRPr="00882AF5">
              <w:rPr>
                <w:rFonts w:eastAsia="맑은 고딕"/>
                <w:lang w:eastAsia="zh-CN"/>
              </w:rPr>
              <w:t>sk</w:t>
            </w:r>
            <w:r w:rsidR="00077D04">
              <w:rPr>
                <w:rFonts w:eastAsia="맑은 고딕"/>
                <w:lang w:eastAsia="zh-CN"/>
              </w:rPr>
              <w:t>atīt</w:t>
            </w:r>
            <w:r w:rsidR="00804A3C" w:rsidRPr="00882AF5">
              <w:rPr>
                <w:rFonts w:eastAsia="맑은 고딕"/>
                <w:lang w:eastAsia="zh-CN"/>
              </w:rPr>
              <w:t xml:space="preserve"> </w:t>
            </w:r>
            <w:r w:rsidRPr="00666FDE">
              <w:rPr>
                <w:rFonts w:eastAsia="맑은 고딕"/>
                <w:b/>
                <w:bCs/>
                <w:lang w:eastAsia="ko-KR"/>
              </w:rPr>
              <w:t>G</w:t>
            </w:r>
            <w:r w:rsidR="00804A3C" w:rsidRPr="00882AF5">
              <w:rPr>
                <w:rFonts w:eastAsia="맑은 고딕"/>
                <w:b/>
                <w:bCs/>
                <w:lang w:eastAsia="ko-KR"/>
              </w:rPr>
              <w:t> attēlu</w:t>
            </w:r>
            <w:r w:rsidRPr="00666FDE">
              <w:rPr>
                <w:rFonts w:eastAsia="맑은 고딕"/>
                <w:lang w:eastAsia="zh-CN"/>
              </w:rPr>
              <w:t>).</w:t>
            </w:r>
          </w:p>
          <w:p w14:paraId="1B0ED5F4" w14:textId="04095442" w:rsidR="00087196" w:rsidRPr="00666FDE" w:rsidRDefault="00804A3C"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Nesildiet</w:t>
            </w:r>
            <w:r w:rsidR="00087196" w:rsidRPr="00666FDE">
              <w:rPr>
                <w:rFonts w:eastAsia="맑은 고딕"/>
                <w:lang w:eastAsia="zh-CN"/>
              </w:rPr>
              <w:t xml:space="preserve"> </w:t>
            </w:r>
            <w:r w:rsidRPr="00882AF5">
              <w:rPr>
                <w:rFonts w:eastAsia="맑은 고딕"/>
                <w:lang w:eastAsia="zh-CN"/>
              </w:rPr>
              <w:t>pilnšļirci, izmantojot karstuma avotus, piemēram, karstu ūdeni vai mikroviļņu krāsni</w:t>
            </w:r>
            <w:r w:rsidR="00087196" w:rsidRPr="00666FDE">
              <w:rPr>
                <w:rFonts w:eastAsia="맑은 고딕"/>
                <w:lang w:eastAsia="zh-CN"/>
              </w:rPr>
              <w:t>.</w:t>
            </w:r>
          </w:p>
          <w:p w14:paraId="2332B275" w14:textId="727FBD73" w:rsidR="00087196" w:rsidRPr="00666FDE" w:rsidRDefault="00804A3C" w:rsidP="00087196">
            <w:pPr>
              <w:keepNext/>
              <w:numPr>
                <w:ilvl w:val="0"/>
                <w:numId w:val="58"/>
              </w:numPr>
              <w:tabs>
                <w:tab w:val="clear" w:pos="567"/>
                <w:tab w:val="left" w:pos="851"/>
              </w:tabs>
              <w:suppressAutoHyphens/>
              <w:ind w:left="851" w:hanging="284"/>
              <w:rPr>
                <w:rFonts w:eastAsia="맑은 고딕"/>
                <w:b/>
                <w:bCs/>
                <w:lang w:eastAsia="ko-KR"/>
              </w:rPr>
            </w:pPr>
            <w:r w:rsidRPr="00882AF5">
              <w:rPr>
                <w:rFonts w:eastAsia="맑은 고딕"/>
                <w:lang w:eastAsia="zh-CN"/>
              </w:rPr>
              <w:t>Ja pilnšļirce nav sasniegusi istabas temperatūru, injekcija var būt nepatīkama</w:t>
            </w:r>
            <w:r w:rsidR="00087196" w:rsidRPr="00666FDE">
              <w:rPr>
                <w:rFonts w:eastAsia="맑은 고딕"/>
                <w:lang w:eastAsia="zh-CN"/>
              </w:rPr>
              <w:t>.</w:t>
            </w:r>
          </w:p>
        </w:tc>
      </w:tr>
      <w:tr w:rsidR="00087196" w:rsidRPr="00882AF5" w14:paraId="5BB4CDBE" w14:textId="77777777" w:rsidTr="004126A3">
        <w:trPr>
          <w:cantSplit/>
        </w:trPr>
        <w:tc>
          <w:tcPr>
            <w:tcW w:w="3010" w:type="dxa"/>
            <w:tcBorders>
              <w:top w:val="nil"/>
              <w:left w:val="single" w:sz="4" w:space="0" w:color="auto"/>
              <w:bottom w:val="single" w:sz="4" w:space="0" w:color="auto"/>
              <w:right w:val="nil"/>
            </w:tcBorders>
            <w:shd w:val="clear" w:color="auto" w:fill="auto"/>
          </w:tcPr>
          <w:p w14:paraId="50D6F7F7" w14:textId="6F42F1D4" w:rsidR="00087196" w:rsidRPr="00666FDE" w:rsidRDefault="002C4561" w:rsidP="00087196">
            <w:pPr>
              <w:tabs>
                <w:tab w:val="clear" w:pos="567"/>
              </w:tabs>
              <w:jc w:val="center"/>
              <w:rPr>
                <w:rFonts w:eastAsia="맑은 고딕"/>
                <w:b/>
                <w:bCs/>
                <w:lang w:eastAsia="ko-KR"/>
              </w:rPr>
            </w:pPr>
            <w:r w:rsidRPr="00882AF5">
              <w:rPr>
                <w:rFonts w:eastAsia="맑은 고딕"/>
                <w:b/>
                <w:bCs/>
                <w:lang w:eastAsia="ko-KR"/>
              </w:rPr>
              <w:t>G attēls</w:t>
            </w:r>
          </w:p>
        </w:tc>
        <w:tc>
          <w:tcPr>
            <w:tcW w:w="6054" w:type="dxa"/>
            <w:vMerge/>
            <w:tcBorders>
              <w:left w:val="nil"/>
              <w:bottom w:val="single" w:sz="4" w:space="0" w:color="auto"/>
            </w:tcBorders>
            <w:shd w:val="clear" w:color="auto" w:fill="auto"/>
          </w:tcPr>
          <w:p w14:paraId="61F3A95A" w14:textId="77777777" w:rsidR="00087196" w:rsidRPr="00666FDE" w:rsidRDefault="00087196" w:rsidP="00087196">
            <w:pPr>
              <w:tabs>
                <w:tab w:val="clear" w:pos="567"/>
              </w:tabs>
              <w:suppressAutoHyphens/>
              <w:rPr>
                <w:rFonts w:eastAsia="맑은 고딕"/>
                <w:b/>
                <w:bCs/>
                <w:lang w:eastAsia="ko-KR"/>
              </w:rPr>
            </w:pPr>
          </w:p>
        </w:tc>
      </w:tr>
      <w:tr w:rsidR="00087196" w:rsidRPr="00882AF5" w14:paraId="17458F0B" w14:textId="77777777" w:rsidTr="004126A3">
        <w:trPr>
          <w:cantSplit/>
        </w:trPr>
        <w:tc>
          <w:tcPr>
            <w:tcW w:w="3010" w:type="dxa"/>
            <w:tcBorders>
              <w:top w:val="single" w:sz="4" w:space="0" w:color="auto"/>
              <w:bottom w:val="nil"/>
              <w:right w:val="nil"/>
            </w:tcBorders>
            <w:shd w:val="clear" w:color="auto" w:fill="auto"/>
            <w:vAlign w:val="center"/>
          </w:tcPr>
          <w:p w14:paraId="4245C904" w14:textId="50513614" w:rsidR="00087196" w:rsidRPr="00666FDE" w:rsidRDefault="00000000" w:rsidP="00087196">
            <w:pPr>
              <w:keepNext/>
              <w:tabs>
                <w:tab w:val="clear" w:pos="567"/>
              </w:tabs>
              <w:jc w:val="center"/>
              <w:rPr>
                <w:rFonts w:eastAsia="맑은 고딕"/>
                <w:lang w:eastAsia="zh-CN"/>
              </w:rPr>
            </w:pPr>
            <w:r>
              <w:rPr>
                <w:noProof/>
              </w:rPr>
              <w:pict w14:anchorId="38043D26">
                <v:shape id="Text Box 49" o:spid="_x0000_s2110" type="#_x0000_t202" style="position:absolute;left:0;text-align:left;margin-left:48.4pt;margin-top:45.5pt;width:79.85pt;height:29.5pt;z-index: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" filled="f" stroked="f">
                  <v:textbox inset="0,0,0,0">
                    <w:txbxContent>
                      <w:p w14:paraId="1AE3EA9E" w14:textId="1D7EBC54" w:rsidR="00087196" w:rsidRPr="00876F60" w:rsidRDefault="00074009" w:rsidP="00087196">
                        <w:pPr>
                          <w:rPr>
                            <w:rFonts w:ascii="Arial" w:hAnsi="Arial" w:cs="Arial"/>
                            <w:b/>
                            <w:bCs/>
                            <w:sz w:val="21"/>
                            <w:szCs w:val="21"/>
                            <w:lang w:val="es-ES"/>
                          </w:rPr>
                        </w:pPr>
                        <w:r w:rsidRPr="00074009">
                          <w:rPr>
                            <w:rFonts w:ascii="Arial" w:hAnsi="Arial" w:cs="Arial"/>
                            <w:b/>
                            <w:bCs/>
                            <w:sz w:val="21"/>
                            <w:szCs w:val="21"/>
                            <w:lang w:val="es-ES"/>
                          </w:rPr>
                          <w:t>Pašinjicēšana un aprūpētājs</w:t>
                        </w:r>
                      </w:p>
                    </w:txbxContent>
                  </v:textbox>
                  <w10:wrap anchory="page"/>
                  <w10:anchorlock/>
                </v:shape>
              </w:pict>
            </w:r>
            <w:r>
              <w:rPr>
                <w:noProof/>
              </w:rPr>
              <w:pict w14:anchorId="59A0C9BA">
                <v:shape id="Text Box 48" o:spid="_x0000_s2109" type="#_x0000_t202" style="position:absolute;left:0;text-align:left;margin-left:49.35pt;margin-top:4.5pt;width:98.5pt;height:35.05pt;z-index:21;visibility:visible;mso-wrap-distance-left:9pt;mso-wrap-distance-top:3.6pt;mso-wrap-distance-right:9pt;mso-wrap-distance-bottom:3.6pt;mso-position-horizontal:absolute;mso-position-horizontal-relative:text;mso-position-vertical:absolute;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" filled="f" stroked="f">
                  <v:textbox style="mso-next-textbox:#Text Box 48" inset="0,0,0,0">
                    <w:txbxContent>
                      <w:p w14:paraId="5822B176" w14:textId="28076F35" w:rsidR="00087196" w:rsidRPr="00876F60" w:rsidRDefault="00074009" w:rsidP="00087196">
                        <w:pPr>
                          <w:rPr>
                            <w:rFonts w:ascii="Arial" w:hAnsi="Arial" w:cs="Arial"/>
                            <w:b/>
                            <w:bCs/>
                            <w:sz w:val="21"/>
                            <w:szCs w:val="21"/>
                            <w:lang w:val="es-ES"/>
                          </w:rPr>
                        </w:pPr>
                        <w:r w:rsidRPr="00074009">
                          <w:rPr>
                            <w:rFonts w:ascii="Arial" w:hAnsi="Arial" w:cs="Arial"/>
                            <w:b/>
                            <w:bCs/>
                            <w:sz w:val="21"/>
                            <w:szCs w:val="21"/>
                            <w:lang w:val="es-ES"/>
                          </w:rPr>
                          <w:t>TIKAI aprūpētājs un veselības aprūpes speciālists</w:t>
                        </w:r>
                      </w:p>
                    </w:txbxContent>
                  </v:textbox>
                  <w10:wrap anchory="page"/>
                  <w10:anchorlock/>
                </v:shape>
              </w:pict>
            </w:r>
          </w:p>
          <w:p w14:paraId="0A3D73E0" w14:textId="49856C32" w:rsidR="00087196" w:rsidRPr="00666FDE" w:rsidRDefault="00451C8B" w:rsidP="00087196">
            <w:pPr>
              <w:keepNext/>
              <w:tabs>
                <w:tab w:val="clear" w:pos="567"/>
              </w:tabs>
              <w:jc w:val="center"/>
              <w:rPr>
                <w:rFonts w:eastAsia="맑은 고딕"/>
                <w:lang w:eastAsia="zh-CN"/>
              </w:rPr>
            </w:pPr>
            <w:r>
              <w:rPr>
                <w:rFonts w:eastAsia="맑은 고딕"/>
                <w:noProof/>
                <w:lang w:eastAsia="zh-CN"/>
              </w:rPr>
              <w:pict w14:anchorId="63212E0D">
                <v:shape id="_x0000_i1034" type="#_x0000_t75" style="width:118.5pt;height:201.75pt;visibility:visible;mso-wrap-style:square">
                  <v:imagedata r:id="rId33" o:title="" croptop="1246f" cropbottom="917f" cropleft="1351f" cropright="1899f"/>
                </v:shape>
              </w:pict>
            </w:r>
          </w:p>
          <w:p w14:paraId="72930E8C"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0EA1F737" w14:textId="0419FE77"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zh-CN"/>
              </w:rPr>
              <w:t>7.</w:t>
            </w:r>
            <w:r w:rsidRPr="00666FDE">
              <w:rPr>
                <w:rFonts w:eastAsia="맑은 고딕"/>
                <w:b/>
                <w:bCs/>
                <w:lang w:eastAsia="zh-CN"/>
              </w:rPr>
              <w:tab/>
            </w:r>
            <w:r w:rsidR="004D52CB" w:rsidRPr="00882AF5">
              <w:rPr>
                <w:rFonts w:eastAsia="맑은 고딕"/>
                <w:b/>
                <w:bCs/>
                <w:lang w:eastAsia="zh-CN"/>
              </w:rPr>
              <w:t xml:space="preserve">Izvēlieties atbilstošu vietu injekcijai </w:t>
            </w:r>
            <w:r w:rsidRPr="00666FDE">
              <w:rPr>
                <w:rFonts w:eastAsia="맑은 고딕"/>
                <w:b/>
                <w:bCs/>
                <w:lang w:eastAsia="zh-CN"/>
              </w:rPr>
              <w:t>(</w:t>
            </w:r>
            <w:r w:rsidR="00203195" w:rsidRPr="00882AF5">
              <w:rPr>
                <w:rFonts w:eastAsia="맑은 고딕"/>
                <w:b/>
                <w:bCs/>
                <w:lang w:eastAsia="zh-CN"/>
              </w:rPr>
              <w:t>sk</w:t>
            </w:r>
            <w:r w:rsidR="00077D04">
              <w:rPr>
                <w:rFonts w:eastAsia="맑은 고딕"/>
                <w:b/>
                <w:bCs/>
                <w:lang w:eastAsia="zh-CN"/>
              </w:rPr>
              <w:t>atīt</w:t>
            </w:r>
            <w:r w:rsidR="00203195" w:rsidRPr="00882AF5">
              <w:rPr>
                <w:rFonts w:eastAsia="맑은 고딕"/>
                <w:b/>
                <w:bCs/>
                <w:lang w:eastAsia="zh-CN"/>
              </w:rPr>
              <w:t xml:space="preserve"> </w:t>
            </w:r>
            <w:r w:rsidRPr="00666FDE">
              <w:rPr>
                <w:rFonts w:eastAsia="맑은 고딕"/>
                <w:b/>
                <w:bCs/>
                <w:lang w:eastAsia="zh-CN"/>
              </w:rPr>
              <w:t>H</w:t>
            </w:r>
            <w:r w:rsidR="00203195" w:rsidRPr="00882AF5">
              <w:rPr>
                <w:rFonts w:eastAsia="맑은 고딕"/>
                <w:b/>
                <w:bCs/>
                <w:lang w:eastAsia="zh-CN"/>
              </w:rPr>
              <w:t> attēlu</w:t>
            </w:r>
            <w:r w:rsidRPr="00666FDE">
              <w:rPr>
                <w:rFonts w:eastAsia="맑은 고딕"/>
                <w:b/>
                <w:bCs/>
                <w:lang w:eastAsia="zh-CN"/>
              </w:rPr>
              <w:t>).</w:t>
            </w:r>
          </w:p>
          <w:p w14:paraId="7695B140" w14:textId="34A81B24"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7a. </w:t>
            </w:r>
            <w:r w:rsidR="00203195" w:rsidRPr="00882AF5">
              <w:rPr>
                <w:rFonts w:eastAsia="맑은 고딕"/>
                <w:lang w:eastAsia="zh-CN"/>
              </w:rPr>
              <w:t>Injekciju var veikt</w:t>
            </w:r>
            <w:r w:rsidRPr="00666FDE">
              <w:rPr>
                <w:rFonts w:eastAsia="맑은 고딕"/>
                <w:lang w:eastAsia="zh-CN"/>
              </w:rPr>
              <w:t xml:space="preserve">: </w:t>
            </w:r>
          </w:p>
          <w:p w14:paraId="67BDCDE6" w14:textId="60D75242" w:rsidR="00087196" w:rsidRPr="00666FDE" w:rsidRDefault="00E61841" w:rsidP="00087196">
            <w:pPr>
              <w:keepNext/>
              <w:numPr>
                <w:ilvl w:val="0"/>
                <w:numId w:val="59"/>
              </w:numPr>
              <w:tabs>
                <w:tab w:val="clear" w:pos="567"/>
                <w:tab w:val="left" w:pos="851"/>
              </w:tabs>
              <w:suppressAutoHyphens/>
              <w:ind w:left="851" w:hanging="284"/>
              <w:rPr>
                <w:rFonts w:eastAsia="맑은 고딕"/>
                <w:lang w:eastAsia="zh-CN"/>
              </w:rPr>
            </w:pPr>
            <w:r w:rsidRPr="00882AF5">
              <w:rPr>
                <w:rFonts w:eastAsia="맑은 고딕"/>
                <w:lang w:eastAsia="zh-CN"/>
              </w:rPr>
              <w:t>a</w:t>
            </w:r>
            <w:r w:rsidR="00203195" w:rsidRPr="00882AF5">
              <w:rPr>
                <w:rFonts w:eastAsia="맑은 고딕"/>
                <w:lang w:eastAsia="zh-CN"/>
              </w:rPr>
              <w:t>ugšstilb</w:t>
            </w:r>
            <w:r w:rsidRPr="00882AF5">
              <w:rPr>
                <w:rFonts w:eastAsia="맑은 고딕"/>
                <w:lang w:eastAsia="zh-CN"/>
              </w:rPr>
              <w:t>u augšpusē</w:t>
            </w:r>
            <w:r w:rsidR="00203195" w:rsidRPr="00882AF5">
              <w:rPr>
                <w:rFonts w:eastAsia="맑은 고딕"/>
                <w:lang w:eastAsia="zh-CN"/>
              </w:rPr>
              <w:t>;</w:t>
            </w:r>
          </w:p>
          <w:p w14:paraId="7790CEE3" w14:textId="2441032C" w:rsidR="00087196" w:rsidRPr="00666FDE" w:rsidRDefault="00203195" w:rsidP="00087196">
            <w:pPr>
              <w:keepNext/>
              <w:numPr>
                <w:ilvl w:val="0"/>
                <w:numId w:val="59"/>
              </w:numPr>
              <w:tabs>
                <w:tab w:val="clear" w:pos="567"/>
                <w:tab w:val="left" w:pos="851"/>
              </w:tabs>
              <w:suppressAutoHyphens/>
              <w:ind w:left="851" w:hanging="284"/>
              <w:rPr>
                <w:rFonts w:eastAsia="맑은 고딕"/>
                <w:lang w:eastAsia="zh-CN"/>
              </w:rPr>
            </w:pPr>
            <w:r w:rsidRPr="00882AF5">
              <w:rPr>
                <w:rFonts w:eastAsia="맑은 고딕"/>
                <w:lang w:eastAsia="zh-CN"/>
              </w:rPr>
              <w:t>vēderā</w:t>
            </w:r>
            <w:r w:rsidR="00087196" w:rsidRPr="00666FDE">
              <w:rPr>
                <w:rFonts w:eastAsia="맑은 고딕"/>
                <w:lang w:eastAsia="zh-CN"/>
              </w:rPr>
              <w:t xml:space="preserve">, </w:t>
            </w:r>
            <w:r w:rsidRPr="00882AF5">
              <w:rPr>
                <w:rFonts w:eastAsia="맑은 고딕"/>
                <w:lang w:eastAsia="zh-CN"/>
              </w:rPr>
              <w:t xml:space="preserve">izņemot </w:t>
            </w:r>
            <w:r w:rsidR="00087196" w:rsidRPr="00666FDE">
              <w:rPr>
                <w:rFonts w:eastAsia="맑은 고딕"/>
                <w:lang w:eastAsia="zh-CN"/>
              </w:rPr>
              <w:t xml:space="preserve">5 cm </w:t>
            </w:r>
            <w:r w:rsidRPr="00882AF5">
              <w:rPr>
                <w:rFonts w:eastAsia="맑은 고딕"/>
                <w:lang w:eastAsia="zh-CN"/>
              </w:rPr>
              <w:t>apvidu ap nabu;</w:t>
            </w:r>
          </w:p>
          <w:p w14:paraId="095DCE9B" w14:textId="7B0F58D3" w:rsidR="00087196" w:rsidRPr="00666FDE" w:rsidRDefault="00203195" w:rsidP="00087196">
            <w:pPr>
              <w:keepNext/>
              <w:numPr>
                <w:ilvl w:val="0"/>
                <w:numId w:val="59"/>
              </w:numPr>
              <w:tabs>
                <w:tab w:val="clear" w:pos="567"/>
                <w:tab w:val="left" w:pos="851"/>
              </w:tabs>
              <w:suppressAutoHyphens/>
              <w:ind w:left="851" w:hanging="284"/>
              <w:rPr>
                <w:rFonts w:eastAsia="맑은 고딕"/>
                <w:lang w:eastAsia="zh-CN"/>
              </w:rPr>
            </w:pPr>
            <w:r w:rsidRPr="00882AF5">
              <w:rPr>
                <w:rFonts w:eastAsia="맑은 고딕"/>
                <w:lang w:eastAsia="zh-CN"/>
              </w:rPr>
              <w:t>augšdelmu ārpus</w:t>
            </w:r>
            <w:r w:rsidR="00E61841" w:rsidRPr="00882AF5">
              <w:rPr>
                <w:rFonts w:eastAsia="맑은 고딕"/>
                <w:lang w:eastAsia="zh-CN"/>
              </w:rPr>
              <w:t>ē</w:t>
            </w:r>
            <w:r w:rsidRPr="00882AF5">
              <w:rPr>
                <w:rFonts w:eastAsia="맑은 고딕"/>
                <w:lang w:eastAsia="zh-CN"/>
              </w:rPr>
              <w:t xml:space="preserve"> </w:t>
            </w:r>
            <w:r w:rsidR="00087196" w:rsidRPr="00666FDE">
              <w:rPr>
                <w:rFonts w:eastAsia="맑은 고딕"/>
                <w:lang w:eastAsia="zh-CN"/>
              </w:rPr>
              <w:t>(</w:t>
            </w:r>
            <w:r w:rsidR="00E61841" w:rsidRPr="00882AF5">
              <w:rPr>
                <w:rFonts w:eastAsia="맑은 고딕"/>
                <w:lang w:eastAsia="zh-CN"/>
              </w:rPr>
              <w:t>tikai tad, ja esat aprūpētājs vai veselības aprūpes</w:t>
            </w:r>
            <w:r w:rsidR="00077D04">
              <w:rPr>
                <w:rFonts w:eastAsia="맑은 고딕"/>
                <w:lang w:eastAsia="zh-CN"/>
              </w:rPr>
              <w:t xml:space="preserve"> speciālists</w:t>
            </w:r>
            <w:r w:rsidR="00087196" w:rsidRPr="00666FDE">
              <w:rPr>
                <w:rFonts w:eastAsia="맑은 고딕"/>
                <w:lang w:eastAsia="zh-CN"/>
              </w:rPr>
              <w:t>).</w:t>
            </w:r>
          </w:p>
          <w:p w14:paraId="6ECBD8C3" w14:textId="24909532" w:rsidR="00087196" w:rsidRPr="00666FDE" w:rsidRDefault="00E61841"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 xml:space="preserve">Neveiciet </w:t>
            </w:r>
            <w:r w:rsidRPr="00882AF5">
              <w:rPr>
                <w:rFonts w:eastAsia="맑은 고딕"/>
                <w:lang w:eastAsia="zh-CN"/>
              </w:rPr>
              <w:t xml:space="preserve">injekciju dzimumzīmēs, rētās, zilumos vai vietās, kur āda ir jutīga, apsārtusi, sabiezējusi vai </w:t>
            </w:r>
            <w:r w:rsidR="00760724">
              <w:rPr>
                <w:rFonts w:eastAsia="맑은 고딕"/>
                <w:lang w:eastAsia="zh-CN"/>
              </w:rPr>
              <w:t>saplaisājusi</w:t>
            </w:r>
            <w:r w:rsidR="00087196" w:rsidRPr="00666FDE">
              <w:rPr>
                <w:rFonts w:eastAsia="맑은 고딕"/>
                <w:lang w:eastAsia="zh-CN"/>
              </w:rPr>
              <w:t>.</w:t>
            </w:r>
          </w:p>
          <w:p w14:paraId="1D47A37C" w14:textId="246F28FE" w:rsidR="00087196" w:rsidRPr="00666FDE" w:rsidRDefault="00E61841"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Neveiciet</w:t>
            </w:r>
            <w:r w:rsidR="00087196" w:rsidRPr="00666FDE">
              <w:rPr>
                <w:rFonts w:eastAsia="맑은 고딕"/>
                <w:lang w:eastAsia="zh-CN"/>
              </w:rPr>
              <w:t xml:space="preserve"> </w:t>
            </w:r>
            <w:r w:rsidRPr="00882AF5">
              <w:rPr>
                <w:rFonts w:eastAsia="맑은 고딕"/>
                <w:lang w:eastAsia="zh-CN"/>
              </w:rPr>
              <w:t>injekciju caur apģērbu</w:t>
            </w:r>
            <w:r w:rsidR="00087196" w:rsidRPr="00666FDE">
              <w:rPr>
                <w:rFonts w:eastAsia="맑은 고딕"/>
                <w:lang w:eastAsia="zh-CN"/>
              </w:rPr>
              <w:t>.</w:t>
            </w:r>
          </w:p>
          <w:p w14:paraId="60577C39" w14:textId="429D2E09" w:rsidR="00087196" w:rsidRPr="00666FDE" w:rsidRDefault="00087196" w:rsidP="00087196">
            <w:pPr>
              <w:keepNext/>
              <w:tabs>
                <w:tab w:val="clear" w:pos="567"/>
              </w:tabs>
              <w:suppressAutoHyphens/>
              <w:ind w:left="283"/>
              <w:rPr>
                <w:rFonts w:eastAsia="맑은 고딕"/>
                <w:lang w:eastAsia="ko-KR"/>
              </w:rPr>
            </w:pPr>
            <w:r w:rsidRPr="00666FDE">
              <w:rPr>
                <w:rFonts w:eastAsia="맑은 고딕"/>
                <w:lang w:eastAsia="zh-CN"/>
              </w:rPr>
              <w:t xml:space="preserve">7b. </w:t>
            </w:r>
            <w:r w:rsidR="00E61841" w:rsidRPr="00882AF5">
              <w:rPr>
                <w:rFonts w:eastAsia="맑은 고딕"/>
                <w:lang w:eastAsia="zh-CN"/>
              </w:rPr>
              <w:t xml:space="preserve">Katrai jaunai injekcijai izvēlieties citu injekcijas vietu, kas atrodas vismaz </w:t>
            </w:r>
            <w:r w:rsidRPr="00666FDE">
              <w:rPr>
                <w:rFonts w:eastAsia="맑은 고딕"/>
                <w:lang w:eastAsia="zh-CN"/>
              </w:rPr>
              <w:t>2</w:t>
            </w:r>
            <w:r w:rsidR="00E61841" w:rsidRPr="00882AF5">
              <w:rPr>
                <w:rFonts w:eastAsia="맑은 고딕"/>
                <w:lang w:eastAsia="zh-CN"/>
              </w:rPr>
              <w:t>,</w:t>
            </w:r>
            <w:r w:rsidRPr="00666FDE">
              <w:rPr>
                <w:rFonts w:eastAsia="맑은 고딕"/>
                <w:lang w:eastAsia="zh-CN"/>
              </w:rPr>
              <w:t xml:space="preserve">5 cm </w:t>
            </w:r>
            <w:r w:rsidR="00E61841" w:rsidRPr="00882AF5">
              <w:rPr>
                <w:rFonts w:eastAsia="맑은 고딕"/>
                <w:lang w:eastAsia="zh-CN"/>
              </w:rPr>
              <w:t>attālumā no iepriekšējās injekcijas vietas</w:t>
            </w:r>
            <w:r w:rsidR="00190512" w:rsidRPr="00882AF5">
              <w:rPr>
                <w:rFonts w:eastAsia="맑은 고딕"/>
                <w:lang w:eastAsia="zh-CN"/>
              </w:rPr>
              <w:t>.</w:t>
            </w:r>
          </w:p>
        </w:tc>
      </w:tr>
      <w:tr w:rsidR="00087196" w:rsidRPr="00882AF5" w14:paraId="1C2D50DD" w14:textId="77777777" w:rsidTr="004126A3">
        <w:trPr>
          <w:cantSplit/>
        </w:trPr>
        <w:tc>
          <w:tcPr>
            <w:tcW w:w="3010" w:type="dxa"/>
            <w:tcBorders>
              <w:top w:val="nil"/>
              <w:left w:val="single" w:sz="4" w:space="0" w:color="auto"/>
              <w:bottom w:val="single" w:sz="4" w:space="0" w:color="auto"/>
              <w:right w:val="nil"/>
            </w:tcBorders>
            <w:shd w:val="clear" w:color="auto" w:fill="auto"/>
          </w:tcPr>
          <w:p w14:paraId="628D67E5" w14:textId="1DC511DE" w:rsidR="00087196" w:rsidRPr="00666FDE" w:rsidRDefault="00087196" w:rsidP="00087196">
            <w:pPr>
              <w:tabs>
                <w:tab w:val="clear" w:pos="567"/>
              </w:tabs>
              <w:jc w:val="center"/>
              <w:rPr>
                <w:rFonts w:eastAsia="맑은 고딕"/>
                <w:b/>
                <w:bCs/>
                <w:lang w:eastAsia="zh-CN"/>
              </w:rPr>
            </w:pPr>
            <w:r w:rsidRPr="00666FDE">
              <w:rPr>
                <w:rFonts w:eastAsia="맑은 고딕"/>
                <w:b/>
                <w:bCs/>
                <w:lang w:eastAsia="ko-KR"/>
              </w:rPr>
              <w:t>H</w:t>
            </w:r>
            <w:r w:rsidR="002C4561" w:rsidRPr="00882AF5">
              <w:rPr>
                <w:rFonts w:eastAsia="맑은 고딕"/>
                <w:b/>
                <w:bCs/>
                <w:lang w:eastAsia="ko-KR"/>
              </w:rPr>
              <w:t> attēls</w:t>
            </w:r>
          </w:p>
        </w:tc>
        <w:tc>
          <w:tcPr>
            <w:tcW w:w="6054" w:type="dxa"/>
            <w:vMerge/>
            <w:tcBorders>
              <w:left w:val="nil"/>
              <w:bottom w:val="single" w:sz="4" w:space="0" w:color="auto"/>
            </w:tcBorders>
            <w:shd w:val="clear" w:color="auto" w:fill="auto"/>
          </w:tcPr>
          <w:p w14:paraId="65D7A04B" w14:textId="77777777" w:rsidR="00087196" w:rsidRPr="00666FDE" w:rsidRDefault="00087196" w:rsidP="00087196">
            <w:pPr>
              <w:tabs>
                <w:tab w:val="clear" w:pos="567"/>
              </w:tabs>
              <w:suppressAutoHyphens/>
              <w:rPr>
                <w:rFonts w:eastAsia="맑은 고딕"/>
                <w:b/>
                <w:bCs/>
                <w:lang w:eastAsia="zh-CN"/>
              </w:rPr>
            </w:pPr>
          </w:p>
        </w:tc>
      </w:tr>
      <w:tr w:rsidR="00087196" w:rsidRPr="00882AF5" w14:paraId="334F7E87" w14:textId="77777777" w:rsidTr="004126A3">
        <w:trPr>
          <w:cantSplit/>
        </w:trPr>
        <w:tc>
          <w:tcPr>
            <w:tcW w:w="3010" w:type="dxa"/>
            <w:tcBorders>
              <w:top w:val="single" w:sz="4" w:space="0" w:color="auto"/>
              <w:bottom w:val="nil"/>
              <w:right w:val="nil"/>
            </w:tcBorders>
            <w:shd w:val="clear" w:color="auto" w:fill="auto"/>
            <w:vAlign w:val="center"/>
          </w:tcPr>
          <w:p w14:paraId="1183EC2E" w14:textId="77777777" w:rsidR="00087196" w:rsidRPr="00666FDE" w:rsidRDefault="00087196" w:rsidP="00087196">
            <w:pPr>
              <w:keepNext/>
              <w:tabs>
                <w:tab w:val="clear" w:pos="567"/>
              </w:tabs>
              <w:jc w:val="center"/>
              <w:rPr>
                <w:rFonts w:eastAsia="맑은 고딕"/>
                <w:lang w:eastAsia="zh-CN"/>
              </w:rPr>
            </w:pPr>
          </w:p>
          <w:p w14:paraId="0D08558A" w14:textId="01CE4AE1" w:rsidR="00087196" w:rsidRPr="00666FDE" w:rsidRDefault="00451C8B" w:rsidP="00087196">
            <w:pPr>
              <w:keepNext/>
              <w:tabs>
                <w:tab w:val="clear" w:pos="567"/>
              </w:tabs>
              <w:jc w:val="center"/>
              <w:rPr>
                <w:rFonts w:eastAsia="맑은 고딕"/>
                <w:lang w:eastAsia="zh-CN"/>
              </w:rPr>
            </w:pPr>
            <w:r>
              <w:rPr>
                <w:rFonts w:eastAsia="맑은 고딕"/>
                <w:noProof/>
                <w:lang w:eastAsia="zh-CN"/>
              </w:rPr>
              <w:pict w14:anchorId="7124E8F4">
                <v:shape id="_x0000_i1035" type="#_x0000_t75" alt="스케치, 그림, 라인 아트, 아동 미술이(가) 표시된 사진&#10;&#10;자동 생성된 설명" style="width:119.25pt;height:147pt;visibility:visible;mso-wrap-style:square">
                  <v:imagedata r:id="rId34" o:title="스케치, 그림, 라인 아트, 아동 미술이(가) 표시된 사진&#10;&#10;자동 생성된 설명"/>
                </v:shape>
              </w:pict>
            </w:r>
          </w:p>
          <w:p w14:paraId="13C644C9"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38498898" w14:textId="324C691A" w:rsidR="00087196" w:rsidRPr="00666FDE" w:rsidRDefault="00087196" w:rsidP="00087196">
            <w:pPr>
              <w:keepNext/>
              <w:tabs>
                <w:tab w:val="clear" w:pos="567"/>
              </w:tabs>
              <w:suppressAutoHyphens/>
              <w:ind w:left="284" w:hanging="284"/>
              <w:rPr>
                <w:rFonts w:eastAsia="맑은 고딕"/>
                <w:b/>
                <w:bCs/>
                <w:lang w:eastAsia="zh-CN"/>
              </w:rPr>
            </w:pPr>
            <w:r w:rsidRPr="00666FDE">
              <w:rPr>
                <w:rFonts w:eastAsia="맑은 고딕"/>
                <w:b/>
                <w:bCs/>
                <w:lang w:eastAsia="zh-CN"/>
              </w:rPr>
              <w:t>8.</w:t>
            </w:r>
            <w:r w:rsidRPr="00666FDE">
              <w:rPr>
                <w:rFonts w:eastAsia="맑은 고딕"/>
                <w:b/>
                <w:bCs/>
                <w:lang w:eastAsia="zh-CN"/>
              </w:rPr>
              <w:tab/>
            </w:r>
            <w:r w:rsidR="00190512" w:rsidRPr="00882AF5">
              <w:rPr>
                <w:rFonts w:eastAsia="맑은 고딕"/>
                <w:b/>
                <w:bCs/>
                <w:lang w:eastAsia="zh-CN"/>
              </w:rPr>
              <w:t>Nomazgājiet rokas</w:t>
            </w:r>
            <w:r w:rsidRPr="00666FDE">
              <w:rPr>
                <w:rFonts w:eastAsia="맑은 고딕"/>
                <w:b/>
                <w:bCs/>
                <w:lang w:eastAsia="zh-CN"/>
              </w:rPr>
              <w:t>.</w:t>
            </w:r>
          </w:p>
          <w:p w14:paraId="780A042F" w14:textId="14FB2BDA"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8a. </w:t>
            </w:r>
            <w:r w:rsidR="00190512" w:rsidRPr="00882AF5">
              <w:rPr>
                <w:rFonts w:eastAsia="맑은 고딕"/>
                <w:lang w:eastAsia="zh-CN"/>
              </w:rPr>
              <w:t>Nomazgājiet rokas ar ziepēm un ūdeni un rūpīgi tās nožāvējiet</w:t>
            </w:r>
            <w:r w:rsidRPr="00666FDE">
              <w:rPr>
                <w:rFonts w:eastAsia="맑은 고딕"/>
                <w:lang w:eastAsia="zh-CN"/>
              </w:rPr>
              <w:t xml:space="preserve"> (</w:t>
            </w:r>
            <w:r w:rsidR="00190512" w:rsidRPr="00882AF5">
              <w:rPr>
                <w:rFonts w:eastAsia="맑은 고딕"/>
                <w:lang w:eastAsia="zh-CN"/>
              </w:rPr>
              <w:t>sk</w:t>
            </w:r>
            <w:r w:rsidR="00077D04">
              <w:rPr>
                <w:rFonts w:eastAsia="맑은 고딕"/>
                <w:lang w:eastAsia="zh-CN"/>
              </w:rPr>
              <w:t>atīt</w:t>
            </w:r>
            <w:r w:rsidR="00190512" w:rsidRPr="00882AF5">
              <w:rPr>
                <w:rFonts w:eastAsia="맑은 고딕"/>
                <w:lang w:eastAsia="zh-CN"/>
              </w:rPr>
              <w:t xml:space="preserve"> </w:t>
            </w:r>
            <w:r w:rsidRPr="00666FDE">
              <w:rPr>
                <w:rFonts w:eastAsia="맑은 고딕"/>
                <w:b/>
                <w:bCs/>
                <w:lang w:eastAsia="zh-CN"/>
              </w:rPr>
              <w:t>I</w:t>
            </w:r>
            <w:r w:rsidR="00190512" w:rsidRPr="00882AF5">
              <w:rPr>
                <w:rFonts w:eastAsia="맑은 고딕"/>
                <w:b/>
                <w:bCs/>
                <w:lang w:eastAsia="zh-CN"/>
              </w:rPr>
              <w:t> attēlu</w:t>
            </w:r>
            <w:r w:rsidRPr="00666FDE">
              <w:rPr>
                <w:rFonts w:eastAsia="맑은 고딕"/>
                <w:lang w:eastAsia="zh-CN"/>
              </w:rPr>
              <w:t>).</w:t>
            </w:r>
          </w:p>
        </w:tc>
      </w:tr>
      <w:tr w:rsidR="00087196" w:rsidRPr="00882AF5" w14:paraId="7AFA77D9" w14:textId="77777777" w:rsidTr="004126A3">
        <w:trPr>
          <w:cantSplit/>
        </w:trPr>
        <w:tc>
          <w:tcPr>
            <w:tcW w:w="3010" w:type="dxa"/>
            <w:tcBorders>
              <w:top w:val="nil"/>
              <w:left w:val="single" w:sz="4" w:space="0" w:color="auto"/>
              <w:bottom w:val="single" w:sz="4" w:space="0" w:color="auto"/>
              <w:right w:val="nil"/>
            </w:tcBorders>
            <w:shd w:val="clear" w:color="auto" w:fill="auto"/>
          </w:tcPr>
          <w:p w14:paraId="0BB5D9D6" w14:textId="49A12D0D" w:rsidR="00087196" w:rsidRPr="00666FDE" w:rsidRDefault="00087196" w:rsidP="00087196">
            <w:pPr>
              <w:tabs>
                <w:tab w:val="clear" w:pos="567"/>
              </w:tabs>
              <w:jc w:val="center"/>
              <w:rPr>
                <w:rFonts w:eastAsia="맑은 고딕"/>
                <w:b/>
                <w:bCs/>
                <w:lang w:eastAsia="zh-CN"/>
              </w:rPr>
            </w:pPr>
            <w:r w:rsidRPr="00666FDE">
              <w:rPr>
                <w:rFonts w:eastAsia="맑은 고딕"/>
                <w:b/>
                <w:bCs/>
                <w:lang w:eastAsia="ko-KR"/>
              </w:rPr>
              <w:t>I</w:t>
            </w:r>
            <w:r w:rsidR="002C4561" w:rsidRPr="00882AF5">
              <w:rPr>
                <w:rFonts w:eastAsia="맑은 고딕"/>
                <w:b/>
                <w:bCs/>
                <w:lang w:eastAsia="ko-KR"/>
              </w:rPr>
              <w:t> attēls</w:t>
            </w:r>
          </w:p>
        </w:tc>
        <w:tc>
          <w:tcPr>
            <w:tcW w:w="6054" w:type="dxa"/>
            <w:vMerge/>
            <w:tcBorders>
              <w:left w:val="nil"/>
              <w:bottom w:val="single" w:sz="4" w:space="0" w:color="auto"/>
            </w:tcBorders>
            <w:shd w:val="clear" w:color="auto" w:fill="auto"/>
          </w:tcPr>
          <w:p w14:paraId="5A72A395" w14:textId="77777777" w:rsidR="00087196" w:rsidRPr="00666FDE" w:rsidRDefault="00087196" w:rsidP="00087196">
            <w:pPr>
              <w:tabs>
                <w:tab w:val="clear" w:pos="567"/>
              </w:tabs>
              <w:suppressAutoHyphens/>
              <w:rPr>
                <w:rFonts w:eastAsia="맑은 고딕"/>
                <w:b/>
                <w:bCs/>
                <w:lang w:eastAsia="zh-CN"/>
              </w:rPr>
            </w:pPr>
          </w:p>
        </w:tc>
      </w:tr>
      <w:tr w:rsidR="00087196" w:rsidRPr="00882AF5" w14:paraId="7451FC66" w14:textId="77777777" w:rsidTr="004126A3">
        <w:trPr>
          <w:cantSplit/>
        </w:trPr>
        <w:tc>
          <w:tcPr>
            <w:tcW w:w="3010" w:type="dxa"/>
            <w:tcBorders>
              <w:top w:val="single" w:sz="4" w:space="0" w:color="auto"/>
              <w:bottom w:val="nil"/>
              <w:right w:val="nil"/>
            </w:tcBorders>
            <w:shd w:val="clear" w:color="auto" w:fill="auto"/>
            <w:vAlign w:val="center"/>
          </w:tcPr>
          <w:p w14:paraId="75D4AF2C" w14:textId="77777777" w:rsidR="00087196" w:rsidRPr="00666FDE" w:rsidRDefault="00087196" w:rsidP="00087196">
            <w:pPr>
              <w:keepNext/>
              <w:tabs>
                <w:tab w:val="clear" w:pos="567"/>
              </w:tabs>
              <w:jc w:val="center"/>
              <w:rPr>
                <w:rFonts w:eastAsia="맑은 고딕"/>
                <w:lang w:eastAsia="zh-CN"/>
              </w:rPr>
            </w:pPr>
          </w:p>
          <w:p w14:paraId="7B512830" w14:textId="33D0C208" w:rsidR="00087196" w:rsidRPr="00666FDE" w:rsidRDefault="00451C8B" w:rsidP="00087196">
            <w:pPr>
              <w:keepNext/>
              <w:tabs>
                <w:tab w:val="clear" w:pos="567"/>
              </w:tabs>
              <w:jc w:val="center"/>
              <w:rPr>
                <w:rFonts w:eastAsia="맑은 고딕"/>
                <w:lang w:eastAsia="zh-CN"/>
              </w:rPr>
            </w:pPr>
            <w:r>
              <w:rPr>
                <w:rFonts w:eastAsia="맑은 고딕"/>
                <w:noProof/>
                <w:lang w:eastAsia="zh-CN"/>
              </w:rPr>
              <w:pict w14:anchorId="209BE73B">
                <v:shape id="_x0000_i1036" type="#_x0000_t75" alt="라인 아트, 스케치, 클립아트, 컬러링북이(가) 표시된 사진&#10;&#10;자동 생성된 설명" style="width:120.75pt;height:148.5pt;visibility:visible;mso-wrap-style:square">
                  <v:imagedata r:id="rId35" o:title="라인 아트, 스케치, 클립아트, 컬러링북이(가) 표시된 사진&#10;&#10;자동 생성된 설명"/>
                </v:shape>
              </w:pict>
            </w:r>
          </w:p>
          <w:p w14:paraId="737FA75B" w14:textId="77777777" w:rsidR="00087196" w:rsidRPr="00666FDE" w:rsidRDefault="00087196" w:rsidP="00087196">
            <w:pPr>
              <w:keepNext/>
              <w:tabs>
                <w:tab w:val="clear" w:pos="567"/>
              </w:tabs>
              <w:jc w:val="center"/>
              <w:rPr>
                <w:rFonts w:eastAsia="맑은 고딕"/>
                <w:lang w:eastAsia="ko-KR"/>
              </w:rPr>
            </w:pPr>
          </w:p>
        </w:tc>
        <w:tc>
          <w:tcPr>
            <w:tcW w:w="6054" w:type="dxa"/>
            <w:vMerge w:val="restart"/>
            <w:tcBorders>
              <w:top w:val="single" w:sz="4" w:space="0" w:color="auto"/>
              <w:left w:val="nil"/>
            </w:tcBorders>
            <w:shd w:val="clear" w:color="auto" w:fill="auto"/>
          </w:tcPr>
          <w:p w14:paraId="034439E2" w14:textId="2B09018D" w:rsidR="00087196" w:rsidRPr="00666FDE" w:rsidRDefault="00087196" w:rsidP="00087196">
            <w:pPr>
              <w:keepNext/>
              <w:tabs>
                <w:tab w:val="clear" w:pos="567"/>
              </w:tabs>
              <w:suppressAutoHyphens/>
              <w:ind w:left="284" w:hanging="284"/>
              <w:rPr>
                <w:rFonts w:eastAsia="맑은 고딕"/>
                <w:b/>
                <w:bCs/>
                <w:lang w:eastAsia="ko-KR"/>
              </w:rPr>
            </w:pPr>
            <w:r w:rsidRPr="00666FDE">
              <w:rPr>
                <w:rFonts w:eastAsia="맑은 고딕"/>
                <w:b/>
                <w:bCs/>
                <w:lang w:eastAsia="ko-KR"/>
              </w:rPr>
              <w:t>9.</w:t>
            </w:r>
            <w:r w:rsidRPr="00666FDE">
              <w:rPr>
                <w:rFonts w:eastAsia="맑은 고딕"/>
                <w:b/>
                <w:bCs/>
                <w:lang w:eastAsia="zh-CN"/>
              </w:rPr>
              <w:tab/>
            </w:r>
            <w:r w:rsidR="00190512" w:rsidRPr="00882AF5">
              <w:rPr>
                <w:rFonts w:eastAsia="맑은 고딕"/>
                <w:b/>
                <w:bCs/>
                <w:lang w:eastAsia="zh-CN"/>
              </w:rPr>
              <w:t>Notīriet injekcijas vietu</w:t>
            </w:r>
            <w:r w:rsidRPr="00666FDE">
              <w:rPr>
                <w:rFonts w:eastAsia="맑은 고딕"/>
                <w:b/>
                <w:bCs/>
                <w:lang w:eastAsia="ko-KR"/>
              </w:rPr>
              <w:t>.</w:t>
            </w:r>
          </w:p>
          <w:p w14:paraId="6B6D5543" w14:textId="2684B15E"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9a. </w:t>
            </w:r>
            <w:r w:rsidR="00190512" w:rsidRPr="00882AF5">
              <w:rPr>
                <w:rFonts w:eastAsia="맑은 고딕"/>
                <w:lang w:eastAsia="zh-CN"/>
              </w:rPr>
              <w:t xml:space="preserve">Notīriet injekcijas vietu ar spirta salveti, veicot apļveida kustības </w:t>
            </w:r>
            <w:r w:rsidRPr="00666FDE">
              <w:rPr>
                <w:rFonts w:eastAsia="맑은 고딕"/>
                <w:lang w:eastAsia="zh-CN"/>
              </w:rPr>
              <w:t>(</w:t>
            </w:r>
            <w:r w:rsidR="00190512" w:rsidRPr="00882AF5">
              <w:rPr>
                <w:rFonts w:eastAsia="맑은 고딕"/>
                <w:lang w:eastAsia="zh-CN"/>
              </w:rPr>
              <w:t>sk</w:t>
            </w:r>
            <w:r w:rsidR="00077D04">
              <w:rPr>
                <w:rFonts w:eastAsia="맑은 고딕"/>
                <w:lang w:eastAsia="zh-CN"/>
              </w:rPr>
              <w:t>atīt</w:t>
            </w:r>
            <w:r w:rsidR="00190512" w:rsidRPr="00882AF5">
              <w:rPr>
                <w:rFonts w:eastAsia="맑은 고딕"/>
                <w:lang w:eastAsia="zh-CN"/>
              </w:rPr>
              <w:t xml:space="preserve"> </w:t>
            </w:r>
            <w:r w:rsidRPr="00666FDE">
              <w:rPr>
                <w:rFonts w:eastAsia="맑은 고딕"/>
                <w:b/>
                <w:bCs/>
                <w:lang w:eastAsia="zh-CN"/>
              </w:rPr>
              <w:t>J</w:t>
            </w:r>
            <w:r w:rsidR="00190512" w:rsidRPr="00882AF5">
              <w:rPr>
                <w:rFonts w:eastAsia="맑은 고딕"/>
                <w:b/>
                <w:bCs/>
                <w:lang w:eastAsia="zh-CN"/>
              </w:rPr>
              <w:t> attēlu</w:t>
            </w:r>
            <w:r w:rsidRPr="00666FDE">
              <w:rPr>
                <w:rFonts w:eastAsia="맑은 고딕"/>
                <w:lang w:eastAsia="zh-CN"/>
              </w:rPr>
              <w:t>).</w:t>
            </w:r>
          </w:p>
          <w:p w14:paraId="5C6CD417" w14:textId="433CFFB7" w:rsidR="00087196" w:rsidRPr="00666FDE" w:rsidRDefault="00087196" w:rsidP="00087196">
            <w:pPr>
              <w:keepNext/>
              <w:tabs>
                <w:tab w:val="clear" w:pos="567"/>
              </w:tabs>
              <w:suppressAutoHyphens/>
              <w:ind w:left="283"/>
              <w:rPr>
                <w:rFonts w:eastAsia="맑은 고딕"/>
                <w:lang w:eastAsia="zh-CN"/>
              </w:rPr>
            </w:pPr>
            <w:r w:rsidRPr="00666FDE">
              <w:rPr>
                <w:rFonts w:eastAsia="맑은 고딕"/>
                <w:lang w:eastAsia="zh-CN"/>
              </w:rPr>
              <w:t xml:space="preserve">9b. </w:t>
            </w:r>
            <w:r w:rsidR="00190512" w:rsidRPr="00882AF5">
              <w:rPr>
                <w:rFonts w:eastAsia="맑은 고딕"/>
                <w:lang w:eastAsia="zh-CN"/>
              </w:rPr>
              <w:t>Pirms inj</w:t>
            </w:r>
            <w:r w:rsidR="005C00F5" w:rsidRPr="00882AF5">
              <w:rPr>
                <w:rFonts w:eastAsia="맑은 고딕"/>
                <w:lang w:eastAsia="zh-CN"/>
              </w:rPr>
              <w:t>ekcijas ļaujiet ādai nožūt</w:t>
            </w:r>
            <w:r w:rsidRPr="00666FDE">
              <w:rPr>
                <w:rFonts w:eastAsia="맑은 고딕"/>
                <w:lang w:eastAsia="zh-CN"/>
              </w:rPr>
              <w:t>.</w:t>
            </w:r>
          </w:p>
          <w:p w14:paraId="561164B9" w14:textId="2FD8E01E" w:rsidR="00087196" w:rsidRPr="00666FDE" w:rsidRDefault="005C00F5" w:rsidP="00087196">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Nepūtiet</w:t>
            </w:r>
            <w:r w:rsidR="00087196" w:rsidRPr="00666FDE">
              <w:rPr>
                <w:rFonts w:eastAsia="맑은 고딕"/>
                <w:lang w:eastAsia="zh-CN"/>
              </w:rPr>
              <w:t xml:space="preserve"> </w:t>
            </w:r>
            <w:r w:rsidRPr="00882AF5">
              <w:rPr>
                <w:rFonts w:eastAsia="맑은 고딕"/>
                <w:lang w:eastAsia="zh-CN"/>
              </w:rPr>
              <w:t>uz injekcijas vietu vai atkal nepieskarieties tai, pirms veicat injekciju</w:t>
            </w:r>
            <w:r w:rsidR="00087196" w:rsidRPr="00666FDE">
              <w:rPr>
                <w:rFonts w:eastAsia="맑은 고딕"/>
                <w:lang w:eastAsia="zh-CN"/>
              </w:rPr>
              <w:t>.</w:t>
            </w:r>
          </w:p>
        </w:tc>
      </w:tr>
      <w:tr w:rsidR="00087196" w:rsidRPr="00882AF5" w14:paraId="4324487E" w14:textId="77777777" w:rsidTr="004126A3">
        <w:trPr>
          <w:cantSplit/>
        </w:trPr>
        <w:tc>
          <w:tcPr>
            <w:tcW w:w="3010" w:type="dxa"/>
            <w:tcBorders>
              <w:top w:val="nil"/>
              <w:left w:val="single" w:sz="4" w:space="0" w:color="auto"/>
              <w:bottom w:val="single" w:sz="4" w:space="0" w:color="auto"/>
              <w:right w:val="nil"/>
            </w:tcBorders>
            <w:shd w:val="clear" w:color="auto" w:fill="auto"/>
          </w:tcPr>
          <w:p w14:paraId="084CC42D" w14:textId="0F2BF083" w:rsidR="00087196" w:rsidRPr="00666FDE" w:rsidRDefault="00087196" w:rsidP="00087196">
            <w:pPr>
              <w:tabs>
                <w:tab w:val="clear" w:pos="567"/>
              </w:tabs>
              <w:jc w:val="center"/>
              <w:rPr>
                <w:rFonts w:eastAsia="맑은 고딕"/>
                <w:b/>
                <w:bCs/>
                <w:lang w:eastAsia="zh-CN"/>
              </w:rPr>
            </w:pPr>
            <w:r w:rsidRPr="00666FDE">
              <w:rPr>
                <w:rFonts w:eastAsia="맑은 고딕"/>
                <w:b/>
                <w:bCs/>
                <w:lang w:eastAsia="ko-KR"/>
              </w:rPr>
              <w:t>J</w:t>
            </w:r>
            <w:r w:rsidR="002C4561" w:rsidRPr="00882AF5">
              <w:rPr>
                <w:rFonts w:eastAsia="맑은 고딕"/>
                <w:b/>
                <w:bCs/>
                <w:lang w:eastAsia="ko-KR"/>
              </w:rPr>
              <w:t> attēls</w:t>
            </w:r>
          </w:p>
        </w:tc>
        <w:tc>
          <w:tcPr>
            <w:tcW w:w="6054" w:type="dxa"/>
            <w:vMerge/>
            <w:tcBorders>
              <w:left w:val="nil"/>
              <w:bottom w:val="single" w:sz="4" w:space="0" w:color="auto"/>
            </w:tcBorders>
            <w:shd w:val="clear" w:color="auto" w:fill="auto"/>
          </w:tcPr>
          <w:p w14:paraId="040EB437" w14:textId="77777777" w:rsidR="00087196" w:rsidRPr="00666FDE" w:rsidRDefault="00087196" w:rsidP="00087196">
            <w:pPr>
              <w:tabs>
                <w:tab w:val="clear" w:pos="567"/>
              </w:tabs>
              <w:suppressAutoHyphens/>
              <w:rPr>
                <w:rFonts w:eastAsia="맑은 고딕"/>
                <w:b/>
                <w:bCs/>
                <w:lang w:eastAsia="ko-KR"/>
              </w:rPr>
            </w:pPr>
          </w:p>
        </w:tc>
      </w:tr>
    </w:tbl>
    <w:p w14:paraId="01B54A25" w14:textId="77777777" w:rsidR="00F95D89" w:rsidRPr="00882AF5" w:rsidRDefault="00F95D89"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65"/>
        <w:gridCol w:w="6224"/>
      </w:tblGrid>
      <w:tr w:rsidR="00AC0B70" w:rsidRPr="00882AF5" w14:paraId="371E7ED5" w14:textId="77777777" w:rsidTr="00022928">
        <w:trPr>
          <w:cantSplit/>
          <w:tblHeader/>
        </w:trPr>
        <w:tc>
          <w:tcPr>
            <w:tcW w:w="5000" w:type="pct"/>
            <w:gridSpan w:val="2"/>
            <w:tcBorders>
              <w:bottom w:val="single" w:sz="4" w:space="0" w:color="auto"/>
            </w:tcBorders>
            <w:shd w:val="clear" w:color="auto" w:fill="auto"/>
          </w:tcPr>
          <w:p w14:paraId="68B9B340" w14:textId="49B12E5D" w:rsidR="00AC0B70" w:rsidRPr="00666FDE" w:rsidRDefault="002C4561" w:rsidP="00AC0B70">
            <w:pPr>
              <w:keepNext/>
              <w:tabs>
                <w:tab w:val="clear" w:pos="567"/>
              </w:tabs>
              <w:rPr>
                <w:rFonts w:eastAsia="맑은 고딕"/>
                <w:b/>
                <w:bCs/>
                <w:lang w:eastAsia="zh-CN"/>
              </w:rPr>
            </w:pPr>
            <w:r w:rsidRPr="00666FDE">
              <w:rPr>
                <w:rFonts w:eastAsia="맑은 고딕"/>
                <w:b/>
                <w:bCs/>
                <w:lang w:eastAsia="zh-CN"/>
              </w:rPr>
              <w:t>Injekcijas veikšana</w:t>
            </w:r>
          </w:p>
        </w:tc>
      </w:tr>
      <w:tr w:rsidR="00AC0B70" w:rsidRPr="00882AF5" w14:paraId="3DEF79E7" w14:textId="77777777" w:rsidTr="00022928">
        <w:trPr>
          <w:cantSplit/>
        </w:trPr>
        <w:tc>
          <w:tcPr>
            <w:tcW w:w="1650" w:type="pct"/>
            <w:tcBorders>
              <w:top w:val="single" w:sz="4" w:space="0" w:color="auto"/>
              <w:left w:val="single" w:sz="4" w:space="0" w:color="auto"/>
              <w:bottom w:val="nil"/>
              <w:right w:val="nil"/>
            </w:tcBorders>
            <w:shd w:val="clear" w:color="auto" w:fill="auto"/>
          </w:tcPr>
          <w:p w14:paraId="27F49064" w14:textId="77777777" w:rsidR="00AC0B70" w:rsidRPr="00666FDE" w:rsidRDefault="00AC0B70" w:rsidP="00AC0B70">
            <w:pPr>
              <w:keepNext/>
              <w:tabs>
                <w:tab w:val="clear" w:pos="567"/>
              </w:tabs>
              <w:jc w:val="center"/>
              <w:rPr>
                <w:rFonts w:eastAsia="맑은 고딕"/>
                <w:lang w:eastAsia="ko-KR"/>
              </w:rPr>
            </w:pPr>
          </w:p>
          <w:p w14:paraId="6C540C17" w14:textId="3841B8F2" w:rsidR="00AC0B70" w:rsidRPr="00666FDE" w:rsidRDefault="00451C8B" w:rsidP="00AC0B70">
            <w:pPr>
              <w:keepNext/>
              <w:tabs>
                <w:tab w:val="clear" w:pos="567"/>
              </w:tabs>
              <w:jc w:val="center"/>
              <w:rPr>
                <w:rFonts w:eastAsia="맑은 고딕"/>
                <w:lang w:eastAsia="ko-KR"/>
              </w:rPr>
            </w:pPr>
            <w:r>
              <w:rPr>
                <w:rFonts w:eastAsia="맑은 고딕"/>
                <w:noProof/>
                <w:lang w:eastAsia="ko-KR"/>
              </w:rPr>
              <w:pict w14:anchorId="54D4C7D2">
                <v:shape id="_x0000_i1037" type="#_x0000_t75" alt="스케치, 그림, 라인 아트, 클립아트이(가) 표시된 사진&#10;&#10;자동 생성된 설명" style="width:132pt;height:162.75pt;visibility:visible;mso-wrap-style:square">
                  <v:imagedata r:id="rId36" o:title="스케치, 그림, 라인 아트, 클립아트이(가) 표시된 사진&#10;&#10;자동 생성된 설명"/>
                </v:shape>
              </w:pict>
            </w:r>
          </w:p>
          <w:p w14:paraId="6F60BE4C"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shd w:val="clear" w:color="auto" w:fill="auto"/>
          </w:tcPr>
          <w:p w14:paraId="6D7151D5" w14:textId="38AB9BFA" w:rsidR="00AC0B70" w:rsidRPr="00666FDE" w:rsidRDefault="00AC0B70" w:rsidP="00AC0B70">
            <w:pPr>
              <w:keepNext/>
              <w:tabs>
                <w:tab w:val="clear" w:pos="567"/>
              </w:tabs>
              <w:suppressAutoHyphens/>
              <w:ind w:left="284" w:hanging="284"/>
              <w:rPr>
                <w:rFonts w:eastAsia="맑은 고딕"/>
                <w:b/>
                <w:bCs/>
                <w:lang w:eastAsia="zh-CN"/>
              </w:rPr>
            </w:pPr>
            <w:r w:rsidRPr="00666FDE">
              <w:rPr>
                <w:rFonts w:eastAsia="맑은 고딕"/>
                <w:b/>
                <w:bCs/>
                <w:lang w:eastAsia="zh-CN"/>
              </w:rPr>
              <w:t>10.</w:t>
            </w:r>
            <w:r w:rsidRPr="00666FDE">
              <w:rPr>
                <w:rFonts w:eastAsia="맑은 고딕"/>
                <w:lang w:eastAsia="zh-CN"/>
              </w:rPr>
              <w:t xml:space="preserve"> </w:t>
            </w:r>
            <w:r w:rsidR="002C4561" w:rsidRPr="00666FDE">
              <w:rPr>
                <w:rFonts w:eastAsia="맑은 고딕"/>
                <w:b/>
                <w:bCs/>
                <w:lang w:eastAsia="zh-CN"/>
              </w:rPr>
              <w:t>Noņemiet uzgali</w:t>
            </w:r>
            <w:r w:rsidRPr="00666FDE">
              <w:rPr>
                <w:rFonts w:eastAsia="맑은 고딕"/>
                <w:b/>
                <w:bCs/>
                <w:lang w:eastAsia="zh-CN"/>
              </w:rPr>
              <w:t>.</w:t>
            </w:r>
          </w:p>
          <w:p w14:paraId="2F5D4BB2" w14:textId="6C938B20"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10a. </w:t>
            </w:r>
            <w:r w:rsidR="00736CAB" w:rsidRPr="00666FDE">
              <w:rPr>
                <w:rFonts w:eastAsia="맑은 고딕"/>
                <w:lang w:eastAsia="zh-CN"/>
              </w:rPr>
              <w:t xml:space="preserve">Ar vienu roku turiet pilnšļirces </w:t>
            </w:r>
            <w:r w:rsidR="009D4226" w:rsidRPr="00882AF5">
              <w:rPr>
                <w:rFonts w:eastAsia="맑은 고딕"/>
                <w:lang w:eastAsia="zh-CN"/>
              </w:rPr>
              <w:t>cilindru</w:t>
            </w:r>
            <w:r w:rsidR="00736CAB" w:rsidRPr="00666FDE">
              <w:rPr>
                <w:rFonts w:eastAsia="맑은 고딕"/>
                <w:lang w:eastAsia="zh-CN"/>
              </w:rPr>
              <w:t xml:space="preserve"> starp īkšķi un rādītājpirkstu</w:t>
            </w:r>
            <w:r w:rsidRPr="00666FDE">
              <w:rPr>
                <w:rFonts w:eastAsia="맑은 고딕"/>
                <w:lang w:eastAsia="zh-CN"/>
              </w:rPr>
              <w:t xml:space="preserve">. </w:t>
            </w:r>
            <w:r w:rsidR="00736CAB" w:rsidRPr="00666FDE">
              <w:rPr>
                <w:rFonts w:eastAsia="맑은 고딕"/>
                <w:lang w:eastAsia="zh-CN"/>
              </w:rPr>
              <w:t xml:space="preserve">Ar otru roku uzmanīgi </w:t>
            </w:r>
            <w:r w:rsidR="000B6D70" w:rsidRPr="00666FDE">
              <w:rPr>
                <w:rFonts w:eastAsia="맑은 고딕"/>
                <w:lang w:eastAsia="zh-CN"/>
              </w:rPr>
              <w:t xml:space="preserve">noņemiet šļirces uzgali, velkot </w:t>
            </w:r>
            <w:r w:rsidR="005C00F5" w:rsidRPr="00882AF5">
              <w:rPr>
                <w:rFonts w:eastAsia="맑은 고딕"/>
                <w:lang w:eastAsia="zh-CN"/>
              </w:rPr>
              <w:t xml:space="preserve">to </w:t>
            </w:r>
            <w:r w:rsidR="000B6D70" w:rsidRPr="00666FDE">
              <w:rPr>
                <w:rFonts w:eastAsia="맑은 고딕"/>
                <w:lang w:eastAsia="zh-CN"/>
              </w:rPr>
              <w:t>taisn</w:t>
            </w:r>
            <w:r w:rsidR="00F678FF">
              <w:rPr>
                <w:rFonts w:eastAsia="맑은 고딕"/>
                <w:lang w:eastAsia="zh-CN"/>
              </w:rPr>
              <w:t>ā virzienā</w:t>
            </w:r>
            <w:r w:rsidR="000B6D70" w:rsidRPr="00666FDE">
              <w:rPr>
                <w:rFonts w:eastAsia="맑은 고딕"/>
                <w:lang w:eastAsia="zh-CN"/>
              </w:rPr>
              <w:t xml:space="preserve"> </w:t>
            </w:r>
            <w:r w:rsidRPr="00666FDE">
              <w:rPr>
                <w:rFonts w:eastAsia="맑은 고딕"/>
                <w:lang w:eastAsia="zh-CN"/>
              </w:rPr>
              <w:t>(</w:t>
            </w:r>
            <w:r w:rsidR="000B6D70" w:rsidRPr="00666FDE">
              <w:rPr>
                <w:rFonts w:eastAsia="맑은 고딕"/>
                <w:lang w:eastAsia="zh-CN"/>
              </w:rPr>
              <w:t>s</w:t>
            </w:r>
            <w:r w:rsidR="00077D04">
              <w:rPr>
                <w:rFonts w:eastAsia="맑은 고딕"/>
                <w:lang w:eastAsia="zh-CN"/>
              </w:rPr>
              <w:t>katīt</w:t>
            </w:r>
            <w:r w:rsidR="000B6D70" w:rsidRPr="00666FDE">
              <w:rPr>
                <w:rFonts w:eastAsia="맑은 고딕"/>
                <w:lang w:eastAsia="zh-CN"/>
              </w:rPr>
              <w:t xml:space="preserve"> </w:t>
            </w:r>
            <w:r w:rsidRPr="00666FDE">
              <w:rPr>
                <w:rFonts w:eastAsia="맑은 고딕"/>
                <w:b/>
                <w:bCs/>
                <w:lang w:eastAsia="zh-CN"/>
              </w:rPr>
              <w:t>K</w:t>
            </w:r>
            <w:r w:rsidR="000B6D70" w:rsidRPr="00666FDE">
              <w:rPr>
                <w:rFonts w:eastAsia="맑은 고딕"/>
                <w:b/>
                <w:bCs/>
                <w:lang w:eastAsia="zh-CN"/>
              </w:rPr>
              <w:t> attēlu</w:t>
            </w:r>
            <w:r w:rsidRPr="00666FDE">
              <w:rPr>
                <w:rFonts w:eastAsia="맑은 고딕"/>
                <w:lang w:eastAsia="zh-CN"/>
              </w:rPr>
              <w:t>).</w:t>
            </w:r>
          </w:p>
          <w:p w14:paraId="292DB41F" w14:textId="71F0A270" w:rsidR="00AC0B70" w:rsidRPr="00666FDE" w:rsidRDefault="000C25DA"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 xml:space="preserve">Neturiet </w:t>
            </w:r>
            <w:r w:rsidR="00736CAB" w:rsidRPr="00666FDE">
              <w:rPr>
                <w:rFonts w:eastAsia="맑은 고딕"/>
                <w:lang w:eastAsia="zh-CN"/>
              </w:rPr>
              <w:t>šļirces virzuli uzgaļa noņemšanas laikā</w:t>
            </w:r>
            <w:r w:rsidR="00AC0B70" w:rsidRPr="00666FDE">
              <w:rPr>
                <w:rFonts w:eastAsia="맑은 고딕"/>
                <w:lang w:eastAsia="zh-CN"/>
              </w:rPr>
              <w:t>.</w:t>
            </w:r>
          </w:p>
          <w:p w14:paraId="5963D58A" w14:textId="2AC3E7A5" w:rsidR="00AC0B70" w:rsidRPr="00666FDE" w:rsidRDefault="00736CAB"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lang w:eastAsia="zh-CN"/>
              </w:rPr>
              <w:t>Adatas galā var būt redzams šķidruma piliens</w:t>
            </w:r>
            <w:r w:rsidR="00AC0B70" w:rsidRPr="00666FDE">
              <w:rPr>
                <w:rFonts w:eastAsia="맑은 고딕"/>
                <w:lang w:eastAsia="zh-CN"/>
              </w:rPr>
              <w:t>. T</w:t>
            </w:r>
            <w:r w:rsidR="002C4561" w:rsidRPr="00666FDE">
              <w:rPr>
                <w:rFonts w:eastAsia="맑은 고딕"/>
                <w:lang w:eastAsia="zh-CN"/>
              </w:rPr>
              <w:t xml:space="preserve">as ir </w:t>
            </w:r>
            <w:r w:rsidR="00AC0B70" w:rsidRPr="00666FDE">
              <w:rPr>
                <w:rFonts w:eastAsia="맑은 고딕"/>
                <w:lang w:eastAsia="zh-CN"/>
              </w:rPr>
              <w:t>norm</w:t>
            </w:r>
            <w:r w:rsidR="002C4561" w:rsidRPr="00666FDE">
              <w:rPr>
                <w:rFonts w:eastAsia="맑은 고딕"/>
                <w:lang w:eastAsia="zh-CN"/>
              </w:rPr>
              <w:t>ā</w:t>
            </w:r>
            <w:r w:rsidR="00AC0B70" w:rsidRPr="00666FDE">
              <w:rPr>
                <w:rFonts w:eastAsia="맑은 고딕"/>
                <w:lang w:eastAsia="zh-CN"/>
              </w:rPr>
              <w:t>l</w:t>
            </w:r>
            <w:r w:rsidR="002C4561" w:rsidRPr="00666FDE">
              <w:rPr>
                <w:rFonts w:eastAsia="맑은 고딕"/>
                <w:lang w:eastAsia="zh-CN"/>
              </w:rPr>
              <w:t>i</w:t>
            </w:r>
            <w:r w:rsidR="00AC0B70" w:rsidRPr="00666FDE">
              <w:rPr>
                <w:rFonts w:eastAsia="맑은 고딕"/>
                <w:lang w:eastAsia="zh-CN"/>
              </w:rPr>
              <w:t>.</w:t>
            </w:r>
          </w:p>
          <w:p w14:paraId="6603E586" w14:textId="5A0A96D3"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10b. </w:t>
            </w:r>
            <w:r w:rsidR="000B6D70" w:rsidRPr="00666FDE">
              <w:rPr>
                <w:rFonts w:eastAsia="맑은 고딕"/>
                <w:lang w:eastAsia="zh-CN"/>
              </w:rPr>
              <w:t xml:space="preserve">Uzgali uzreiz izmetiet asiem priekšmetiem paredzētajā atkritumu konteinerā </w:t>
            </w:r>
            <w:r w:rsidRPr="00666FDE">
              <w:rPr>
                <w:rFonts w:eastAsia="맑은 고딕"/>
                <w:lang w:eastAsia="zh-CN"/>
              </w:rPr>
              <w:t>(</w:t>
            </w:r>
            <w:r w:rsidR="000B6D70" w:rsidRPr="00666FDE">
              <w:rPr>
                <w:rFonts w:eastAsia="맑은 고딕"/>
                <w:lang w:eastAsia="zh-CN"/>
              </w:rPr>
              <w:t>sk</w:t>
            </w:r>
            <w:r w:rsidR="00077D04">
              <w:rPr>
                <w:rFonts w:eastAsia="맑은 고딕"/>
                <w:lang w:eastAsia="zh-CN"/>
              </w:rPr>
              <w:t>atīt</w:t>
            </w:r>
            <w:r w:rsidR="000B6D70" w:rsidRPr="00666FDE">
              <w:rPr>
                <w:rFonts w:eastAsia="맑은 고딕"/>
                <w:lang w:eastAsia="zh-CN"/>
              </w:rPr>
              <w:t xml:space="preserve"> </w:t>
            </w:r>
            <w:r w:rsidRPr="00666FDE">
              <w:rPr>
                <w:rFonts w:eastAsia="맑은 고딕"/>
                <w:b/>
                <w:bCs/>
                <w:lang w:eastAsia="zh-CN"/>
              </w:rPr>
              <w:t>15</w:t>
            </w:r>
            <w:r w:rsidR="000B6D70" w:rsidRPr="00666FDE">
              <w:rPr>
                <w:rFonts w:eastAsia="맑은 고딕"/>
                <w:b/>
                <w:bCs/>
                <w:lang w:eastAsia="zh-CN"/>
              </w:rPr>
              <w:t>. darbību</w:t>
            </w:r>
            <w:r w:rsidRPr="00666FDE">
              <w:rPr>
                <w:rFonts w:eastAsia="맑은 고딕"/>
                <w:lang w:eastAsia="zh-CN"/>
              </w:rPr>
              <w:t xml:space="preserve"> </w:t>
            </w:r>
            <w:r w:rsidR="000B6D70" w:rsidRPr="00666FDE">
              <w:rPr>
                <w:rFonts w:eastAsia="맑은 고딕"/>
                <w:lang w:eastAsia="zh-CN"/>
              </w:rPr>
              <w:t>un</w:t>
            </w:r>
            <w:r w:rsidRPr="00666FDE">
              <w:rPr>
                <w:rFonts w:eastAsia="맑은 고딕"/>
                <w:lang w:eastAsia="zh-CN"/>
              </w:rPr>
              <w:t xml:space="preserve"> </w:t>
            </w:r>
            <w:r w:rsidRPr="00666FDE">
              <w:rPr>
                <w:rFonts w:eastAsia="맑은 고딕"/>
                <w:b/>
                <w:bCs/>
                <w:lang w:eastAsia="zh-CN"/>
              </w:rPr>
              <w:t>K</w:t>
            </w:r>
            <w:r w:rsidR="000B6D70" w:rsidRPr="00666FDE">
              <w:rPr>
                <w:rFonts w:eastAsia="맑은 고딕"/>
                <w:b/>
                <w:bCs/>
                <w:lang w:eastAsia="zh-CN"/>
              </w:rPr>
              <w:t> attēlu</w:t>
            </w:r>
            <w:r w:rsidRPr="00666FDE">
              <w:rPr>
                <w:rFonts w:eastAsia="맑은 고딕"/>
                <w:lang w:eastAsia="zh-CN"/>
              </w:rPr>
              <w:t>).</w:t>
            </w:r>
          </w:p>
          <w:p w14:paraId="3E893014" w14:textId="07B9D9BA" w:rsidR="00AC0B70" w:rsidRPr="00666FDE" w:rsidRDefault="000C25DA"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Nelietojiet</w:t>
            </w:r>
            <w:r w:rsidR="00AC0B70" w:rsidRPr="00666FDE">
              <w:rPr>
                <w:rFonts w:eastAsia="맑은 고딕"/>
                <w:lang w:eastAsia="zh-CN"/>
              </w:rPr>
              <w:t xml:space="preserve"> </w:t>
            </w:r>
            <w:r w:rsidRPr="00666FDE">
              <w:rPr>
                <w:rFonts w:eastAsia="맑은 고딕"/>
                <w:lang w:eastAsia="zh-CN"/>
              </w:rPr>
              <w:t>pilnšļirci, ja tā ir nokritusi bez adatas uzgaļa. Ja tā notiek, izmantojiet jaunu pilnšļirci.</w:t>
            </w:r>
          </w:p>
          <w:p w14:paraId="30064669" w14:textId="6DC5C3AE" w:rsidR="00AC0B70" w:rsidRPr="00666FDE" w:rsidRDefault="000C25DA"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lang w:eastAsia="zh-CN"/>
              </w:rPr>
              <w:t>Noņemiet adatas uzgali tikai tad, kad esat gatavs(-a) veikt injekciju</w:t>
            </w:r>
            <w:r w:rsidR="00AC0B70" w:rsidRPr="00666FDE">
              <w:rPr>
                <w:rFonts w:eastAsia="맑은 고딕"/>
                <w:lang w:eastAsia="zh-CN"/>
              </w:rPr>
              <w:t>.</w:t>
            </w:r>
          </w:p>
          <w:p w14:paraId="7BC7E722" w14:textId="3AD9468E" w:rsidR="00AC0B70" w:rsidRPr="00666FDE" w:rsidRDefault="002C4561" w:rsidP="00AC0B70">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Neli</w:t>
            </w:r>
            <w:r w:rsidR="000B6D70" w:rsidRPr="00882AF5">
              <w:rPr>
                <w:rFonts w:eastAsia="맑은 고딕"/>
                <w:b/>
                <w:bCs/>
                <w:lang w:eastAsia="zh-CN"/>
              </w:rPr>
              <w:t>e</w:t>
            </w:r>
            <w:r w:rsidRPr="00666FDE">
              <w:rPr>
                <w:rFonts w:eastAsia="맑은 고딕"/>
                <w:b/>
                <w:bCs/>
                <w:lang w:eastAsia="zh-CN"/>
              </w:rPr>
              <w:t>ciet</w:t>
            </w:r>
            <w:r w:rsidR="00AC0B70" w:rsidRPr="00666FDE">
              <w:rPr>
                <w:rFonts w:eastAsia="맑은 고딕"/>
                <w:lang w:eastAsia="zh-CN"/>
              </w:rPr>
              <w:t xml:space="preserve"> </w:t>
            </w:r>
            <w:r w:rsidRPr="00666FDE">
              <w:rPr>
                <w:rFonts w:eastAsia="맑은 고딕"/>
                <w:lang w:eastAsia="zh-CN"/>
              </w:rPr>
              <w:t>atpakaļ uzgali uz pilnšļirces.</w:t>
            </w:r>
          </w:p>
          <w:p w14:paraId="3EFAFE02" w14:textId="5ED7357F" w:rsidR="00AC0B70" w:rsidRPr="00666FDE" w:rsidRDefault="002C4561" w:rsidP="00AC0B70">
            <w:pPr>
              <w:keepNext/>
              <w:numPr>
                <w:ilvl w:val="0"/>
                <w:numId w:val="58"/>
              </w:numPr>
              <w:tabs>
                <w:tab w:val="clear" w:pos="567"/>
                <w:tab w:val="left" w:pos="851"/>
              </w:tabs>
              <w:suppressAutoHyphens/>
              <w:ind w:left="851" w:hanging="284"/>
              <w:rPr>
                <w:rFonts w:eastAsia="맑은 고딕"/>
                <w:lang w:eastAsia="ko-KR"/>
              </w:rPr>
            </w:pPr>
            <w:r w:rsidRPr="00666FDE">
              <w:rPr>
                <w:rFonts w:eastAsia="맑은 고딕"/>
                <w:b/>
                <w:bCs/>
                <w:lang w:eastAsia="zh-CN"/>
              </w:rPr>
              <w:t>Nepieskarieties</w:t>
            </w:r>
            <w:r w:rsidR="00AC0B70" w:rsidRPr="00666FDE">
              <w:rPr>
                <w:rFonts w:eastAsia="맑은 고딕"/>
                <w:lang w:eastAsia="zh-CN"/>
              </w:rPr>
              <w:t xml:space="preserve"> </w:t>
            </w:r>
            <w:r w:rsidRPr="00666FDE">
              <w:rPr>
                <w:rFonts w:eastAsia="맑은 고딕"/>
                <w:lang w:eastAsia="zh-CN"/>
              </w:rPr>
              <w:t>adatai</w:t>
            </w:r>
            <w:r w:rsidR="00AC0B70" w:rsidRPr="00666FDE">
              <w:rPr>
                <w:rFonts w:eastAsia="맑은 고딕"/>
                <w:lang w:eastAsia="zh-CN"/>
              </w:rPr>
              <w:t>.</w:t>
            </w:r>
            <w:r w:rsidR="00E37707" w:rsidRPr="00882AF5">
              <w:rPr>
                <w:rFonts w:eastAsia="맑은 고딕"/>
                <w:lang w:eastAsia="zh-CN"/>
              </w:rPr>
              <w:t xml:space="preserve"> Iespējams savainoties, saduroties ar adatu</w:t>
            </w:r>
            <w:r w:rsidR="00AC0B70" w:rsidRPr="00666FDE">
              <w:rPr>
                <w:rFonts w:eastAsia="맑은 고딕"/>
                <w:lang w:eastAsia="zh-CN"/>
              </w:rPr>
              <w:t>.</w:t>
            </w:r>
          </w:p>
        </w:tc>
      </w:tr>
      <w:tr w:rsidR="00AC0B70" w:rsidRPr="00882AF5" w14:paraId="2B3E6687" w14:textId="77777777" w:rsidTr="00022928">
        <w:trPr>
          <w:cantSplit/>
        </w:trPr>
        <w:tc>
          <w:tcPr>
            <w:tcW w:w="1650" w:type="pct"/>
            <w:tcBorders>
              <w:top w:val="nil"/>
              <w:left w:val="single" w:sz="4" w:space="0" w:color="auto"/>
              <w:bottom w:val="single" w:sz="4" w:space="0" w:color="auto"/>
              <w:right w:val="nil"/>
            </w:tcBorders>
            <w:shd w:val="clear" w:color="auto" w:fill="auto"/>
          </w:tcPr>
          <w:p w14:paraId="27247154" w14:textId="32E42C64" w:rsidR="00AC0B70" w:rsidRPr="00666FDE" w:rsidRDefault="00AC0B70" w:rsidP="00AC0B70">
            <w:pPr>
              <w:tabs>
                <w:tab w:val="clear" w:pos="567"/>
              </w:tabs>
              <w:jc w:val="center"/>
              <w:rPr>
                <w:rFonts w:eastAsia="맑은 고딕"/>
                <w:b/>
                <w:bCs/>
                <w:lang w:eastAsia="ko-KR"/>
              </w:rPr>
            </w:pPr>
            <w:r w:rsidRPr="00666FDE">
              <w:rPr>
                <w:rFonts w:eastAsia="맑은 고딕"/>
                <w:b/>
                <w:bCs/>
                <w:lang w:eastAsia="ko-KR"/>
              </w:rPr>
              <w:t>K</w:t>
            </w:r>
            <w:r w:rsidR="002C4561" w:rsidRPr="00666FDE">
              <w:rPr>
                <w:rFonts w:eastAsia="맑은 고딕"/>
                <w:b/>
                <w:bCs/>
                <w:lang w:eastAsia="ko-KR"/>
              </w:rPr>
              <w:t> attēls</w:t>
            </w:r>
          </w:p>
        </w:tc>
        <w:tc>
          <w:tcPr>
            <w:tcW w:w="3350" w:type="pct"/>
            <w:vMerge/>
            <w:tcBorders>
              <w:top w:val="nil"/>
              <w:left w:val="nil"/>
              <w:bottom w:val="single" w:sz="4" w:space="0" w:color="auto"/>
              <w:right w:val="single" w:sz="4" w:space="0" w:color="auto"/>
            </w:tcBorders>
            <w:shd w:val="clear" w:color="auto" w:fill="auto"/>
          </w:tcPr>
          <w:p w14:paraId="3C1C7843" w14:textId="77777777" w:rsidR="00AC0B70" w:rsidRPr="00666FDE" w:rsidRDefault="00AC0B70" w:rsidP="00AC0B70">
            <w:pPr>
              <w:tabs>
                <w:tab w:val="clear" w:pos="567"/>
              </w:tabs>
              <w:suppressAutoHyphens/>
              <w:rPr>
                <w:rFonts w:eastAsia="맑은 고딕"/>
                <w:b/>
                <w:bCs/>
                <w:lang w:eastAsia="zh-CN"/>
              </w:rPr>
            </w:pPr>
          </w:p>
        </w:tc>
      </w:tr>
      <w:tr w:rsidR="00AC0B70" w:rsidRPr="00882AF5" w14:paraId="40912915" w14:textId="77777777" w:rsidTr="00022928">
        <w:trPr>
          <w:cantSplit/>
        </w:trPr>
        <w:tc>
          <w:tcPr>
            <w:tcW w:w="1650" w:type="pct"/>
            <w:tcBorders>
              <w:top w:val="single" w:sz="4" w:space="0" w:color="auto"/>
              <w:left w:val="single" w:sz="4" w:space="0" w:color="auto"/>
              <w:bottom w:val="nil"/>
              <w:right w:val="nil"/>
            </w:tcBorders>
            <w:shd w:val="clear" w:color="auto" w:fill="auto"/>
            <w:vAlign w:val="center"/>
          </w:tcPr>
          <w:p w14:paraId="13F007C3" w14:textId="57346B56" w:rsidR="00AC0B70" w:rsidRPr="00666FDE" w:rsidRDefault="00000000" w:rsidP="00AC0B70">
            <w:pPr>
              <w:keepNext/>
              <w:tabs>
                <w:tab w:val="clear" w:pos="567"/>
              </w:tabs>
              <w:jc w:val="center"/>
              <w:rPr>
                <w:rFonts w:eastAsia="맑은 고딕"/>
                <w:lang w:eastAsia="zh-CN"/>
              </w:rPr>
            </w:pPr>
            <w:r>
              <w:rPr>
                <w:noProof/>
              </w:rPr>
              <w:lastRenderedPageBreak/>
              <w:pict w14:anchorId="0DA6B961">
                <v:shape id="Text Box 52" o:spid="_x0000_s2123" type="#_x0000_t202" style="position:absolute;left:0;text-align:left;margin-left:113.95pt;margin-top:151.35pt;width:26.1pt;height:36.85pt;z-index:2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DICPqNsBAACYAwAADgAAAAAAAAAAAAAAAAAuAgAAZHJzL2Uyb0RvYy54bWxQSwECLQAUAAYA&#10;CAAAACEAA6EtVOEAAAALAQAADwAAAAAAAAAAAAAAAAA1BAAAZHJzL2Rvd25yZXYueG1sUEsFBgAA&#10;AAAEAAQA8wAAAEMFAAAAAA==&#10;" filled="f" stroked="f">
                  <v:textbox inset="0,0,0,0">
                    <w:txbxContent>
                      <w:p w14:paraId="16DF8020" w14:textId="77777777" w:rsidR="00AC0B70" w:rsidRPr="00D723EF" w:rsidRDefault="00AC0B70" w:rsidP="00AC0B7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548C1C2A">
                <v:shape id="Text Box 51" o:spid="_x0000_s2122" type="#_x0000_t202" style="position:absolute;left:0;text-align:left;margin-left:54.65pt;margin-top:42.25pt;width:54pt;height:36.85pt;z-index: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" filled="f" stroked="f">
                  <v:textbox inset="0,0,0,0">
                    <w:txbxContent>
                      <w:p w14:paraId="02AB5E51" w14:textId="77777777" w:rsidR="00AC0B70" w:rsidRPr="00D723EF" w:rsidRDefault="00AC0B70" w:rsidP="00AC0B70">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3CEFA9F4">
                <v:shape id="Text Box 50" o:spid="_x0000_s2121" type="#_x0000_t202" style="position:absolute;left:0;text-align:left;margin-left:43.95pt;margin-top:123.8pt;width:50pt;height:31.5pt;z-index: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NA3&#10;CFPZAQAAmAMAAA4AAAAAAAAAAAAAAAAALgIAAGRycy9lMm9Eb2MueG1sUEsBAi0AFAAGAAgAAAAh&#10;ACTP8ibeAAAACgEAAA8AAAAAAAAAAAAAAAAAMwQAAGRycy9kb3ducmV2LnhtbFBLBQYAAAAABAAE&#10;APMAAAA+BQAAAAA=&#10;" filled="f" stroked="f">
                  <v:textbox inset="0,0,0,0">
                    <w:txbxContent>
                      <w:p w14:paraId="614DE2B4" w14:textId="4A538918" w:rsidR="00AC0B70" w:rsidRPr="00666FDE" w:rsidRDefault="00074009" w:rsidP="00AC0B70">
                        <w:pPr>
                          <w:jc w:val="center"/>
                          <w:rPr>
                            <w:rFonts w:ascii="Arial" w:hAnsi="Arial" w:cs="Arial"/>
                            <w:b/>
                            <w:bCs/>
                            <w:color w:val="FFFFFF"/>
                            <w:sz w:val="24"/>
                            <w:szCs w:val="24"/>
                            <w:lang w:val="pl-PL"/>
                          </w:rPr>
                        </w:pPr>
                        <w:r>
                          <w:rPr>
                            <w:rFonts w:ascii="Arial" w:hAnsi="Arial" w:cs="Arial"/>
                            <w:b/>
                            <w:bCs/>
                            <w:color w:val="FFFFFF"/>
                            <w:sz w:val="24"/>
                            <w:szCs w:val="24"/>
                            <w:lang w:val="pl-PL"/>
                          </w:rPr>
                          <w:t>VAI</w:t>
                        </w:r>
                      </w:p>
                    </w:txbxContent>
                  </v:textbox>
                  <w10:wrap anchory="page"/>
                  <w10:anchorlock/>
                </v:shape>
              </w:pict>
            </w:r>
          </w:p>
          <w:p w14:paraId="7A667896" w14:textId="7FAEB25E" w:rsidR="00AC0B70" w:rsidRPr="00666FDE" w:rsidRDefault="00451C8B" w:rsidP="00AC0B70">
            <w:pPr>
              <w:keepNext/>
              <w:tabs>
                <w:tab w:val="clear" w:pos="567"/>
              </w:tabs>
              <w:jc w:val="center"/>
              <w:rPr>
                <w:rFonts w:eastAsia="맑은 고딕"/>
                <w:lang w:eastAsia="zh-CN"/>
              </w:rPr>
            </w:pPr>
            <w:r>
              <w:rPr>
                <w:rFonts w:eastAsia="맑은 고딕"/>
                <w:noProof/>
                <w:lang w:eastAsia="zh-CN"/>
              </w:rPr>
              <w:pict w14:anchorId="7B057D37">
                <v:shape id="_x0000_i1038" type="#_x0000_t75" style="width:135.75pt;height:232.5pt;visibility:visible;mso-wrap-style:square">
                  <v:imagedata r:id="rId37" o:title="" croptop="1682f" cropbottom="1135f" cropleft="1893f" cropright="2129f"/>
                </v:shape>
              </w:pict>
            </w:r>
          </w:p>
          <w:p w14:paraId="482D0DE6"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shd w:val="clear" w:color="auto" w:fill="auto"/>
          </w:tcPr>
          <w:p w14:paraId="037B10B1" w14:textId="2DA35ACC" w:rsidR="00AC0B70" w:rsidRPr="00666FDE" w:rsidRDefault="00AC0B70" w:rsidP="00AC0B70">
            <w:pPr>
              <w:keepNext/>
              <w:tabs>
                <w:tab w:val="clear" w:pos="567"/>
              </w:tabs>
              <w:suppressAutoHyphens/>
              <w:ind w:left="284" w:hanging="284"/>
              <w:rPr>
                <w:rFonts w:eastAsia="맑은 고딕"/>
                <w:b/>
                <w:bCs/>
                <w:lang w:eastAsia="ko-KR"/>
              </w:rPr>
            </w:pPr>
            <w:r w:rsidRPr="00666FDE">
              <w:rPr>
                <w:rFonts w:eastAsia="맑은 고딕"/>
                <w:b/>
                <w:bCs/>
                <w:lang w:eastAsia="ko-KR"/>
              </w:rPr>
              <w:t xml:space="preserve">11. </w:t>
            </w:r>
            <w:r w:rsidR="000B6D70" w:rsidRPr="00882AF5">
              <w:rPr>
                <w:rFonts w:eastAsia="맑은 고딕"/>
                <w:b/>
                <w:bCs/>
                <w:lang w:eastAsia="zh-CN"/>
              </w:rPr>
              <w:t>Ievadiet pilnšļirci injekcijas vietā.</w:t>
            </w:r>
          </w:p>
          <w:p w14:paraId="233C0B81" w14:textId="33878379"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11a. </w:t>
            </w:r>
            <w:r w:rsidR="00C345F1">
              <w:rPr>
                <w:rFonts w:eastAsia="맑은 고딕"/>
                <w:lang w:eastAsia="zh-CN"/>
              </w:rPr>
              <w:t>Ar vienu roku t</w:t>
            </w:r>
            <w:r w:rsidR="000B6D70" w:rsidRPr="00882AF5">
              <w:rPr>
                <w:rFonts w:eastAsia="맑은 고딕"/>
                <w:lang w:eastAsia="zh-CN"/>
              </w:rPr>
              <w:t xml:space="preserve">uriet pilnšļirces </w:t>
            </w:r>
            <w:r w:rsidR="00E37707" w:rsidRPr="00882AF5">
              <w:rPr>
                <w:rFonts w:eastAsia="맑은 고딕"/>
                <w:lang w:eastAsia="zh-CN"/>
              </w:rPr>
              <w:t>cilindru</w:t>
            </w:r>
            <w:r w:rsidR="000B6D70" w:rsidRPr="00882AF5">
              <w:rPr>
                <w:rFonts w:eastAsia="맑은 고딕"/>
                <w:lang w:eastAsia="zh-CN"/>
              </w:rPr>
              <w:t xml:space="preserve"> starp īkšķi un rādītājpirkstu</w:t>
            </w:r>
            <w:r w:rsidRPr="00666FDE">
              <w:rPr>
                <w:rFonts w:eastAsia="맑은 고딕"/>
                <w:lang w:eastAsia="zh-CN"/>
              </w:rPr>
              <w:t>.</w:t>
            </w:r>
          </w:p>
          <w:p w14:paraId="519205FD" w14:textId="24C0BD15"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11b. </w:t>
            </w:r>
            <w:r w:rsidR="000B6D70" w:rsidRPr="00882AF5">
              <w:rPr>
                <w:rFonts w:eastAsia="맑은 고딕"/>
                <w:lang w:eastAsia="zh-CN"/>
              </w:rPr>
              <w:t>Ar otr</w:t>
            </w:r>
            <w:r w:rsidR="00E91958" w:rsidRPr="00882AF5">
              <w:rPr>
                <w:rFonts w:eastAsia="맑은 고딕"/>
                <w:lang w:eastAsia="zh-CN"/>
              </w:rPr>
              <w:t xml:space="preserve">as </w:t>
            </w:r>
            <w:r w:rsidR="000B6D70" w:rsidRPr="00882AF5">
              <w:rPr>
                <w:rFonts w:eastAsia="맑은 고딕"/>
                <w:lang w:eastAsia="zh-CN"/>
              </w:rPr>
              <w:t>rok</w:t>
            </w:r>
            <w:r w:rsidR="00E91958" w:rsidRPr="00882AF5">
              <w:rPr>
                <w:rFonts w:eastAsia="맑은 고딕"/>
                <w:lang w:eastAsia="zh-CN"/>
              </w:rPr>
              <w:t>as īkšķi un rādītājpirkstu</w:t>
            </w:r>
            <w:r w:rsidR="000B6D70" w:rsidRPr="00882AF5">
              <w:rPr>
                <w:rFonts w:eastAsia="맑은 고딕"/>
                <w:lang w:eastAsia="zh-CN"/>
              </w:rPr>
              <w:t xml:space="preserve"> maigi saspiediet notīrīto ādu</w:t>
            </w:r>
            <w:r w:rsidRPr="00666FDE">
              <w:rPr>
                <w:rFonts w:eastAsia="맑은 고딕"/>
                <w:lang w:eastAsia="zh-CN"/>
              </w:rPr>
              <w:t xml:space="preserve">. </w:t>
            </w:r>
            <w:r w:rsidR="00E91958" w:rsidRPr="00882AF5">
              <w:rPr>
                <w:rFonts w:eastAsia="맑은 고딕"/>
                <w:b/>
                <w:bCs/>
                <w:lang w:eastAsia="zh-CN"/>
              </w:rPr>
              <w:t>Nespiediet</w:t>
            </w:r>
            <w:r w:rsidRPr="00666FDE">
              <w:rPr>
                <w:rFonts w:eastAsia="맑은 고딕"/>
                <w:lang w:eastAsia="zh-CN"/>
              </w:rPr>
              <w:t xml:space="preserve"> </w:t>
            </w:r>
            <w:r w:rsidR="00E91958" w:rsidRPr="00882AF5">
              <w:rPr>
                <w:rFonts w:eastAsia="맑은 고딕"/>
                <w:lang w:eastAsia="zh-CN"/>
              </w:rPr>
              <w:t>stingri</w:t>
            </w:r>
            <w:r w:rsidRPr="00666FDE">
              <w:rPr>
                <w:rFonts w:eastAsia="맑은 고딕"/>
                <w:lang w:eastAsia="zh-CN"/>
              </w:rPr>
              <w:t>.</w:t>
            </w:r>
          </w:p>
          <w:p w14:paraId="69FCA89A" w14:textId="3E625C72" w:rsidR="00AC0B70" w:rsidRPr="00666FDE" w:rsidRDefault="00E91958" w:rsidP="00AC0B70">
            <w:pPr>
              <w:keepNext/>
              <w:tabs>
                <w:tab w:val="clear" w:pos="567"/>
              </w:tabs>
              <w:suppressAutoHyphens/>
              <w:ind w:left="283"/>
              <w:rPr>
                <w:rFonts w:eastAsia="맑은 고딕"/>
                <w:lang w:eastAsia="zh-CN"/>
              </w:rPr>
            </w:pPr>
            <w:r w:rsidRPr="00882AF5">
              <w:rPr>
                <w:rFonts w:eastAsia="맑은 고딕"/>
                <w:i/>
                <w:iCs/>
                <w:lang w:eastAsia="zh-CN"/>
              </w:rPr>
              <w:t>Piezīme.</w:t>
            </w:r>
            <w:r w:rsidR="00AC0B70" w:rsidRPr="00666FDE">
              <w:rPr>
                <w:rFonts w:eastAsia="맑은 고딕"/>
                <w:lang w:eastAsia="zh-CN"/>
              </w:rPr>
              <w:t xml:space="preserve"> </w:t>
            </w:r>
            <w:r w:rsidR="00E027BC" w:rsidRPr="00882AF5">
              <w:rPr>
                <w:rFonts w:eastAsia="맑은 고딕"/>
                <w:lang w:eastAsia="zh-CN"/>
              </w:rPr>
              <w:t xml:space="preserve">Ir svarīgi adatas ievadīšanas laikā turēt ādu saspiestu starp pirkstiem, lai nodrošinātu, ka injekcija tiks veikta zem ādas </w:t>
            </w:r>
            <w:r w:rsidR="00AC0B70" w:rsidRPr="00666FDE">
              <w:rPr>
                <w:rFonts w:eastAsia="맑은 고딕"/>
                <w:lang w:eastAsia="zh-CN"/>
              </w:rPr>
              <w:t>(</w:t>
            </w:r>
            <w:r w:rsidR="00E027BC" w:rsidRPr="00882AF5">
              <w:rPr>
                <w:rFonts w:eastAsia="맑은 고딕"/>
                <w:lang w:eastAsia="zh-CN"/>
              </w:rPr>
              <w:t>tauku slānī</w:t>
            </w:r>
            <w:r w:rsidR="00AC0B70" w:rsidRPr="00666FDE">
              <w:rPr>
                <w:rFonts w:eastAsia="맑은 고딕"/>
                <w:lang w:eastAsia="zh-CN"/>
              </w:rPr>
              <w:t>)</w:t>
            </w:r>
            <w:r w:rsidR="00E027BC" w:rsidRPr="00882AF5">
              <w:rPr>
                <w:rFonts w:eastAsia="맑은 고딕"/>
                <w:lang w:eastAsia="zh-CN"/>
              </w:rPr>
              <w:t xml:space="preserve">, bet ne dziļāk </w:t>
            </w:r>
            <w:r w:rsidR="00AC0B70" w:rsidRPr="00666FDE">
              <w:rPr>
                <w:rFonts w:eastAsia="맑은 고딕"/>
                <w:lang w:eastAsia="zh-CN"/>
              </w:rPr>
              <w:t>(</w:t>
            </w:r>
            <w:r w:rsidR="00E027BC" w:rsidRPr="00882AF5">
              <w:rPr>
                <w:rFonts w:eastAsia="맑은 고딕"/>
                <w:lang w:eastAsia="zh-CN"/>
              </w:rPr>
              <w:t>muskulī</w:t>
            </w:r>
            <w:r w:rsidR="00AC0B70" w:rsidRPr="00666FDE">
              <w:rPr>
                <w:rFonts w:eastAsia="맑은 고딕"/>
                <w:lang w:eastAsia="zh-CN"/>
              </w:rPr>
              <w:t>).</w:t>
            </w:r>
          </w:p>
          <w:p w14:paraId="1CDD1927" w14:textId="2A5C3F51"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11c. </w:t>
            </w:r>
            <w:r w:rsidR="00E027BC" w:rsidRPr="00882AF5">
              <w:rPr>
                <w:rFonts w:eastAsia="맑은 고딕"/>
                <w:lang w:eastAsia="zh-CN"/>
              </w:rPr>
              <w:t>Ar ātru</w:t>
            </w:r>
            <w:r w:rsidR="00A20B35" w:rsidRPr="00882AF5">
              <w:rPr>
                <w:rFonts w:eastAsia="맑은 고딕"/>
                <w:lang w:eastAsia="zh-CN"/>
              </w:rPr>
              <w:t xml:space="preserve"> kustību, līdzīg</w:t>
            </w:r>
            <w:r w:rsidR="00E37707" w:rsidRPr="00882AF5">
              <w:rPr>
                <w:rFonts w:eastAsia="맑은 고딕"/>
                <w:lang w:eastAsia="zh-CN"/>
              </w:rPr>
              <w:t>i</w:t>
            </w:r>
            <w:r w:rsidR="00A20B35" w:rsidRPr="00882AF5">
              <w:rPr>
                <w:rFonts w:eastAsia="맑은 고딕"/>
                <w:lang w:eastAsia="zh-CN"/>
              </w:rPr>
              <w:t xml:space="preserve"> kā metot šautriņu, ievadiet </w:t>
            </w:r>
            <w:r w:rsidR="006A7FBC">
              <w:rPr>
                <w:rFonts w:eastAsia="맑은 고딕"/>
                <w:lang w:eastAsia="zh-CN"/>
              </w:rPr>
              <w:t>a</w:t>
            </w:r>
            <w:r w:rsidR="00A20B35" w:rsidRPr="00882AF5">
              <w:rPr>
                <w:rFonts w:eastAsia="맑은 고딕"/>
                <w:lang w:eastAsia="zh-CN"/>
              </w:rPr>
              <w:t xml:space="preserve">datu līdz galam </w:t>
            </w:r>
            <w:r w:rsidR="00D52279" w:rsidRPr="00882AF5">
              <w:rPr>
                <w:rFonts w:eastAsia="맑은 고딕"/>
                <w:lang w:eastAsia="zh-CN"/>
              </w:rPr>
              <w:t xml:space="preserve">ādas krokā </w:t>
            </w:r>
            <w:r w:rsidRPr="00666FDE">
              <w:rPr>
                <w:rFonts w:eastAsia="맑은 고딕"/>
                <w:lang w:eastAsia="zh-CN"/>
              </w:rPr>
              <w:t>45</w:t>
            </w:r>
            <w:r w:rsidR="00D52279" w:rsidRPr="00882AF5">
              <w:rPr>
                <w:rFonts w:eastAsia="맑은 고딕"/>
                <w:lang w:eastAsia="zh-CN"/>
              </w:rPr>
              <w:t xml:space="preserve"> grādu leņķī </w:t>
            </w:r>
            <w:r w:rsidRPr="00666FDE">
              <w:rPr>
                <w:rFonts w:eastAsia="맑은 고딕"/>
                <w:lang w:eastAsia="zh-CN"/>
              </w:rPr>
              <w:t>(s</w:t>
            </w:r>
            <w:r w:rsidR="00E91958" w:rsidRPr="00882AF5">
              <w:rPr>
                <w:rFonts w:eastAsia="맑은 고딕"/>
                <w:lang w:eastAsia="zh-CN"/>
              </w:rPr>
              <w:t>k</w:t>
            </w:r>
            <w:r w:rsidR="00077D04">
              <w:rPr>
                <w:rFonts w:eastAsia="맑은 고딕"/>
                <w:lang w:eastAsia="zh-CN"/>
              </w:rPr>
              <w:t>atīt</w:t>
            </w:r>
            <w:r w:rsidRPr="00666FDE">
              <w:rPr>
                <w:rFonts w:eastAsia="맑은 고딕"/>
                <w:lang w:eastAsia="zh-CN"/>
              </w:rPr>
              <w:t xml:space="preserve"> </w:t>
            </w:r>
            <w:r w:rsidRPr="00666FDE">
              <w:rPr>
                <w:rFonts w:eastAsia="맑은 고딕"/>
                <w:b/>
                <w:bCs/>
                <w:lang w:eastAsia="zh-CN"/>
              </w:rPr>
              <w:t>L</w:t>
            </w:r>
            <w:r w:rsidR="00E91958" w:rsidRPr="00882AF5">
              <w:rPr>
                <w:rFonts w:eastAsia="맑은 고딕"/>
                <w:b/>
                <w:bCs/>
                <w:lang w:eastAsia="zh-CN"/>
              </w:rPr>
              <w:t> attēlu</w:t>
            </w:r>
            <w:r w:rsidRPr="00666FDE">
              <w:rPr>
                <w:rFonts w:eastAsia="맑은 고딕"/>
                <w:lang w:eastAsia="zh-CN"/>
              </w:rPr>
              <w:t>).</w:t>
            </w:r>
          </w:p>
          <w:p w14:paraId="691AB4A6" w14:textId="734D48F4" w:rsidR="00AC0B70" w:rsidRPr="00666FDE" w:rsidRDefault="00D52279" w:rsidP="00AC0B70">
            <w:pPr>
              <w:keepNext/>
              <w:numPr>
                <w:ilvl w:val="0"/>
                <w:numId w:val="58"/>
              </w:numPr>
              <w:tabs>
                <w:tab w:val="clear" w:pos="567"/>
                <w:tab w:val="left" w:pos="851"/>
              </w:tabs>
              <w:suppressAutoHyphens/>
              <w:ind w:left="851" w:hanging="284"/>
              <w:rPr>
                <w:rFonts w:eastAsia="맑은 고딕"/>
                <w:lang w:eastAsia="ko-KR"/>
              </w:rPr>
            </w:pPr>
            <w:r w:rsidRPr="00882AF5">
              <w:rPr>
                <w:rFonts w:eastAsia="맑은 고딕"/>
                <w:b/>
                <w:bCs/>
                <w:lang w:eastAsia="zh-CN"/>
              </w:rPr>
              <w:t xml:space="preserve">Nevelciet </w:t>
            </w:r>
            <w:r w:rsidR="00870FD0" w:rsidRPr="00882AF5">
              <w:rPr>
                <w:rFonts w:eastAsia="맑은 고딕"/>
                <w:b/>
                <w:bCs/>
                <w:lang w:eastAsia="zh-CN"/>
              </w:rPr>
              <w:t xml:space="preserve">atpakaļ šļirces virzuli </w:t>
            </w:r>
            <w:r w:rsidRPr="00882AF5">
              <w:rPr>
                <w:rFonts w:eastAsia="맑은 고딕"/>
                <w:b/>
                <w:bCs/>
                <w:lang w:eastAsia="zh-CN"/>
              </w:rPr>
              <w:t>nevienā brīdī</w:t>
            </w:r>
            <w:r w:rsidR="00AC0B70" w:rsidRPr="00666FDE">
              <w:rPr>
                <w:rFonts w:eastAsia="맑은 고딕"/>
                <w:b/>
                <w:bCs/>
                <w:lang w:eastAsia="zh-CN"/>
              </w:rPr>
              <w:t>.</w:t>
            </w:r>
          </w:p>
        </w:tc>
      </w:tr>
      <w:tr w:rsidR="00AC0B70" w:rsidRPr="00882AF5" w14:paraId="6E9477ED" w14:textId="77777777" w:rsidTr="00022928">
        <w:trPr>
          <w:cantSplit/>
        </w:trPr>
        <w:tc>
          <w:tcPr>
            <w:tcW w:w="1650" w:type="pct"/>
            <w:tcBorders>
              <w:top w:val="nil"/>
              <w:left w:val="single" w:sz="4" w:space="0" w:color="auto"/>
              <w:bottom w:val="single" w:sz="4" w:space="0" w:color="auto"/>
              <w:right w:val="nil"/>
            </w:tcBorders>
            <w:shd w:val="clear" w:color="auto" w:fill="auto"/>
          </w:tcPr>
          <w:p w14:paraId="1BE1F03C" w14:textId="2DEB68D5" w:rsidR="00AC0B70" w:rsidRPr="00666FDE" w:rsidRDefault="00AC0B70" w:rsidP="00AC0B70">
            <w:pPr>
              <w:tabs>
                <w:tab w:val="clear" w:pos="567"/>
              </w:tabs>
              <w:jc w:val="center"/>
              <w:rPr>
                <w:rFonts w:eastAsia="맑은 고딕"/>
                <w:b/>
                <w:bCs/>
                <w:lang w:eastAsia="ko-KR"/>
              </w:rPr>
            </w:pPr>
            <w:r w:rsidRPr="00666FDE">
              <w:rPr>
                <w:rFonts w:eastAsia="맑은 고딕"/>
                <w:b/>
                <w:bCs/>
                <w:lang w:eastAsia="ko-KR"/>
              </w:rPr>
              <w:t>L</w:t>
            </w:r>
            <w:r w:rsidR="00E91958" w:rsidRPr="00882AF5">
              <w:rPr>
                <w:rFonts w:eastAsia="맑은 고딕"/>
                <w:b/>
                <w:bCs/>
                <w:lang w:eastAsia="ko-KR"/>
              </w:rPr>
              <w:t> attēls</w:t>
            </w:r>
          </w:p>
        </w:tc>
        <w:tc>
          <w:tcPr>
            <w:tcW w:w="3350" w:type="pct"/>
            <w:vMerge/>
            <w:tcBorders>
              <w:top w:val="nil"/>
              <w:left w:val="nil"/>
              <w:bottom w:val="single" w:sz="4" w:space="0" w:color="auto"/>
              <w:right w:val="single" w:sz="4" w:space="0" w:color="auto"/>
            </w:tcBorders>
            <w:shd w:val="clear" w:color="auto" w:fill="auto"/>
          </w:tcPr>
          <w:p w14:paraId="45C9ECF6" w14:textId="77777777" w:rsidR="00AC0B70" w:rsidRPr="00666FDE" w:rsidRDefault="00AC0B70" w:rsidP="00AC0B70">
            <w:pPr>
              <w:tabs>
                <w:tab w:val="clear" w:pos="567"/>
              </w:tabs>
              <w:suppressAutoHyphens/>
              <w:rPr>
                <w:rFonts w:eastAsia="맑은 고딕"/>
                <w:b/>
                <w:bCs/>
                <w:lang w:eastAsia="ko-KR"/>
              </w:rPr>
            </w:pPr>
          </w:p>
        </w:tc>
      </w:tr>
      <w:tr w:rsidR="00AC0B70" w:rsidRPr="00882AF5" w14:paraId="17300C6E" w14:textId="77777777" w:rsidTr="00022928">
        <w:trPr>
          <w:cantSplit/>
        </w:trPr>
        <w:tc>
          <w:tcPr>
            <w:tcW w:w="1650" w:type="pct"/>
            <w:tcBorders>
              <w:top w:val="single" w:sz="4" w:space="0" w:color="auto"/>
              <w:left w:val="single" w:sz="4" w:space="0" w:color="auto"/>
              <w:bottom w:val="nil"/>
              <w:right w:val="nil"/>
            </w:tcBorders>
            <w:shd w:val="clear" w:color="auto" w:fill="auto"/>
            <w:vAlign w:val="center"/>
          </w:tcPr>
          <w:p w14:paraId="50C9A1C7" w14:textId="77777777" w:rsidR="00AC0B70" w:rsidRPr="00666FDE" w:rsidRDefault="00AC0B70" w:rsidP="00AC0B70">
            <w:pPr>
              <w:keepNext/>
              <w:tabs>
                <w:tab w:val="clear" w:pos="567"/>
              </w:tabs>
              <w:jc w:val="center"/>
              <w:rPr>
                <w:rFonts w:eastAsia="맑은 고딕"/>
                <w:lang w:eastAsia="zh-CN"/>
              </w:rPr>
            </w:pPr>
          </w:p>
          <w:p w14:paraId="625031AC" w14:textId="3B3E99AF" w:rsidR="00AC0B70" w:rsidRPr="00666FDE" w:rsidRDefault="00451C8B" w:rsidP="00AC0B70">
            <w:pPr>
              <w:keepNext/>
              <w:tabs>
                <w:tab w:val="clear" w:pos="567"/>
              </w:tabs>
              <w:jc w:val="center"/>
              <w:rPr>
                <w:rFonts w:eastAsia="맑은 고딕"/>
                <w:lang w:eastAsia="zh-CN"/>
              </w:rPr>
            </w:pPr>
            <w:r>
              <w:rPr>
                <w:rFonts w:eastAsia="맑은 고딕"/>
                <w:noProof/>
                <w:lang w:eastAsia="zh-CN"/>
              </w:rPr>
              <w:pict w14:anchorId="0F1EF3AD">
                <v:shape id="_x0000_i1039" type="#_x0000_t75" alt="스케치, 그림, 클립아트, 라인 아트이(가) 표시된 사진&#10;&#10;자동 생성된 설명" style="width:129.75pt;height:160.5pt;visibility:visible;mso-wrap-style:square">
                  <v:imagedata r:id="rId38" o:title="스케치, 그림, 클립아트, 라인 아트이(가) 표시된 사진&#10;&#10;자동 생성된 설명"/>
                </v:shape>
              </w:pict>
            </w:r>
          </w:p>
          <w:p w14:paraId="398E8048"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shd w:val="clear" w:color="auto" w:fill="auto"/>
          </w:tcPr>
          <w:p w14:paraId="2ADC1A1B" w14:textId="0C758224" w:rsidR="00AC0B70" w:rsidRPr="00666FDE" w:rsidRDefault="00AC0B70" w:rsidP="00AC0B70">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12. </w:t>
            </w:r>
            <w:r w:rsidR="00D52279" w:rsidRPr="00882AF5">
              <w:rPr>
                <w:rFonts w:eastAsia="맑은 고딕"/>
                <w:b/>
                <w:bCs/>
                <w:lang w:eastAsia="zh-CN"/>
              </w:rPr>
              <w:t>Ievadiet injekciju</w:t>
            </w:r>
            <w:r w:rsidRPr="00666FDE">
              <w:rPr>
                <w:rFonts w:eastAsia="맑은 고딕"/>
                <w:b/>
                <w:bCs/>
                <w:lang w:eastAsia="zh-CN"/>
              </w:rPr>
              <w:t>.</w:t>
            </w:r>
          </w:p>
          <w:p w14:paraId="58E25061" w14:textId="427FCD7D"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12a. </w:t>
            </w:r>
            <w:r w:rsidR="00D52279" w:rsidRPr="00882AF5">
              <w:rPr>
                <w:rFonts w:eastAsia="맑은 고딕"/>
                <w:lang w:eastAsia="zh-CN"/>
              </w:rPr>
              <w:t xml:space="preserve">Kad adata ir </w:t>
            </w:r>
            <w:r w:rsidR="006A7FBC">
              <w:rPr>
                <w:rFonts w:eastAsia="맑은 고딕"/>
                <w:lang w:eastAsia="zh-CN"/>
              </w:rPr>
              <w:t>iedurta</w:t>
            </w:r>
            <w:r w:rsidR="00D52279" w:rsidRPr="00882AF5">
              <w:rPr>
                <w:rFonts w:eastAsia="맑은 고딕"/>
                <w:lang w:eastAsia="zh-CN"/>
              </w:rPr>
              <w:t>, atlaidiet saspiesto ādas kroku</w:t>
            </w:r>
            <w:r w:rsidRPr="00666FDE">
              <w:rPr>
                <w:rFonts w:eastAsia="맑은 고딕"/>
                <w:lang w:eastAsia="zh-CN"/>
              </w:rPr>
              <w:t>.</w:t>
            </w:r>
          </w:p>
          <w:p w14:paraId="7D327985" w14:textId="42327463"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12b. </w:t>
            </w:r>
            <w:r w:rsidR="00D52279" w:rsidRPr="00882AF5">
              <w:rPr>
                <w:rFonts w:eastAsia="맑은 고딕"/>
                <w:lang w:eastAsia="zh-CN"/>
              </w:rPr>
              <w:t xml:space="preserve">Lēnām bīdiet šļirces virzuli </w:t>
            </w:r>
            <w:r w:rsidR="00D52279" w:rsidRPr="00882AF5">
              <w:rPr>
                <w:rFonts w:eastAsia="맑은 고딕"/>
                <w:b/>
                <w:bCs/>
                <w:lang w:eastAsia="zh-CN"/>
              </w:rPr>
              <w:t>līdz galam uz leju</w:t>
            </w:r>
            <w:r w:rsidR="00D52279" w:rsidRPr="00882AF5">
              <w:rPr>
                <w:rFonts w:eastAsia="맑은 고딕"/>
                <w:lang w:eastAsia="zh-CN"/>
              </w:rPr>
              <w:t xml:space="preserve">, līdz ir ievadīta visa zāļu deva un šļirce ir tukša </w:t>
            </w:r>
            <w:r w:rsidRPr="00666FDE">
              <w:rPr>
                <w:rFonts w:eastAsia="맑은 고딕"/>
                <w:lang w:eastAsia="zh-CN"/>
              </w:rPr>
              <w:t>(</w:t>
            </w:r>
            <w:r w:rsidR="00D52279" w:rsidRPr="00882AF5">
              <w:rPr>
                <w:rFonts w:eastAsia="맑은 고딕"/>
                <w:lang w:eastAsia="zh-CN"/>
              </w:rPr>
              <w:t>sk</w:t>
            </w:r>
            <w:r w:rsidR="00077D04">
              <w:rPr>
                <w:rFonts w:eastAsia="맑은 고딕"/>
                <w:lang w:eastAsia="zh-CN"/>
              </w:rPr>
              <w:t>atīt</w:t>
            </w:r>
            <w:r w:rsidR="00D52279" w:rsidRPr="00882AF5">
              <w:rPr>
                <w:rFonts w:eastAsia="맑은 고딕"/>
                <w:lang w:eastAsia="zh-CN"/>
              </w:rPr>
              <w:t xml:space="preserve"> </w:t>
            </w:r>
            <w:r w:rsidRPr="00666FDE">
              <w:rPr>
                <w:rFonts w:eastAsia="맑은 고딕"/>
                <w:b/>
                <w:bCs/>
                <w:lang w:eastAsia="zh-CN"/>
              </w:rPr>
              <w:t>M</w:t>
            </w:r>
            <w:r w:rsidR="00D52279" w:rsidRPr="00882AF5">
              <w:rPr>
                <w:rFonts w:eastAsia="맑은 고딕"/>
                <w:b/>
                <w:bCs/>
                <w:lang w:eastAsia="zh-CN"/>
              </w:rPr>
              <w:t> attēlu</w:t>
            </w:r>
            <w:r w:rsidRPr="00666FDE">
              <w:rPr>
                <w:rFonts w:eastAsia="맑은 고딕"/>
                <w:lang w:eastAsia="zh-CN"/>
              </w:rPr>
              <w:t>).</w:t>
            </w:r>
          </w:p>
          <w:p w14:paraId="146CCCD2" w14:textId="283A8024" w:rsidR="00AC0B70" w:rsidRPr="00666FDE" w:rsidRDefault="00D52279"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 xml:space="preserve">Nemainiet </w:t>
            </w:r>
            <w:r w:rsidRPr="00882AF5">
              <w:rPr>
                <w:rFonts w:eastAsia="맑은 고딕"/>
                <w:lang w:eastAsia="zh-CN"/>
              </w:rPr>
              <w:t>pilnšļirces pozīciju pēc injekcijas sākšanas</w:t>
            </w:r>
            <w:r w:rsidR="00AC0B70" w:rsidRPr="00666FDE">
              <w:rPr>
                <w:rFonts w:eastAsia="맑은 고딕"/>
                <w:lang w:eastAsia="zh-CN"/>
              </w:rPr>
              <w:t>.</w:t>
            </w:r>
          </w:p>
          <w:p w14:paraId="2CFA3E2D" w14:textId="31F85699" w:rsidR="00AC0B70" w:rsidRPr="00666FDE" w:rsidRDefault="00576E63"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 xml:space="preserve">Ja virzulis </w:t>
            </w:r>
            <w:r w:rsidR="009E707F">
              <w:rPr>
                <w:rFonts w:eastAsia="맑은 고딕"/>
                <w:lang w:eastAsia="zh-CN"/>
              </w:rPr>
              <w:t xml:space="preserve">nav </w:t>
            </w:r>
            <w:r w:rsidRPr="00882AF5">
              <w:rPr>
                <w:rFonts w:eastAsia="맑은 고딕"/>
                <w:lang w:eastAsia="zh-CN"/>
              </w:rPr>
              <w:t xml:space="preserve">līdz galam nospiests, adatas aizsargs nesniegsies tik tālu, lai </w:t>
            </w:r>
            <w:r w:rsidR="002558CE" w:rsidRPr="00882AF5">
              <w:rPr>
                <w:rFonts w:eastAsia="맑은 고딕"/>
                <w:lang w:eastAsia="zh-CN"/>
              </w:rPr>
              <w:t xml:space="preserve">pārklātu </w:t>
            </w:r>
            <w:r w:rsidRPr="00882AF5">
              <w:rPr>
                <w:rFonts w:eastAsia="맑은 고딕"/>
                <w:lang w:eastAsia="zh-CN"/>
              </w:rPr>
              <w:t>adatu, kad to izvelk</w:t>
            </w:r>
            <w:r w:rsidR="00AC0B70" w:rsidRPr="00666FDE">
              <w:rPr>
                <w:rFonts w:eastAsia="맑은 고딕"/>
                <w:lang w:eastAsia="zh-CN"/>
              </w:rPr>
              <w:t>.</w:t>
            </w:r>
          </w:p>
        </w:tc>
      </w:tr>
      <w:tr w:rsidR="00AC0B70" w:rsidRPr="00882AF5" w14:paraId="759D127B" w14:textId="77777777" w:rsidTr="00022928">
        <w:trPr>
          <w:cantSplit/>
        </w:trPr>
        <w:tc>
          <w:tcPr>
            <w:tcW w:w="1650" w:type="pct"/>
            <w:tcBorders>
              <w:top w:val="nil"/>
              <w:left w:val="single" w:sz="4" w:space="0" w:color="auto"/>
              <w:bottom w:val="single" w:sz="4" w:space="0" w:color="auto"/>
              <w:right w:val="nil"/>
            </w:tcBorders>
            <w:shd w:val="clear" w:color="auto" w:fill="auto"/>
          </w:tcPr>
          <w:p w14:paraId="2959A7C3" w14:textId="663CD454" w:rsidR="00AC0B70" w:rsidRPr="00666FDE" w:rsidRDefault="00AC0B70" w:rsidP="00AC0B70">
            <w:pPr>
              <w:tabs>
                <w:tab w:val="clear" w:pos="567"/>
              </w:tabs>
              <w:jc w:val="center"/>
              <w:rPr>
                <w:rFonts w:eastAsia="맑은 고딕"/>
                <w:b/>
                <w:bCs/>
                <w:lang w:eastAsia="zh-CN"/>
              </w:rPr>
            </w:pPr>
            <w:r w:rsidRPr="00666FDE">
              <w:rPr>
                <w:rFonts w:eastAsia="맑은 고딕"/>
                <w:b/>
                <w:bCs/>
                <w:lang w:eastAsia="ko-KR"/>
              </w:rPr>
              <w:t>M</w:t>
            </w:r>
            <w:r w:rsidR="006B7BF3" w:rsidRPr="00882AF5">
              <w:rPr>
                <w:rFonts w:eastAsia="맑은 고딕"/>
                <w:b/>
                <w:bCs/>
                <w:lang w:eastAsia="ko-KR"/>
              </w:rPr>
              <w:t> attēls</w:t>
            </w:r>
          </w:p>
        </w:tc>
        <w:tc>
          <w:tcPr>
            <w:tcW w:w="3350" w:type="pct"/>
            <w:vMerge/>
            <w:tcBorders>
              <w:top w:val="nil"/>
              <w:left w:val="nil"/>
              <w:bottom w:val="single" w:sz="4" w:space="0" w:color="auto"/>
              <w:right w:val="single" w:sz="4" w:space="0" w:color="auto"/>
            </w:tcBorders>
            <w:shd w:val="clear" w:color="auto" w:fill="auto"/>
          </w:tcPr>
          <w:p w14:paraId="6F85A879" w14:textId="77777777" w:rsidR="00AC0B70" w:rsidRPr="00666FDE" w:rsidRDefault="00AC0B70" w:rsidP="00AC0B70">
            <w:pPr>
              <w:tabs>
                <w:tab w:val="clear" w:pos="567"/>
              </w:tabs>
              <w:suppressAutoHyphens/>
              <w:rPr>
                <w:rFonts w:eastAsia="맑은 고딕"/>
                <w:b/>
                <w:bCs/>
                <w:lang w:eastAsia="zh-CN"/>
              </w:rPr>
            </w:pPr>
          </w:p>
        </w:tc>
      </w:tr>
      <w:tr w:rsidR="00AC0B70" w:rsidRPr="00882AF5" w14:paraId="41B397E4" w14:textId="77777777" w:rsidTr="00022928">
        <w:trPr>
          <w:cantSplit/>
        </w:trPr>
        <w:tc>
          <w:tcPr>
            <w:tcW w:w="1650" w:type="pct"/>
            <w:tcBorders>
              <w:top w:val="single" w:sz="4" w:space="0" w:color="auto"/>
              <w:left w:val="single" w:sz="4" w:space="0" w:color="auto"/>
              <w:bottom w:val="nil"/>
              <w:right w:val="nil"/>
            </w:tcBorders>
            <w:shd w:val="clear" w:color="auto" w:fill="auto"/>
            <w:vAlign w:val="center"/>
          </w:tcPr>
          <w:p w14:paraId="25DAE183" w14:textId="77777777" w:rsidR="00AC0B70" w:rsidRPr="00666FDE" w:rsidRDefault="00AC0B70" w:rsidP="00AC0B70">
            <w:pPr>
              <w:keepNext/>
              <w:tabs>
                <w:tab w:val="clear" w:pos="567"/>
              </w:tabs>
              <w:jc w:val="center"/>
              <w:rPr>
                <w:rFonts w:eastAsia="맑은 고딕"/>
                <w:lang w:eastAsia="zh-CN"/>
              </w:rPr>
            </w:pPr>
          </w:p>
          <w:p w14:paraId="590A168F" w14:textId="1C37DA6D" w:rsidR="00AC0B70" w:rsidRPr="00666FDE" w:rsidRDefault="00451C8B" w:rsidP="00AC0B70">
            <w:pPr>
              <w:keepNext/>
              <w:tabs>
                <w:tab w:val="clear" w:pos="567"/>
              </w:tabs>
              <w:jc w:val="center"/>
              <w:rPr>
                <w:rFonts w:eastAsia="맑은 고딕"/>
                <w:lang w:eastAsia="zh-CN"/>
              </w:rPr>
            </w:pPr>
            <w:r>
              <w:rPr>
                <w:rFonts w:eastAsia="맑은 고딕"/>
                <w:noProof/>
                <w:lang w:eastAsia="zh-CN"/>
              </w:rPr>
              <w:pict w14:anchorId="7C86BE90">
                <v:shape id="_x0000_i1040" type="#_x0000_t75" alt="스케치, 만화 영화, 그림, 디자인이(가) 표시된 사진&#10;&#10;자동 생성된 설명" style="width:131.25pt;height:165pt;visibility:visible;mso-wrap-style:square">
                  <v:imagedata r:id="rId39" o:title="스케치, 만화 영화, 그림, 디자인이(가) 표시된 사진&#10;&#10;자동 생성된 설명"/>
                </v:shape>
              </w:pict>
            </w:r>
          </w:p>
          <w:p w14:paraId="73106016" w14:textId="77777777" w:rsidR="00AC0B70" w:rsidRPr="00666FDE" w:rsidRDefault="00AC0B70" w:rsidP="00AC0B70">
            <w:pPr>
              <w:keepNext/>
              <w:tabs>
                <w:tab w:val="clear" w:pos="567"/>
              </w:tabs>
              <w:jc w:val="center"/>
              <w:rPr>
                <w:rFonts w:eastAsia="맑은 고딕"/>
                <w:lang w:eastAsia="ko-KR"/>
              </w:rPr>
            </w:pPr>
          </w:p>
        </w:tc>
        <w:tc>
          <w:tcPr>
            <w:tcW w:w="3350" w:type="pct"/>
            <w:vMerge w:val="restart"/>
            <w:tcBorders>
              <w:top w:val="single" w:sz="4" w:space="0" w:color="auto"/>
              <w:left w:val="nil"/>
              <w:bottom w:val="nil"/>
              <w:right w:val="single" w:sz="4" w:space="0" w:color="auto"/>
            </w:tcBorders>
            <w:shd w:val="clear" w:color="auto" w:fill="auto"/>
          </w:tcPr>
          <w:p w14:paraId="56431AA9" w14:textId="6B055BAF" w:rsidR="00AC0B70" w:rsidRPr="00666FDE" w:rsidRDefault="00AC0B70" w:rsidP="00AC0B70">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13. </w:t>
            </w:r>
            <w:r w:rsidR="00B5276A" w:rsidRPr="00882AF5">
              <w:rPr>
                <w:rFonts w:eastAsia="맑은 고딕"/>
                <w:b/>
                <w:bCs/>
                <w:lang w:eastAsia="zh-CN"/>
              </w:rPr>
              <w:t>Noņemiet pilnšļirci no injekcijas vietas</w:t>
            </w:r>
            <w:r w:rsidRPr="00666FDE">
              <w:rPr>
                <w:rFonts w:eastAsia="맑은 고딕"/>
                <w:b/>
                <w:bCs/>
                <w:lang w:eastAsia="zh-CN"/>
              </w:rPr>
              <w:t>.</w:t>
            </w:r>
          </w:p>
          <w:p w14:paraId="6762AA2C" w14:textId="04D25733" w:rsidR="00AC0B70" w:rsidRPr="00666FDE" w:rsidRDefault="00AC0B70" w:rsidP="00AC0B70">
            <w:pPr>
              <w:keepNext/>
              <w:tabs>
                <w:tab w:val="clear" w:pos="567"/>
              </w:tabs>
              <w:suppressAutoHyphens/>
              <w:ind w:left="283"/>
              <w:rPr>
                <w:rFonts w:eastAsia="맑은 고딕"/>
                <w:lang w:eastAsia="zh-CN"/>
              </w:rPr>
            </w:pPr>
            <w:r w:rsidRPr="00666FDE">
              <w:rPr>
                <w:rFonts w:eastAsia="맑은 고딕"/>
                <w:lang w:eastAsia="zh-CN"/>
              </w:rPr>
              <w:t xml:space="preserve">13a. </w:t>
            </w:r>
            <w:r w:rsidR="00B5276A" w:rsidRPr="00882AF5">
              <w:rPr>
                <w:rFonts w:eastAsia="맑은 고딕"/>
                <w:lang w:eastAsia="zh-CN"/>
              </w:rPr>
              <w:t xml:space="preserve">Kad pilnšļirce ir tukša, </w:t>
            </w:r>
            <w:r w:rsidR="00CC0BCF" w:rsidRPr="00882AF5">
              <w:rPr>
                <w:rFonts w:eastAsia="맑은 고딕"/>
                <w:lang w:eastAsia="zh-CN"/>
              </w:rPr>
              <w:t>adatas izvil</w:t>
            </w:r>
            <w:r w:rsidR="009E707F">
              <w:rPr>
                <w:rFonts w:eastAsia="맑은 고딕"/>
                <w:lang w:eastAsia="zh-CN"/>
              </w:rPr>
              <w:t>k</w:t>
            </w:r>
            <w:r w:rsidR="00CC0BCF" w:rsidRPr="00882AF5">
              <w:rPr>
                <w:rFonts w:eastAsia="맑은 고딕"/>
                <w:lang w:eastAsia="zh-CN"/>
              </w:rPr>
              <w:t xml:space="preserve">šanas laikā lēnām </w:t>
            </w:r>
            <w:r w:rsidR="009E707F">
              <w:rPr>
                <w:rFonts w:eastAsia="맑은 고딕"/>
                <w:lang w:eastAsia="zh-CN"/>
              </w:rPr>
              <w:t xml:space="preserve">izņemiet </w:t>
            </w:r>
            <w:r w:rsidR="00D635F4" w:rsidRPr="00882AF5">
              <w:rPr>
                <w:rFonts w:eastAsia="맑은 고딕"/>
                <w:lang w:eastAsia="zh-CN"/>
              </w:rPr>
              <w:t xml:space="preserve">adatu no ādas, paceļot īkšķi no šļirces virzuļa, </w:t>
            </w:r>
            <w:r w:rsidR="009677BE" w:rsidRPr="00882AF5">
              <w:rPr>
                <w:rFonts w:eastAsia="맑은 고딕"/>
                <w:lang w:eastAsia="zh-CN"/>
              </w:rPr>
              <w:t xml:space="preserve">līdz adatas aizsargs </w:t>
            </w:r>
            <w:r w:rsidR="002558CE" w:rsidRPr="00882AF5">
              <w:rPr>
                <w:rFonts w:eastAsia="맑은 고딕"/>
                <w:lang w:eastAsia="zh-CN"/>
              </w:rPr>
              <w:t>pārklāj</w:t>
            </w:r>
            <w:r w:rsidR="009677BE" w:rsidRPr="00882AF5">
              <w:rPr>
                <w:rFonts w:eastAsia="맑은 고딕"/>
                <w:lang w:eastAsia="zh-CN"/>
              </w:rPr>
              <w:t xml:space="preserve"> visu adatu </w:t>
            </w:r>
            <w:r w:rsidRPr="00666FDE">
              <w:rPr>
                <w:rFonts w:eastAsia="맑은 고딕"/>
                <w:lang w:eastAsia="zh-CN"/>
              </w:rPr>
              <w:t>(</w:t>
            </w:r>
            <w:r w:rsidR="009677BE" w:rsidRPr="00882AF5">
              <w:rPr>
                <w:rFonts w:eastAsia="맑은 고딕"/>
                <w:lang w:eastAsia="zh-CN"/>
              </w:rPr>
              <w:t>sk</w:t>
            </w:r>
            <w:r w:rsidR="00077D04">
              <w:rPr>
                <w:rFonts w:eastAsia="맑은 고딕"/>
                <w:lang w:eastAsia="zh-CN"/>
              </w:rPr>
              <w:t>atīt</w:t>
            </w:r>
            <w:r w:rsidR="009677BE" w:rsidRPr="00882AF5">
              <w:rPr>
                <w:rFonts w:eastAsia="맑은 고딕"/>
                <w:b/>
                <w:bCs/>
                <w:lang w:eastAsia="zh-CN"/>
              </w:rPr>
              <w:t xml:space="preserve"> </w:t>
            </w:r>
            <w:r w:rsidRPr="00666FDE">
              <w:rPr>
                <w:rFonts w:eastAsia="맑은 고딕"/>
                <w:b/>
                <w:bCs/>
                <w:lang w:eastAsia="zh-CN"/>
              </w:rPr>
              <w:t>N</w:t>
            </w:r>
            <w:r w:rsidR="009677BE" w:rsidRPr="00882AF5">
              <w:rPr>
                <w:rFonts w:eastAsia="맑은 고딕"/>
                <w:b/>
                <w:bCs/>
                <w:lang w:eastAsia="zh-CN"/>
              </w:rPr>
              <w:t> attēl</w:t>
            </w:r>
            <w:r w:rsidR="00BA3918" w:rsidRPr="00882AF5">
              <w:rPr>
                <w:rFonts w:eastAsia="맑은 고딕"/>
                <w:b/>
                <w:bCs/>
                <w:lang w:eastAsia="zh-CN"/>
              </w:rPr>
              <w:t>u</w:t>
            </w:r>
            <w:r w:rsidRPr="00666FDE">
              <w:rPr>
                <w:rFonts w:eastAsia="맑은 고딕"/>
                <w:lang w:eastAsia="zh-CN"/>
              </w:rPr>
              <w:t>).</w:t>
            </w:r>
          </w:p>
          <w:p w14:paraId="4F273F96" w14:textId="1C054A15"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 xml:space="preserve">Ja adata nav </w:t>
            </w:r>
            <w:r w:rsidR="002558CE" w:rsidRPr="00882AF5">
              <w:rPr>
                <w:rFonts w:eastAsia="맑은 고딕"/>
                <w:lang w:eastAsia="zh-CN"/>
              </w:rPr>
              <w:t>pārklāta</w:t>
            </w:r>
            <w:r w:rsidR="00AC0B70" w:rsidRPr="00666FDE">
              <w:rPr>
                <w:rFonts w:eastAsia="맑은 고딕"/>
                <w:lang w:eastAsia="zh-CN"/>
              </w:rPr>
              <w:t xml:space="preserve">, </w:t>
            </w:r>
            <w:r w:rsidRPr="00882AF5">
              <w:rPr>
                <w:rFonts w:eastAsia="맑은 고딕"/>
                <w:lang w:eastAsia="zh-CN"/>
              </w:rPr>
              <w:t xml:space="preserve">uzmanīgi izmetiet šļirci </w:t>
            </w:r>
            <w:r w:rsidR="00AC0B70" w:rsidRPr="00666FDE">
              <w:rPr>
                <w:rFonts w:eastAsia="맑은 고딕"/>
                <w:lang w:eastAsia="zh-CN"/>
              </w:rPr>
              <w:t>(</w:t>
            </w:r>
            <w:r w:rsidRPr="00882AF5">
              <w:rPr>
                <w:rFonts w:eastAsia="맑은 고딕"/>
                <w:lang w:eastAsia="zh-CN"/>
              </w:rPr>
              <w:t>sk</w:t>
            </w:r>
            <w:r w:rsidR="00077D04">
              <w:rPr>
                <w:rFonts w:eastAsia="맑은 고딕"/>
                <w:lang w:eastAsia="zh-CN"/>
              </w:rPr>
              <w:t>atīt</w:t>
            </w:r>
            <w:r w:rsidRPr="00882AF5">
              <w:rPr>
                <w:rFonts w:eastAsia="맑은 고딕"/>
                <w:lang w:eastAsia="zh-CN"/>
              </w:rPr>
              <w:t xml:space="preserve"> </w:t>
            </w:r>
            <w:r w:rsidR="00AC0B70" w:rsidRPr="00666FDE">
              <w:rPr>
                <w:rFonts w:eastAsia="맑은 고딕"/>
                <w:b/>
                <w:bCs/>
                <w:lang w:eastAsia="zh-CN"/>
              </w:rPr>
              <w:t>15.</w:t>
            </w:r>
            <w:r w:rsidRPr="00882AF5">
              <w:rPr>
                <w:rFonts w:eastAsia="맑은 고딕"/>
                <w:b/>
                <w:bCs/>
                <w:lang w:eastAsia="zh-CN"/>
              </w:rPr>
              <w:t> darbību</w:t>
            </w:r>
            <w:r w:rsidR="00AC0B70" w:rsidRPr="00666FDE">
              <w:rPr>
                <w:rFonts w:eastAsia="맑은 고딕"/>
                <w:b/>
                <w:bCs/>
                <w:lang w:eastAsia="zh-CN"/>
              </w:rPr>
              <w:t xml:space="preserve"> </w:t>
            </w:r>
            <w:r w:rsidR="007E2BA5">
              <w:rPr>
                <w:rFonts w:eastAsia="맑은 고딕"/>
                <w:b/>
                <w:bCs/>
                <w:lang w:eastAsia="zh-CN"/>
              </w:rPr>
              <w:t>“</w:t>
            </w:r>
            <w:r w:rsidRPr="00882AF5">
              <w:rPr>
                <w:rFonts w:eastAsia="맑은 고딕"/>
                <w:b/>
                <w:bCs/>
                <w:lang w:eastAsia="zh-CN"/>
              </w:rPr>
              <w:t xml:space="preserve">Izmetiet </w:t>
            </w:r>
            <w:r w:rsidR="00AC0B70" w:rsidRPr="00666FDE">
              <w:rPr>
                <w:rFonts w:eastAsia="맑은 고딕"/>
                <w:b/>
                <w:bCs/>
                <w:lang w:eastAsia="zh-CN"/>
              </w:rPr>
              <w:t>Stoboclo</w:t>
            </w:r>
            <w:r w:rsidR="00FA4D65" w:rsidRPr="00882AF5">
              <w:rPr>
                <w:rFonts w:eastAsia="맑은 고딕"/>
                <w:b/>
                <w:bCs/>
                <w:lang w:eastAsia="zh-CN"/>
              </w:rPr>
              <w:t xml:space="preserve"> atkritumos</w:t>
            </w:r>
            <w:r w:rsidRPr="00882AF5">
              <w:rPr>
                <w:rFonts w:eastAsia="맑은 고딕"/>
                <w:b/>
                <w:bCs/>
                <w:lang w:eastAsia="zh-CN"/>
              </w:rPr>
              <w:t>”</w:t>
            </w:r>
            <w:r w:rsidR="00AC0B70" w:rsidRPr="00666FDE">
              <w:rPr>
                <w:rFonts w:eastAsia="맑은 고딕"/>
                <w:lang w:eastAsia="zh-CN"/>
              </w:rPr>
              <w:t>).</w:t>
            </w:r>
          </w:p>
          <w:p w14:paraId="2FBF4305" w14:textId="6DEBF72E"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Nelieciet</w:t>
            </w:r>
            <w:r w:rsidR="00AC0B70" w:rsidRPr="00666FDE">
              <w:rPr>
                <w:rFonts w:eastAsia="맑은 고딕"/>
                <w:lang w:eastAsia="zh-CN"/>
              </w:rPr>
              <w:t xml:space="preserve"> </w:t>
            </w:r>
            <w:r w:rsidRPr="00882AF5">
              <w:rPr>
                <w:rFonts w:eastAsia="맑은 고딕"/>
                <w:lang w:eastAsia="zh-CN"/>
              </w:rPr>
              <w:t>adatas uzgali atpakaļ uz izlietotajām pilnšļircēm</w:t>
            </w:r>
            <w:r w:rsidR="00AC0B70" w:rsidRPr="00666FDE">
              <w:rPr>
                <w:rFonts w:eastAsia="맑은 고딕"/>
                <w:lang w:eastAsia="zh-CN"/>
              </w:rPr>
              <w:t>.</w:t>
            </w:r>
          </w:p>
          <w:p w14:paraId="577AF560" w14:textId="334C942A"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Neizmantojiet</w:t>
            </w:r>
            <w:r w:rsidR="00AC0B70" w:rsidRPr="00666FDE">
              <w:rPr>
                <w:rFonts w:eastAsia="맑은 고딕"/>
                <w:lang w:eastAsia="zh-CN"/>
              </w:rPr>
              <w:t xml:space="preserve"> </w:t>
            </w:r>
            <w:r w:rsidRPr="00882AF5">
              <w:rPr>
                <w:rFonts w:eastAsia="맑은 고딕"/>
                <w:lang w:eastAsia="zh-CN"/>
              </w:rPr>
              <w:t>pilnšļirci atkārtoti</w:t>
            </w:r>
            <w:r w:rsidR="005A76F4">
              <w:rPr>
                <w:rFonts w:eastAsia="맑은 고딕"/>
                <w:lang w:eastAsia="zh-CN"/>
              </w:rPr>
              <w:t>.</w:t>
            </w:r>
          </w:p>
          <w:p w14:paraId="2324468F" w14:textId="4445D869" w:rsidR="00AC0B70" w:rsidRPr="00666FDE" w:rsidRDefault="00BA3918" w:rsidP="00AC0B70">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b/>
                <w:bCs/>
                <w:lang w:eastAsia="zh-CN"/>
              </w:rPr>
              <w:t xml:space="preserve">Neberzējiet </w:t>
            </w:r>
            <w:r w:rsidRPr="00882AF5">
              <w:rPr>
                <w:rFonts w:eastAsia="맑은 고딕"/>
                <w:lang w:eastAsia="zh-CN"/>
              </w:rPr>
              <w:t>injekcijas vietu</w:t>
            </w:r>
            <w:r w:rsidR="00AC0B70" w:rsidRPr="00666FDE">
              <w:rPr>
                <w:rFonts w:eastAsia="맑은 고딕"/>
                <w:lang w:eastAsia="zh-CN"/>
              </w:rPr>
              <w:t>.</w:t>
            </w:r>
          </w:p>
        </w:tc>
      </w:tr>
      <w:tr w:rsidR="00AC0B70" w:rsidRPr="00882AF5" w14:paraId="2E4297A5" w14:textId="77777777" w:rsidTr="00022928">
        <w:trPr>
          <w:cantSplit/>
        </w:trPr>
        <w:tc>
          <w:tcPr>
            <w:tcW w:w="1650" w:type="pct"/>
            <w:tcBorders>
              <w:top w:val="nil"/>
              <w:left w:val="single" w:sz="4" w:space="0" w:color="auto"/>
              <w:bottom w:val="single" w:sz="4" w:space="0" w:color="auto"/>
              <w:right w:val="nil"/>
            </w:tcBorders>
            <w:shd w:val="clear" w:color="auto" w:fill="auto"/>
          </w:tcPr>
          <w:p w14:paraId="21D6EBA8" w14:textId="305C5ACB" w:rsidR="00AC0B70" w:rsidRPr="00666FDE" w:rsidRDefault="00AC0B70" w:rsidP="00AC0B70">
            <w:pPr>
              <w:tabs>
                <w:tab w:val="clear" w:pos="567"/>
              </w:tabs>
              <w:jc w:val="center"/>
              <w:rPr>
                <w:rFonts w:eastAsia="맑은 고딕"/>
                <w:b/>
                <w:bCs/>
                <w:lang w:eastAsia="zh-CN"/>
              </w:rPr>
            </w:pPr>
            <w:r w:rsidRPr="00666FDE">
              <w:rPr>
                <w:rFonts w:eastAsia="맑은 고딕"/>
                <w:b/>
                <w:bCs/>
                <w:lang w:eastAsia="ko-KR"/>
              </w:rPr>
              <w:t>N</w:t>
            </w:r>
            <w:r w:rsidR="006B7BF3" w:rsidRPr="00882AF5">
              <w:rPr>
                <w:rFonts w:eastAsia="맑은 고딕"/>
                <w:b/>
                <w:bCs/>
                <w:lang w:eastAsia="ko-KR"/>
              </w:rPr>
              <w:t> attēls</w:t>
            </w:r>
          </w:p>
        </w:tc>
        <w:tc>
          <w:tcPr>
            <w:tcW w:w="3350" w:type="pct"/>
            <w:vMerge/>
            <w:tcBorders>
              <w:top w:val="nil"/>
              <w:left w:val="nil"/>
              <w:bottom w:val="single" w:sz="4" w:space="0" w:color="auto"/>
              <w:right w:val="single" w:sz="4" w:space="0" w:color="auto"/>
            </w:tcBorders>
            <w:shd w:val="clear" w:color="auto" w:fill="auto"/>
          </w:tcPr>
          <w:p w14:paraId="4D1B601A" w14:textId="77777777" w:rsidR="00AC0B70" w:rsidRPr="00666FDE" w:rsidRDefault="00AC0B70" w:rsidP="00AC0B70">
            <w:pPr>
              <w:tabs>
                <w:tab w:val="clear" w:pos="567"/>
              </w:tabs>
              <w:suppressAutoHyphens/>
              <w:rPr>
                <w:rFonts w:eastAsia="맑은 고딕"/>
                <w:b/>
                <w:bCs/>
                <w:lang w:eastAsia="zh-CN"/>
              </w:rPr>
            </w:pPr>
          </w:p>
        </w:tc>
      </w:tr>
    </w:tbl>
    <w:p w14:paraId="0C5D1B68" w14:textId="77777777" w:rsidR="0001147D" w:rsidRPr="00882AF5" w:rsidRDefault="0001147D" w:rsidP="000F6C10">
      <w:pPr>
        <w:numPr>
          <w:ilvl w:val="12"/>
          <w:numId w:val="0"/>
        </w:numPr>
        <w:ind w:right="-2"/>
        <w:rPr>
          <w:rFonts w:eastAsia="MS Mincho"/>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86"/>
        <w:gridCol w:w="6203"/>
      </w:tblGrid>
      <w:tr w:rsidR="006742C8" w:rsidRPr="00882AF5" w14:paraId="6B4934A4" w14:textId="77777777" w:rsidTr="00022928">
        <w:trPr>
          <w:cantSplit/>
          <w:tblHeader/>
        </w:trPr>
        <w:tc>
          <w:tcPr>
            <w:tcW w:w="5000" w:type="pct"/>
            <w:gridSpan w:val="2"/>
            <w:shd w:val="clear" w:color="auto" w:fill="auto"/>
          </w:tcPr>
          <w:p w14:paraId="45410AD4" w14:textId="3CF98B7C" w:rsidR="006742C8" w:rsidRPr="00666FDE" w:rsidRDefault="00BA3918" w:rsidP="006742C8">
            <w:pPr>
              <w:keepNext/>
              <w:tabs>
                <w:tab w:val="clear" w:pos="567"/>
              </w:tabs>
              <w:rPr>
                <w:rFonts w:eastAsia="맑은 고딕"/>
                <w:b/>
                <w:bCs/>
                <w:lang w:eastAsia="zh-CN"/>
              </w:rPr>
            </w:pPr>
            <w:r w:rsidRPr="00666FDE">
              <w:rPr>
                <w:rFonts w:eastAsia="맑은 고딕"/>
                <w:b/>
                <w:bCs/>
                <w:lang w:eastAsia="zh-CN"/>
              </w:rPr>
              <w:lastRenderedPageBreak/>
              <w:t>Pēc injekcijas</w:t>
            </w:r>
            <w:r w:rsidR="006E4D54" w:rsidRPr="00666FDE">
              <w:rPr>
                <w:rFonts w:eastAsia="맑은 고딕"/>
                <w:b/>
                <w:bCs/>
                <w:lang w:eastAsia="zh-CN"/>
              </w:rPr>
              <w:t xml:space="preserve"> veikšanas</w:t>
            </w:r>
          </w:p>
        </w:tc>
      </w:tr>
      <w:tr w:rsidR="006742C8" w:rsidRPr="00882AF5" w14:paraId="041DF419" w14:textId="77777777" w:rsidTr="00022928">
        <w:trPr>
          <w:cantSplit/>
        </w:trPr>
        <w:tc>
          <w:tcPr>
            <w:tcW w:w="1661" w:type="pct"/>
            <w:tcBorders>
              <w:bottom w:val="single" w:sz="4" w:space="0" w:color="auto"/>
              <w:right w:val="nil"/>
            </w:tcBorders>
            <w:shd w:val="clear" w:color="auto" w:fill="auto"/>
          </w:tcPr>
          <w:p w14:paraId="7275584F" w14:textId="77777777" w:rsidR="006742C8" w:rsidRPr="00666FDE" w:rsidRDefault="006742C8" w:rsidP="006742C8">
            <w:pPr>
              <w:tabs>
                <w:tab w:val="clear" w:pos="567"/>
              </w:tabs>
              <w:rPr>
                <w:rFonts w:eastAsia="맑은 고딕"/>
                <w:lang w:eastAsia="ko-KR"/>
              </w:rPr>
            </w:pPr>
          </w:p>
          <w:p w14:paraId="1AC9BBB9" w14:textId="77777777" w:rsidR="006742C8" w:rsidRPr="00666FDE" w:rsidRDefault="006742C8" w:rsidP="006742C8">
            <w:pPr>
              <w:tabs>
                <w:tab w:val="clear" w:pos="567"/>
              </w:tabs>
              <w:rPr>
                <w:rFonts w:eastAsia="맑은 고딕"/>
                <w:lang w:eastAsia="ko-KR"/>
              </w:rPr>
            </w:pPr>
          </w:p>
        </w:tc>
        <w:tc>
          <w:tcPr>
            <w:tcW w:w="3339" w:type="pct"/>
            <w:tcBorders>
              <w:left w:val="nil"/>
              <w:bottom w:val="single" w:sz="4" w:space="0" w:color="auto"/>
            </w:tcBorders>
            <w:shd w:val="clear" w:color="auto" w:fill="auto"/>
          </w:tcPr>
          <w:p w14:paraId="483366C6" w14:textId="496EA8CD" w:rsidR="006742C8" w:rsidRPr="00666FDE" w:rsidRDefault="006742C8" w:rsidP="006742C8">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14. </w:t>
            </w:r>
            <w:r w:rsidR="006E4D54" w:rsidRPr="00666FDE">
              <w:rPr>
                <w:rFonts w:eastAsia="맑은 고딕"/>
                <w:b/>
                <w:bCs/>
                <w:lang w:eastAsia="zh-CN"/>
              </w:rPr>
              <w:t>Apkopiet injekcijas vietu</w:t>
            </w:r>
            <w:r w:rsidRPr="00666FDE">
              <w:rPr>
                <w:rFonts w:eastAsia="맑은 고딕"/>
                <w:b/>
                <w:bCs/>
                <w:lang w:eastAsia="zh-CN"/>
              </w:rPr>
              <w:t>.</w:t>
            </w:r>
          </w:p>
          <w:p w14:paraId="76FA871A" w14:textId="798DD380" w:rsidR="006742C8" w:rsidRPr="00666FDE" w:rsidRDefault="006742C8" w:rsidP="006742C8">
            <w:pPr>
              <w:keepNext/>
              <w:tabs>
                <w:tab w:val="clear" w:pos="567"/>
              </w:tabs>
              <w:suppressAutoHyphens/>
              <w:ind w:left="283"/>
              <w:rPr>
                <w:rFonts w:eastAsia="맑은 고딕"/>
                <w:lang w:eastAsia="zh-CN"/>
              </w:rPr>
            </w:pPr>
            <w:r w:rsidRPr="00666FDE">
              <w:rPr>
                <w:rFonts w:eastAsia="맑은 고딕"/>
                <w:lang w:eastAsia="zh-CN"/>
              </w:rPr>
              <w:t xml:space="preserve">14a. </w:t>
            </w:r>
            <w:r w:rsidR="006E4D54" w:rsidRPr="00666FDE">
              <w:rPr>
                <w:rFonts w:eastAsia="맑은 고딕"/>
                <w:lang w:eastAsia="zh-CN"/>
              </w:rPr>
              <w:t>Ja radusies asiņošana</w:t>
            </w:r>
            <w:r w:rsidRPr="00666FDE">
              <w:rPr>
                <w:rFonts w:eastAsia="맑은 고딕"/>
                <w:lang w:eastAsia="zh-CN"/>
              </w:rPr>
              <w:t xml:space="preserve">, </w:t>
            </w:r>
            <w:r w:rsidR="000200D5" w:rsidRPr="00666FDE">
              <w:rPr>
                <w:rFonts w:eastAsia="맑은 고딕"/>
                <w:lang w:eastAsia="zh-CN"/>
              </w:rPr>
              <w:t>apstrād</w:t>
            </w:r>
            <w:r w:rsidR="004B52A8" w:rsidRPr="00882AF5">
              <w:rPr>
                <w:rFonts w:eastAsia="맑은 고딕"/>
                <w:lang w:eastAsia="zh-CN"/>
              </w:rPr>
              <w:t>ājiet injekcijas vietu, tai maigi</w:t>
            </w:r>
            <w:r w:rsidR="0013066F" w:rsidRPr="00882AF5">
              <w:rPr>
                <w:rFonts w:eastAsia="맑은 고딕"/>
                <w:lang w:eastAsia="zh-CN"/>
              </w:rPr>
              <w:t xml:space="preserve">, bet neberzējot </w:t>
            </w:r>
            <w:r w:rsidR="004B52A8" w:rsidRPr="00882AF5">
              <w:rPr>
                <w:rFonts w:eastAsia="맑은 고딕"/>
                <w:lang w:eastAsia="zh-CN"/>
              </w:rPr>
              <w:t xml:space="preserve">piespiežot vates </w:t>
            </w:r>
            <w:r w:rsidR="0013066F" w:rsidRPr="00882AF5">
              <w:rPr>
                <w:rFonts w:eastAsia="맑은 고딕"/>
                <w:lang w:eastAsia="zh-CN"/>
              </w:rPr>
              <w:t>tamponu vai marli, un pēc vajadzības uzlīmējiet plāksteri</w:t>
            </w:r>
            <w:r w:rsidRPr="00666FDE">
              <w:rPr>
                <w:rFonts w:eastAsia="맑은 고딕"/>
                <w:lang w:eastAsia="zh-CN"/>
              </w:rPr>
              <w:t>.</w:t>
            </w:r>
          </w:p>
        </w:tc>
      </w:tr>
      <w:tr w:rsidR="006742C8" w:rsidRPr="00882AF5" w14:paraId="36398341" w14:textId="77777777" w:rsidTr="00022928">
        <w:trPr>
          <w:cantSplit/>
        </w:trPr>
        <w:tc>
          <w:tcPr>
            <w:tcW w:w="1661" w:type="pct"/>
            <w:tcBorders>
              <w:bottom w:val="nil"/>
              <w:right w:val="nil"/>
            </w:tcBorders>
            <w:shd w:val="clear" w:color="auto" w:fill="auto"/>
          </w:tcPr>
          <w:p w14:paraId="0C2A1C1B" w14:textId="77777777" w:rsidR="006742C8" w:rsidRPr="00666FDE" w:rsidRDefault="006742C8" w:rsidP="006742C8">
            <w:pPr>
              <w:keepNext/>
              <w:tabs>
                <w:tab w:val="clear" w:pos="567"/>
              </w:tabs>
              <w:jc w:val="center"/>
              <w:rPr>
                <w:rFonts w:eastAsia="맑은 고딕"/>
                <w:lang w:eastAsia="zh-CN"/>
              </w:rPr>
            </w:pPr>
          </w:p>
          <w:p w14:paraId="4684F40D" w14:textId="5553D801" w:rsidR="006742C8" w:rsidRPr="00666FDE" w:rsidRDefault="00451C8B" w:rsidP="006742C8">
            <w:pPr>
              <w:keepNext/>
              <w:tabs>
                <w:tab w:val="clear" w:pos="567"/>
              </w:tabs>
              <w:jc w:val="center"/>
              <w:rPr>
                <w:rFonts w:eastAsia="맑은 고딕"/>
                <w:lang w:eastAsia="zh-CN"/>
              </w:rPr>
            </w:pPr>
            <w:r>
              <w:rPr>
                <w:rFonts w:eastAsia="맑은 고딕"/>
                <w:noProof/>
                <w:lang w:eastAsia="zh-CN"/>
              </w:rPr>
              <w:pict w14:anchorId="564583E7">
                <v:shape id="_x0000_i1041" type="#_x0000_t75" alt="스케치, 그림, 클립아트, 라인 아트이(가) 표시된 사진&#10;&#10;자동 생성된 설명" style="width:138pt;height:168pt;visibility:visible;mso-wrap-style:square">
                  <v:imagedata r:id="rId40" o:title="스케치, 그림, 클립아트, 라인 아트이(가) 표시된 사진&#10;&#10;자동 생성된 설명"/>
                </v:shape>
              </w:pict>
            </w:r>
          </w:p>
          <w:p w14:paraId="7593720F" w14:textId="77777777" w:rsidR="006742C8" w:rsidRPr="00666FDE" w:rsidRDefault="006742C8" w:rsidP="006742C8">
            <w:pPr>
              <w:keepNext/>
              <w:tabs>
                <w:tab w:val="clear" w:pos="567"/>
              </w:tabs>
              <w:jc w:val="center"/>
              <w:rPr>
                <w:rFonts w:eastAsia="맑은 고딕"/>
                <w:lang w:eastAsia="ko-KR"/>
              </w:rPr>
            </w:pPr>
          </w:p>
        </w:tc>
        <w:tc>
          <w:tcPr>
            <w:tcW w:w="3339" w:type="pct"/>
            <w:vMerge w:val="restart"/>
            <w:tcBorders>
              <w:left w:val="nil"/>
            </w:tcBorders>
            <w:shd w:val="clear" w:color="auto" w:fill="auto"/>
          </w:tcPr>
          <w:p w14:paraId="348B9366" w14:textId="52F1926B" w:rsidR="006742C8" w:rsidRPr="00666FDE" w:rsidRDefault="006742C8" w:rsidP="006742C8">
            <w:pPr>
              <w:keepNext/>
              <w:tabs>
                <w:tab w:val="clear" w:pos="567"/>
              </w:tabs>
              <w:suppressAutoHyphens/>
              <w:ind w:left="284" w:hanging="284"/>
              <w:rPr>
                <w:rFonts w:eastAsia="맑은 고딕"/>
                <w:b/>
                <w:bCs/>
                <w:lang w:eastAsia="zh-CN"/>
              </w:rPr>
            </w:pPr>
            <w:r w:rsidRPr="00666FDE">
              <w:rPr>
                <w:rFonts w:eastAsia="맑은 고딕"/>
                <w:b/>
                <w:bCs/>
                <w:lang w:eastAsia="zh-CN"/>
              </w:rPr>
              <w:t xml:space="preserve">15. </w:t>
            </w:r>
            <w:r w:rsidR="0013066F" w:rsidRPr="00882AF5">
              <w:rPr>
                <w:rFonts w:eastAsia="맑은 고딕"/>
                <w:b/>
                <w:bCs/>
                <w:lang w:eastAsia="zh-CN"/>
              </w:rPr>
              <w:t>Izmetiet pilnšļirci</w:t>
            </w:r>
            <w:r w:rsidRPr="00666FDE">
              <w:rPr>
                <w:rFonts w:eastAsia="맑은 고딕"/>
                <w:b/>
                <w:bCs/>
                <w:lang w:eastAsia="zh-CN"/>
              </w:rPr>
              <w:t>.</w:t>
            </w:r>
          </w:p>
          <w:p w14:paraId="69A283E6" w14:textId="556DF4B5" w:rsidR="006742C8" w:rsidRPr="00666FDE" w:rsidRDefault="006742C8" w:rsidP="006742C8">
            <w:pPr>
              <w:keepNext/>
              <w:tabs>
                <w:tab w:val="clear" w:pos="567"/>
              </w:tabs>
              <w:suppressAutoHyphens/>
              <w:ind w:left="283"/>
              <w:rPr>
                <w:rFonts w:eastAsia="맑은 고딕"/>
                <w:lang w:eastAsia="zh-CN"/>
              </w:rPr>
            </w:pPr>
            <w:r w:rsidRPr="00666FDE">
              <w:rPr>
                <w:rFonts w:eastAsia="맑은 고딕"/>
                <w:lang w:eastAsia="zh-CN"/>
              </w:rPr>
              <w:t xml:space="preserve">15a. </w:t>
            </w:r>
            <w:r w:rsidR="0013066F" w:rsidRPr="00882AF5">
              <w:rPr>
                <w:rFonts w:eastAsia="맑은 고딕"/>
                <w:lang w:eastAsia="zh-CN"/>
              </w:rPr>
              <w:t xml:space="preserve">Izlietoto pilnšļirci uzreiz pēc lietošanas ielieciet asiem priekšmetiem paredzētajā atkritumu konteinerā </w:t>
            </w:r>
            <w:r w:rsidRPr="00666FDE">
              <w:rPr>
                <w:rFonts w:eastAsia="맑은 고딕"/>
                <w:lang w:eastAsia="zh-CN"/>
              </w:rPr>
              <w:t>(</w:t>
            </w:r>
            <w:r w:rsidR="0013066F" w:rsidRPr="00882AF5">
              <w:rPr>
                <w:rFonts w:eastAsia="맑은 고딕"/>
                <w:lang w:eastAsia="zh-CN"/>
              </w:rPr>
              <w:t>sk</w:t>
            </w:r>
            <w:r w:rsidR="00077D04">
              <w:rPr>
                <w:rFonts w:eastAsia="맑은 고딕"/>
                <w:lang w:eastAsia="zh-CN"/>
              </w:rPr>
              <w:t>atīt</w:t>
            </w:r>
            <w:r w:rsidR="0013066F" w:rsidRPr="00882AF5">
              <w:rPr>
                <w:rFonts w:eastAsia="맑은 고딕"/>
                <w:lang w:eastAsia="zh-CN"/>
              </w:rPr>
              <w:t xml:space="preserve"> </w:t>
            </w:r>
            <w:r w:rsidRPr="00666FDE">
              <w:rPr>
                <w:rFonts w:eastAsia="맑은 고딕"/>
                <w:b/>
                <w:bCs/>
                <w:lang w:eastAsia="zh-CN"/>
              </w:rPr>
              <w:t>O</w:t>
            </w:r>
            <w:r w:rsidR="0013066F" w:rsidRPr="00882AF5">
              <w:rPr>
                <w:rFonts w:eastAsia="맑은 고딕"/>
                <w:b/>
                <w:bCs/>
                <w:lang w:eastAsia="zh-CN"/>
              </w:rPr>
              <w:t> attēlu</w:t>
            </w:r>
            <w:r w:rsidRPr="00666FDE">
              <w:rPr>
                <w:rFonts w:eastAsia="맑은 고딕"/>
                <w:lang w:eastAsia="zh-CN"/>
              </w:rPr>
              <w:t>).</w:t>
            </w:r>
          </w:p>
          <w:p w14:paraId="1AAAF236" w14:textId="557A49B3" w:rsidR="006742C8" w:rsidRPr="00666FDE" w:rsidRDefault="006742C8" w:rsidP="006742C8">
            <w:pPr>
              <w:keepNext/>
              <w:tabs>
                <w:tab w:val="clear" w:pos="567"/>
              </w:tabs>
              <w:suppressAutoHyphens/>
              <w:ind w:left="283"/>
              <w:rPr>
                <w:rFonts w:eastAsia="맑은 고딕"/>
                <w:lang w:eastAsia="zh-CN"/>
              </w:rPr>
            </w:pPr>
            <w:r w:rsidRPr="00666FDE">
              <w:rPr>
                <w:rFonts w:eastAsia="맑은 고딕"/>
                <w:lang w:eastAsia="zh-CN"/>
              </w:rPr>
              <w:t>15b.</w:t>
            </w:r>
            <w:r w:rsidRPr="00666FDE">
              <w:rPr>
                <w:rFonts w:eastAsia="맑은 고딕"/>
                <w:b/>
                <w:bCs/>
                <w:lang w:eastAsia="zh-CN"/>
              </w:rPr>
              <w:t xml:space="preserve"> </w:t>
            </w:r>
            <w:r w:rsidR="0013066F" w:rsidRPr="00882AF5">
              <w:rPr>
                <w:rFonts w:eastAsia="맑은 고딕"/>
                <w:b/>
                <w:bCs/>
                <w:lang w:eastAsia="zh-CN"/>
              </w:rPr>
              <w:t xml:space="preserve">Neizmetiet </w:t>
            </w:r>
            <w:r w:rsidR="00DF0C9D" w:rsidRPr="00882AF5">
              <w:rPr>
                <w:rFonts w:eastAsia="맑은 고딕"/>
                <w:lang w:eastAsia="zh-CN"/>
              </w:rPr>
              <w:t>pilnšļirci sadzīves atkritumos</w:t>
            </w:r>
            <w:r w:rsidRPr="00666FDE">
              <w:rPr>
                <w:rFonts w:eastAsia="맑은 고딕"/>
                <w:lang w:eastAsia="zh-CN"/>
              </w:rPr>
              <w:t>.</w:t>
            </w:r>
          </w:p>
          <w:p w14:paraId="2B1ACB6C" w14:textId="02752FE7" w:rsidR="006742C8" w:rsidRPr="00666FDE" w:rsidRDefault="00DF0C9D" w:rsidP="006742C8">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Uzglabājiet šļirci un asiem priekšmetiem paredzēto atkritumu konteineru bērniem neredzamā un nesasniedzamā vietā</w:t>
            </w:r>
            <w:r w:rsidR="006742C8" w:rsidRPr="00666FDE">
              <w:rPr>
                <w:rFonts w:eastAsia="맑은 고딕"/>
                <w:lang w:eastAsia="zh-CN"/>
              </w:rPr>
              <w:t>.</w:t>
            </w:r>
          </w:p>
          <w:p w14:paraId="3DFAC4DA" w14:textId="4AB1F515" w:rsidR="006742C8" w:rsidRPr="00666FDE" w:rsidRDefault="00DF0C9D" w:rsidP="006742C8">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Ja Jums nav asi</w:t>
            </w:r>
            <w:r w:rsidR="009C3F74" w:rsidRPr="00882AF5">
              <w:rPr>
                <w:rFonts w:eastAsia="맑은 고딕"/>
                <w:lang w:eastAsia="zh-CN"/>
              </w:rPr>
              <w:t>e</w:t>
            </w:r>
            <w:r w:rsidRPr="00882AF5">
              <w:rPr>
                <w:rFonts w:eastAsia="맑은 고딕"/>
                <w:lang w:eastAsia="zh-CN"/>
              </w:rPr>
              <w:t xml:space="preserve">m priekšmetiem paredzēta konteinera, varat izmantot </w:t>
            </w:r>
            <w:r w:rsidR="009C3F74" w:rsidRPr="00882AF5">
              <w:rPr>
                <w:rFonts w:eastAsia="맑은 고딕"/>
                <w:lang w:eastAsia="zh-CN"/>
              </w:rPr>
              <w:t>aizveramu un pret dūrieniem izturīgu sadzīves atkritumu konteineru</w:t>
            </w:r>
            <w:r w:rsidR="006742C8" w:rsidRPr="00666FDE">
              <w:rPr>
                <w:rFonts w:eastAsia="맑은 고딕"/>
                <w:lang w:eastAsia="zh-CN"/>
              </w:rPr>
              <w:t>.</w:t>
            </w:r>
          </w:p>
          <w:p w14:paraId="585EB822" w14:textId="4CBEA4BC" w:rsidR="006742C8" w:rsidRPr="00666FDE" w:rsidRDefault="009C3F74" w:rsidP="006742C8">
            <w:pPr>
              <w:keepNext/>
              <w:numPr>
                <w:ilvl w:val="0"/>
                <w:numId w:val="58"/>
              </w:numPr>
              <w:tabs>
                <w:tab w:val="clear" w:pos="567"/>
                <w:tab w:val="left" w:pos="851"/>
              </w:tabs>
              <w:suppressAutoHyphens/>
              <w:ind w:left="851" w:hanging="284"/>
              <w:rPr>
                <w:rFonts w:eastAsia="맑은 고딕"/>
                <w:lang w:eastAsia="zh-CN"/>
              </w:rPr>
            </w:pPr>
            <w:r w:rsidRPr="00882AF5">
              <w:rPr>
                <w:rFonts w:eastAsia="맑은 고딕"/>
                <w:lang w:eastAsia="zh-CN"/>
              </w:rPr>
              <w:t>Jūsu un citu c</w:t>
            </w:r>
            <w:r w:rsidR="00E62265" w:rsidRPr="00882AF5">
              <w:rPr>
                <w:rFonts w:eastAsia="맑은 고딕"/>
                <w:lang w:eastAsia="zh-CN"/>
              </w:rPr>
              <w:t xml:space="preserve">ilvēku drošības un veselības apsvērumu dēļ </w:t>
            </w:r>
            <w:r w:rsidR="003441BD" w:rsidRPr="00882AF5">
              <w:rPr>
                <w:rFonts w:eastAsia="맑은 고딕"/>
                <w:lang w:eastAsia="zh-CN"/>
              </w:rPr>
              <w:t>adatas un izlietotās šļirces nedrīkst izmantot atkārtoti</w:t>
            </w:r>
            <w:r w:rsidR="006742C8" w:rsidRPr="00666FDE">
              <w:rPr>
                <w:rFonts w:eastAsia="맑은 고딕"/>
                <w:lang w:eastAsia="zh-CN"/>
              </w:rPr>
              <w:t xml:space="preserve">. </w:t>
            </w:r>
            <w:r w:rsidR="003A08FC" w:rsidRPr="00882AF5">
              <w:rPr>
                <w:rFonts w:eastAsia="맑은 고딕"/>
                <w:lang w:eastAsia="zh-CN"/>
              </w:rPr>
              <w:t>Neiz</w:t>
            </w:r>
            <w:r w:rsidR="000B1BAC" w:rsidRPr="00882AF5">
              <w:rPr>
                <w:rFonts w:eastAsia="맑은 고딕"/>
                <w:lang w:eastAsia="zh-CN"/>
              </w:rPr>
              <w:t xml:space="preserve">lietotās zāles vai atkritumi </w:t>
            </w:r>
            <w:r w:rsidR="00FA043F" w:rsidRPr="00882AF5">
              <w:rPr>
                <w:rFonts w:eastAsia="맑은 고딕"/>
                <w:lang w:eastAsia="zh-CN"/>
              </w:rPr>
              <w:t>ir jāiznīcina saskaņā ar vietējām prasībām.</w:t>
            </w:r>
          </w:p>
          <w:p w14:paraId="44CAE17E" w14:textId="1E54761A" w:rsidR="006742C8" w:rsidRPr="00666FDE" w:rsidRDefault="00FA043F" w:rsidP="006742C8">
            <w:pPr>
              <w:keepNext/>
              <w:numPr>
                <w:ilvl w:val="0"/>
                <w:numId w:val="58"/>
              </w:numPr>
              <w:tabs>
                <w:tab w:val="clear" w:pos="567"/>
                <w:tab w:val="left" w:pos="851"/>
              </w:tabs>
              <w:suppressAutoHyphens/>
              <w:ind w:left="851" w:hanging="284"/>
              <w:rPr>
                <w:rFonts w:eastAsia="맑은 고딕"/>
                <w:lang w:eastAsia="zh-CN"/>
              </w:rPr>
            </w:pPr>
            <w:r w:rsidRPr="00666FDE">
              <w:rPr>
                <w:rFonts w:eastAsia="맑은 고딕"/>
                <w:b/>
                <w:bCs/>
                <w:lang w:eastAsia="zh-CN"/>
              </w:rPr>
              <w:t xml:space="preserve">Neizmetiet </w:t>
            </w:r>
            <w:r w:rsidRPr="00666FDE">
              <w:rPr>
                <w:rFonts w:eastAsia="맑은 고딕"/>
                <w:lang w:eastAsia="zh-CN"/>
              </w:rPr>
              <w:t>zāles kanalizācijā vai sadzīves atkritumos</w:t>
            </w:r>
            <w:r w:rsidR="006742C8" w:rsidRPr="00666FDE">
              <w:rPr>
                <w:rFonts w:eastAsia="맑은 고딕"/>
                <w:lang w:eastAsia="zh-CN"/>
              </w:rPr>
              <w:t xml:space="preserve">. </w:t>
            </w:r>
            <w:r w:rsidRPr="00666FDE">
              <w:rPr>
                <w:rFonts w:eastAsia="맑은 고딕"/>
                <w:lang w:eastAsia="zh-CN"/>
              </w:rPr>
              <w:t>Vaicājiet farmaceitam, kā izmest zāles, kuras vairs nelietojat. Šie pasākumi palīdzēs aizsargāt apkārtējo vidi</w:t>
            </w:r>
            <w:r w:rsidR="006742C8" w:rsidRPr="00666FDE">
              <w:rPr>
                <w:rFonts w:eastAsia="맑은 고딕"/>
                <w:lang w:eastAsia="zh-CN"/>
              </w:rPr>
              <w:t>.</w:t>
            </w:r>
          </w:p>
        </w:tc>
      </w:tr>
      <w:tr w:rsidR="006742C8" w:rsidRPr="00882AF5" w14:paraId="6542BB75" w14:textId="77777777" w:rsidTr="00022928">
        <w:trPr>
          <w:cantSplit/>
        </w:trPr>
        <w:tc>
          <w:tcPr>
            <w:tcW w:w="1661" w:type="pct"/>
            <w:tcBorders>
              <w:top w:val="nil"/>
              <w:left w:val="single" w:sz="4" w:space="0" w:color="auto"/>
              <w:bottom w:val="single" w:sz="4" w:space="0" w:color="auto"/>
              <w:right w:val="nil"/>
            </w:tcBorders>
            <w:shd w:val="clear" w:color="auto" w:fill="auto"/>
          </w:tcPr>
          <w:p w14:paraId="576D1E57" w14:textId="02027ECE" w:rsidR="006742C8" w:rsidRPr="00666FDE" w:rsidRDefault="006742C8" w:rsidP="006742C8">
            <w:pPr>
              <w:tabs>
                <w:tab w:val="clear" w:pos="567"/>
              </w:tabs>
              <w:jc w:val="center"/>
              <w:rPr>
                <w:rFonts w:eastAsia="맑은 고딕"/>
                <w:b/>
                <w:bCs/>
                <w:lang w:eastAsia="zh-CN"/>
              </w:rPr>
            </w:pPr>
            <w:r w:rsidRPr="00666FDE">
              <w:rPr>
                <w:rFonts w:eastAsia="맑은 고딕"/>
                <w:b/>
                <w:bCs/>
                <w:lang w:eastAsia="ko-KR"/>
              </w:rPr>
              <w:t>O</w:t>
            </w:r>
            <w:r w:rsidR="006B7BF3" w:rsidRPr="00666FDE">
              <w:rPr>
                <w:rFonts w:eastAsia="맑은 고딕"/>
                <w:b/>
                <w:bCs/>
                <w:lang w:eastAsia="ko-KR"/>
              </w:rPr>
              <w:t> attēls</w:t>
            </w:r>
          </w:p>
        </w:tc>
        <w:tc>
          <w:tcPr>
            <w:tcW w:w="3339" w:type="pct"/>
            <w:vMerge/>
            <w:tcBorders>
              <w:left w:val="nil"/>
              <w:bottom w:val="single" w:sz="4" w:space="0" w:color="auto"/>
            </w:tcBorders>
            <w:shd w:val="clear" w:color="auto" w:fill="auto"/>
          </w:tcPr>
          <w:p w14:paraId="1031E59F" w14:textId="77777777" w:rsidR="006742C8" w:rsidRPr="00666FDE" w:rsidRDefault="006742C8" w:rsidP="006742C8">
            <w:pPr>
              <w:tabs>
                <w:tab w:val="clear" w:pos="567"/>
              </w:tabs>
              <w:suppressAutoHyphens/>
              <w:rPr>
                <w:rFonts w:eastAsia="맑은 고딕"/>
                <w:b/>
                <w:bCs/>
                <w:lang w:eastAsia="zh-CN"/>
              </w:rPr>
            </w:pPr>
          </w:p>
        </w:tc>
      </w:tr>
    </w:tbl>
    <w:p w14:paraId="364D7DB7" w14:textId="77777777" w:rsidR="00AC0B70" w:rsidRPr="00882AF5" w:rsidRDefault="00AC0B70" w:rsidP="000F6C10">
      <w:pPr>
        <w:numPr>
          <w:ilvl w:val="12"/>
          <w:numId w:val="0"/>
        </w:numPr>
        <w:ind w:right="-2"/>
        <w:rPr>
          <w:rFonts w:eastAsia="MS Mincho"/>
          <w:b/>
          <w:bCs/>
        </w:rPr>
      </w:pPr>
    </w:p>
    <w:p w14:paraId="23B46E07" w14:textId="77777777" w:rsidR="00796DEC" w:rsidRDefault="00796DEC" w:rsidP="00666FDE">
      <w:pPr>
        <w:numPr>
          <w:ilvl w:val="12"/>
          <w:numId w:val="0"/>
        </w:numPr>
        <w:ind w:right="-2"/>
        <w:rPr>
          <w:highlight w:val="lightGray"/>
        </w:rPr>
      </w:pPr>
    </w:p>
    <w:sectPr w:rsidR="00796DEC" w:rsidSect="005E228C">
      <w:footerReference w:type="default" r:id="rId41"/>
      <w:footerReference w:type="first" r:id="rId42"/>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4E68" w14:textId="77777777" w:rsidR="00594AC2" w:rsidRDefault="00594AC2">
      <w:r>
        <w:separator/>
      </w:r>
    </w:p>
  </w:endnote>
  <w:endnote w:type="continuationSeparator" w:id="0">
    <w:p w14:paraId="0EDD7BED" w14:textId="77777777" w:rsidR="00594AC2" w:rsidRDefault="00594AC2">
      <w:r>
        <w:continuationSeparator/>
      </w:r>
    </w:p>
  </w:endnote>
  <w:endnote w:type="continuationNotice" w:id="1">
    <w:p w14:paraId="18548947" w14:textId="77777777" w:rsidR="00594AC2" w:rsidRDefault="00594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FD05F2"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DC1F" w14:textId="77777777" w:rsidR="00594AC2" w:rsidRDefault="00594AC2">
      <w:r>
        <w:separator/>
      </w:r>
    </w:p>
  </w:footnote>
  <w:footnote w:type="continuationSeparator" w:id="0">
    <w:p w14:paraId="3F12BD7D" w14:textId="77777777" w:rsidR="00594AC2" w:rsidRDefault="00594AC2">
      <w:r>
        <w:continuationSeparator/>
      </w:r>
    </w:p>
  </w:footnote>
  <w:footnote w:type="continuationNotice" w:id="1">
    <w:p w14:paraId="0490C78E" w14:textId="77777777" w:rsidR="00594AC2" w:rsidRDefault="00594A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833668">
    <w:abstractNumId w:val="48"/>
  </w:num>
  <w:num w:numId="2" w16cid:durableId="1064573038">
    <w:abstractNumId w:val="33"/>
  </w:num>
  <w:num w:numId="3" w16cid:durableId="1407722842">
    <w:abstractNumId w:val="21"/>
  </w:num>
  <w:num w:numId="4" w16cid:durableId="89937655">
    <w:abstractNumId w:val="20"/>
  </w:num>
  <w:num w:numId="5" w16cid:durableId="1094864355">
    <w:abstractNumId w:val="14"/>
  </w:num>
  <w:num w:numId="6" w16cid:durableId="1100493109">
    <w:abstractNumId w:val="56"/>
  </w:num>
  <w:num w:numId="7" w16cid:durableId="172838313">
    <w:abstractNumId w:val="18"/>
  </w:num>
  <w:num w:numId="8" w16cid:durableId="1728797806">
    <w:abstractNumId w:val="46"/>
  </w:num>
  <w:num w:numId="9" w16cid:durableId="386028253">
    <w:abstractNumId w:val="26"/>
  </w:num>
  <w:num w:numId="10" w16cid:durableId="259290683">
    <w:abstractNumId w:val="2"/>
  </w:num>
  <w:num w:numId="11" w16cid:durableId="773747667">
    <w:abstractNumId w:val="0"/>
    <w:lvlOverride w:ilvl="0">
      <w:lvl w:ilvl="0">
        <w:start w:val="1"/>
        <w:numFmt w:val="bullet"/>
        <w:lvlText w:val="-"/>
        <w:legacy w:legacy="1" w:legacySpace="0" w:legacyIndent="360"/>
        <w:lvlJc w:val="left"/>
        <w:pPr>
          <w:ind w:left="360" w:hanging="360"/>
        </w:pPr>
      </w:lvl>
    </w:lvlOverride>
  </w:num>
  <w:num w:numId="12" w16cid:durableId="1629778321">
    <w:abstractNumId w:val="44"/>
  </w:num>
  <w:num w:numId="13" w16cid:durableId="1039159658">
    <w:abstractNumId w:val="30"/>
  </w:num>
  <w:num w:numId="14" w16cid:durableId="1790079246">
    <w:abstractNumId w:val="52"/>
  </w:num>
  <w:num w:numId="15" w16cid:durableId="1720126041">
    <w:abstractNumId w:val="15"/>
  </w:num>
  <w:num w:numId="16" w16cid:durableId="758598169">
    <w:abstractNumId w:val="50"/>
  </w:num>
  <w:num w:numId="17" w16cid:durableId="793258247">
    <w:abstractNumId w:val="37"/>
  </w:num>
  <w:num w:numId="18" w16cid:durableId="860824358">
    <w:abstractNumId w:val="17"/>
  </w:num>
  <w:num w:numId="19" w16cid:durableId="1198618442">
    <w:abstractNumId w:val="28"/>
  </w:num>
  <w:num w:numId="20" w16cid:durableId="1705787975">
    <w:abstractNumId w:val="4"/>
  </w:num>
  <w:num w:numId="21" w16cid:durableId="2102943572">
    <w:abstractNumId w:val="45"/>
  </w:num>
  <w:num w:numId="22" w16cid:durableId="1339771284">
    <w:abstractNumId w:val="23"/>
  </w:num>
  <w:num w:numId="23" w16cid:durableId="1025714423">
    <w:abstractNumId w:val="24"/>
  </w:num>
  <w:num w:numId="24" w16cid:durableId="2053923346">
    <w:abstractNumId w:val="49"/>
  </w:num>
  <w:num w:numId="25" w16cid:durableId="1728645169">
    <w:abstractNumId w:val="8"/>
  </w:num>
  <w:num w:numId="26" w16cid:durableId="1603538510">
    <w:abstractNumId w:val="9"/>
  </w:num>
  <w:num w:numId="27" w16cid:durableId="1418210568">
    <w:abstractNumId w:val="0"/>
    <w:lvlOverride w:ilvl="0">
      <w:lvl w:ilvl="0">
        <w:start w:val="1"/>
        <w:numFmt w:val="bullet"/>
        <w:lvlText w:val="-"/>
        <w:legacy w:legacy="1" w:legacySpace="0" w:legacyIndent="360"/>
        <w:lvlJc w:val="left"/>
        <w:pPr>
          <w:ind w:left="360" w:hanging="360"/>
        </w:pPr>
      </w:lvl>
    </w:lvlOverride>
  </w:num>
  <w:num w:numId="28" w16cid:durableId="534392953">
    <w:abstractNumId w:val="38"/>
  </w:num>
  <w:num w:numId="29" w16cid:durableId="530143781">
    <w:abstractNumId w:val="12"/>
  </w:num>
  <w:num w:numId="30" w16cid:durableId="1206990859">
    <w:abstractNumId w:val="51"/>
  </w:num>
  <w:num w:numId="31" w16cid:durableId="838424755">
    <w:abstractNumId w:val="10"/>
  </w:num>
  <w:num w:numId="32" w16cid:durableId="650602034">
    <w:abstractNumId w:val="27"/>
  </w:num>
  <w:num w:numId="33" w16cid:durableId="1403216915">
    <w:abstractNumId w:val="43"/>
  </w:num>
  <w:num w:numId="34" w16cid:durableId="772552337">
    <w:abstractNumId w:val="5"/>
  </w:num>
  <w:num w:numId="35" w16cid:durableId="262762901">
    <w:abstractNumId w:val="11"/>
  </w:num>
  <w:num w:numId="36" w16cid:durableId="341587709">
    <w:abstractNumId w:val="34"/>
  </w:num>
  <w:num w:numId="37" w16cid:durableId="1209025385">
    <w:abstractNumId w:val="36"/>
  </w:num>
  <w:num w:numId="38" w16cid:durableId="157118804">
    <w:abstractNumId w:val="47"/>
  </w:num>
  <w:num w:numId="39" w16cid:durableId="834029441">
    <w:abstractNumId w:val="16"/>
  </w:num>
  <w:num w:numId="40" w16cid:durableId="1461651242">
    <w:abstractNumId w:val="32"/>
  </w:num>
  <w:num w:numId="41" w16cid:durableId="1764297110">
    <w:abstractNumId w:val="22"/>
  </w:num>
  <w:num w:numId="42" w16cid:durableId="1871990624">
    <w:abstractNumId w:val="7"/>
  </w:num>
  <w:num w:numId="43" w16cid:durableId="1361127878">
    <w:abstractNumId w:val="55"/>
  </w:num>
  <w:num w:numId="44" w16cid:durableId="925843500">
    <w:abstractNumId w:val="3"/>
  </w:num>
  <w:num w:numId="45" w16cid:durableId="2060547594">
    <w:abstractNumId w:val="35"/>
  </w:num>
  <w:num w:numId="46" w16cid:durableId="1724325627">
    <w:abstractNumId w:val="6"/>
  </w:num>
  <w:num w:numId="47" w16cid:durableId="206186549">
    <w:abstractNumId w:val="39"/>
  </w:num>
  <w:num w:numId="48" w16cid:durableId="142085007">
    <w:abstractNumId w:val="19"/>
  </w:num>
  <w:num w:numId="49" w16cid:durableId="1164786602">
    <w:abstractNumId w:val="54"/>
  </w:num>
  <w:num w:numId="50" w16cid:durableId="1971205249">
    <w:abstractNumId w:val="53"/>
  </w:num>
  <w:num w:numId="51" w16cid:durableId="1629585145">
    <w:abstractNumId w:val="40"/>
  </w:num>
  <w:num w:numId="52" w16cid:durableId="763040172">
    <w:abstractNumId w:val="13"/>
  </w:num>
  <w:num w:numId="53" w16cid:durableId="814227176">
    <w:abstractNumId w:val="31"/>
  </w:num>
  <w:num w:numId="54" w16cid:durableId="998076129">
    <w:abstractNumId w:val="29"/>
  </w:num>
  <w:num w:numId="55" w16cid:durableId="632518763">
    <w:abstractNumId w:val="25"/>
  </w:num>
  <w:num w:numId="56" w16cid:durableId="49231093">
    <w:abstractNumId w:val="41"/>
  </w:num>
  <w:num w:numId="57" w16cid:durableId="1795706297">
    <w:abstractNumId w:val="1"/>
  </w:num>
  <w:num w:numId="58" w16cid:durableId="1654287169">
    <w:abstractNumId w:val="57"/>
  </w:num>
  <w:num w:numId="59" w16cid:durableId="714355173">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de-DE" w:vendorID="64" w:dllVersion="0" w:nlCheck="1" w:checkStyle="0"/>
  <w:activeWritingStyle w:appName="MSWord" w:lang="pl-PL" w:vendorID="64" w:dllVersion="0" w:nlCheck="1" w:checkStyle="0"/>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activeWritingStyle w:appName="MSWord" w:lang="lv-LV" w:vendorID="7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124"/>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2EC1"/>
    <w:rsid w:val="000034E1"/>
    <w:rsid w:val="000048A7"/>
    <w:rsid w:val="00005938"/>
    <w:rsid w:val="00005A1A"/>
    <w:rsid w:val="00006FCF"/>
    <w:rsid w:val="0001147D"/>
    <w:rsid w:val="000139CB"/>
    <w:rsid w:val="00014F4A"/>
    <w:rsid w:val="00016183"/>
    <w:rsid w:val="00016C89"/>
    <w:rsid w:val="0001794F"/>
    <w:rsid w:val="00017D88"/>
    <w:rsid w:val="000200D5"/>
    <w:rsid w:val="00020257"/>
    <w:rsid w:val="0002185E"/>
    <w:rsid w:val="00022928"/>
    <w:rsid w:val="00022A78"/>
    <w:rsid w:val="00022F7A"/>
    <w:rsid w:val="000239F8"/>
    <w:rsid w:val="00023BE0"/>
    <w:rsid w:val="000247C4"/>
    <w:rsid w:val="00024B36"/>
    <w:rsid w:val="000267A0"/>
    <w:rsid w:val="00026C48"/>
    <w:rsid w:val="00027E6B"/>
    <w:rsid w:val="000304BA"/>
    <w:rsid w:val="00030536"/>
    <w:rsid w:val="000308F1"/>
    <w:rsid w:val="00030FC6"/>
    <w:rsid w:val="0003165E"/>
    <w:rsid w:val="000330E0"/>
    <w:rsid w:val="000331D8"/>
    <w:rsid w:val="00033F55"/>
    <w:rsid w:val="00037145"/>
    <w:rsid w:val="00042C47"/>
    <w:rsid w:val="0004321A"/>
    <w:rsid w:val="00043BA2"/>
    <w:rsid w:val="00046171"/>
    <w:rsid w:val="000471F1"/>
    <w:rsid w:val="00047748"/>
    <w:rsid w:val="00053150"/>
    <w:rsid w:val="00053CE5"/>
    <w:rsid w:val="0005636B"/>
    <w:rsid w:val="0005683F"/>
    <w:rsid w:val="000636A8"/>
    <w:rsid w:val="0006658D"/>
    <w:rsid w:val="00067556"/>
    <w:rsid w:val="000675CA"/>
    <w:rsid w:val="000702E8"/>
    <w:rsid w:val="00070460"/>
    <w:rsid w:val="00070483"/>
    <w:rsid w:val="00071108"/>
    <w:rsid w:val="00073A3B"/>
    <w:rsid w:val="00074009"/>
    <w:rsid w:val="00074B79"/>
    <w:rsid w:val="00074BAC"/>
    <w:rsid w:val="00074CC8"/>
    <w:rsid w:val="0007656E"/>
    <w:rsid w:val="00076B25"/>
    <w:rsid w:val="00077D04"/>
    <w:rsid w:val="0008020A"/>
    <w:rsid w:val="0008026C"/>
    <w:rsid w:val="000806DD"/>
    <w:rsid w:val="00080C15"/>
    <w:rsid w:val="00081A47"/>
    <w:rsid w:val="000828BF"/>
    <w:rsid w:val="0008478A"/>
    <w:rsid w:val="00084EAB"/>
    <w:rsid w:val="00084ED6"/>
    <w:rsid w:val="00085792"/>
    <w:rsid w:val="000857D6"/>
    <w:rsid w:val="00085DCB"/>
    <w:rsid w:val="00086B9E"/>
    <w:rsid w:val="00086F4D"/>
    <w:rsid w:val="00087196"/>
    <w:rsid w:val="00087883"/>
    <w:rsid w:val="00091513"/>
    <w:rsid w:val="000916F9"/>
    <w:rsid w:val="0009329A"/>
    <w:rsid w:val="00094A93"/>
    <w:rsid w:val="00096097"/>
    <w:rsid w:val="00096EDB"/>
    <w:rsid w:val="000A1C5A"/>
    <w:rsid w:val="000A6641"/>
    <w:rsid w:val="000A7A9A"/>
    <w:rsid w:val="000A7D42"/>
    <w:rsid w:val="000B1429"/>
    <w:rsid w:val="000B1BAC"/>
    <w:rsid w:val="000B6BEE"/>
    <w:rsid w:val="000B6D70"/>
    <w:rsid w:val="000B7C9E"/>
    <w:rsid w:val="000C25DA"/>
    <w:rsid w:val="000C4299"/>
    <w:rsid w:val="000C454F"/>
    <w:rsid w:val="000C6AB1"/>
    <w:rsid w:val="000C739C"/>
    <w:rsid w:val="000D121E"/>
    <w:rsid w:val="000D173A"/>
    <w:rsid w:val="000D29E9"/>
    <w:rsid w:val="000D3F93"/>
    <w:rsid w:val="000D5C39"/>
    <w:rsid w:val="000D6C0B"/>
    <w:rsid w:val="000E0610"/>
    <w:rsid w:val="000E129B"/>
    <w:rsid w:val="000E3DC2"/>
    <w:rsid w:val="000E4004"/>
    <w:rsid w:val="000E4C92"/>
    <w:rsid w:val="000E53BA"/>
    <w:rsid w:val="000E57A6"/>
    <w:rsid w:val="000E6C1F"/>
    <w:rsid w:val="000E71B2"/>
    <w:rsid w:val="000E78EA"/>
    <w:rsid w:val="000F02E1"/>
    <w:rsid w:val="000F0F39"/>
    <w:rsid w:val="000F2042"/>
    <w:rsid w:val="000F3A5B"/>
    <w:rsid w:val="000F6C10"/>
    <w:rsid w:val="001017D1"/>
    <w:rsid w:val="001019D8"/>
    <w:rsid w:val="00101E2E"/>
    <w:rsid w:val="00104061"/>
    <w:rsid w:val="00104562"/>
    <w:rsid w:val="00105FE9"/>
    <w:rsid w:val="00106C0F"/>
    <w:rsid w:val="00110044"/>
    <w:rsid w:val="0011117C"/>
    <w:rsid w:val="0011220E"/>
    <w:rsid w:val="00112EA1"/>
    <w:rsid w:val="00114400"/>
    <w:rsid w:val="001176A6"/>
    <w:rsid w:val="00117EA1"/>
    <w:rsid w:val="00120834"/>
    <w:rsid w:val="001209FB"/>
    <w:rsid w:val="001218D8"/>
    <w:rsid w:val="00123F5B"/>
    <w:rsid w:val="0012465F"/>
    <w:rsid w:val="00125CBA"/>
    <w:rsid w:val="00126F6B"/>
    <w:rsid w:val="0013066F"/>
    <w:rsid w:val="00130DA4"/>
    <w:rsid w:val="00130E73"/>
    <w:rsid w:val="00131255"/>
    <w:rsid w:val="0013214E"/>
    <w:rsid w:val="00132CCE"/>
    <w:rsid w:val="00137969"/>
    <w:rsid w:val="00140BD1"/>
    <w:rsid w:val="00142605"/>
    <w:rsid w:val="001434DB"/>
    <w:rsid w:val="001444F9"/>
    <w:rsid w:val="00145F0F"/>
    <w:rsid w:val="00145F24"/>
    <w:rsid w:val="00146B38"/>
    <w:rsid w:val="00146D9E"/>
    <w:rsid w:val="00151538"/>
    <w:rsid w:val="00151B64"/>
    <w:rsid w:val="0015347D"/>
    <w:rsid w:val="00153917"/>
    <w:rsid w:val="001541F7"/>
    <w:rsid w:val="00154ABB"/>
    <w:rsid w:val="001550AA"/>
    <w:rsid w:val="00155A9E"/>
    <w:rsid w:val="00155D47"/>
    <w:rsid w:val="001571D5"/>
    <w:rsid w:val="00157DA9"/>
    <w:rsid w:val="00161EEB"/>
    <w:rsid w:val="00163350"/>
    <w:rsid w:val="00164B93"/>
    <w:rsid w:val="00165290"/>
    <w:rsid w:val="001704E7"/>
    <w:rsid w:val="00170558"/>
    <w:rsid w:val="001712A0"/>
    <w:rsid w:val="0017147C"/>
    <w:rsid w:val="00171B00"/>
    <w:rsid w:val="001735EA"/>
    <w:rsid w:val="001746CE"/>
    <w:rsid w:val="00174ABF"/>
    <w:rsid w:val="00176FD0"/>
    <w:rsid w:val="001776D8"/>
    <w:rsid w:val="00177EBD"/>
    <w:rsid w:val="0018177D"/>
    <w:rsid w:val="00181C4E"/>
    <w:rsid w:val="0018450B"/>
    <w:rsid w:val="0018530D"/>
    <w:rsid w:val="0018683C"/>
    <w:rsid w:val="00190512"/>
    <w:rsid w:val="00190E15"/>
    <w:rsid w:val="0019129C"/>
    <w:rsid w:val="0019145F"/>
    <w:rsid w:val="00192094"/>
    <w:rsid w:val="00192516"/>
    <w:rsid w:val="0019272C"/>
    <w:rsid w:val="001935F3"/>
    <w:rsid w:val="00195C31"/>
    <w:rsid w:val="001A06C8"/>
    <w:rsid w:val="001A0B55"/>
    <w:rsid w:val="001A2A51"/>
    <w:rsid w:val="001A371B"/>
    <w:rsid w:val="001A52A5"/>
    <w:rsid w:val="001A5931"/>
    <w:rsid w:val="001A5A88"/>
    <w:rsid w:val="001A6F24"/>
    <w:rsid w:val="001B0114"/>
    <w:rsid w:val="001B12FE"/>
    <w:rsid w:val="001B1997"/>
    <w:rsid w:val="001B2529"/>
    <w:rsid w:val="001B2B97"/>
    <w:rsid w:val="001B3E60"/>
    <w:rsid w:val="001B3E6F"/>
    <w:rsid w:val="001B61A7"/>
    <w:rsid w:val="001B6C45"/>
    <w:rsid w:val="001C0176"/>
    <w:rsid w:val="001C0D2C"/>
    <w:rsid w:val="001C2651"/>
    <w:rsid w:val="001C27D0"/>
    <w:rsid w:val="001C37FA"/>
    <w:rsid w:val="001C38B9"/>
    <w:rsid w:val="001C6D37"/>
    <w:rsid w:val="001C704C"/>
    <w:rsid w:val="001D026C"/>
    <w:rsid w:val="001D037C"/>
    <w:rsid w:val="001D03FE"/>
    <w:rsid w:val="001D053D"/>
    <w:rsid w:val="001D13A5"/>
    <w:rsid w:val="001D1E25"/>
    <w:rsid w:val="001D26E4"/>
    <w:rsid w:val="001D272E"/>
    <w:rsid w:val="001D47FC"/>
    <w:rsid w:val="001D7336"/>
    <w:rsid w:val="001D7EBF"/>
    <w:rsid w:val="001E1124"/>
    <w:rsid w:val="001E1D64"/>
    <w:rsid w:val="001E5F45"/>
    <w:rsid w:val="001E7B9A"/>
    <w:rsid w:val="001F01DB"/>
    <w:rsid w:val="001F0B3E"/>
    <w:rsid w:val="001F24BD"/>
    <w:rsid w:val="001F4651"/>
    <w:rsid w:val="001F5133"/>
    <w:rsid w:val="001F71E8"/>
    <w:rsid w:val="00200E31"/>
    <w:rsid w:val="00202DF8"/>
    <w:rsid w:val="00203018"/>
    <w:rsid w:val="00203195"/>
    <w:rsid w:val="0020366D"/>
    <w:rsid w:val="00205AB2"/>
    <w:rsid w:val="0021038D"/>
    <w:rsid w:val="00210844"/>
    <w:rsid w:val="0021629A"/>
    <w:rsid w:val="00216A2F"/>
    <w:rsid w:val="002176A4"/>
    <w:rsid w:val="00220C25"/>
    <w:rsid w:val="00220C70"/>
    <w:rsid w:val="00222B2B"/>
    <w:rsid w:val="00223986"/>
    <w:rsid w:val="00224831"/>
    <w:rsid w:val="00224FB9"/>
    <w:rsid w:val="00225894"/>
    <w:rsid w:val="00226058"/>
    <w:rsid w:val="00227A8E"/>
    <w:rsid w:val="00227AE9"/>
    <w:rsid w:val="00232C72"/>
    <w:rsid w:val="00233FFD"/>
    <w:rsid w:val="0023460F"/>
    <w:rsid w:val="00237B97"/>
    <w:rsid w:val="002409B1"/>
    <w:rsid w:val="00241EEB"/>
    <w:rsid w:val="00242A90"/>
    <w:rsid w:val="0024391D"/>
    <w:rsid w:val="00243D11"/>
    <w:rsid w:val="0024416A"/>
    <w:rsid w:val="002476C3"/>
    <w:rsid w:val="002479B4"/>
    <w:rsid w:val="00250AC1"/>
    <w:rsid w:val="00252372"/>
    <w:rsid w:val="002534FB"/>
    <w:rsid w:val="00253972"/>
    <w:rsid w:val="00254B43"/>
    <w:rsid w:val="00254CFD"/>
    <w:rsid w:val="002558CE"/>
    <w:rsid w:val="0025669A"/>
    <w:rsid w:val="00256D12"/>
    <w:rsid w:val="002578B0"/>
    <w:rsid w:val="00260CC3"/>
    <w:rsid w:val="0026164B"/>
    <w:rsid w:val="00261835"/>
    <w:rsid w:val="00261E71"/>
    <w:rsid w:val="00262479"/>
    <w:rsid w:val="00262BD4"/>
    <w:rsid w:val="00262FEC"/>
    <w:rsid w:val="002632B7"/>
    <w:rsid w:val="00263E8A"/>
    <w:rsid w:val="0026400B"/>
    <w:rsid w:val="0026611A"/>
    <w:rsid w:val="00266700"/>
    <w:rsid w:val="00267FAC"/>
    <w:rsid w:val="0027072E"/>
    <w:rsid w:val="00271BA8"/>
    <w:rsid w:val="00271ECF"/>
    <w:rsid w:val="002723A8"/>
    <w:rsid w:val="00272E90"/>
    <w:rsid w:val="002730D9"/>
    <w:rsid w:val="00276329"/>
    <w:rsid w:val="00276DB5"/>
    <w:rsid w:val="00282101"/>
    <w:rsid w:val="002839B3"/>
    <w:rsid w:val="00283B8E"/>
    <w:rsid w:val="00284602"/>
    <w:rsid w:val="00284A41"/>
    <w:rsid w:val="00284FBB"/>
    <w:rsid w:val="002851D7"/>
    <w:rsid w:val="00285911"/>
    <w:rsid w:val="00285ECC"/>
    <w:rsid w:val="00286D15"/>
    <w:rsid w:val="00286F93"/>
    <w:rsid w:val="002872B0"/>
    <w:rsid w:val="0028777A"/>
    <w:rsid w:val="002908C3"/>
    <w:rsid w:val="00290A80"/>
    <w:rsid w:val="002926C0"/>
    <w:rsid w:val="002933A5"/>
    <w:rsid w:val="0029617F"/>
    <w:rsid w:val="002966DF"/>
    <w:rsid w:val="002A385F"/>
    <w:rsid w:val="002A40AD"/>
    <w:rsid w:val="002A5F7F"/>
    <w:rsid w:val="002B006C"/>
    <w:rsid w:val="002B1704"/>
    <w:rsid w:val="002B1A99"/>
    <w:rsid w:val="002B1D4E"/>
    <w:rsid w:val="002B4B55"/>
    <w:rsid w:val="002B525F"/>
    <w:rsid w:val="002B7455"/>
    <w:rsid w:val="002C07EC"/>
    <w:rsid w:val="002C1D27"/>
    <w:rsid w:val="002C23AB"/>
    <w:rsid w:val="002C2616"/>
    <w:rsid w:val="002C44F4"/>
    <w:rsid w:val="002C4561"/>
    <w:rsid w:val="002C7BCD"/>
    <w:rsid w:val="002D003E"/>
    <w:rsid w:val="002D069C"/>
    <w:rsid w:val="002D1FE1"/>
    <w:rsid w:val="002D27AA"/>
    <w:rsid w:val="002D45C7"/>
    <w:rsid w:val="002D5916"/>
    <w:rsid w:val="002D682E"/>
    <w:rsid w:val="002E0D86"/>
    <w:rsid w:val="002E1AF1"/>
    <w:rsid w:val="002E1C81"/>
    <w:rsid w:val="002E1D02"/>
    <w:rsid w:val="002E2281"/>
    <w:rsid w:val="002E2332"/>
    <w:rsid w:val="002E3196"/>
    <w:rsid w:val="002E3421"/>
    <w:rsid w:val="002E540C"/>
    <w:rsid w:val="002E5861"/>
    <w:rsid w:val="002E5C1E"/>
    <w:rsid w:val="002E5DBA"/>
    <w:rsid w:val="002E719A"/>
    <w:rsid w:val="002E7CDB"/>
    <w:rsid w:val="002F1576"/>
    <w:rsid w:val="002F3326"/>
    <w:rsid w:val="002F357A"/>
    <w:rsid w:val="002F463A"/>
    <w:rsid w:val="002F5859"/>
    <w:rsid w:val="002F61D8"/>
    <w:rsid w:val="002F6B21"/>
    <w:rsid w:val="00300F45"/>
    <w:rsid w:val="00301C6B"/>
    <w:rsid w:val="00303011"/>
    <w:rsid w:val="003050CD"/>
    <w:rsid w:val="00306FD3"/>
    <w:rsid w:val="00307F33"/>
    <w:rsid w:val="00311824"/>
    <w:rsid w:val="00311899"/>
    <w:rsid w:val="003123D9"/>
    <w:rsid w:val="0031467B"/>
    <w:rsid w:val="003209F8"/>
    <w:rsid w:val="00323A98"/>
    <w:rsid w:val="00325458"/>
    <w:rsid w:val="00330331"/>
    <w:rsid w:val="00333488"/>
    <w:rsid w:val="003334DC"/>
    <w:rsid w:val="003343C1"/>
    <w:rsid w:val="00334E5F"/>
    <w:rsid w:val="00334F3C"/>
    <w:rsid w:val="0033590D"/>
    <w:rsid w:val="00336B20"/>
    <w:rsid w:val="00336E7A"/>
    <w:rsid w:val="00341752"/>
    <w:rsid w:val="00342339"/>
    <w:rsid w:val="0034359F"/>
    <w:rsid w:val="003441BD"/>
    <w:rsid w:val="003445BC"/>
    <w:rsid w:val="0034537A"/>
    <w:rsid w:val="00346342"/>
    <w:rsid w:val="0034742F"/>
    <w:rsid w:val="0034753A"/>
    <w:rsid w:val="00351FAA"/>
    <w:rsid w:val="00352CD6"/>
    <w:rsid w:val="00354672"/>
    <w:rsid w:val="00356435"/>
    <w:rsid w:val="00357068"/>
    <w:rsid w:val="00361470"/>
    <w:rsid w:val="00363596"/>
    <w:rsid w:val="00363C34"/>
    <w:rsid w:val="00365253"/>
    <w:rsid w:val="00365A14"/>
    <w:rsid w:val="003661F1"/>
    <w:rsid w:val="00370B00"/>
    <w:rsid w:val="00370D00"/>
    <w:rsid w:val="00370F37"/>
    <w:rsid w:val="003737E8"/>
    <w:rsid w:val="00375CA6"/>
    <w:rsid w:val="00375FAA"/>
    <w:rsid w:val="003828E7"/>
    <w:rsid w:val="00382BC2"/>
    <w:rsid w:val="00382D81"/>
    <w:rsid w:val="003839D5"/>
    <w:rsid w:val="00384B6F"/>
    <w:rsid w:val="00385059"/>
    <w:rsid w:val="003856CA"/>
    <w:rsid w:val="00386C31"/>
    <w:rsid w:val="00386DFE"/>
    <w:rsid w:val="00387068"/>
    <w:rsid w:val="0038750B"/>
    <w:rsid w:val="003901DF"/>
    <w:rsid w:val="003909DE"/>
    <w:rsid w:val="00390CB7"/>
    <w:rsid w:val="00391BDF"/>
    <w:rsid w:val="003922D9"/>
    <w:rsid w:val="00392382"/>
    <w:rsid w:val="00392627"/>
    <w:rsid w:val="00392653"/>
    <w:rsid w:val="003946CC"/>
    <w:rsid w:val="00394CCD"/>
    <w:rsid w:val="00395165"/>
    <w:rsid w:val="00395FD8"/>
    <w:rsid w:val="0039643F"/>
    <w:rsid w:val="003974A9"/>
    <w:rsid w:val="00397619"/>
    <w:rsid w:val="003A08FC"/>
    <w:rsid w:val="003A0B3D"/>
    <w:rsid w:val="003A0EB1"/>
    <w:rsid w:val="003A1DB8"/>
    <w:rsid w:val="003A2257"/>
    <w:rsid w:val="003A2F86"/>
    <w:rsid w:val="003A3BA3"/>
    <w:rsid w:val="003A7915"/>
    <w:rsid w:val="003B0291"/>
    <w:rsid w:val="003B1662"/>
    <w:rsid w:val="003B271B"/>
    <w:rsid w:val="003B39F4"/>
    <w:rsid w:val="003B4B70"/>
    <w:rsid w:val="003B4DE8"/>
    <w:rsid w:val="003B7343"/>
    <w:rsid w:val="003B7A5C"/>
    <w:rsid w:val="003C0814"/>
    <w:rsid w:val="003C0DAF"/>
    <w:rsid w:val="003C2E5D"/>
    <w:rsid w:val="003C410D"/>
    <w:rsid w:val="003C4597"/>
    <w:rsid w:val="003C508C"/>
    <w:rsid w:val="003C6810"/>
    <w:rsid w:val="003C6C78"/>
    <w:rsid w:val="003C7EFB"/>
    <w:rsid w:val="003D00E6"/>
    <w:rsid w:val="003D0FA7"/>
    <w:rsid w:val="003D13C9"/>
    <w:rsid w:val="003D5E2C"/>
    <w:rsid w:val="003D5F37"/>
    <w:rsid w:val="003E24B7"/>
    <w:rsid w:val="003E2C78"/>
    <w:rsid w:val="003E3A13"/>
    <w:rsid w:val="003E3A3B"/>
    <w:rsid w:val="003E46C2"/>
    <w:rsid w:val="003E48C0"/>
    <w:rsid w:val="003E6568"/>
    <w:rsid w:val="003F0642"/>
    <w:rsid w:val="003F0A34"/>
    <w:rsid w:val="003F2741"/>
    <w:rsid w:val="003F5BA9"/>
    <w:rsid w:val="003F62C9"/>
    <w:rsid w:val="003F78FE"/>
    <w:rsid w:val="0040061E"/>
    <w:rsid w:val="00402AAF"/>
    <w:rsid w:val="004030F8"/>
    <w:rsid w:val="00403517"/>
    <w:rsid w:val="004039DB"/>
    <w:rsid w:val="0040450D"/>
    <w:rsid w:val="004050DB"/>
    <w:rsid w:val="00405385"/>
    <w:rsid w:val="004103A2"/>
    <w:rsid w:val="0041270A"/>
    <w:rsid w:val="004144B8"/>
    <w:rsid w:val="004154A3"/>
    <w:rsid w:val="00415D15"/>
    <w:rsid w:val="00415DB2"/>
    <w:rsid w:val="004175FE"/>
    <w:rsid w:val="00417EC9"/>
    <w:rsid w:val="004207B8"/>
    <w:rsid w:val="00420B9A"/>
    <w:rsid w:val="0042213F"/>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1DF"/>
    <w:rsid w:val="00447E6B"/>
    <w:rsid w:val="00451C8B"/>
    <w:rsid w:val="00454E04"/>
    <w:rsid w:val="0045537A"/>
    <w:rsid w:val="00455413"/>
    <w:rsid w:val="00455EE8"/>
    <w:rsid w:val="0045645D"/>
    <w:rsid w:val="00456592"/>
    <w:rsid w:val="004609FB"/>
    <w:rsid w:val="00460A0C"/>
    <w:rsid w:val="0046107E"/>
    <w:rsid w:val="00464468"/>
    <w:rsid w:val="00467221"/>
    <w:rsid w:val="0047002A"/>
    <w:rsid w:val="0047019C"/>
    <w:rsid w:val="00470598"/>
    <w:rsid w:val="00470735"/>
    <w:rsid w:val="00470BA0"/>
    <w:rsid w:val="0047673E"/>
    <w:rsid w:val="00480F37"/>
    <w:rsid w:val="00482FB2"/>
    <w:rsid w:val="004845D4"/>
    <w:rsid w:val="00486695"/>
    <w:rsid w:val="00487D6C"/>
    <w:rsid w:val="004917C4"/>
    <w:rsid w:val="00491B42"/>
    <w:rsid w:val="00492B8B"/>
    <w:rsid w:val="00492F05"/>
    <w:rsid w:val="0049304D"/>
    <w:rsid w:val="00494365"/>
    <w:rsid w:val="00494A5A"/>
    <w:rsid w:val="004971CF"/>
    <w:rsid w:val="004A1FDE"/>
    <w:rsid w:val="004A23FC"/>
    <w:rsid w:val="004A31C2"/>
    <w:rsid w:val="004A4658"/>
    <w:rsid w:val="004A5CC6"/>
    <w:rsid w:val="004A70D0"/>
    <w:rsid w:val="004B015E"/>
    <w:rsid w:val="004B2367"/>
    <w:rsid w:val="004B39BB"/>
    <w:rsid w:val="004B3FB2"/>
    <w:rsid w:val="004B52A8"/>
    <w:rsid w:val="004B5455"/>
    <w:rsid w:val="004B7A56"/>
    <w:rsid w:val="004C046F"/>
    <w:rsid w:val="004C1DEE"/>
    <w:rsid w:val="004C2642"/>
    <w:rsid w:val="004C37A6"/>
    <w:rsid w:val="004C4930"/>
    <w:rsid w:val="004D05A3"/>
    <w:rsid w:val="004D4AE0"/>
    <w:rsid w:val="004D52CB"/>
    <w:rsid w:val="004D7E06"/>
    <w:rsid w:val="004E0B94"/>
    <w:rsid w:val="004E0DE6"/>
    <w:rsid w:val="004E2181"/>
    <w:rsid w:val="004E300A"/>
    <w:rsid w:val="004E3BD3"/>
    <w:rsid w:val="004E4D49"/>
    <w:rsid w:val="004E6103"/>
    <w:rsid w:val="004E7E55"/>
    <w:rsid w:val="004F0CD8"/>
    <w:rsid w:val="004F1E02"/>
    <w:rsid w:val="004F7580"/>
    <w:rsid w:val="004F7EEF"/>
    <w:rsid w:val="00502193"/>
    <w:rsid w:val="00502346"/>
    <w:rsid w:val="00503496"/>
    <w:rsid w:val="00503EAF"/>
    <w:rsid w:val="0050412D"/>
    <w:rsid w:val="0050626B"/>
    <w:rsid w:val="0050635E"/>
    <w:rsid w:val="00506414"/>
    <w:rsid w:val="00506539"/>
    <w:rsid w:val="00510AFC"/>
    <w:rsid w:val="00511EFE"/>
    <w:rsid w:val="0051227B"/>
    <w:rsid w:val="00512B71"/>
    <w:rsid w:val="00513A66"/>
    <w:rsid w:val="00513AC0"/>
    <w:rsid w:val="00513D77"/>
    <w:rsid w:val="00513F9D"/>
    <w:rsid w:val="00515D72"/>
    <w:rsid w:val="005163F3"/>
    <w:rsid w:val="005207CE"/>
    <w:rsid w:val="0052167B"/>
    <w:rsid w:val="00521E30"/>
    <w:rsid w:val="005239E8"/>
    <w:rsid w:val="00523E46"/>
    <w:rsid w:val="00524C94"/>
    <w:rsid w:val="005300A6"/>
    <w:rsid w:val="005303AC"/>
    <w:rsid w:val="00531950"/>
    <w:rsid w:val="00531E6E"/>
    <w:rsid w:val="00531FCD"/>
    <w:rsid w:val="0053208E"/>
    <w:rsid w:val="00532614"/>
    <w:rsid w:val="0053262B"/>
    <w:rsid w:val="0053394E"/>
    <w:rsid w:val="00534547"/>
    <w:rsid w:val="00534818"/>
    <w:rsid w:val="00537D4D"/>
    <w:rsid w:val="00540270"/>
    <w:rsid w:val="00540CC2"/>
    <w:rsid w:val="00541997"/>
    <w:rsid w:val="00542618"/>
    <w:rsid w:val="00543A49"/>
    <w:rsid w:val="0054401F"/>
    <w:rsid w:val="00545E71"/>
    <w:rsid w:val="00546236"/>
    <w:rsid w:val="0054637A"/>
    <w:rsid w:val="005469FE"/>
    <w:rsid w:val="00546B5A"/>
    <w:rsid w:val="0055112C"/>
    <w:rsid w:val="00551EAD"/>
    <w:rsid w:val="0055215B"/>
    <w:rsid w:val="005527CB"/>
    <w:rsid w:val="00552C12"/>
    <w:rsid w:val="00553ECF"/>
    <w:rsid w:val="005542A6"/>
    <w:rsid w:val="00555733"/>
    <w:rsid w:val="005564EF"/>
    <w:rsid w:val="00556CD9"/>
    <w:rsid w:val="00556EDC"/>
    <w:rsid w:val="00557EB8"/>
    <w:rsid w:val="00565075"/>
    <w:rsid w:val="005660AA"/>
    <w:rsid w:val="00566553"/>
    <w:rsid w:val="00570BE6"/>
    <w:rsid w:val="00570F8A"/>
    <w:rsid w:val="005712B1"/>
    <w:rsid w:val="005713C3"/>
    <w:rsid w:val="00572031"/>
    <w:rsid w:val="00573A7B"/>
    <w:rsid w:val="005748C1"/>
    <w:rsid w:val="0057506B"/>
    <w:rsid w:val="00576130"/>
    <w:rsid w:val="005765CB"/>
    <w:rsid w:val="00576E63"/>
    <w:rsid w:val="00576EF9"/>
    <w:rsid w:val="00577091"/>
    <w:rsid w:val="005773C3"/>
    <w:rsid w:val="00577D3D"/>
    <w:rsid w:val="00580267"/>
    <w:rsid w:val="00581560"/>
    <w:rsid w:val="0058246E"/>
    <w:rsid w:val="00583511"/>
    <w:rsid w:val="00584322"/>
    <w:rsid w:val="005844F0"/>
    <w:rsid w:val="005846B3"/>
    <w:rsid w:val="00590205"/>
    <w:rsid w:val="0059029C"/>
    <w:rsid w:val="005909CC"/>
    <w:rsid w:val="005912A2"/>
    <w:rsid w:val="005943F9"/>
    <w:rsid w:val="00594AC2"/>
    <w:rsid w:val="0059550D"/>
    <w:rsid w:val="00595BBB"/>
    <w:rsid w:val="00597CB3"/>
    <w:rsid w:val="005A07F5"/>
    <w:rsid w:val="005A3D7F"/>
    <w:rsid w:val="005A4886"/>
    <w:rsid w:val="005A4963"/>
    <w:rsid w:val="005A4A43"/>
    <w:rsid w:val="005A4E73"/>
    <w:rsid w:val="005A57B1"/>
    <w:rsid w:val="005A76F4"/>
    <w:rsid w:val="005B3534"/>
    <w:rsid w:val="005B3BA7"/>
    <w:rsid w:val="005B5547"/>
    <w:rsid w:val="005B5976"/>
    <w:rsid w:val="005B6E10"/>
    <w:rsid w:val="005B72A7"/>
    <w:rsid w:val="005B768D"/>
    <w:rsid w:val="005B7A51"/>
    <w:rsid w:val="005B7D63"/>
    <w:rsid w:val="005C00F5"/>
    <w:rsid w:val="005C041F"/>
    <w:rsid w:val="005C045D"/>
    <w:rsid w:val="005C2D22"/>
    <w:rsid w:val="005C305E"/>
    <w:rsid w:val="005C41B7"/>
    <w:rsid w:val="005C47A5"/>
    <w:rsid w:val="005C6834"/>
    <w:rsid w:val="005D04D2"/>
    <w:rsid w:val="005D370F"/>
    <w:rsid w:val="005D7ABD"/>
    <w:rsid w:val="005E228C"/>
    <w:rsid w:val="005E3F8F"/>
    <w:rsid w:val="005E5A84"/>
    <w:rsid w:val="005F6B3F"/>
    <w:rsid w:val="005F6FB1"/>
    <w:rsid w:val="005F719A"/>
    <w:rsid w:val="005F7D81"/>
    <w:rsid w:val="00601A36"/>
    <w:rsid w:val="00603171"/>
    <w:rsid w:val="0060439F"/>
    <w:rsid w:val="006050AD"/>
    <w:rsid w:val="00605B82"/>
    <w:rsid w:val="006076ED"/>
    <w:rsid w:val="00607A0C"/>
    <w:rsid w:val="00610748"/>
    <w:rsid w:val="00610A0C"/>
    <w:rsid w:val="006119B3"/>
    <w:rsid w:val="006126B7"/>
    <w:rsid w:val="006138A2"/>
    <w:rsid w:val="006167DC"/>
    <w:rsid w:val="00617973"/>
    <w:rsid w:val="00617D01"/>
    <w:rsid w:val="00620328"/>
    <w:rsid w:val="00620EB8"/>
    <w:rsid w:val="00621A05"/>
    <w:rsid w:val="006235E4"/>
    <w:rsid w:val="00630A19"/>
    <w:rsid w:val="00630E37"/>
    <w:rsid w:val="006312C3"/>
    <w:rsid w:val="00631948"/>
    <w:rsid w:val="00632169"/>
    <w:rsid w:val="00635CB3"/>
    <w:rsid w:val="00635E3F"/>
    <w:rsid w:val="006369FF"/>
    <w:rsid w:val="006401D2"/>
    <w:rsid w:val="00640DBC"/>
    <w:rsid w:val="0064292F"/>
    <w:rsid w:val="00645A91"/>
    <w:rsid w:val="00650335"/>
    <w:rsid w:val="00652D34"/>
    <w:rsid w:val="00654166"/>
    <w:rsid w:val="006553D0"/>
    <w:rsid w:val="00656BFC"/>
    <w:rsid w:val="006606E8"/>
    <w:rsid w:val="00660D79"/>
    <w:rsid w:val="0066191A"/>
    <w:rsid w:val="00661E7C"/>
    <w:rsid w:val="00662C55"/>
    <w:rsid w:val="00663B27"/>
    <w:rsid w:val="00663B5E"/>
    <w:rsid w:val="006645E9"/>
    <w:rsid w:val="006658CD"/>
    <w:rsid w:val="00666C7C"/>
    <w:rsid w:val="00666F4D"/>
    <w:rsid w:val="00666FDE"/>
    <w:rsid w:val="00667DFA"/>
    <w:rsid w:val="0067031D"/>
    <w:rsid w:val="00670C68"/>
    <w:rsid w:val="00670FB0"/>
    <w:rsid w:val="00673029"/>
    <w:rsid w:val="00673ACE"/>
    <w:rsid w:val="006742C8"/>
    <w:rsid w:val="00675C43"/>
    <w:rsid w:val="00676E1B"/>
    <w:rsid w:val="00677126"/>
    <w:rsid w:val="00677635"/>
    <w:rsid w:val="00680B23"/>
    <w:rsid w:val="00681E81"/>
    <w:rsid w:val="00682756"/>
    <w:rsid w:val="00682758"/>
    <w:rsid w:val="00683555"/>
    <w:rsid w:val="0068384A"/>
    <w:rsid w:val="00683D37"/>
    <w:rsid w:val="00683F11"/>
    <w:rsid w:val="00685410"/>
    <w:rsid w:val="0069202F"/>
    <w:rsid w:val="00692E63"/>
    <w:rsid w:val="0069335B"/>
    <w:rsid w:val="0069422A"/>
    <w:rsid w:val="00695D42"/>
    <w:rsid w:val="00696486"/>
    <w:rsid w:val="0069755A"/>
    <w:rsid w:val="00697D1B"/>
    <w:rsid w:val="006A0CEE"/>
    <w:rsid w:val="006A12AB"/>
    <w:rsid w:val="006A17D4"/>
    <w:rsid w:val="006A1E6E"/>
    <w:rsid w:val="006A21CD"/>
    <w:rsid w:val="006A2E72"/>
    <w:rsid w:val="006A3142"/>
    <w:rsid w:val="006A3588"/>
    <w:rsid w:val="006A3C2F"/>
    <w:rsid w:val="006A5C2E"/>
    <w:rsid w:val="006A6CB0"/>
    <w:rsid w:val="006A7FBC"/>
    <w:rsid w:val="006B0507"/>
    <w:rsid w:val="006B104C"/>
    <w:rsid w:val="006B4203"/>
    <w:rsid w:val="006B592F"/>
    <w:rsid w:val="006B6AA1"/>
    <w:rsid w:val="006B70C1"/>
    <w:rsid w:val="006B79BF"/>
    <w:rsid w:val="006B7BF3"/>
    <w:rsid w:val="006C15E0"/>
    <w:rsid w:val="006C15EE"/>
    <w:rsid w:val="006C4A6F"/>
    <w:rsid w:val="006C5D21"/>
    <w:rsid w:val="006C6ECE"/>
    <w:rsid w:val="006C6FD9"/>
    <w:rsid w:val="006D19EB"/>
    <w:rsid w:val="006D3004"/>
    <w:rsid w:val="006D531D"/>
    <w:rsid w:val="006D5ECD"/>
    <w:rsid w:val="006D7371"/>
    <w:rsid w:val="006E0369"/>
    <w:rsid w:val="006E2DD1"/>
    <w:rsid w:val="006E30D3"/>
    <w:rsid w:val="006E32CF"/>
    <w:rsid w:val="006E4D54"/>
    <w:rsid w:val="006E6621"/>
    <w:rsid w:val="006E6C95"/>
    <w:rsid w:val="006F14FC"/>
    <w:rsid w:val="006F2427"/>
    <w:rsid w:val="006F2D55"/>
    <w:rsid w:val="006F3D12"/>
    <w:rsid w:val="006F5C0A"/>
    <w:rsid w:val="006F6052"/>
    <w:rsid w:val="006F60B2"/>
    <w:rsid w:val="006F71B1"/>
    <w:rsid w:val="006F777D"/>
    <w:rsid w:val="00701B19"/>
    <w:rsid w:val="00702A4F"/>
    <w:rsid w:val="007039B1"/>
    <w:rsid w:val="00705215"/>
    <w:rsid w:val="00705B0A"/>
    <w:rsid w:val="007064D1"/>
    <w:rsid w:val="007067D5"/>
    <w:rsid w:val="00707432"/>
    <w:rsid w:val="00710638"/>
    <w:rsid w:val="0071264A"/>
    <w:rsid w:val="00715473"/>
    <w:rsid w:val="007205EB"/>
    <w:rsid w:val="007241CA"/>
    <w:rsid w:val="00725A2D"/>
    <w:rsid w:val="007274D8"/>
    <w:rsid w:val="00727F68"/>
    <w:rsid w:val="00731911"/>
    <w:rsid w:val="007340B6"/>
    <w:rsid w:val="0073453F"/>
    <w:rsid w:val="00735DBD"/>
    <w:rsid w:val="00736455"/>
    <w:rsid w:val="00736CAB"/>
    <w:rsid w:val="00741A7D"/>
    <w:rsid w:val="007421BC"/>
    <w:rsid w:val="007429AD"/>
    <w:rsid w:val="0074341B"/>
    <w:rsid w:val="0074576A"/>
    <w:rsid w:val="0074665A"/>
    <w:rsid w:val="00750787"/>
    <w:rsid w:val="00753546"/>
    <w:rsid w:val="00753EA5"/>
    <w:rsid w:val="00754990"/>
    <w:rsid w:val="00756C68"/>
    <w:rsid w:val="00760724"/>
    <w:rsid w:val="00764AFE"/>
    <w:rsid w:val="00764FAF"/>
    <w:rsid w:val="00765B7F"/>
    <w:rsid w:val="00767E83"/>
    <w:rsid w:val="00771809"/>
    <w:rsid w:val="00772E28"/>
    <w:rsid w:val="007746E7"/>
    <w:rsid w:val="00775CD9"/>
    <w:rsid w:val="00781071"/>
    <w:rsid w:val="00782678"/>
    <w:rsid w:val="00782766"/>
    <w:rsid w:val="00782929"/>
    <w:rsid w:val="00782C0E"/>
    <w:rsid w:val="00782D78"/>
    <w:rsid w:val="00783401"/>
    <w:rsid w:val="00783F3E"/>
    <w:rsid w:val="0078654E"/>
    <w:rsid w:val="00786674"/>
    <w:rsid w:val="00787154"/>
    <w:rsid w:val="00787EB8"/>
    <w:rsid w:val="0079026B"/>
    <w:rsid w:val="007910B9"/>
    <w:rsid w:val="007930BD"/>
    <w:rsid w:val="00793B5C"/>
    <w:rsid w:val="00793CD9"/>
    <w:rsid w:val="007947DA"/>
    <w:rsid w:val="007967F0"/>
    <w:rsid w:val="00796DEC"/>
    <w:rsid w:val="00796FF2"/>
    <w:rsid w:val="007A09DF"/>
    <w:rsid w:val="007A0B47"/>
    <w:rsid w:val="007A0BB2"/>
    <w:rsid w:val="007A255F"/>
    <w:rsid w:val="007A2AEB"/>
    <w:rsid w:val="007A5B45"/>
    <w:rsid w:val="007A6528"/>
    <w:rsid w:val="007A7BF9"/>
    <w:rsid w:val="007A7C5C"/>
    <w:rsid w:val="007A7CED"/>
    <w:rsid w:val="007B2137"/>
    <w:rsid w:val="007B21F7"/>
    <w:rsid w:val="007B2A55"/>
    <w:rsid w:val="007B31F2"/>
    <w:rsid w:val="007B456B"/>
    <w:rsid w:val="007B5D4C"/>
    <w:rsid w:val="007B6756"/>
    <w:rsid w:val="007B7B60"/>
    <w:rsid w:val="007B7D22"/>
    <w:rsid w:val="007C1B45"/>
    <w:rsid w:val="007C4974"/>
    <w:rsid w:val="007C4C92"/>
    <w:rsid w:val="007C4F37"/>
    <w:rsid w:val="007D1361"/>
    <w:rsid w:val="007D2F3D"/>
    <w:rsid w:val="007D3CC0"/>
    <w:rsid w:val="007D5CB4"/>
    <w:rsid w:val="007D5DF2"/>
    <w:rsid w:val="007D7AF6"/>
    <w:rsid w:val="007E1C60"/>
    <w:rsid w:val="007E2131"/>
    <w:rsid w:val="007E2BA5"/>
    <w:rsid w:val="007E35DB"/>
    <w:rsid w:val="007E3A1A"/>
    <w:rsid w:val="007E4161"/>
    <w:rsid w:val="007E4BEA"/>
    <w:rsid w:val="007E53D0"/>
    <w:rsid w:val="007E5641"/>
    <w:rsid w:val="007E5A93"/>
    <w:rsid w:val="007F02B5"/>
    <w:rsid w:val="007F18D8"/>
    <w:rsid w:val="007F2833"/>
    <w:rsid w:val="007F4444"/>
    <w:rsid w:val="007F49ED"/>
    <w:rsid w:val="007F4A78"/>
    <w:rsid w:val="007F615E"/>
    <w:rsid w:val="007F6CA6"/>
    <w:rsid w:val="007F7749"/>
    <w:rsid w:val="007F7E08"/>
    <w:rsid w:val="0080087F"/>
    <w:rsid w:val="008011D6"/>
    <w:rsid w:val="00801635"/>
    <w:rsid w:val="008038D4"/>
    <w:rsid w:val="00804A3C"/>
    <w:rsid w:val="00806F6F"/>
    <w:rsid w:val="0081033D"/>
    <w:rsid w:val="008111A8"/>
    <w:rsid w:val="008132C0"/>
    <w:rsid w:val="00814092"/>
    <w:rsid w:val="00814BDE"/>
    <w:rsid w:val="0081632F"/>
    <w:rsid w:val="00816FE9"/>
    <w:rsid w:val="0082029B"/>
    <w:rsid w:val="008203F7"/>
    <w:rsid w:val="00820EE4"/>
    <w:rsid w:val="00821A88"/>
    <w:rsid w:val="00822173"/>
    <w:rsid w:val="0082295E"/>
    <w:rsid w:val="0082430B"/>
    <w:rsid w:val="00825B2E"/>
    <w:rsid w:val="008320CE"/>
    <w:rsid w:val="008332E9"/>
    <w:rsid w:val="00834859"/>
    <w:rsid w:val="00834B99"/>
    <w:rsid w:val="0083571E"/>
    <w:rsid w:val="00835F12"/>
    <w:rsid w:val="00841AB1"/>
    <w:rsid w:val="0084221F"/>
    <w:rsid w:val="00842C98"/>
    <w:rsid w:val="00842F0F"/>
    <w:rsid w:val="00844BC4"/>
    <w:rsid w:val="008451F6"/>
    <w:rsid w:val="00845B88"/>
    <w:rsid w:val="00845C42"/>
    <w:rsid w:val="00846E74"/>
    <w:rsid w:val="00847B2B"/>
    <w:rsid w:val="008506B2"/>
    <w:rsid w:val="00854732"/>
    <w:rsid w:val="00854838"/>
    <w:rsid w:val="0085584E"/>
    <w:rsid w:val="00857CFA"/>
    <w:rsid w:val="008603DE"/>
    <w:rsid w:val="008604A5"/>
    <w:rsid w:val="00861346"/>
    <w:rsid w:val="0086249C"/>
    <w:rsid w:val="00864EEB"/>
    <w:rsid w:val="00866169"/>
    <w:rsid w:val="00866C7D"/>
    <w:rsid w:val="00866E26"/>
    <w:rsid w:val="00867363"/>
    <w:rsid w:val="00867C8D"/>
    <w:rsid w:val="008701A6"/>
    <w:rsid w:val="00870635"/>
    <w:rsid w:val="00870FD0"/>
    <w:rsid w:val="0087200F"/>
    <w:rsid w:val="00872484"/>
    <w:rsid w:val="0087371C"/>
    <w:rsid w:val="00876575"/>
    <w:rsid w:val="008766C5"/>
    <w:rsid w:val="00877662"/>
    <w:rsid w:val="00880B13"/>
    <w:rsid w:val="008814A7"/>
    <w:rsid w:val="008825E1"/>
    <w:rsid w:val="008828A9"/>
    <w:rsid w:val="00882AF5"/>
    <w:rsid w:val="0088377F"/>
    <w:rsid w:val="008839CC"/>
    <w:rsid w:val="0088443E"/>
    <w:rsid w:val="00885203"/>
    <w:rsid w:val="00886619"/>
    <w:rsid w:val="00886ECF"/>
    <w:rsid w:val="0088725D"/>
    <w:rsid w:val="0089083C"/>
    <w:rsid w:val="00891F06"/>
    <w:rsid w:val="00892389"/>
    <w:rsid w:val="00894085"/>
    <w:rsid w:val="00895201"/>
    <w:rsid w:val="00895C32"/>
    <w:rsid w:val="00896B0E"/>
    <w:rsid w:val="00897E79"/>
    <w:rsid w:val="008A1115"/>
    <w:rsid w:val="008A3687"/>
    <w:rsid w:val="008A3961"/>
    <w:rsid w:val="008A5448"/>
    <w:rsid w:val="008B4ED7"/>
    <w:rsid w:val="008B5507"/>
    <w:rsid w:val="008B68D7"/>
    <w:rsid w:val="008B6BBF"/>
    <w:rsid w:val="008C0D7B"/>
    <w:rsid w:val="008C12CD"/>
    <w:rsid w:val="008C3202"/>
    <w:rsid w:val="008C399E"/>
    <w:rsid w:val="008C5ACD"/>
    <w:rsid w:val="008C61C9"/>
    <w:rsid w:val="008C6FD9"/>
    <w:rsid w:val="008D2947"/>
    <w:rsid w:val="008D2CB3"/>
    <w:rsid w:val="008D2D4C"/>
    <w:rsid w:val="008D5181"/>
    <w:rsid w:val="008D72D9"/>
    <w:rsid w:val="008D7BC4"/>
    <w:rsid w:val="008E10F7"/>
    <w:rsid w:val="008E112C"/>
    <w:rsid w:val="008E1368"/>
    <w:rsid w:val="008E1F67"/>
    <w:rsid w:val="008E33B4"/>
    <w:rsid w:val="008E383B"/>
    <w:rsid w:val="008E395C"/>
    <w:rsid w:val="008E4296"/>
    <w:rsid w:val="008E53B7"/>
    <w:rsid w:val="008E600C"/>
    <w:rsid w:val="008E601B"/>
    <w:rsid w:val="008E721F"/>
    <w:rsid w:val="008F001D"/>
    <w:rsid w:val="008F2674"/>
    <w:rsid w:val="008F32DF"/>
    <w:rsid w:val="008F4110"/>
    <w:rsid w:val="008F49CC"/>
    <w:rsid w:val="008F4F4F"/>
    <w:rsid w:val="008F616F"/>
    <w:rsid w:val="008F6442"/>
    <w:rsid w:val="008F7C87"/>
    <w:rsid w:val="009004F5"/>
    <w:rsid w:val="00900E66"/>
    <w:rsid w:val="0090172F"/>
    <w:rsid w:val="00902610"/>
    <w:rsid w:val="009026C9"/>
    <w:rsid w:val="00903C99"/>
    <w:rsid w:val="009040E3"/>
    <w:rsid w:val="00906A1D"/>
    <w:rsid w:val="00907BCD"/>
    <w:rsid w:val="009125CD"/>
    <w:rsid w:val="00915994"/>
    <w:rsid w:val="00915A41"/>
    <w:rsid w:val="00915A56"/>
    <w:rsid w:val="00916193"/>
    <w:rsid w:val="00920C0C"/>
    <w:rsid w:val="009214A2"/>
    <w:rsid w:val="00921D52"/>
    <w:rsid w:val="009247D4"/>
    <w:rsid w:val="00925343"/>
    <w:rsid w:val="00926A1A"/>
    <w:rsid w:val="0092748E"/>
    <w:rsid w:val="00927DFC"/>
    <w:rsid w:val="0093094E"/>
    <w:rsid w:val="00931BB1"/>
    <w:rsid w:val="00931F9B"/>
    <w:rsid w:val="0093516D"/>
    <w:rsid w:val="00935B4B"/>
    <w:rsid w:val="00935D11"/>
    <w:rsid w:val="00940216"/>
    <w:rsid w:val="00941359"/>
    <w:rsid w:val="00941571"/>
    <w:rsid w:val="00942BF7"/>
    <w:rsid w:val="0094383C"/>
    <w:rsid w:val="00943A8E"/>
    <w:rsid w:val="0094508A"/>
    <w:rsid w:val="00946139"/>
    <w:rsid w:val="00946823"/>
    <w:rsid w:val="00946B73"/>
    <w:rsid w:val="00947CF3"/>
    <w:rsid w:val="00951905"/>
    <w:rsid w:val="00952113"/>
    <w:rsid w:val="00952BCE"/>
    <w:rsid w:val="009530D5"/>
    <w:rsid w:val="00956243"/>
    <w:rsid w:val="00960173"/>
    <w:rsid w:val="0096019B"/>
    <w:rsid w:val="009608FC"/>
    <w:rsid w:val="00962743"/>
    <w:rsid w:val="009677BE"/>
    <w:rsid w:val="00971228"/>
    <w:rsid w:val="00971888"/>
    <w:rsid w:val="00971B2E"/>
    <w:rsid w:val="0097208F"/>
    <w:rsid w:val="00972A53"/>
    <w:rsid w:val="009732F7"/>
    <w:rsid w:val="00973357"/>
    <w:rsid w:val="009827A0"/>
    <w:rsid w:val="00983B38"/>
    <w:rsid w:val="00985DD9"/>
    <w:rsid w:val="009872DC"/>
    <w:rsid w:val="009921A0"/>
    <w:rsid w:val="009921F2"/>
    <w:rsid w:val="00992811"/>
    <w:rsid w:val="00992A6A"/>
    <w:rsid w:val="00997081"/>
    <w:rsid w:val="009970B7"/>
    <w:rsid w:val="009978E1"/>
    <w:rsid w:val="009A0C2F"/>
    <w:rsid w:val="009A0D8E"/>
    <w:rsid w:val="009A1AD8"/>
    <w:rsid w:val="009A3971"/>
    <w:rsid w:val="009A3D9B"/>
    <w:rsid w:val="009A4CAC"/>
    <w:rsid w:val="009A6895"/>
    <w:rsid w:val="009A6954"/>
    <w:rsid w:val="009A72A7"/>
    <w:rsid w:val="009A740B"/>
    <w:rsid w:val="009A78C1"/>
    <w:rsid w:val="009B0D43"/>
    <w:rsid w:val="009B4759"/>
    <w:rsid w:val="009B727C"/>
    <w:rsid w:val="009C1BA0"/>
    <w:rsid w:val="009C1C4D"/>
    <w:rsid w:val="009C2622"/>
    <w:rsid w:val="009C3F74"/>
    <w:rsid w:val="009C46BE"/>
    <w:rsid w:val="009C47C5"/>
    <w:rsid w:val="009C6C95"/>
    <w:rsid w:val="009D1537"/>
    <w:rsid w:val="009D2A31"/>
    <w:rsid w:val="009D2BE6"/>
    <w:rsid w:val="009D2C70"/>
    <w:rsid w:val="009D2E14"/>
    <w:rsid w:val="009D36BB"/>
    <w:rsid w:val="009D3B7C"/>
    <w:rsid w:val="009D4226"/>
    <w:rsid w:val="009D43F2"/>
    <w:rsid w:val="009D4537"/>
    <w:rsid w:val="009D45F1"/>
    <w:rsid w:val="009D5B33"/>
    <w:rsid w:val="009D6983"/>
    <w:rsid w:val="009D6ABE"/>
    <w:rsid w:val="009D78A3"/>
    <w:rsid w:val="009E1422"/>
    <w:rsid w:val="009E151E"/>
    <w:rsid w:val="009E53AD"/>
    <w:rsid w:val="009E707F"/>
    <w:rsid w:val="009F00A4"/>
    <w:rsid w:val="009F2146"/>
    <w:rsid w:val="009F3EB0"/>
    <w:rsid w:val="009F534B"/>
    <w:rsid w:val="009F617D"/>
    <w:rsid w:val="009F6344"/>
    <w:rsid w:val="009F71BA"/>
    <w:rsid w:val="009F7BC4"/>
    <w:rsid w:val="00A0183F"/>
    <w:rsid w:val="00A02FB5"/>
    <w:rsid w:val="00A0539D"/>
    <w:rsid w:val="00A058A4"/>
    <w:rsid w:val="00A0700F"/>
    <w:rsid w:val="00A0735C"/>
    <w:rsid w:val="00A076AD"/>
    <w:rsid w:val="00A115D1"/>
    <w:rsid w:val="00A117AB"/>
    <w:rsid w:val="00A1208F"/>
    <w:rsid w:val="00A13BA2"/>
    <w:rsid w:val="00A13BD6"/>
    <w:rsid w:val="00A14BC4"/>
    <w:rsid w:val="00A167B5"/>
    <w:rsid w:val="00A17190"/>
    <w:rsid w:val="00A20B35"/>
    <w:rsid w:val="00A25636"/>
    <w:rsid w:val="00A3163F"/>
    <w:rsid w:val="00A31D4E"/>
    <w:rsid w:val="00A32FA9"/>
    <w:rsid w:val="00A36F4E"/>
    <w:rsid w:val="00A37B08"/>
    <w:rsid w:val="00A42278"/>
    <w:rsid w:val="00A42F14"/>
    <w:rsid w:val="00A463D4"/>
    <w:rsid w:val="00A47120"/>
    <w:rsid w:val="00A47A12"/>
    <w:rsid w:val="00A47BFC"/>
    <w:rsid w:val="00A500E9"/>
    <w:rsid w:val="00A517BF"/>
    <w:rsid w:val="00A51C83"/>
    <w:rsid w:val="00A523B2"/>
    <w:rsid w:val="00A54747"/>
    <w:rsid w:val="00A55898"/>
    <w:rsid w:val="00A559E4"/>
    <w:rsid w:val="00A55FA8"/>
    <w:rsid w:val="00A56542"/>
    <w:rsid w:val="00A56E01"/>
    <w:rsid w:val="00A6016E"/>
    <w:rsid w:val="00A62AA7"/>
    <w:rsid w:val="00A62B0D"/>
    <w:rsid w:val="00A63AC4"/>
    <w:rsid w:val="00A6401A"/>
    <w:rsid w:val="00A65947"/>
    <w:rsid w:val="00A67918"/>
    <w:rsid w:val="00A7073B"/>
    <w:rsid w:val="00A7491A"/>
    <w:rsid w:val="00A765FB"/>
    <w:rsid w:val="00A77D74"/>
    <w:rsid w:val="00A8136B"/>
    <w:rsid w:val="00A8252F"/>
    <w:rsid w:val="00A833BC"/>
    <w:rsid w:val="00A83640"/>
    <w:rsid w:val="00A83C1A"/>
    <w:rsid w:val="00A84AF1"/>
    <w:rsid w:val="00A85DC6"/>
    <w:rsid w:val="00A86FFE"/>
    <w:rsid w:val="00A92A64"/>
    <w:rsid w:val="00A936C3"/>
    <w:rsid w:val="00A95DA0"/>
    <w:rsid w:val="00A96604"/>
    <w:rsid w:val="00A9674B"/>
    <w:rsid w:val="00A96A0B"/>
    <w:rsid w:val="00A96BB4"/>
    <w:rsid w:val="00A97DE6"/>
    <w:rsid w:val="00AA1CCB"/>
    <w:rsid w:val="00AA5468"/>
    <w:rsid w:val="00AA6DD1"/>
    <w:rsid w:val="00AB10E1"/>
    <w:rsid w:val="00AB1319"/>
    <w:rsid w:val="00AB22CF"/>
    <w:rsid w:val="00AB3641"/>
    <w:rsid w:val="00AB50C7"/>
    <w:rsid w:val="00AB541A"/>
    <w:rsid w:val="00AB5662"/>
    <w:rsid w:val="00AC0184"/>
    <w:rsid w:val="00AC0B70"/>
    <w:rsid w:val="00AC1A00"/>
    <w:rsid w:val="00AC23D5"/>
    <w:rsid w:val="00AC24E6"/>
    <w:rsid w:val="00AC25E1"/>
    <w:rsid w:val="00AC40D3"/>
    <w:rsid w:val="00AD01DB"/>
    <w:rsid w:val="00AD0EBD"/>
    <w:rsid w:val="00AD2532"/>
    <w:rsid w:val="00AD2606"/>
    <w:rsid w:val="00AD649D"/>
    <w:rsid w:val="00AE18D6"/>
    <w:rsid w:val="00AE5429"/>
    <w:rsid w:val="00AF0909"/>
    <w:rsid w:val="00AF18CA"/>
    <w:rsid w:val="00AF2389"/>
    <w:rsid w:val="00AF2F8B"/>
    <w:rsid w:val="00AF3664"/>
    <w:rsid w:val="00AF46E4"/>
    <w:rsid w:val="00AF6E41"/>
    <w:rsid w:val="00AF6F88"/>
    <w:rsid w:val="00B10CAE"/>
    <w:rsid w:val="00B13E7C"/>
    <w:rsid w:val="00B16069"/>
    <w:rsid w:val="00B204D7"/>
    <w:rsid w:val="00B20AB2"/>
    <w:rsid w:val="00B227C6"/>
    <w:rsid w:val="00B23D47"/>
    <w:rsid w:val="00B24347"/>
    <w:rsid w:val="00B26478"/>
    <w:rsid w:val="00B26E3A"/>
    <w:rsid w:val="00B30AD1"/>
    <w:rsid w:val="00B33904"/>
    <w:rsid w:val="00B33DAB"/>
    <w:rsid w:val="00B3411C"/>
    <w:rsid w:val="00B34C76"/>
    <w:rsid w:val="00B35DF8"/>
    <w:rsid w:val="00B4004B"/>
    <w:rsid w:val="00B401CC"/>
    <w:rsid w:val="00B40929"/>
    <w:rsid w:val="00B40CE0"/>
    <w:rsid w:val="00B42DC6"/>
    <w:rsid w:val="00B45A6D"/>
    <w:rsid w:val="00B45EBE"/>
    <w:rsid w:val="00B4615F"/>
    <w:rsid w:val="00B51EA4"/>
    <w:rsid w:val="00B5201B"/>
    <w:rsid w:val="00B5276A"/>
    <w:rsid w:val="00B52BA7"/>
    <w:rsid w:val="00B5435E"/>
    <w:rsid w:val="00B54DE0"/>
    <w:rsid w:val="00B55494"/>
    <w:rsid w:val="00B55F81"/>
    <w:rsid w:val="00B56935"/>
    <w:rsid w:val="00B57CCC"/>
    <w:rsid w:val="00B60469"/>
    <w:rsid w:val="00B60519"/>
    <w:rsid w:val="00B60617"/>
    <w:rsid w:val="00B61A24"/>
    <w:rsid w:val="00B62158"/>
    <w:rsid w:val="00B63DB1"/>
    <w:rsid w:val="00B63F39"/>
    <w:rsid w:val="00B640DF"/>
    <w:rsid w:val="00B67848"/>
    <w:rsid w:val="00B724E8"/>
    <w:rsid w:val="00B730DD"/>
    <w:rsid w:val="00B73E17"/>
    <w:rsid w:val="00B751E6"/>
    <w:rsid w:val="00B75396"/>
    <w:rsid w:val="00B75A22"/>
    <w:rsid w:val="00B77260"/>
    <w:rsid w:val="00B81A38"/>
    <w:rsid w:val="00B82A76"/>
    <w:rsid w:val="00B83DC6"/>
    <w:rsid w:val="00B85D78"/>
    <w:rsid w:val="00B85EBE"/>
    <w:rsid w:val="00B90189"/>
    <w:rsid w:val="00B9145E"/>
    <w:rsid w:val="00B91912"/>
    <w:rsid w:val="00B91C1A"/>
    <w:rsid w:val="00B922CF"/>
    <w:rsid w:val="00B93C59"/>
    <w:rsid w:val="00B947F4"/>
    <w:rsid w:val="00B9660B"/>
    <w:rsid w:val="00B97978"/>
    <w:rsid w:val="00B97BCE"/>
    <w:rsid w:val="00BA1C6C"/>
    <w:rsid w:val="00BA347A"/>
    <w:rsid w:val="00BA3918"/>
    <w:rsid w:val="00BA689C"/>
    <w:rsid w:val="00BA69BA"/>
    <w:rsid w:val="00BA6F29"/>
    <w:rsid w:val="00BA71B6"/>
    <w:rsid w:val="00BB2B95"/>
    <w:rsid w:val="00BB50DC"/>
    <w:rsid w:val="00BB527A"/>
    <w:rsid w:val="00BC29D2"/>
    <w:rsid w:val="00BC617A"/>
    <w:rsid w:val="00BC6FC7"/>
    <w:rsid w:val="00BC7CF7"/>
    <w:rsid w:val="00BD0AD1"/>
    <w:rsid w:val="00BD43AB"/>
    <w:rsid w:val="00BD493B"/>
    <w:rsid w:val="00BD5DEE"/>
    <w:rsid w:val="00BD6E48"/>
    <w:rsid w:val="00BD765D"/>
    <w:rsid w:val="00BE0489"/>
    <w:rsid w:val="00BE0FAD"/>
    <w:rsid w:val="00BE114A"/>
    <w:rsid w:val="00BE318D"/>
    <w:rsid w:val="00BE5A7E"/>
    <w:rsid w:val="00BE5DF0"/>
    <w:rsid w:val="00BE67EE"/>
    <w:rsid w:val="00BE776A"/>
    <w:rsid w:val="00BF0C34"/>
    <w:rsid w:val="00BF1C5E"/>
    <w:rsid w:val="00BF2579"/>
    <w:rsid w:val="00BF3CEF"/>
    <w:rsid w:val="00BF4304"/>
    <w:rsid w:val="00BF5188"/>
    <w:rsid w:val="00BF7EB6"/>
    <w:rsid w:val="00C0019C"/>
    <w:rsid w:val="00C006C9"/>
    <w:rsid w:val="00C017EF"/>
    <w:rsid w:val="00C0265E"/>
    <w:rsid w:val="00C02775"/>
    <w:rsid w:val="00C04E53"/>
    <w:rsid w:val="00C05A87"/>
    <w:rsid w:val="00C06951"/>
    <w:rsid w:val="00C072BC"/>
    <w:rsid w:val="00C0769E"/>
    <w:rsid w:val="00C07938"/>
    <w:rsid w:val="00C07DAC"/>
    <w:rsid w:val="00C10349"/>
    <w:rsid w:val="00C108F9"/>
    <w:rsid w:val="00C10974"/>
    <w:rsid w:val="00C1397F"/>
    <w:rsid w:val="00C14AC8"/>
    <w:rsid w:val="00C156E4"/>
    <w:rsid w:val="00C16E5E"/>
    <w:rsid w:val="00C175EC"/>
    <w:rsid w:val="00C1779E"/>
    <w:rsid w:val="00C17ED0"/>
    <w:rsid w:val="00C2015D"/>
    <w:rsid w:val="00C203D4"/>
    <w:rsid w:val="00C205DD"/>
    <w:rsid w:val="00C223B7"/>
    <w:rsid w:val="00C2322D"/>
    <w:rsid w:val="00C24067"/>
    <w:rsid w:val="00C244D9"/>
    <w:rsid w:val="00C24D93"/>
    <w:rsid w:val="00C2568B"/>
    <w:rsid w:val="00C26611"/>
    <w:rsid w:val="00C31260"/>
    <w:rsid w:val="00C31BD2"/>
    <w:rsid w:val="00C345B1"/>
    <w:rsid w:val="00C345F1"/>
    <w:rsid w:val="00C36B40"/>
    <w:rsid w:val="00C36C15"/>
    <w:rsid w:val="00C37052"/>
    <w:rsid w:val="00C41E1E"/>
    <w:rsid w:val="00C41EF8"/>
    <w:rsid w:val="00C42CB7"/>
    <w:rsid w:val="00C44C25"/>
    <w:rsid w:val="00C45987"/>
    <w:rsid w:val="00C45C7F"/>
    <w:rsid w:val="00C462AB"/>
    <w:rsid w:val="00C46641"/>
    <w:rsid w:val="00C467BA"/>
    <w:rsid w:val="00C50332"/>
    <w:rsid w:val="00C50C0F"/>
    <w:rsid w:val="00C50F4B"/>
    <w:rsid w:val="00C51021"/>
    <w:rsid w:val="00C526DB"/>
    <w:rsid w:val="00C5397F"/>
    <w:rsid w:val="00C54D68"/>
    <w:rsid w:val="00C5521D"/>
    <w:rsid w:val="00C570DE"/>
    <w:rsid w:val="00C572D9"/>
    <w:rsid w:val="00C5731C"/>
    <w:rsid w:val="00C57400"/>
    <w:rsid w:val="00C57E34"/>
    <w:rsid w:val="00C60143"/>
    <w:rsid w:val="00C60392"/>
    <w:rsid w:val="00C609B1"/>
    <w:rsid w:val="00C60CA0"/>
    <w:rsid w:val="00C60D71"/>
    <w:rsid w:val="00C636BE"/>
    <w:rsid w:val="00C646B5"/>
    <w:rsid w:val="00C70305"/>
    <w:rsid w:val="00C718C0"/>
    <w:rsid w:val="00C7330E"/>
    <w:rsid w:val="00C749CD"/>
    <w:rsid w:val="00C756E9"/>
    <w:rsid w:val="00C75B20"/>
    <w:rsid w:val="00C7626F"/>
    <w:rsid w:val="00C802D2"/>
    <w:rsid w:val="00C825FE"/>
    <w:rsid w:val="00C82A54"/>
    <w:rsid w:val="00C82FD9"/>
    <w:rsid w:val="00C851DF"/>
    <w:rsid w:val="00C854C1"/>
    <w:rsid w:val="00C854CB"/>
    <w:rsid w:val="00C85791"/>
    <w:rsid w:val="00C87D2B"/>
    <w:rsid w:val="00C91149"/>
    <w:rsid w:val="00C9342A"/>
    <w:rsid w:val="00C942BE"/>
    <w:rsid w:val="00C94696"/>
    <w:rsid w:val="00C9738C"/>
    <w:rsid w:val="00C975BD"/>
    <w:rsid w:val="00CA080E"/>
    <w:rsid w:val="00CA6F89"/>
    <w:rsid w:val="00CA70B1"/>
    <w:rsid w:val="00CB04D0"/>
    <w:rsid w:val="00CB050D"/>
    <w:rsid w:val="00CB07A6"/>
    <w:rsid w:val="00CB2868"/>
    <w:rsid w:val="00CB3A6D"/>
    <w:rsid w:val="00CB487A"/>
    <w:rsid w:val="00CB627A"/>
    <w:rsid w:val="00CB6286"/>
    <w:rsid w:val="00CB6357"/>
    <w:rsid w:val="00CB6EC3"/>
    <w:rsid w:val="00CB7033"/>
    <w:rsid w:val="00CC0BCF"/>
    <w:rsid w:val="00CC0C61"/>
    <w:rsid w:val="00CC211E"/>
    <w:rsid w:val="00CC3A37"/>
    <w:rsid w:val="00CC4376"/>
    <w:rsid w:val="00CC5509"/>
    <w:rsid w:val="00CC67F0"/>
    <w:rsid w:val="00CD0319"/>
    <w:rsid w:val="00CD19B2"/>
    <w:rsid w:val="00CD25F7"/>
    <w:rsid w:val="00CD3CF1"/>
    <w:rsid w:val="00CD4693"/>
    <w:rsid w:val="00CD4AAE"/>
    <w:rsid w:val="00CD6AA2"/>
    <w:rsid w:val="00CD7841"/>
    <w:rsid w:val="00CE16C7"/>
    <w:rsid w:val="00CE1A50"/>
    <w:rsid w:val="00CE2764"/>
    <w:rsid w:val="00CE3B33"/>
    <w:rsid w:val="00CE3DF1"/>
    <w:rsid w:val="00CE443B"/>
    <w:rsid w:val="00CE4ADA"/>
    <w:rsid w:val="00CE6442"/>
    <w:rsid w:val="00CF047C"/>
    <w:rsid w:val="00CF052D"/>
    <w:rsid w:val="00CF1012"/>
    <w:rsid w:val="00CF203D"/>
    <w:rsid w:val="00CF26EF"/>
    <w:rsid w:val="00CF358D"/>
    <w:rsid w:val="00CF43DD"/>
    <w:rsid w:val="00CF470B"/>
    <w:rsid w:val="00D004A8"/>
    <w:rsid w:val="00D01EE4"/>
    <w:rsid w:val="00D02A2E"/>
    <w:rsid w:val="00D02CFC"/>
    <w:rsid w:val="00D02E77"/>
    <w:rsid w:val="00D0509C"/>
    <w:rsid w:val="00D06CA9"/>
    <w:rsid w:val="00D0743B"/>
    <w:rsid w:val="00D12C38"/>
    <w:rsid w:val="00D1549F"/>
    <w:rsid w:val="00D16E20"/>
    <w:rsid w:val="00D17A14"/>
    <w:rsid w:val="00D20D4D"/>
    <w:rsid w:val="00D22E56"/>
    <w:rsid w:val="00D25A0F"/>
    <w:rsid w:val="00D2663C"/>
    <w:rsid w:val="00D27697"/>
    <w:rsid w:val="00D2772D"/>
    <w:rsid w:val="00D305B4"/>
    <w:rsid w:val="00D3188E"/>
    <w:rsid w:val="00D329A6"/>
    <w:rsid w:val="00D329DB"/>
    <w:rsid w:val="00D337AB"/>
    <w:rsid w:val="00D33E81"/>
    <w:rsid w:val="00D345D3"/>
    <w:rsid w:val="00D364A0"/>
    <w:rsid w:val="00D36FA8"/>
    <w:rsid w:val="00D407BF"/>
    <w:rsid w:val="00D45170"/>
    <w:rsid w:val="00D475CF"/>
    <w:rsid w:val="00D501D7"/>
    <w:rsid w:val="00D51225"/>
    <w:rsid w:val="00D51524"/>
    <w:rsid w:val="00D5172C"/>
    <w:rsid w:val="00D52279"/>
    <w:rsid w:val="00D535AD"/>
    <w:rsid w:val="00D5523B"/>
    <w:rsid w:val="00D55B3D"/>
    <w:rsid w:val="00D55BAB"/>
    <w:rsid w:val="00D55DAF"/>
    <w:rsid w:val="00D6113D"/>
    <w:rsid w:val="00D61C18"/>
    <w:rsid w:val="00D62F9F"/>
    <w:rsid w:val="00D635F4"/>
    <w:rsid w:val="00D648C6"/>
    <w:rsid w:val="00D65C15"/>
    <w:rsid w:val="00D65D1E"/>
    <w:rsid w:val="00D66BC5"/>
    <w:rsid w:val="00D700AF"/>
    <w:rsid w:val="00D711D8"/>
    <w:rsid w:val="00D74314"/>
    <w:rsid w:val="00D758A2"/>
    <w:rsid w:val="00D77D63"/>
    <w:rsid w:val="00D80954"/>
    <w:rsid w:val="00D821C6"/>
    <w:rsid w:val="00D85058"/>
    <w:rsid w:val="00D87845"/>
    <w:rsid w:val="00D90457"/>
    <w:rsid w:val="00D93668"/>
    <w:rsid w:val="00D95E57"/>
    <w:rsid w:val="00DA0DFA"/>
    <w:rsid w:val="00DA5761"/>
    <w:rsid w:val="00DA5DEC"/>
    <w:rsid w:val="00DA6115"/>
    <w:rsid w:val="00DA63D5"/>
    <w:rsid w:val="00DA6977"/>
    <w:rsid w:val="00DA6ADD"/>
    <w:rsid w:val="00DB05D8"/>
    <w:rsid w:val="00DB223B"/>
    <w:rsid w:val="00DB31C1"/>
    <w:rsid w:val="00DB3BE5"/>
    <w:rsid w:val="00DB48EF"/>
    <w:rsid w:val="00DB780B"/>
    <w:rsid w:val="00DC07D9"/>
    <w:rsid w:val="00DC117E"/>
    <w:rsid w:val="00DC16E0"/>
    <w:rsid w:val="00DC2499"/>
    <w:rsid w:val="00DC31C9"/>
    <w:rsid w:val="00DC5155"/>
    <w:rsid w:val="00DC5842"/>
    <w:rsid w:val="00DC68AC"/>
    <w:rsid w:val="00DC68CE"/>
    <w:rsid w:val="00DC767D"/>
    <w:rsid w:val="00DD1080"/>
    <w:rsid w:val="00DD1B9B"/>
    <w:rsid w:val="00DD644A"/>
    <w:rsid w:val="00DD7A95"/>
    <w:rsid w:val="00DE0863"/>
    <w:rsid w:val="00DE153E"/>
    <w:rsid w:val="00DE1BD6"/>
    <w:rsid w:val="00DE3232"/>
    <w:rsid w:val="00DE7858"/>
    <w:rsid w:val="00DE7911"/>
    <w:rsid w:val="00DF0C9D"/>
    <w:rsid w:val="00DF2089"/>
    <w:rsid w:val="00DF26AB"/>
    <w:rsid w:val="00DF3394"/>
    <w:rsid w:val="00DF6C5A"/>
    <w:rsid w:val="00DF7D6E"/>
    <w:rsid w:val="00E004AB"/>
    <w:rsid w:val="00E01BF7"/>
    <w:rsid w:val="00E027BC"/>
    <w:rsid w:val="00E03BB4"/>
    <w:rsid w:val="00E03C73"/>
    <w:rsid w:val="00E04223"/>
    <w:rsid w:val="00E066C9"/>
    <w:rsid w:val="00E070C4"/>
    <w:rsid w:val="00E10E42"/>
    <w:rsid w:val="00E113CC"/>
    <w:rsid w:val="00E12724"/>
    <w:rsid w:val="00E12EE0"/>
    <w:rsid w:val="00E155B8"/>
    <w:rsid w:val="00E15B65"/>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0AC"/>
    <w:rsid w:val="00E317CF"/>
    <w:rsid w:val="00E320D7"/>
    <w:rsid w:val="00E35252"/>
    <w:rsid w:val="00E35DF6"/>
    <w:rsid w:val="00E37371"/>
    <w:rsid w:val="00E37707"/>
    <w:rsid w:val="00E4039C"/>
    <w:rsid w:val="00E40BA3"/>
    <w:rsid w:val="00E41234"/>
    <w:rsid w:val="00E41528"/>
    <w:rsid w:val="00E41DB2"/>
    <w:rsid w:val="00E43EEF"/>
    <w:rsid w:val="00E46943"/>
    <w:rsid w:val="00E47B85"/>
    <w:rsid w:val="00E50875"/>
    <w:rsid w:val="00E50EED"/>
    <w:rsid w:val="00E51971"/>
    <w:rsid w:val="00E51D93"/>
    <w:rsid w:val="00E54178"/>
    <w:rsid w:val="00E54693"/>
    <w:rsid w:val="00E55912"/>
    <w:rsid w:val="00E561E5"/>
    <w:rsid w:val="00E603A1"/>
    <w:rsid w:val="00E609D6"/>
    <w:rsid w:val="00E613C5"/>
    <w:rsid w:val="00E61841"/>
    <w:rsid w:val="00E62265"/>
    <w:rsid w:val="00E66D2C"/>
    <w:rsid w:val="00E702D8"/>
    <w:rsid w:val="00E703DD"/>
    <w:rsid w:val="00E72251"/>
    <w:rsid w:val="00E731DC"/>
    <w:rsid w:val="00E73E38"/>
    <w:rsid w:val="00E752B3"/>
    <w:rsid w:val="00E756D3"/>
    <w:rsid w:val="00E75EA6"/>
    <w:rsid w:val="00E7662C"/>
    <w:rsid w:val="00E76D1C"/>
    <w:rsid w:val="00E77AC7"/>
    <w:rsid w:val="00E831FB"/>
    <w:rsid w:val="00E84816"/>
    <w:rsid w:val="00E85628"/>
    <w:rsid w:val="00E87B41"/>
    <w:rsid w:val="00E9030C"/>
    <w:rsid w:val="00E91958"/>
    <w:rsid w:val="00E93E2B"/>
    <w:rsid w:val="00E95F29"/>
    <w:rsid w:val="00E969ED"/>
    <w:rsid w:val="00E96F38"/>
    <w:rsid w:val="00E97749"/>
    <w:rsid w:val="00EA1DCD"/>
    <w:rsid w:val="00EA44AB"/>
    <w:rsid w:val="00EA44AD"/>
    <w:rsid w:val="00EA4EF2"/>
    <w:rsid w:val="00EA58CC"/>
    <w:rsid w:val="00EA742A"/>
    <w:rsid w:val="00EB0A5E"/>
    <w:rsid w:val="00EB0B79"/>
    <w:rsid w:val="00EB13A5"/>
    <w:rsid w:val="00EB1A26"/>
    <w:rsid w:val="00EB1F77"/>
    <w:rsid w:val="00EB302E"/>
    <w:rsid w:val="00EB3260"/>
    <w:rsid w:val="00EB4EE8"/>
    <w:rsid w:val="00EB4F13"/>
    <w:rsid w:val="00EC032B"/>
    <w:rsid w:val="00EC0578"/>
    <w:rsid w:val="00EC118F"/>
    <w:rsid w:val="00EC75C2"/>
    <w:rsid w:val="00EC784C"/>
    <w:rsid w:val="00EC7D7A"/>
    <w:rsid w:val="00ED14CA"/>
    <w:rsid w:val="00ED14D1"/>
    <w:rsid w:val="00ED15DF"/>
    <w:rsid w:val="00ED391C"/>
    <w:rsid w:val="00ED5B41"/>
    <w:rsid w:val="00EE1606"/>
    <w:rsid w:val="00EE27A7"/>
    <w:rsid w:val="00EE2C00"/>
    <w:rsid w:val="00EE3AB1"/>
    <w:rsid w:val="00EE3E2E"/>
    <w:rsid w:val="00EE5B4B"/>
    <w:rsid w:val="00EE652B"/>
    <w:rsid w:val="00EE695D"/>
    <w:rsid w:val="00EF0ABE"/>
    <w:rsid w:val="00EF16FD"/>
    <w:rsid w:val="00EF2D6C"/>
    <w:rsid w:val="00EF3DB7"/>
    <w:rsid w:val="00EF42C2"/>
    <w:rsid w:val="00EF4A9D"/>
    <w:rsid w:val="00EF5968"/>
    <w:rsid w:val="00EF7CE0"/>
    <w:rsid w:val="00F00B70"/>
    <w:rsid w:val="00F024F0"/>
    <w:rsid w:val="00F0590E"/>
    <w:rsid w:val="00F05BE6"/>
    <w:rsid w:val="00F05C25"/>
    <w:rsid w:val="00F06A3B"/>
    <w:rsid w:val="00F07E3E"/>
    <w:rsid w:val="00F1348C"/>
    <w:rsid w:val="00F16704"/>
    <w:rsid w:val="00F169FF"/>
    <w:rsid w:val="00F16AEC"/>
    <w:rsid w:val="00F16BEF"/>
    <w:rsid w:val="00F17AA3"/>
    <w:rsid w:val="00F20747"/>
    <w:rsid w:val="00F20A7A"/>
    <w:rsid w:val="00F21E83"/>
    <w:rsid w:val="00F24300"/>
    <w:rsid w:val="00F276A3"/>
    <w:rsid w:val="00F31D40"/>
    <w:rsid w:val="00F32279"/>
    <w:rsid w:val="00F33051"/>
    <w:rsid w:val="00F3370F"/>
    <w:rsid w:val="00F33D07"/>
    <w:rsid w:val="00F347B0"/>
    <w:rsid w:val="00F347F7"/>
    <w:rsid w:val="00F3495B"/>
    <w:rsid w:val="00F35818"/>
    <w:rsid w:val="00F36A30"/>
    <w:rsid w:val="00F36D99"/>
    <w:rsid w:val="00F37451"/>
    <w:rsid w:val="00F37E55"/>
    <w:rsid w:val="00F41B80"/>
    <w:rsid w:val="00F41C50"/>
    <w:rsid w:val="00F42C74"/>
    <w:rsid w:val="00F43642"/>
    <w:rsid w:val="00F4474B"/>
    <w:rsid w:val="00F45520"/>
    <w:rsid w:val="00F51D48"/>
    <w:rsid w:val="00F51F01"/>
    <w:rsid w:val="00F51F12"/>
    <w:rsid w:val="00F526DD"/>
    <w:rsid w:val="00F548D5"/>
    <w:rsid w:val="00F54E93"/>
    <w:rsid w:val="00F54EEB"/>
    <w:rsid w:val="00F56D3D"/>
    <w:rsid w:val="00F57D48"/>
    <w:rsid w:val="00F6279B"/>
    <w:rsid w:val="00F62824"/>
    <w:rsid w:val="00F6661F"/>
    <w:rsid w:val="00F678FF"/>
    <w:rsid w:val="00F71582"/>
    <w:rsid w:val="00F72305"/>
    <w:rsid w:val="00F7510C"/>
    <w:rsid w:val="00F7531C"/>
    <w:rsid w:val="00F759FC"/>
    <w:rsid w:val="00F81F44"/>
    <w:rsid w:val="00F823A9"/>
    <w:rsid w:val="00F825C3"/>
    <w:rsid w:val="00F82CBC"/>
    <w:rsid w:val="00F84E3C"/>
    <w:rsid w:val="00F86F7D"/>
    <w:rsid w:val="00F87D43"/>
    <w:rsid w:val="00F90D17"/>
    <w:rsid w:val="00F90FEE"/>
    <w:rsid w:val="00F91032"/>
    <w:rsid w:val="00F915F4"/>
    <w:rsid w:val="00F940B8"/>
    <w:rsid w:val="00F95D89"/>
    <w:rsid w:val="00F97182"/>
    <w:rsid w:val="00F9767C"/>
    <w:rsid w:val="00F976B8"/>
    <w:rsid w:val="00FA043F"/>
    <w:rsid w:val="00FA4D65"/>
    <w:rsid w:val="00FA6870"/>
    <w:rsid w:val="00FA795F"/>
    <w:rsid w:val="00FB062E"/>
    <w:rsid w:val="00FB35A1"/>
    <w:rsid w:val="00FB41FC"/>
    <w:rsid w:val="00FB4C58"/>
    <w:rsid w:val="00FB5DA6"/>
    <w:rsid w:val="00FB7773"/>
    <w:rsid w:val="00FC4610"/>
    <w:rsid w:val="00FC4856"/>
    <w:rsid w:val="00FC59D3"/>
    <w:rsid w:val="00FC6039"/>
    <w:rsid w:val="00FC65AA"/>
    <w:rsid w:val="00FC67BB"/>
    <w:rsid w:val="00FC7175"/>
    <w:rsid w:val="00FD003F"/>
    <w:rsid w:val="00FD0237"/>
    <w:rsid w:val="00FD05F2"/>
    <w:rsid w:val="00FD1172"/>
    <w:rsid w:val="00FD211D"/>
    <w:rsid w:val="00FD4614"/>
    <w:rsid w:val="00FD5316"/>
    <w:rsid w:val="00FD54C0"/>
    <w:rsid w:val="00FE032D"/>
    <w:rsid w:val="00FE060E"/>
    <w:rsid w:val="00FE1158"/>
    <w:rsid w:val="00FE1700"/>
    <w:rsid w:val="00FE18DA"/>
    <w:rsid w:val="00FE2985"/>
    <w:rsid w:val="00FE4860"/>
    <w:rsid w:val="00FF0CBD"/>
    <w:rsid w:val="00FF0F3D"/>
    <w:rsid w:val="00FF28F7"/>
    <w:rsid w:val="00FF415C"/>
    <w:rsid w:val="00FF4187"/>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24"/>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lv-LV"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lv-LV"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lv-LV"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lv-LV" w:eastAsia="en-US"/>
    </w:rPr>
  </w:style>
  <w:style w:type="character" w:customStyle="1" w:styleId="SidhuvudChar1">
    <w:name w:val="Sidhuvud Char1"/>
    <w:rPr>
      <w:rFonts w:ascii="Times New Roman" w:hAnsi="Times New Roman"/>
      <w:lang w:val="lv-LV"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lv-LV"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lv-LV"/>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lv-LV"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lv-LV"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lv-LV" w:eastAsia="en-US"/>
    </w:rPr>
  </w:style>
  <w:style w:type="character" w:customStyle="1" w:styleId="z3988">
    <w:name w:val="z3988"/>
    <w:basedOn w:val="a0"/>
  </w:style>
  <w:style w:type="character" w:customStyle="1" w:styleId="SidhuvudChar2">
    <w:name w:val="Sidhuvud Char2"/>
    <w:rPr>
      <w:rFonts w:ascii="Times New Roman" w:hAnsi="Times New Roman"/>
      <w:lang w:val="lv-LV"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lv-LV"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lv-LV"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lv-LV"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lv-LV"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styleId="af7">
    <w:name w:val="Unresolved Mention"/>
    <w:uiPriority w:val="99"/>
    <w:semiHidden/>
    <w:unhideWhenUsed/>
    <w:rsid w:val="005B7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024286119">
      <w:bodyDiv w:val="1"/>
      <w:marLeft w:val="0"/>
      <w:marRight w:val="0"/>
      <w:marTop w:val="0"/>
      <w:marBottom w:val="0"/>
      <w:divBdr>
        <w:top w:val="none" w:sz="0" w:space="0" w:color="auto"/>
        <w:left w:val="none" w:sz="0" w:space="0" w:color="auto"/>
        <w:bottom w:val="none" w:sz="0" w:space="0" w:color="auto"/>
        <w:right w:val="none" w:sz="0" w:space="0" w:color="auto"/>
      </w:divBdr>
    </w:div>
    <w:div w:id="1073426581">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342976125">
      <w:bodyDiv w:val="1"/>
      <w:marLeft w:val="0"/>
      <w:marRight w:val="0"/>
      <w:marTop w:val="0"/>
      <w:marBottom w:val="0"/>
      <w:divBdr>
        <w:top w:val="none" w:sz="0" w:space="0" w:color="auto"/>
        <w:left w:val="none" w:sz="0" w:space="0" w:color="auto"/>
        <w:bottom w:val="none" w:sz="0" w:space="0" w:color="auto"/>
        <w:right w:val="none" w:sz="0" w:space="0" w:color="auto"/>
      </w:divBdr>
    </w:div>
    <w:div w:id="1349019140">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15557150">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contact_fi@celltrionhc.com" TargetMode="External"/><Relationship Id="rId26" Type="http://schemas.openxmlformats.org/officeDocument/2006/relationships/image" Target="media/image2.png"/><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hyperlink" Target="mailto:contact_fi@celltrionhc.com" TargetMode="External"/><Relationship Id="rId34" Type="http://schemas.openxmlformats.org/officeDocument/2006/relationships/image" Target="media/image10.png"/><Relationship Id="rId42"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Linfo@celltrionhc.com" TargetMode="External"/><Relationship Id="rId25" Type="http://schemas.openxmlformats.org/officeDocument/2006/relationships/hyperlink" Target="https://www.ema.europa.eu/" TargetMode="External"/><Relationship Id="rId33" Type="http://schemas.openxmlformats.org/officeDocument/2006/relationships/image" Target="media/image9.png"/><Relationship Id="rId38"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0" Type="http://schemas.openxmlformats.org/officeDocument/2006/relationships/hyperlink" Target="mailto:enquiry_ie@celltrionhc.com" TargetMode="External"/><Relationship Id="rId29" Type="http://schemas.openxmlformats.org/officeDocument/2006/relationships/image" Target="media/image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se@celltrionhc.com"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webSettings" Target="webSettings.xml"/><Relationship Id="rId19" Type="http://schemas.openxmlformats.org/officeDocument/2006/relationships/hyperlink" Target="mailto:contact_no@celltrionhc.com" TargetMode="Externa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celltrionhealthcare_italy@legalmail.it"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EMADOC-1700519818-2107531</_dlc_DocId>
    <_dlc_DocIdUrl xmlns="a034c160-bfb7-45f5-8632-2eb7e0508071">
      <Url>https://euema.sharepoint.com/sites/CRM/_layouts/15/DocIdRedir.aspx?ID=EMADOC-1700519818-2107531</Url>
      <Description>EMADOC-1700519818-2107531</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21A27-B6FF-4E3B-835D-F1B812AEC13B}"/>
</file>

<file path=customXml/itemProps2.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4FB5987A-412D-4003-AC43-56A0CB67C065}">
  <ds:schemaRefs>
    <ds:schemaRef ds:uri="http://schemas.openxmlformats.org/officeDocument/2006/bibliography"/>
  </ds:schemaRefs>
</ds:datastoreItem>
</file>

<file path=customXml/itemProps4.xml><?xml version="1.0" encoding="utf-8"?>
<ds:datastoreItem xmlns:ds="http://schemas.openxmlformats.org/officeDocument/2006/customXml" ds:itemID="{D17DAF96-68F1-4907-829E-8F8F8AA750AE}"/>
</file>

<file path=customXml/itemProps5.xml><?xml version="1.0" encoding="utf-8"?>
<ds:datastoreItem xmlns:ds="http://schemas.openxmlformats.org/officeDocument/2006/customXml" ds:itemID="{5C2FD75C-926D-4CFA-AFE8-B537852859B6}">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6.xml><?xml version="1.0" encoding="utf-8"?>
<ds:datastoreItem xmlns:ds="http://schemas.openxmlformats.org/officeDocument/2006/customXml" ds:itemID="{B56E3A7F-7065-47F7-AD50-A53338761639}">
  <ds:schemaRefs>
    <ds:schemaRef ds:uri="http://schemas.microsoft.com/sharepoint/v3/contenttype/form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Template>
  <TotalTime>0</TotalTime>
  <Pages>41</Pages>
  <Words>11866</Words>
  <Characters>67637</Characters>
  <Application>Microsoft Office Word</Application>
  <DocSecurity>0</DocSecurity>
  <Lines>563</Lines>
  <Paragraphs>158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79345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2025-01-09T05:12:00Z</dcterms:created>
  <dcterms:modified xsi:type="dcterms:W3CDTF">2025-04-27T11:42:00Z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6b7938fc-1f84-44c5-8183-a0de71d00ae5</vt:lpwstr>
  </property>
</Properties>
</file>