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0" w:type="auto"/>
        <w:tblLook w:val="04A0" w:firstRow="1" w:lastRow="0" w:firstColumn="1" w:lastColumn="0" w:noHBand="0" w:noVBand="1"/>
      </w:tblPr>
      <w:tblGrid>
        <w:gridCol w:w="9064"/>
      </w:tblGrid>
      <w:tr w:rsidR="002C41D8" w14:paraId="4CD775C3" w14:textId="77777777" w:rsidTr="002C41D8">
        <w:trPr>
          <w:ins w:id="0" w:author="만든 이"/>
        </w:trPr>
        <w:tc>
          <w:tcPr>
            <w:tcW w:w="9064" w:type="dxa"/>
          </w:tcPr>
          <w:p w14:paraId="544DC816" w14:textId="4CBD7AA8" w:rsidR="002C41D8" w:rsidRPr="00F84F8E" w:rsidRDefault="002C41D8" w:rsidP="002C41D8">
            <w:pPr>
              <w:suppressAutoHyphens/>
              <w:rPr>
                <w:ins w:id="1" w:author="만든 이"/>
                <w:szCs w:val="28"/>
                <w:lang w:val="en-GB"/>
              </w:rPr>
            </w:pPr>
            <w:ins w:id="2" w:author="만든 이">
              <w:r w:rsidRPr="00F84F8E">
                <w:rPr>
                  <w:szCs w:val="28"/>
                  <w:lang w:val="en-GB"/>
                </w:rPr>
                <w:t xml:space="preserve">Dit document is de </w:t>
              </w:r>
              <w:proofErr w:type="spellStart"/>
              <w:r w:rsidRPr="00F84F8E">
                <w:rPr>
                  <w:szCs w:val="28"/>
                  <w:lang w:val="en-GB"/>
                </w:rPr>
                <w:t>goedgekeurde</w:t>
              </w:r>
              <w:proofErr w:type="spellEnd"/>
              <w:r w:rsidRPr="00F84F8E">
                <w:rPr>
                  <w:szCs w:val="28"/>
                  <w:lang w:val="en-GB"/>
                </w:rPr>
                <w:t xml:space="preserve"> </w:t>
              </w:r>
              <w:proofErr w:type="spellStart"/>
              <w:r w:rsidRPr="00F84F8E">
                <w:rPr>
                  <w:szCs w:val="28"/>
                  <w:lang w:val="en-GB"/>
                </w:rPr>
                <w:t>productinformatie</w:t>
              </w:r>
              <w:proofErr w:type="spellEnd"/>
              <w:r w:rsidRPr="00F84F8E">
                <w:rPr>
                  <w:szCs w:val="28"/>
                  <w:lang w:val="en-GB"/>
                </w:rPr>
                <w:t xml:space="preserve"> </w:t>
              </w:r>
              <w:proofErr w:type="spellStart"/>
              <w:r w:rsidRPr="00F84F8E">
                <w:rPr>
                  <w:szCs w:val="28"/>
                  <w:lang w:val="en-GB"/>
                </w:rPr>
                <w:t>voor</w:t>
              </w:r>
              <w:proofErr w:type="spellEnd"/>
              <w:r w:rsidRPr="00F84F8E">
                <w:rPr>
                  <w:szCs w:val="28"/>
                  <w:lang w:val="en-GB"/>
                </w:rPr>
                <w:t xml:space="preserve"> </w:t>
              </w:r>
              <w:proofErr w:type="spellStart"/>
              <w:r>
                <w:rPr>
                  <w:rFonts w:eastAsia="맑은 고딕" w:hint="eastAsia"/>
                  <w:szCs w:val="28"/>
                  <w:lang w:val="en-GB" w:eastAsia="ko-KR"/>
                </w:rPr>
                <w:t>Avtozma</w:t>
              </w:r>
              <w:proofErr w:type="spellEnd"/>
              <w:r w:rsidRPr="00F84F8E">
                <w:rPr>
                  <w:szCs w:val="28"/>
                  <w:lang w:val="en-GB"/>
                </w:rPr>
                <w:t xml:space="preserve">, </w:t>
              </w:r>
              <w:r w:rsidRPr="00220238">
                <w:t>waarbij de wijzigingen ten opzichte van de vorige procedure met wijzigingen in de productinformatie</w:t>
              </w:r>
              <w:r>
                <w:rPr>
                  <w:rFonts w:eastAsia="맑은 고딕" w:hint="eastAsia"/>
                  <w:szCs w:val="28"/>
                  <w:lang w:val="en-GB" w:eastAsia="ko-KR"/>
                </w:rPr>
                <w:t xml:space="preserve"> (</w:t>
              </w:r>
              <w:r w:rsidRPr="007833F1">
                <w:rPr>
                  <w:rFonts w:eastAsia="맑은 고딕"/>
                  <w:szCs w:val="28"/>
                  <w:lang w:val="en-GB" w:eastAsia="ko-KR"/>
                </w:rPr>
                <w:t>EMA/VR/0000287521</w:t>
              </w:r>
              <w:r w:rsidRPr="00F84F8E">
                <w:rPr>
                  <w:szCs w:val="28"/>
                  <w:lang w:val="en-GB"/>
                </w:rPr>
                <w:t xml:space="preserve">) </w:t>
              </w:r>
              <w:proofErr w:type="spellStart"/>
              <w:r w:rsidRPr="00F84F8E">
                <w:rPr>
                  <w:szCs w:val="28"/>
                  <w:lang w:val="en-GB"/>
                </w:rPr>
                <w:t>zijn</w:t>
              </w:r>
              <w:proofErr w:type="spellEnd"/>
              <w:r w:rsidRPr="00F84F8E">
                <w:rPr>
                  <w:szCs w:val="28"/>
                  <w:lang w:val="en-GB"/>
                </w:rPr>
                <w:t xml:space="preserve"> </w:t>
              </w:r>
              <w:proofErr w:type="spellStart"/>
              <w:r w:rsidRPr="00F84F8E">
                <w:rPr>
                  <w:szCs w:val="28"/>
                  <w:lang w:val="en-GB"/>
                </w:rPr>
                <w:t>gemarkeerd</w:t>
              </w:r>
              <w:proofErr w:type="spellEnd"/>
              <w:r w:rsidRPr="00F84F8E">
                <w:rPr>
                  <w:szCs w:val="28"/>
                  <w:lang w:val="en-GB"/>
                </w:rPr>
                <w:t>.</w:t>
              </w:r>
            </w:ins>
          </w:p>
          <w:p w14:paraId="4701CB6F" w14:textId="77777777" w:rsidR="002C41D8" w:rsidRPr="00F84F8E" w:rsidRDefault="002C41D8" w:rsidP="002C41D8">
            <w:pPr>
              <w:suppressAutoHyphens/>
              <w:rPr>
                <w:ins w:id="3" w:author="만든 이"/>
                <w:szCs w:val="28"/>
                <w:lang w:val="en-GB"/>
              </w:rPr>
            </w:pPr>
          </w:p>
          <w:p w14:paraId="2AE63A31" w14:textId="77777777" w:rsidR="002C41D8" w:rsidRPr="00813A18" w:rsidRDefault="002C41D8" w:rsidP="002C41D8">
            <w:pPr>
              <w:rPr>
                <w:ins w:id="4" w:author="만든 이"/>
                <w:rFonts w:eastAsia="맑은 고딕"/>
                <w:szCs w:val="28"/>
                <w:lang w:val="en-GB" w:eastAsia="ko-KR"/>
              </w:rPr>
            </w:pPr>
            <w:proofErr w:type="spellStart"/>
            <w:ins w:id="5" w:author="만든 이">
              <w:r w:rsidRPr="00F84F8E">
                <w:rPr>
                  <w:szCs w:val="28"/>
                  <w:lang w:val="en-GB"/>
                </w:rPr>
                <w:t>Zie</w:t>
              </w:r>
              <w:proofErr w:type="spellEnd"/>
              <w:r w:rsidRPr="00F84F8E">
                <w:rPr>
                  <w:szCs w:val="28"/>
                  <w:lang w:val="en-GB"/>
                </w:rPr>
                <w:t xml:space="preserve"> </w:t>
              </w:r>
              <w:proofErr w:type="spellStart"/>
              <w:r w:rsidRPr="00F84F8E">
                <w:rPr>
                  <w:szCs w:val="28"/>
                  <w:lang w:val="en-GB"/>
                </w:rPr>
                <w:t>voor</w:t>
              </w:r>
              <w:proofErr w:type="spellEnd"/>
              <w:r w:rsidRPr="00F84F8E">
                <w:rPr>
                  <w:szCs w:val="28"/>
                  <w:lang w:val="en-GB"/>
                </w:rPr>
                <w:t xml:space="preserve"> </w:t>
              </w:r>
              <w:proofErr w:type="spellStart"/>
              <w:r w:rsidRPr="00F84F8E">
                <w:rPr>
                  <w:szCs w:val="28"/>
                  <w:lang w:val="en-GB"/>
                </w:rPr>
                <w:t>meer</w:t>
              </w:r>
              <w:proofErr w:type="spellEnd"/>
              <w:r w:rsidRPr="00F84F8E">
                <w:rPr>
                  <w:szCs w:val="28"/>
                  <w:lang w:val="en-GB"/>
                </w:rPr>
                <w:t xml:space="preserve"> </w:t>
              </w:r>
              <w:proofErr w:type="spellStart"/>
              <w:r w:rsidRPr="00F84F8E">
                <w:rPr>
                  <w:szCs w:val="28"/>
                  <w:lang w:val="en-GB"/>
                </w:rPr>
                <w:t>informatie</w:t>
              </w:r>
              <w:proofErr w:type="spellEnd"/>
              <w:r w:rsidRPr="00F84F8E">
                <w:rPr>
                  <w:szCs w:val="28"/>
                  <w:lang w:val="en-GB"/>
                </w:rPr>
                <w:t xml:space="preserve"> de website van het </w:t>
              </w:r>
              <w:proofErr w:type="spellStart"/>
              <w:r w:rsidRPr="00F84F8E">
                <w:rPr>
                  <w:szCs w:val="28"/>
                  <w:lang w:val="en-GB"/>
                </w:rPr>
                <w:t>Europees</w:t>
              </w:r>
              <w:proofErr w:type="spellEnd"/>
              <w:r w:rsidRPr="00F84F8E">
                <w:rPr>
                  <w:szCs w:val="28"/>
                  <w:lang w:val="en-GB"/>
                </w:rPr>
                <w:t xml:space="preserve"> </w:t>
              </w:r>
              <w:proofErr w:type="spellStart"/>
              <w:r w:rsidRPr="00F84F8E">
                <w:rPr>
                  <w:szCs w:val="28"/>
                  <w:lang w:val="en-GB"/>
                </w:rPr>
                <w:t>Geneesmiddelenbureau</w:t>
              </w:r>
              <w:proofErr w:type="spellEnd"/>
              <w:r>
                <w:rPr>
                  <w:rFonts w:eastAsia="맑은 고딕" w:hint="eastAsia"/>
                  <w:szCs w:val="28"/>
                  <w:lang w:val="en-GB" w:eastAsia="ko-KR"/>
                </w:rPr>
                <w:t>:</w:t>
              </w:r>
            </w:ins>
          </w:p>
          <w:p w14:paraId="08C6C746" w14:textId="5D532D9C" w:rsidR="002C41D8" w:rsidRDefault="002C41D8">
            <w:pPr>
              <w:pStyle w:val="a3"/>
              <w:widowControl/>
              <w:ind w:left="0"/>
              <w:rPr>
                <w:ins w:id="6" w:author="만든 이"/>
              </w:rPr>
              <w:pPrChange w:id="7" w:author="만든 이">
                <w:pPr>
                  <w:pStyle w:val="a3"/>
                  <w:widowControl/>
                  <w:ind w:left="0"/>
                  <w:jc w:val="center"/>
                </w:pPr>
              </w:pPrChange>
            </w:pPr>
            <w:ins w:id="8" w:author="만든 이">
              <w:r>
                <w:fldChar w:fldCharType="begin"/>
              </w:r>
              <w:r>
                <w:instrText>HYPERLINK "https://www.ema.europa.eu/en/medicines/human/EPAR/avtozma"</w:instrText>
              </w:r>
              <w:r>
                <w:fldChar w:fldCharType="separate"/>
              </w:r>
              <w:r w:rsidRPr="00D03358">
                <w:rPr>
                  <w:rStyle w:val="ab"/>
                  <w:noProof/>
                </w:rPr>
                <w:t>https://www.ema.europa.eu/en/medicines/human/EPAR/</w:t>
              </w:r>
              <w:r w:rsidRPr="00D03358">
                <w:rPr>
                  <w:rStyle w:val="ab"/>
                  <w:rFonts w:eastAsia="맑은 고딕" w:hint="eastAsia"/>
                  <w:noProof/>
                  <w:lang w:eastAsia="ko-KR"/>
                </w:rPr>
                <w:t>avtozma</w:t>
              </w:r>
              <w:r>
                <w:fldChar w:fldCharType="end"/>
              </w:r>
            </w:ins>
          </w:p>
        </w:tc>
      </w:tr>
    </w:tbl>
    <w:p w14:paraId="6E3368E6" w14:textId="77777777" w:rsidR="00436DAA" w:rsidRPr="00D03358" w:rsidRDefault="00436DAA" w:rsidP="002328C5">
      <w:pPr>
        <w:pStyle w:val="a3"/>
        <w:widowControl/>
        <w:ind w:left="0"/>
        <w:jc w:val="center"/>
      </w:pPr>
    </w:p>
    <w:p w14:paraId="454C3485" w14:textId="77777777" w:rsidR="00436DAA" w:rsidRPr="00330234" w:rsidRDefault="00436DAA" w:rsidP="002328C5">
      <w:pPr>
        <w:pStyle w:val="a3"/>
        <w:widowControl/>
        <w:ind w:left="0"/>
        <w:jc w:val="center"/>
      </w:pPr>
    </w:p>
    <w:p w14:paraId="17879AA0" w14:textId="77777777" w:rsidR="00436DAA" w:rsidRPr="00330234" w:rsidRDefault="00436DAA" w:rsidP="002328C5">
      <w:pPr>
        <w:pStyle w:val="a3"/>
        <w:widowControl/>
        <w:ind w:left="0"/>
        <w:jc w:val="center"/>
      </w:pPr>
    </w:p>
    <w:p w14:paraId="4843AA77" w14:textId="77777777" w:rsidR="00436DAA" w:rsidRPr="00330234" w:rsidRDefault="00436DAA" w:rsidP="002328C5">
      <w:pPr>
        <w:pStyle w:val="a3"/>
        <w:widowControl/>
        <w:ind w:left="0"/>
        <w:jc w:val="center"/>
      </w:pPr>
    </w:p>
    <w:p w14:paraId="66EF75DD" w14:textId="77777777" w:rsidR="00436DAA" w:rsidRPr="00330234" w:rsidRDefault="00436DAA" w:rsidP="002328C5">
      <w:pPr>
        <w:pStyle w:val="a3"/>
        <w:widowControl/>
        <w:ind w:left="0"/>
        <w:jc w:val="center"/>
      </w:pPr>
    </w:p>
    <w:p w14:paraId="0B8988F0" w14:textId="77777777" w:rsidR="00436DAA" w:rsidRPr="00330234" w:rsidRDefault="00436DAA" w:rsidP="002328C5">
      <w:pPr>
        <w:pStyle w:val="a3"/>
        <w:widowControl/>
        <w:ind w:left="0"/>
        <w:jc w:val="center"/>
      </w:pPr>
    </w:p>
    <w:p w14:paraId="36571703" w14:textId="77777777" w:rsidR="00436DAA" w:rsidRPr="00330234" w:rsidRDefault="00436DAA" w:rsidP="002328C5">
      <w:pPr>
        <w:pStyle w:val="a3"/>
        <w:widowControl/>
        <w:ind w:left="0"/>
        <w:jc w:val="center"/>
      </w:pPr>
    </w:p>
    <w:p w14:paraId="461A8DEE" w14:textId="77777777" w:rsidR="00436DAA" w:rsidRPr="00330234" w:rsidRDefault="00436DAA" w:rsidP="002328C5">
      <w:pPr>
        <w:pStyle w:val="a3"/>
        <w:widowControl/>
        <w:ind w:left="0"/>
        <w:jc w:val="center"/>
      </w:pPr>
    </w:p>
    <w:p w14:paraId="03C3B403" w14:textId="77777777" w:rsidR="00436DAA" w:rsidRPr="00330234" w:rsidRDefault="00436DAA" w:rsidP="002328C5">
      <w:pPr>
        <w:pStyle w:val="a3"/>
        <w:widowControl/>
        <w:ind w:left="0"/>
        <w:jc w:val="center"/>
      </w:pPr>
    </w:p>
    <w:p w14:paraId="05DD94AF" w14:textId="77777777" w:rsidR="00436DAA" w:rsidRPr="00330234" w:rsidRDefault="00436DAA" w:rsidP="002328C5">
      <w:pPr>
        <w:pStyle w:val="a3"/>
        <w:widowControl/>
        <w:ind w:left="0"/>
        <w:jc w:val="center"/>
      </w:pPr>
    </w:p>
    <w:p w14:paraId="209DBCE4" w14:textId="77777777" w:rsidR="00436DAA" w:rsidRPr="00330234" w:rsidRDefault="00436DAA" w:rsidP="002328C5">
      <w:pPr>
        <w:pStyle w:val="a3"/>
        <w:widowControl/>
        <w:ind w:left="0"/>
        <w:jc w:val="center"/>
      </w:pPr>
    </w:p>
    <w:p w14:paraId="5E643CF6" w14:textId="77777777" w:rsidR="00436DAA" w:rsidRPr="00330234" w:rsidRDefault="00436DAA" w:rsidP="002328C5">
      <w:pPr>
        <w:pStyle w:val="a3"/>
        <w:widowControl/>
        <w:ind w:left="0"/>
        <w:jc w:val="center"/>
      </w:pPr>
    </w:p>
    <w:p w14:paraId="468383CE" w14:textId="77777777" w:rsidR="00436DAA" w:rsidRPr="00330234" w:rsidRDefault="00436DAA" w:rsidP="002328C5">
      <w:pPr>
        <w:pStyle w:val="a3"/>
        <w:widowControl/>
        <w:ind w:left="0"/>
        <w:jc w:val="center"/>
      </w:pPr>
    </w:p>
    <w:p w14:paraId="3E6458E4" w14:textId="77777777" w:rsidR="00436DAA" w:rsidRPr="00330234" w:rsidRDefault="00436DAA" w:rsidP="002328C5">
      <w:pPr>
        <w:pStyle w:val="a3"/>
        <w:widowControl/>
        <w:ind w:left="0"/>
        <w:jc w:val="center"/>
      </w:pPr>
    </w:p>
    <w:p w14:paraId="2AB3019D" w14:textId="77777777" w:rsidR="00436DAA" w:rsidRPr="00330234" w:rsidRDefault="00436DAA" w:rsidP="002328C5">
      <w:pPr>
        <w:pStyle w:val="a3"/>
        <w:widowControl/>
        <w:ind w:left="0"/>
        <w:jc w:val="center"/>
      </w:pPr>
    </w:p>
    <w:p w14:paraId="3051B542" w14:textId="77777777" w:rsidR="00436DAA" w:rsidRPr="00330234" w:rsidRDefault="00436DAA" w:rsidP="002328C5">
      <w:pPr>
        <w:pStyle w:val="a3"/>
        <w:widowControl/>
        <w:ind w:left="0"/>
        <w:jc w:val="center"/>
      </w:pPr>
    </w:p>
    <w:p w14:paraId="49A37AEB" w14:textId="77777777" w:rsidR="00436DAA" w:rsidRPr="00330234" w:rsidRDefault="00436DAA" w:rsidP="002328C5">
      <w:pPr>
        <w:pStyle w:val="a3"/>
        <w:widowControl/>
        <w:ind w:left="0"/>
        <w:jc w:val="center"/>
      </w:pPr>
    </w:p>
    <w:p w14:paraId="1FAF7053" w14:textId="77777777" w:rsidR="00436DAA" w:rsidRPr="00330234" w:rsidRDefault="00436DAA" w:rsidP="002328C5">
      <w:pPr>
        <w:pStyle w:val="a3"/>
        <w:widowControl/>
        <w:ind w:left="0"/>
        <w:jc w:val="center"/>
      </w:pPr>
    </w:p>
    <w:p w14:paraId="2874E9A9" w14:textId="77777777" w:rsidR="00436DAA" w:rsidRPr="00330234" w:rsidRDefault="00436DAA" w:rsidP="002328C5">
      <w:pPr>
        <w:pStyle w:val="a3"/>
        <w:widowControl/>
        <w:ind w:left="0"/>
        <w:jc w:val="center"/>
      </w:pPr>
    </w:p>
    <w:p w14:paraId="1F14353E" w14:textId="77777777" w:rsidR="00D43B20" w:rsidRPr="00330234" w:rsidRDefault="00D43B20" w:rsidP="002328C5">
      <w:pPr>
        <w:pStyle w:val="a3"/>
        <w:widowControl/>
        <w:ind w:left="0"/>
        <w:jc w:val="center"/>
      </w:pPr>
    </w:p>
    <w:p w14:paraId="1443A316" w14:textId="77777777" w:rsidR="00D43B20" w:rsidRPr="00330234" w:rsidRDefault="00D43B20" w:rsidP="002328C5">
      <w:pPr>
        <w:pStyle w:val="a3"/>
        <w:widowControl/>
        <w:ind w:left="0"/>
        <w:jc w:val="center"/>
      </w:pPr>
    </w:p>
    <w:p w14:paraId="4768122D" w14:textId="77777777" w:rsidR="00D43B20" w:rsidRPr="00330234" w:rsidRDefault="00D43B20" w:rsidP="002328C5">
      <w:pPr>
        <w:pStyle w:val="a3"/>
        <w:widowControl/>
        <w:ind w:left="0"/>
        <w:jc w:val="center"/>
      </w:pPr>
    </w:p>
    <w:p w14:paraId="2E9CEA49" w14:textId="77777777" w:rsidR="00D43B20" w:rsidRPr="00330234" w:rsidRDefault="00D43B20" w:rsidP="002328C5">
      <w:pPr>
        <w:pStyle w:val="a3"/>
        <w:widowControl/>
        <w:ind w:left="0"/>
        <w:jc w:val="center"/>
      </w:pPr>
    </w:p>
    <w:p w14:paraId="2834B324" w14:textId="77777777" w:rsidR="00436DAA" w:rsidRPr="00330234" w:rsidRDefault="009B4B8E" w:rsidP="00BD109B">
      <w:pPr>
        <w:widowControl/>
        <w:jc w:val="center"/>
        <w:rPr>
          <w:b/>
        </w:rPr>
      </w:pPr>
      <w:r w:rsidRPr="00330234">
        <w:rPr>
          <w:b/>
        </w:rPr>
        <w:t>BIJLAGE I</w:t>
      </w:r>
    </w:p>
    <w:p w14:paraId="08C92F25" w14:textId="77777777" w:rsidR="00436DAA" w:rsidRPr="00330234" w:rsidRDefault="00436DAA" w:rsidP="00BD109B">
      <w:pPr>
        <w:pStyle w:val="a3"/>
        <w:widowControl/>
        <w:ind w:left="0"/>
        <w:jc w:val="center"/>
        <w:rPr>
          <w:bCs/>
        </w:rPr>
      </w:pPr>
    </w:p>
    <w:p w14:paraId="2922415C" w14:textId="77777777" w:rsidR="00436DAA" w:rsidRPr="00330234" w:rsidRDefault="009B4B8E" w:rsidP="000571FE">
      <w:pPr>
        <w:pStyle w:val="1"/>
        <w:jc w:val="center"/>
        <w:rPr>
          <w:b w:val="0"/>
        </w:rPr>
      </w:pPr>
      <w:bookmarkStart w:id="9" w:name="SAMENVATTING_VAN_DE_PRODUCTKENMERKEN"/>
      <w:bookmarkEnd w:id="9"/>
      <w:r w:rsidRPr="00330234">
        <w:t>SAMENVATTING VAN DE PRODUCTKENMERKEN</w:t>
      </w:r>
    </w:p>
    <w:p w14:paraId="7451DB7D" w14:textId="77777777" w:rsidR="00436DAA" w:rsidRPr="00330234" w:rsidRDefault="00436DAA" w:rsidP="00BD109B">
      <w:pPr>
        <w:widowControl/>
      </w:pPr>
    </w:p>
    <w:p w14:paraId="067E5959" w14:textId="664DBDB2" w:rsidR="00C23E17" w:rsidRPr="00330234" w:rsidRDefault="00C23E17" w:rsidP="00BD109B">
      <w:pPr>
        <w:pStyle w:val="Style1"/>
        <w:widowControl/>
        <w:ind w:left="0" w:firstLine="0"/>
        <w:rPr>
          <w:b w:val="0"/>
          <w:bCs w:val="0"/>
        </w:rPr>
      </w:pPr>
      <w:r w:rsidRPr="00330234">
        <w:br w:type="page"/>
      </w:r>
      <w:r w:rsidR="00315255">
        <w:rPr>
          <w:noProof/>
          <w:lang w:val="en-US" w:eastAsia="ko-KR"/>
        </w:rPr>
        <w:lastRenderedPageBreak/>
        <w:drawing>
          <wp:inline distT="0" distB="0" distL="0" distR="0" wp14:anchorId="32E665A3" wp14:editId="5909C169">
            <wp:extent cx="201930" cy="170180"/>
            <wp:effectExtent l="0" t="0" r="0" b="0"/>
            <wp:docPr id="1" name="그림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 cy="170180"/>
                    </a:xfrm>
                    <a:prstGeom prst="rect">
                      <a:avLst/>
                    </a:prstGeom>
                    <a:noFill/>
                    <a:ln>
                      <a:noFill/>
                    </a:ln>
                  </pic:spPr>
                </pic:pic>
              </a:graphicData>
            </a:graphic>
          </wp:inline>
        </w:drawing>
      </w:r>
      <w:r w:rsidR="00F326C7" w:rsidRPr="00330234">
        <w:rPr>
          <w:b w:val="0"/>
          <w:bCs w:val="0"/>
        </w:rPr>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p>
    <w:p w14:paraId="74BCA46E" w14:textId="77777777" w:rsidR="00F326C7" w:rsidRPr="00330234" w:rsidRDefault="00F326C7" w:rsidP="00BD109B">
      <w:pPr>
        <w:pStyle w:val="Style1"/>
        <w:widowControl/>
        <w:ind w:left="0" w:firstLine="0"/>
        <w:rPr>
          <w:b w:val="0"/>
          <w:bCs w:val="0"/>
        </w:rPr>
      </w:pPr>
    </w:p>
    <w:p w14:paraId="3D2A46DC" w14:textId="77777777" w:rsidR="00C1617C" w:rsidRPr="00330234" w:rsidRDefault="00C1617C" w:rsidP="00BD109B">
      <w:pPr>
        <w:pStyle w:val="Style1"/>
        <w:widowControl/>
        <w:ind w:left="0" w:firstLine="0"/>
        <w:rPr>
          <w:b w:val="0"/>
          <w:bCs w:val="0"/>
        </w:rPr>
      </w:pPr>
    </w:p>
    <w:p w14:paraId="7ACCF38C" w14:textId="38366C5F" w:rsidR="00436DAA" w:rsidRPr="00330234" w:rsidRDefault="005328BF" w:rsidP="00BD109B">
      <w:pPr>
        <w:pStyle w:val="Style1"/>
        <w:widowControl/>
      </w:pPr>
      <w:r w:rsidRPr="00330234">
        <w:t>1.</w:t>
      </w:r>
      <w:r w:rsidRPr="00330234">
        <w:tab/>
      </w:r>
      <w:r w:rsidR="009B4B8E" w:rsidRPr="00330234">
        <w:t>NAAM VAN HET GENEESMIDDEL</w:t>
      </w:r>
    </w:p>
    <w:p w14:paraId="346BC853" w14:textId="77777777" w:rsidR="00D43B20" w:rsidRPr="00330234" w:rsidRDefault="00D43B20" w:rsidP="00BD109B">
      <w:pPr>
        <w:pStyle w:val="a3"/>
        <w:widowControl/>
        <w:ind w:left="0"/>
      </w:pPr>
    </w:p>
    <w:p w14:paraId="23A83061" w14:textId="29F7F3E0" w:rsidR="00436DAA" w:rsidRPr="00D1666A" w:rsidRDefault="00F326C7" w:rsidP="00BD109B">
      <w:pPr>
        <w:pStyle w:val="a3"/>
        <w:widowControl/>
        <w:ind w:left="0"/>
        <w:rPr>
          <w:rFonts w:eastAsia="맑은 고딕" w:hint="eastAsia"/>
          <w:lang w:eastAsia="ko-KR"/>
          <w:rPrChange w:id="10" w:author="만든 이">
            <w:rPr/>
          </w:rPrChange>
        </w:rPr>
      </w:pPr>
      <w:r w:rsidRPr="00330234">
        <w:t>Avtozma</w:t>
      </w:r>
      <w:r w:rsidR="009B4B8E" w:rsidRPr="00330234">
        <w:t>, 20 mg/ml concentraat voor oplossing voor infusie</w:t>
      </w:r>
      <w:del w:id="11" w:author="만든 이">
        <w:r w:rsidR="009B4B8E" w:rsidRPr="00330234" w:rsidDel="00D1666A">
          <w:delText>.</w:delText>
        </w:r>
      </w:del>
    </w:p>
    <w:p w14:paraId="0654D016" w14:textId="77777777" w:rsidR="00436DAA" w:rsidRPr="00330234" w:rsidRDefault="00436DAA" w:rsidP="00BD109B">
      <w:pPr>
        <w:pStyle w:val="a3"/>
        <w:widowControl/>
        <w:ind w:left="0"/>
      </w:pPr>
    </w:p>
    <w:p w14:paraId="7EBF7D1B" w14:textId="77777777" w:rsidR="00436DAA" w:rsidRPr="00330234" w:rsidRDefault="00436DAA" w:rsidP="00BD109B">
      <w:pPr>
        <w:pStyle w:val="a3"/>
        <w:widowControl/>
        <w:ind w:left="0"/>
      </w:pPr>
    </w:p>
    <w:p w14:paraId="132F7FF4" w14:textId="2EF12674" w:rsidR="00436DAA" w:rsidRPr="00330234" w:rsidRDefault="005328BF" w:rsidP="00BD109B">
      <w:pPr>
        <w:pStyle w:val="Style1"/>
        <w:widowControl/>
      </w:pPr>
      <w:r w:rsidRPr="00330234">
        <w:t>2.</w:t>
      </w:r>
      <w:r w:rsidRPr="00330234">
        <w:tab/>
      </w:r>
      <w:r w:rsidR="009B4B8E" w:rsidRPr="00330234">
        <w:t>KWALITATIEVE EN KWANTITATIEVE SAMENSTELLING</w:t>
      </w:r>
    </w:p>
    <w:p w14:paraId="233C2017" w14:textId="77777777" w:rsidR="00D43B20" w:rsidRPr="00330234" w:rsidRDefault="00D43B20" w:rsidP="00BD109B">
      <w:pPr>
        <w:pStyle w:val="a3"/>
        <w:widowControl/>
        <w:ind w:left="0"/>
      </w:pPr>
    </w:p>
    <w:p w14:paraId="204C72F5" w14:textId="656EA495" w:rsidR="00436DAA" w:rsidRPr="001B3E1E" w:rsidRDefault="009B4B8E" w:rsidP="00BD109B">
      <w:pPr>
        <w:pStyle w:val="a3"/>
        <w:widowControl/>
        <w:ind w:left="0"/>
        <w:rPr>
          <w:rFonts w:eastAsia="맑은 고딕"/>
          <w:lang w:eastAsia="ko-KR"/>
        </w:rPr>
      </w:pPr>
      <w:r w:rsidRPr="00330234">
        <w:t>Elke ml concentraat bevat 20 mg tocilizumab</w:t>
      </w:r>
    </w:p>
    <w:p w14:paraId="2FE2E723" w14:textId="77777777" w:rsidR="00436DAA" w:rsidRPr="00330234" w:rsidRDefault="00436DAA" w:rsidP="00BD109B">
      <w:pPr>
        <w:pStyle w:val="a3"/>
        <w:widowControl/>
        <w:ind w:left="0"/>
      </w:pPr>
    </w:p>
    <w:p w14:paraId="436760D9" w14:textId="60ACCEDB" w:rsidR="00D43B20" w:rsidRPr="00330234" w:rsidRDefault="009B4B8E" w:rsidP="00BD109B">
      <w:pPr>
        <w:pStyle w:val="a3"/>
        <w:widowControl/>
        <w:ind w:left="0"/>
      </w:pPr>
      <w:r w:rsidRPr="00330234">
        <w:t>Elke 4 ml injectieflacon bevat 80 mg tocilizumab (20 mg/ml).</w:t>
      </w:r>
    </w:p>
    <w:p w14:paraId="72BF86FA" w14:textId="60888285" w:rsidR="00C23E17" w:rsidRPr="00330234" w:rsidRDefault="009B4B8E" w:rsidP="00BD109B">
      <w:pPr>
        <w:pStyle w:val="a3"/>
        <w:widowControl/>
        <w:ind w:left="0"/>
      </w:pPr>
      <w:r w:rsidRPr="00330234">
        <w:t>Elke 10 ml injectieflacon bevat 200 mg tocilizumab (20 mg/ml).</w:t>
      </w:r>
    </w:p>
    <w:p w14:paraId="2ECA0428" w14:textId="700415C9" w:rsidR="00436DAA" w:rsidRPr="00330234" w:rsidRDefault="009B4B8E" w:rsidP="00BD109B">
      <w:pPr>
        <w:pStyle w:val="a3"/>
        <w:widowControl/>
        <w:ind w:left="0"/>
      </w:pPr>
      <w:r w:rsidRPr="00330234">
        <w:t>Elke 20 ml injectieflacon bevat 400 mg tocilizumab (20 mg/ml).</w:t>
      </w:r>
    </w:p>
    <w:p w14:paraId="170E2F3A" w14:textId="77777777" w:rsidR="00436DAA" w:rsidRDefault="00436DAA" w:rsidP="00BD109B">
      <w:pPr>
        <w:pStyle w:val="a3"/>
        <w:widowControl/>
        <w:ind w:left="0"/>
        <w:rPr>
          <w:rFonts w:eastAsia="맑은 고딕"/>
          <w:lang w:eastAsia="ko-KR"/>
        </w:rPr>
      </w:pPr>
    </w:p>
    <w:p w14:paraId="15DDFAC9" w14:textId="67C4A851" w:rsidR="00C37E57" w:rsidRDefault="000C21F2" w:rsidP="00BD109B">
      <w:pPr>
        <w:pStyle w:val="a3"/>
        <w:widowControl/>
        <w:ind w:left="0"/>
        <w:rPr>
          <w:rFonts w:eastAsia="맑은 고딕"/>
          <w:lang w:eastAsia="ko-KR"/>
        </w:rPr>
      </w:pPr>
      <w:r w:rsidRPr="000C21F2">
        <w:rPr>
          <w:rFonts w:eastAsia="맑은 고딕"/>
          <w:lang w:eastAsia="ko-KR"/>
        </w:rPr>
        <w:t>Tocilizumab is een recombinant gehumaniseerd anti-humaan monoklonaal antilichaam van de immunoglobuline G1 (IgG1)</w:t>
      </w:r>
      <w:r w:rsidR="00522E64">
        <w:rPr>
          <w:rFonts w:eastAsia="맑은 고딕"/>
          <w:lang w:eastAsia="ko-KR"/>
        </w:rPr>
        <w:t>-</w:t>
      </w:r>
      <w:r w:rsidRPr="000C21F2">
        <w:rPr>
          <w:rFonts w:eastAsia="맑은 고딕"/>
          <w:lang w:eastAsia="ko-KR"/>
        </w:rPr>
        <w:t>subklasse, dat gericht is tegen de humane interleukine-6 (IL-6)</w:t>
      </w:r>
      <w:r w:rsidR="00522E64">
        <w:rPr>
          <w:rFonts w:eastAsia="맑은 고딕"/>
          <w:lang w:eastAsia="ko-KR"/>
        </w:rPr>
        <w:t>-</w:t>
      </w:r>
      <w:r w:rsidRPr="000C21F2">
        <w:rPr>
          <w:rFonts w:eastAsia="맑은 고딕"/>
          <w:lang w:eastAsia="ko-KR"/>
        </w:rPr>
        <w:t>receptor geproduceerd in Chinese</w:t>
      </w:r>
      <w:r w:rsidR="00522E64">
        <w:rPr>
          <w:rFonts w:eastAsia="맑은 고딕"/>
          <w:lang w:eastAsia="ko-KR"/>
        </w:rPr>
        <w:t>-</w:t>
      </w:r>
      <w:r w:rsidRPr="000C21F2">
        <w:rPr>
          <w:rFonts w:eastAsia="맑은 고딕"/>
          <w:lang w:eastAsia="ko-KR"/>
        </w:rPr>
        <w:t>hamsterovariumcellen (CHO) door recombinant DNA</w:t>
      </w:r>
      <w:r w:rsidR="00522E64">
        <w:rPr>
          <w:rFonts w:eastAsia="맑은 고딕"/>
          <w:lang w:eastAsia="ko-KR"/>
        </w:rPr>
        <w:t>-</w:t>
      </w:r>
      <w:r w:rsidRPr="000C21F2">
        <w:rPr>
          <w:rFonts w:eastAsia="맑은 고딕"/>
          <w:lang w:eastAsia="ko-KR"/>
        </w:rPr>
        <w:t>technologie</w:t>
      </w:r>
      <w:r w:rsidR="00C37E57" w:rsidRPr="00C37E57">
        <w:rPr>
          <w:rFonts w:eastAsia="맑은 고딕"/>
          <w:lang w:eastAsia="ko-KR"/>
        </w:rPr>
        <w:t>.</w:t>
      </w:r>
    </w:p>
    <w:p w14:paraId="608E5EDD" w14:textId="77777777" w:rsidR="00C37E57" w:rsidRPr="001B3E1E" w:rsidRDefault="00C37E57" w:rsidP="00BD109B">
      <w:pPr>
        <w:pStyle w:val="a3"/>
        <w:widowControl/>
        <w:ind w:left="0"/>
        <w:rPr>
          <w:rFonts w:eastAsia="맑은 고딕"/>
          <w:lang w:eastAsia="ko-KR"/>
        </w:rPr>
      </w:pPr>
    </w:p>
    <w:p w14:paraId="51CEFBB6" w14:textId="38803A42" w:rsidR="00FF51AE" w:rsidRPr="008A0EE7" w:rsidRDefault="00FF51AE" w:rsidP="00FF51AE">
      <w:pPr>
        <w:rPr>
          <w:u w:val="single"/>
        </w:rPr>
      </w:pPr>
      <w:r w:rsidRPr="00FF51AE">
        <w:rPr>
          <w:u w:val="single"/>
        </w:rPr>
        <w:t>Hulpstoffen met bekend effect</w:t>
      </w:r>
      <w:r w:rsidRPr="008A0EE7">
        <w:rPr>
          <w:u w:val="single"/>
        </w:rPr>
        <w:t>:</w:t>
      </w:r>
    </w:p>
    <w:p w14:paraId="0C9B61C4" w14:textId="768FB9C5" w:rsidR="00FF51AE" w:rsidRPr="00756A7A" w:rsidRDefault="00FF51AE" w:rsidP="00FF51AE">
      <w:pPr>
        <w:rPr>
          <w:i/>
          <w:iCs/>
        </w:rPr>
      </w:pPr>
      <w:r w:rsidRPr="00756A7A">
        <w:rPr>
          <w:i/>
          <w:iCs/>
        </w:rPr>
        <w:t>Polysorba</w:t>
      </w:r>
      <w:r>
        <w:rPr>
          <w:i/>
          <w:iCs/>
        </w:rPr>
        <w:t>a</w:t>
      </w:r>
      <w:r w:rsidRPr="00756A7A">
        <w:rPr>
          <w:i/>
          <w:iCs/>
        </w:rPr>
        <w:t>t</w:t>
      </w:r>
    </w:p>
    <w:p w14:paraId="40025E37" w14:textId="5EBD83B7" w:rsidR="00FF51AE" w:rsidRDefault="00FF51AE" w:rsidP="00FF51AE">
      <w:r>
        <w:t>Elke 80 mg injectieflacon bevat 2,0 mg polysorbaat</w:t>
      </w:r>
      <w:r w:rsidR="00545170">
        <w:rPr>
          <w:rFonts w:eastAsia="맑은 고딕" w:hint="eastAsia"/>
          <w:lang w:eastAsia="ko-KR"/>
        </w:rPr>
        <w:t xml:space="preserve"> 80</w:t>
      </w:r>
      <w:r>
        <w:t>.</w:t>
      </w:r>
    </w:p>
    <w:p w14:paraId="31794E35" w14:textId="1A01AB0F" w:rsidR="00FF51AE" w:rsidRDefault="00FF51AE" w:rsidP="00BD109B">
      <w:pPr>
        <w:pStyle w:val="a3"/>
        <w:widowControl/>
        <w:ind w:left="0"/>
      </w:pPr>
      <w:r>
        <w:t>Elke 200 mg injectieflacon bevat 5,0 mg polysorbaat</w:t>
      </w:r>
      <w:r w:rsidR="00545170">
        <w:rPr>
          <w:rFonts w:eastAsia="맑은 고딕" w:hint="eastAsia"/>
          <w:lang w:eastAsia="ko-KR"/>
        </w:rPr>
        <w:t xml:space="preserve"> 80</w:t>
      </w:r>
      <w:r>
        <w:t>.</w:t>
      </w:r>
    </w:p>
    <w:p w14:paraId="429C4965" w14:textId="30203655" w:rsidR="00FF51AE" w:rsidRDefault="00FF51AE" w:rsidP="00BD109B">
      <w:pPr>
        <w:pStyle w:val="a3"/>
        <w:widowControl/>
        <w:ind w:left="0"/>
      </w:pPr>
      <w:r>
        <w:t>Elke 400 mg injectieflacon bevat 10,0 mg polysorbaat</w:t>
      </w:r>
      <w:r w:rsidR="00545170">
        <w:rPr>
          <w:rFonts w:eastAsia="맑은 고딕" w:hint="eastAsia"/>
          <w:lang w:eastAsia="ko-KR"/>
        </w:rPr>
        <w:t xml:space="preserve"> 80 </w:t>
      </w:r>
      <w:r>
        <w:t>.</w:t>
      </w:r>
    </w:p>
    <w:p w14:paraId="4EF88C12" w14:textId="77777777" w:rsidR="00FF51AE" w:rsidRPr="00330234" w:rsidRDefault="00FF51AE" w:rsidP="00BD109B">
      <w:pPr>
        <w:pStyle w:val="a3"/>
        <w:widowControl/>
        <w:ind w:left="0"/>
      </w:pPr>
    </w:p>
    <w:p w14:paraId="44B39EB8" w14:textId="38AA2BEB" w:rsidR="00436DAA" w:rsidRPr="00330234" w:rsidRDefault="009B4B8E" w:rsidP="00BD109B">
      <w:pPr>
        <w:pStyle w:val="a3"/>
        <w:widowControl/>
        <w:ind w:left="0"/>
      </w:pPr>
      <w:r w:rsidRPr="00330234">
        <w:t>Voor de volledige lijst van hulpstoffen, zie rubriek 6.1.</w:t>
      </w:r>
    </w:p>
    <w:p w14:paraId="39DCC259" w14:textId="77777777" w:rsidR="00436DAA" w:rsidRPr="00330234" w:rsidRDefault="00436DAA" w:rsidP="00BD109B">
      <w:pPr>
        <w:pStyle w:val="a3"/>
        <w:widowControl/>
        <w:ind w:left="0"/>
      </w:pPr>
    </w:p>
    <w:p w14:paraId="6518B170" w14:textId="77777777" w:rsidR="00436DAA" w:rsidRPr="00330234" w:rsidRDefault="00436DAA" w:rsidP="00BD109B">
      <w:pPr>
        <w:pStyle w:val="a3"/>
        <w:widowControl/>
        <w:ind w:left="0"/>
      </w:pPr>
    </w:p>
    <w:p w14:paraId="7F5BFF1C" w14:textId="7492631C" w:rsidR="00436DAA" w:rsidRPr="00330234" w:rsidRDefault="005328BF" w:rsidP="00BD109B">
      <w:pPr>
        <w:pStyle w:val="Style1"/>
        <w:widowControl/>
      </w:pPr>
      <w:r w:rsidRPr="00330234">
        <w:t>3.</w:t>
      </w:r>
      <w:r w:rsidRPr="00330234">
        <w:tab/>
      </w:r>
      <w:r w:rsidR="009B4B8E" w:rsidRPr="00330234">
        <w:t>FARMACEUTISCHE VORM</w:t>
      </w:r>
    </w:p>
    <w:p w14:paraId="4811E16A" w14:textId="77777777" w:rsidR="00C23E17" w:rsidRPr="00330234" w:rsidRDefault="00C23E17" w:rsidP="00BD109B">
      <w:pPr>
        <w:pStyle w:val="a3"/>
        <w:widowControl/>
        <w:ind w:left="0"/>
      </w:pPr>
    </w:p>
    <w:p w14:paraId="0756C4D2" w14:textId="73E37A12" w:rsidR="00436DAA" w:rsidRPr="00330234" w:rsidRDefault="009B4B8E" w:rsidP="00BD109B">
      <w:pPr>
        <w:pStyle w:val="a3"/>
        <w:widowControl/>
        <w:ind w:left="0"/>
      </w:pPr>
      <w:r w:rsidRPr="00330234">
        <w:t>Concentraat voor oplossing voor infusie (steriel concentraat).</w:t>
      </w:r>
      <w:r w:rsidR="00B92A7D" w:rsidRPr="00330234">
        <w:t xml:space="preserve"> </w:t>
      </w:r>
      <w:r w:rsidRPr="00330234">
        <w:t xml:space="preserve">Helder tot </w:t>
      </w:r>
      <w:r w:rsidR="009512DC" w:rsidRPr="00330234">
        <w:t>enigszins</w:t>
      </w:r>
      <w:r w:rsidR="00B92A7D" w:rsidRPr="00330234">
        <w:t xml:space="preserve"> </w:t>
      </w:r>
      <w:r w:rsidRPr="00330234">
        <w:t>doorschijnende, kleurloze tot lichtgele oplossing.</w:t>
      </w:r>
    </w:p>
    <w:p w14:paraId="26C95248" w14:textId="77777777" w:rsidR="00436DAA" w:rsidRPr="00330234" w:rsidRDefault="00436DAA" w:rsidP="00BD109B">
      <w:pPr>
        <w:pStyle w:val="a3"/>
        <w:widowControl/>
        <w:ind w:left="0"/>
      </w:pPr>
    </w:p>
    <w:p w14:paraId="01140B14" w14:textId="77777777" w:rsidR="00D43B20" w:rsidRPr="00330234" w:rsidRDefault="00D43B20" w:rsidP="00BD109B">
      <w:pPr>
        <w:pStyle w:val="a3"/>
        <w:widowControl/>
        <w:ind w:left="0"/>
      </w:pPr>
    </w:p>
    <w:p w14:paraId="14664B28" w14:textId="6A4BAF56" w:rsidR="00436DAA" w:rsidRPr="00330234" w:rsidRDefault="005328BF" w:rsidP="00BD109B">
      <w:pPr>
        <w:pStyle w:val="Style1"/>
        <w:widowControl/>
      </w:pPr>
      <w:r w:rsidRPr="00330234">
        <w:t>4.</w:t>
      </w:r>
      <w:r w:rsidRPr="00330234">
        <w:tab/>
      </w:r>
      <w:r w:rsidR="009B4B8E" w:rsidRPr="00330234">
        <w:t>KLINISCHE GEGEVENS</w:t>
      </w:r>
    </w:p>
    <w:p w14:paraId="437E8D67" w14:textId="77777777" w:rsidR="00C23E17" w:rsidRPr="00330234" w:rsidRDefault="00C23E17" w:rsidP="00BD109B">
      <w:pPr>
        <w:pStyle w:val="Style1"/>
        <w:widowControl/>
        <w:rPr>
          <w:b w:val="0"/>
          <w:bCs w:val="0"/>
        </w:rPr>
      </w:pPr>
    </w:p>
    <w:p w14:paraId="335DFD72" w14:textId="14FCDB87" w:rsidR="00436DAA" w:rsidRPr="00330234" w:rsidRDefault="005328BF" w:rsidP="00BD109B">
      <w:pPr>
        <w:pStyle w:val="Style1"/>
        <w:widowControl/>
      </w:pPr>
      <w:r w:rsidRPr="00330234">
        <w:t>4.1</w:t>
      </w:r>
      <w:r w:rsidRPr="00330234">
        <w:tab/>
      </w:r>
      <w:r w:rsidR="009B4B8E" w:rsidRPr="00330234">
        <w:t>Therapeutische indicaties</w:t>
      </w:r>
    </w:p>
    <w:p w14:paraId="485AFC1F" w14:textId="77777777" w:rsidR="00C23E17" w:rsidRDefault="00C23E17" w:rsidP="00BD109B">
      <w:pPr>
        <w:pStyle w:val="a3"/>
        <w:widowControl/>
        <w:ind w:left="0"/>
        <w:rPr>
          <w:rFonts w:eastAsia="맑은 고딕"/>
          <w:lang w:eastAsia="ko-KR"/>
        </w:rPr>
      </w:pPr>
    </w:p>
    <w:p w14:paraId="6731A3B0" w14:textId="136D8CEB" w:rsidR="0096677B" w:rsidRPr="00144E79" w:rsidRDefault="0096677B" w:rsidP="00BD109B">
      <w:pPr>
        <w:pStyle w:val="a3"/>
        <w:widowControl/>
        <w:ind w:left="0"/>
        <w:rPr>
          <w:rFonts w:eastAsia="맑은 고딕"/>
          <w:u w:val="single"/>
          <w:lang w:eastAsia="ko-KR"/>
        </w:rPr>
      </w:pPr>
      <w:r w:rsidRPr="00144E79">
        <w:rPr>
          <w:rFonts w:eastAsia="맑은 고딕"/>
          <w:u w:val="single"/>
          <w:lang w:eastAsia="ko-KR"/>
        </w:rPr>
        <w:t>Reumatoïde artritis (RA)</w:t>
      </w:r>
    </w:p>
    <w:p w14:paraId="37D0D5EE" w14:textId="78CEF96D" w:rsidR="00436DAA" w:rsidRPr="00330234" w:rsidRDefault="00B92A7D" w:rsidP="00BD109B">
      <w:pPr>
        <w:pStyle w:val="a3"/>
        <w:widowControl/>
        <w:ind w:left="0"/>
      </w:pPr>
      <w:r w:rsidRPr="00330234">
        <w:t>Avtozma</w:t>
      </w:r>
      <w:r w:rsidR="009B4B8E" w:rsidRPr="00330234">
        <w:t>, in combinatie met methotrexaat (MTX), is geïndiceerd voor:</w:t>
      </w:r>
    </w:p>
    <w:p w14:paraId="61ABEB4B" w14:textId="77777777" w:rsidR="00436DAA" w:rsidRPr="00330234" w:rsidRDefault="00436DAA" w:rsidP="00BD109B">
      <w:pPr>
        <w:pStyle w:val="a3"/>
        <w:widowControl/>
        <w:ind w:left="0"/>
      </w:pPr>
    </w:p>
    <w:p w14:paraId="1B6E824D" w14:textId="33240DBA" w:rsidR="00436DAA" w:rsidRPr="00330234" w:rsidRDefault="009B4B8E" w:rsidP="00BD109B">
      <w:pPr>
        <w:pStyle w:val="bullet"/>
      </w:pPr>
      <w:r w:rsidRPr="00330234">
        <w:t>de behandeling van ernstige, actieve en progressieve reumatoïde artritis (RA) bij volwassenen die niet eerder werden behandeld met MTX;</w:t>
      </w:r>
    </w:p>
    <w:p w14:paraId="79898695" w14:textId="20F05AAB" w:rsidR="00436DAA" w:rsidRPr="00330234" w:rsidRDefault="009B4B8E" w:rsidP="00BD109B">
      <w:pPr>
        <w:pStyle w:val="bullet"/>
      </w:pPr>
      <w:r w:rsidRPr="00330234">
        <w:t xml:space="preserve">de behandeling van matige tot ernstige actieve RA bij volwassenen met een ontoereikende respons op of een intolerantie voor een eerdere behandeling met één of meerdere </w:t>
      </w:r>
      <w:r w:rsidRPr="00330234">
        <w:rPr>
          <w:i/>
        </w:rPr>
        <w:t xml:space="preserve">disease-modifying anti- rheumatic drugs </w:t>
      </w:r>
      <w:r w:rsidRPr="00330234">
        <w:t>(DMARD</w:t>
      </w:r>
      <w:r w:rsidR="00753185" w:rsidRPr="00330234">
        <w:t>’</w:t>
      </w:r>
      <w:r w:rsidRPr="00330234">
        <w:t>s) of tumor necrose factor (TNF) antagonisten.</w:t>
      </w:r>
    </w:p>
    <w:p w14:paraId="4FD24F57" w14:textId="77777777" w:rsidR="00C23E17" w:rsidRPr="00330234" w:rsidRDefault="00C23E17" w:rsidP="00BD109B">
      <w:pPr>
        <w:pStyle w:val="a3"/>
        <w:widowControl/>
        <w:ind w:left="0"/>
      </w:pPr>
    </w:p>
    <w:p w14:paraId="2BFCEE54" w14:textId="3743B239" w:rsidR="00436DAA" w:rsidRPr="00330234" w:rsidRDefault="00B92A7D" w:rsidP="00BD109B">
      <w:pPr>
        <w:pStyle w:val="a3"/>
        <w:widowControl/>
        <w:ind w:left="0"/>
      </w:pPr>
      <w:r w:rsidRPr="00330234">
        <w:t>Avtozma</w:t>
      </w:r>
      <w:r w:rsidR="009B4B8E" w:rsidRPr="00330234">
        <w:t xml:space="preserve"> kan als monotherapie worden gegeven aan deze patiënten in geval van intolerantie voor MTX of wanneer voortzetten van de behandeling met MTX niet geschikt is.</w:t>
      </w:r>
    </w:p>
    <w:p w14:paraId="214FCB15" w14:textId="3B1916A4" w:rsidR="00436DAA" w:rsidRPr="00330234" w:rsidRDefault="00B92A7D" w:rsidP="00BD109B">
      <w:pPr>
        <w:pStyle w:val="a3"/>
        <w:widowControl/>
        <w:ind w:left="0"/>
      </w:pPr>
      <w:r w:rsidRPr="00330234">
        <w:t>Avtozma</w:t>
      </w:r>
      <w:r w:rsidR="009B4B8E" w:rsidRPr="00330234">
        <w:t>, in combinatie met MTX, vermindert de mate van progressie van gewrichtsschade, aangetoond middels röntgenonderzoek, en verbetert het lichamelijk functioneren.</w:t>
      </w:r>
    </w:p>
    <w:p w14:paraId="30171DA5" w14:textId="77777777" w:rsidR="00C23E17" w:rsidRDefault="00C23E17" w:rsidP="00BD109B">
      <w:pPr>
        <w:pStyle w:val="a3"/>
        <w:widowControl/>
        <w:ind w:left="0"/>
        <w:rPr>
          <w:rFonts w:eastAsia="맑은 고딕"/>
          <w:lang w:eastAsia="ko-KR"/>
        </w:rPr>
      </w:pPr>
    </w:p>
    <w:p w14:paraId="0619BEFF" w14:textId="77777777" w:rsidR="0096677B" w:rsidRPr="00144E79" w:rsidRDefault="0096677B" w:rsidP="00BD109B">
      <w:pPr>
        <w:pStyle w:val="a3"/>
        <w:widowControl/>
        <w:ind w:left="0"/>
        <w:rPr>
          <w:rFonts w:eastAsia="맑은 고딕"/>
          <w:lang w:eastAsia="ko-KR"/>
        </w:rPr>
      </w:pPr>
    </w:p>
    <w:p w14:paraId="3019806D" w14:textId="77777777" w:rsidR="0096677B" w:rsidRDefault="0096677B" w:rsidP="00BD109B">
      <w:pPr>
        <w:pStyle w:val="a3"/>
        <w:widowControl/>
        <w:ind w:left="0"/>
        <w:rPr>
          <w:rFonts w:eastAsia="맑은 고딕"/>
          <w:lang w:eastAsia="ko-KR"/>
        </w:rPr>
      </w:pPr>
    </w:p>
    <w:p w14:paraId="29C29554" w14:textId="3EECC101" w:rsidR="0096677B" w:rsidRPr="00144E79" w:rsidRDefault="0096677B" w:rsidP="00BD109B">
      <w:pPr>
        <w:pStyle w:val="a3"/>
        <w:widowControl/>
        <w:ind w:left="0"/>
        <w:rPr>
          <w:rFonts w:eastAsia="맑은 고딕"/>
          <w:u w:val="single"/>
          <w:lang w:eastAsia="ko-KR"/>
        </w:rPr>
      </w:pPr>
      <w:r w:rsidRPr="0096677B">
        <w:rPr>
          <w:rFonts w:eastAsia="맑은 고딕"/>
          <w:u w:val="single"/>
          <w:lang w:eastAsia="ko-KR"/>
        </w:rPr>
        <w:lastRenderedPageBreak/>
        <w:t>Coronavirusziekte 2019 (COVID-19)</w:t>
      </w:r>
    </w:p>
    <w:p w14:paraId="0D2EB1CF" w14:textId="76A4C265" w:rsidR="00436DAA" w:rsidRPr="00330234" w:rsidRDefault="00B92A7D" w:rsidP="00BD109B">
      <w:pPr>
        <w:pStyle w:val="a3"/>
        <w:widowControl/>
        <w:ind w:left="0"/>
      </w:pPr>
      <w:r w:rsidRPr="00330234">
        <w:t>Avtozma</w:t>
      </w:r>
      <w:r w:rsidR="009B4B8E" w:rsidRPr="00330234">
        <w:t xml:space="preserve"> is geïndiceerd voor de behandeling van coronavirusziekte 2019 (COVID-19) bij volwassenen die systemische corticosteroïden krijgen en die aanvullende zuurstof of mechanische beademing nodig hebben.</w:t>
      </w:r>
    </w:p>
    <w:p w14:paraId="7CBCC9AB" w14:textId="0E0A1808" w:rsidR="00C23E17" w:rsidRDefault="00C23E17" w:rsidP="00BD109B">
      <w:pPr>
        <w:pStyle w:val="a3"/>
        <w:widowControl/>
        <w:ind w:left="0"/>
        <w:rPr>
          <w:rFonts w:eastAsia="맑은 고딕"/>
          <w:lang w:eastAsia="ko-KR"/>
        </w:rPr>
      </w:pPr>
    </w:p>
    <w:p w14:paraId="0AAB204D" w14:textId="451E8E05" w:rsidR="0096677B" w:rsidRPr="00144E79" w:rsidRDefault="0096677B" w:rsidP="00BD109B">
      <w:pPr>
        <w:pStyle w:val="a3"/>
        <w:widowControl/>
        <w:ind w:left="0"/>
        <w:rPr>
          <w:rFonts w:eastAsia="맑은 고딕"/>
          <w:u w:val="single"/>
          <w:lang w:eastAsia="ko-KR"/>
        </w:rPr>
      </w:pPr>
      <w:r w:rsidRPr="0096677B">
        <w:rPr>
          <w:rFonts w:eastAsia="맑은 고딕"/>
          <w:u w:val="single"/>
          <w:lang w:eastAsia="ko-KR"/>
        </w:rPr>
        <w:t>Systemische juveniele idiopathische artritis (sJIA)</w:t>
      </w:r>
    </w:p>
    <w:p w14:paraId="5932C992" w14:textId="029DBA3D" w:rsidR="00436DAA" w:rsidRPr="00330234" w:rsidRDefault="00B92A7D" w:rsidP="00BD109B">
      <w:pPr>
        <w:pStyle w:val="a3"/>
        <w:widowControl/>
        <w:ind w:left="0"/>
      </w:pPr>
      <w:r w:rsidRPr="00330234">
        <w:t>Avtozma</w:t>
      </w:r>
      <w:r w:rsidR="009B4B8E" w:rsidRPr="00330234">
        <w:t xml:space="preserve"> is geïndiceerd voor de behandeling van actieve systemische juveniele idiopathische artritis (sJIA) bij patiënten van 2 jaar en ouder met een ontoereikende respons op eerdere behandeling met NSAID</w:t>
      </w:r>
      <w:r w:rsidR="00753185" w:rsidRPr="00330234">
        <w:t>’</w:t>
      </w:r>
      <w:r w:rsidR="009B4B8E" w:rsidRPr="00330234">
        <w:t xml:space="preserve">s en systemische corticosteroïden. </w:t>
      </w:r>
      <w:r w:rsidRPr="00330234">
        <w:t>Avtozma</w:t>
      </w:r>
      <w:r w:rsidR="009B4B8E" w:rsidRPr="00330234">
        <w:t xml:space="preserve"> kan als monotherapie worden gegeven (in geval van intolerantie voor MTX of wanneer behandeling met MTX niet geschikt is) of in combinatie met MTX.</w:t>
      </w:r>
    </w:p>
    <w:p w14:paraId="0C6BC1AE" w14:textId="77777777" w:rsidR="00436DAA" w:rsidRDefault="00436DAA" w:rsidP="00BD109B">
      <w:pPr>
        <w:pStyle w:val="a3"/>
        <w:widowControl/>
        <w:ind w:left="0"/>
        <w:rPr>
          <w:rFonts w:eastAsia="맑은 고딕"/>
          <w:lang w:eastAsia="ko-KR"/>
        </w:rPr>
      </w:pPr>
    </w:p>
    <w:p w14:paraId="51CA9594" w14:textId="6CD04E39" w:rsidR="0096677B" w:rsidRPr="00144E79" w:rsidRDefault="0096677B" w:rsidP="00BD109B">
      <w:pPr>
        <w:pStyle w:val="a3"/>
        <w:widowControl/>
        <w:ind w:left="0"/>
        <w:rPr>
          <w:rFonts w:eastAsia="맑은 고딕"/>
          <w:u w:val="single"/>
          <w:lang w:eastAsia="ko-KR"/>
        </w:rPr>
      </w:pPr>
      <w:r w:rsidRPr="0096677B">
        <w:rPr>
          <w:rFonts w:eastAsia="맑은 고딕"/>
          <w:u w:val="single"/>
          <w:lang w:eastAsia="ko-KR"/>
        </w:rPr>
        <w:t>Juveniele idiopathische polyartritis (pJIA)</w:t>
      </w:r>
    </w:p>
    <w:p w14:paraId="43CA47DC" w14:textId="4E8DDED4" w:rsidR="00436DAA" w:rsidRPr="00330234" w:rsidRDefault="00B92A7D" w:rsidP="00B92A7D">
      <w:pPr>
        <w:pStyle w:val="a3"/>
        <w:widowControl/>
        <w:ind w:left="0"/>
      </w:pPr>
      <w:r w:rsidRPr="00330234">
        <w:t>Avtozma</w:t>
      </w:r>
      <w:r w:rsidR="009B4B8E" w:rsidRPr="00330234">
        <w:t xml:space="preserve"> is, in combinatie met MTX, geïndiceerd voor de behandeling van juveniele idiopathische polyartritis (pJIA; reumafactor positief of negatief en uitgebreide oligoartritis) bij patiënten van 2 jaar en ouder met een ontoereikende respons op eerdere behandeling met MTX.</w:t>
      </w:r>
      <w:r w:rsidRPr="00330234">
        <w:t xml:space="preserve"> Avtozma</w:t>
      </w:r>
      <w:r w:rsidR="009B4B8E" w:rsidRPr="00330234">
        <w:t xml:space="preserve"> kan als monotherapie worden gegeven in geval van onverdraagbaarheid van MTX of wanneer continuering van behandeling met MTX niet geschikt is.</w:t>
      </w:r>
    </w:p>
    <w:p w14:paraId="61164597" w14:textId="77777777" w:rsidR="00C23E17" w:rsidRDefault="00C23E17" w:rsidP="00BD109B">
      <w:pPr>
        <w:pStyle w:val="a3"/>
        <w:widowControl/>
        <w:ind w:left="0"/>
        <w:rPr>
          <w:rFonts w:eastAsia="맑은 고딕"/>
          <w:lang w:eastAsia="ko-KR"/>
        </w:rPr>
      </w:pPr>
    </w:p>
    <w:p w14:paraId="6468BD0C" w14:textId="4B845258" w:rsidR="0096677B" w:rsidRPr="00144E79" w:rsidRDefault="0096677B" w:rsidP="00BD109B">
      <w:pPr>
        <w:pStyle w:val="a3"/>
        <w:widowControl/>
        <w:ind w:left="0"/>
        <w:rPr>
          <w:rFonts w:eastAsia="맑은 고딕"/>
          <w:u w:val="single"/>
          <w:lang w:eastAsia="ko-KR"/>
        </w:rPr>
      </w:pPr>
      <w:r w:rsidRPr="0096677B">
        <w:rPr>
          <w:rFonts w:eastAsia="맑은 고딕"/>
          <w:u w:val="single"/>
          <w:lang w:eastAsia="ko-KR"/>
        </w:rPr>
        <w:t>Cytokine-release syndrome (CRS)</w:t>
      </w:r>
    </w:p>
    <w:p w14:paraId="4233AD3F" w14:textId="33AA42D5" w:rsidR="00436DAA" w:rsidRPr="00330234" w:rsidRDefault="00B92A7D" w:rsidP="00BD109B">
      <w:pPr>
        <w:pStyle w:val="a3"/>
        <w:widowControl/>
        <w:ind w:left="0"/>
      </w:pPr>
      <w:r w:rsidRPr="00330234">
        <w:t>Avtozma</w:t>
      </w:r>
      <w:r w:rsidR="009B4B8E" w:rsidRPr="00330234">
        <w:t xml:space="preserve"> is geïndiceerd voor de behandeling van ernstige of levensbedreigende </w:t>
      </w:r>
      <w:r w:rsidR="009B4B8E" w:rsidRPr="00330234">
        <w:rPr>
          <w:i/>
        </w:rPr>
        <w:t xml:space="preserve">cytokine-release syndrome </w:t>
      </w:r>
      <w:r w:rsidR="009B4B8E" w:rsidRPr="00330234">
        <w:t>(CRS) geïnduceerd door chimerische antigeenreceptor (CAR) T-cellen bij volwassenen en kinderen van 2 jaar en ouder.</w:t>
      </w:r>
    </w:p>
    <w:p w14:paraId="538A1A0F" w14:textId="77777777" w:rsidR="00436DAA" w:rsidRPr="00330234" w:rsidRDefault="00436DAA" w:rsidP="00BD109B">
      <w:pPr>
        <w:pStyle w:val="a3"/>
        <w:widowControl/>
        <w:ind w:left="0"/>
      </w:pPr>
    </w:p>
    <w:p w14:paraId="741698EC" w14:textId="0E7B19D9" w:rsidR="00436DAA" w:rsidRPr="00330234" w:rsidRDefault="005328BF" w:rsidP="00BD109B">
      <w:pPr>
        <w:pStyle w:val="Style1"/>
      </w:pPr>
      <w:r w:rsidRPr="00330234">
        <w:t>4.2</w:t>
      </w:r>
      <w:r w:rsidRPr="00330234">
        <w:tab/>
      </w:r>
      <w:r w:rsidR="009B4B8E" w:rsidRPr="00330234">
        <w:t>Dosering en wijze van toediening</w:t>
      </w:r>
    </w:p>
    <w:p w14:paraId="5E18DB2C" w14:textId="77777777" w:rsidR="00C23E17" w:rsidRPr="00330234" w:rsidRDefault="00C23E17" w:rsidP="00BD109B">
      <w:pPr>
        <w:pStyle w:val="a3"/>
        <w:widowControl/>
        <w:ind w:left="0"/>
      </w:pPr>
    </w:p>
    <w:p w14:paraId="21F59005" w14:textId="25D2BAB9" w:rsidR="00436DAA" w:rsidRPr="00330234" w:rsidRDefault="009B4B8E" w:rsidP="00BD109B">
      <w:pPr>
        <w:pStyle w:val="a3"/>
        <w:widowControl/>
        <w:ind w:left="0"/>
      </w:pPr>
      <w:r w:rsidRPr="00330234">
        <w:t xml:space="preserve">Behandeling met </w:t>
      </w:r>
      <w:r w:rsidR="00790622" w:rsidRPr="00330234">
        <w:t xml:space="preserve">Avtozma </w:t>
      </w:r>
      <w:r w:rsidRPr="00330234">
        <w:t>moet worden geïnitieerd door beroepsbeoefenaren in de gezondheidszorg die ervaring hebben met de diagnose en behandeling van RA, COVID-19, sJIA, pJIA of CRS.</w:t>
      </w:r>
    </w:p>
    <w:p w14:paraId="64A2D413" w14:textId="77777777" w:rsidR="00436DAA" w:rsidRPr="00330234" w:rsidRDefault="00436DAA" w:rsidP="00BD109B">
      <w:pPr>
        <w:pStyle w:val="a3"/>
        <w:widowControl/>
        <w:ind w:left="0"/>
      </w:pPr>
    </w:p>
    <w:p w14:paraId="3E963C1A" w14:textId="509AA389" w:rsidR="00B92A7D" w:rsidRPr="00330234" w:rsidRDefault="00DB17BC" w:rsidP="00BD109B">
      <w:pPr>
        <w:pStyle w:val="a3"/>
        <w:widowControl/>
        <w:ind w:left="0"/>
      </w:pPr>
      <w:r w:rsidRPr="00330234">
        <w:t>Voor infuuszakken gemaakt van polyvinylchloride (PVC) moeten infuuszakken worden gebruikt die vrij zijn van di(2</w:t>
      </w:r>
      <w:r w:rsidRPr="00330234">
        <w:noBreakHyphen/>
        <w:t>ethylhexyl)ftalaat (DEHP</w:t>
      </w:r>
      <w:r w:rsidRPr="00330234">
        <w:noBreakHyphen/>
        <w:t>vrij).</w:t>
      </w:r>
    </w:p>
    <w:p w14:paraId="771B5E4B" w14:textId="77777777" w:rsidR="00B92A7D" w:rsidRPr="00330234" w:rsidRDefault="00B92A7D" w:rsidP="00BD109B">
      <w:pPr>
        <w:pStyle w:val="a3"/>
        <w:widowControl/>
        <w:ind w:left="0"/>
      </w:pPr>
    </w:p>
    <w:p w14:paraId="55AEC8F3" w14:textId="205220C7" w:rsidR="00436DAA" w:rsidRPr="00330234" w:rsidRDefault="009B4B8E" w:rsidP="00BD109B">
      <w:pPr>
        <w:pStyle w:val="a3"/>
        <w:widowControl/>
        <w:ind w:left="0"/>
      </w:pPr>
      <w:r w:rsidRPr="00330234">
        <w:t xml:space="preserve">De patiëntenwaarschuwingskaart moet worden verstrekt aan alle patiënten die met </w:t>
      </w:r>
      <w:r w:rsidR="00B92A7D" w:rsidRPr="00330234">
        <w:t>Avtozma</w:t>
      </w:r>
      <w:r w:rsidRPr="00330234">
        <w:t xml:space="preserve"> worden behandeld.</w:t>
      </w:r>
    </w:p>
    <w:p w14:paraId="2D5FE945" w14:textId="77777777" w:rsidR="00436DAA" w:rsidRPr="00330234" w:rsidRDefault="00436DAA" w:rsidP="00BD109B">
      <w:pPr>
        <w:pStyle w:val="a3"/>
        <w:widowControl/>
        <w:ind w:left="0"/>
      </w:pPr>
    </w:p>
    <w:p w14:paraId="5384D17C" w14:textId="77777777" w:rsidR="00436DAA" w:rsidRPr="00330234" w:rsidRDefault="009B4B8E" w:rsidP="00BD109B">
      <w:pPr>
        <w:pStyle w:val="a3"/>
        <w:widowControl/>
        <w:ind w:left="0"/>
      </w:pPr>
      <w:r w:rsidRPr="00330234">
        <w:rPr>
          <w:u w:val="single"/>
        </w:rPr>
        <w:t>Dosering</w:t>
      </w:r>
    </w:p>
    <w:p w14:paraId="29655E96" w14:textId="77777777" w:rsidR="00436DAA" w:rsidRPr="00330234" w:rsidRDefault="009B4B8E" w:rsidP="00BD109B">
      <w:pPr>
        <w:pStyle w:val="a3"/>
        <w:widowControl/>
        <w:ind w:left="0"/>
      </w:pPr>
      <w:r w:rsidRPr="00330234">
        <w:rPr>
          <w:u w:val="single"/>
        </w:rPr>
        <w:t>RA-patiënten</w:t>
      </w:r>
    </w:p>
    <w:p w14:paraId="76BF1318" w14:textId="77777777" w:rsidR="00C23E17" w:rsidRPr="00330234" w:rsidRDefault="00C23E17" w:rsidP="00BD109B">
      <w:pPr>
        <w:pStyle w:val="a3"/>
        <w:widowControl/>
        <w:ind w:left="0"/>
      </w:pPr>
    </w:p>
    <w:p w14:paraId="30EA607B" w14:textId="7A9D11C1" w:rsidR="00436DAA" w:rsidRPr="00330234" w:rsidRDefault="009B4B8E" w:rsidP="00BD109B">
      <w:pPr>
        <w:pStyle w:val="a3"/>
        <w:widowControl/>
        <w:ind w:left="0"/>
      </w:pPr>
      <w:r w:rsidRPr="00330234">
        <w:t>De aanbevolen dosering is 8 mg/kg lichaamsgewicht, eenmaal per 4 weken.</w:t>
      </w:r>
    </w:p>
    <w:p w14:paraId="2A842D2B" w14:textId="77777777" w:rsidR="00436DAA" w:rsidRPr="00330234" w:rsidRDefault="00436DAA" w:rsidP="00BD109B">
      <w:pPr>
        <w:pStyle w:val="a3"/>
        <w:widowControl/>
        <w:ind w:left="0"/>
      </w:pPr>
    </w:p>
    <w:p w14:paraId="2BC5A656" w14:textId="77777777" w:rsidR="00436DAA" w:rsidRPr="00330234" w:rsidRDefault="009B4B8E" w:rsidP="00BD109B">
      <w:pPr>
        <w:pStyle w:val="a3"/>
        <w:widowControl/>
        <w:ind w:left="0"/>
      </w:pPr>
      <w:r w:rsidRPr="00330234">
        <w:t>Bij patiënten die meer dan 100 kg wegen, worden doses hoger dan 800 mg per infusie niet aanbevolen (zie rubriek 5.2).</w:t>
      </w:r>
    </w:p>
    <w:p w14:paraId="5F2AE59F" w14:textId="77777777" w:rsidR="00C23E17" w:rsidRPr="00330234" w:rsidRDefault="00C23E17" w:rsidP="00BD109B">
      <w:pPr>
        <w:pStyle w:val="a3"/>
        <w:widowControl/>
        <w:ind w:left="0"/>
      </w:pPr>
    </w:p>
    <w:p w14:paraId="588AF14E" w14:textId="1B4C74D6" w:rsidR="00436DAA" w:rsidRPr="00330234" w:rsidRDefault="009B4B8E" w:rsidP="00BD109B">
      <w:pPr>
        <w:pStyle w:val="a3"/>
        <w:widowControl/>
        <w:ind w:left="0"/>
      </w:pPr>
      <w:r w:rsidRPr="00330234">
        <w:t>Doses hoger dan 1,2 gram zijn niet onderzocht in klinische studies (zie rubriek 5.1).</w:t>
      </w:r>
    </w:p>
    <w:p w14:paraId="28482718" w14:textId="77777777" w:rsidR="00C23E17" w:rsidRPr="00330234" w:rsidRDefault="00C23E17" w:rsidP="00BD109B">
      <w:pPr>
        <w:pStyle w:val="a3"/>
        <w:widowControl/>
        <w:ind w:left="0"/>
      </w:pPr>
    </w:p>
    <w:p w14:paraId="013B76FA" w14:textId="0BB7E13A" w:rsidR="00436DAA" w:rsidRPr="00330234" w:rsidRDefault="009B4B8E" w:rsidP="00BD109B">
      <w:pPr>
        <w:pStyle w:val="a3"/>
        <w:widowControl/>
        <w:ind w:left="0"/>
      </w:pPr>
      <w:r w:rsidRPr="00330234">
        <w:rPr>
          <w:u w:val="single"/>
        </w:rPr>
        <w:t>Dosisaanpassingen als gevolg van laboratoriumafwijkingen (zie rubriek 4.4)</w:t>
      </w:r>
    </w:p>
    <w:p w14:paraId="61501542" w14:textId="77777777" w:rsidR="00436DAA" w:rsidRPr="00330234" w:rsidRDefault="00436DAA" w:rsidP="00BD109B">
      <w:pPr>
        <w:pStyle w:val="a3"/>
        <w:widowControl/>
        <w:ind w:left="0"/>
      </w:pPr>
    </w:p>
    <w:p w14:paraId="584C66E8" w14:textId="621E4951" w:rsidR="00436DAA" w:rsidRPr="00330234" w:rsidRDefault="005328BF" w:rsidP="00BD109B">
      <w:pPr>
        <w:pStyle w:val="bullet"/>
      </w:pPr>
      <w:r w:rsidRPr="00330234">
        <w:rPr>
          <w:rFonts w:eastAsia="Symbol"/>
        </w:rPr>
        <w:tab/>
      </w:r>
      <w:r w:rsidR="009B4B8E" w:rsidRPr="00330234">
        <w:t>Leverenzymafwijkingen</w:t>
      </w:r>
    </w:p>
    <w:p w14:paraId="0614C719" w14:textId="77777777" w:rsidR="00436DAA" w:rsidRPr="00330234" w:rsidRDefault="00436DAA" w:rsidP="00BD109B">
      <w:pPr>
        <w:pStyle w:val="a3"/>
        <w:widowControl/>
        <w:ind w:left="0"/>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3"/>
        <w:gridCol w:w="7073"/>
      </w:tblGrid>
      <w:tr w:rsidR="00436DAA" w:rsidRPr="00330234" w14:paraId="0FEA9934" w14:textId="77777777" w:rsidTr="003C4B56">
        <w:trPr>
          <w:trHeight w:val="20"/>
        </w:trPr>
        <w:tc>
          <w:tcPr>
            <w:tcW w:w="1993" w:type="dxa"/>
          </w:tcPr>
          <w:p w14:paraId="6626C460" w14:textId="4B4017AF" w:rsidR="00592DC5" w:rsidRPr="00330234" w:rsidRDefault="009B4B8E" w:rsidP="002328C5">
            <w:pPr>
              <w:pStyle w:val="TableParagraph"/>
              <w:widowControl/>
              <w:jc w:val="center"/>
              <w:rPr>
                <w:bCs/>
              </w:rPr>
            </w:pPr>
            <w:r w:rsidRPr="00330234">
              <w:rPr>
                <w:bCs/>
              </w:rPr>
              <w:t>Laboratorium- waarde</w:t>
            </w:r>
          </w:p>
        </w:tc>
        <w:tc>
          <w:tcPr>
            <w:tcW w:w="7073" w:type="dxa"/>
          </w:tcPr>
          <w:p w14:paraId="78487CD9" w14:textId="77777777" w:rsidR="00436DAA" w:rsidRPr="00330234" w:rsidRDefault="009B4B8E" w:rsidP="00BD109B">
            <w:pPr>
              <w:pStyle w:val="TableParagraph"/>
              <w:widowControl/>
              <w:jc w:val="center"/>
              <w:rPr>
                <w:bCs/>
              </w:rPr>
            </w:pPr>
            <w:r w:rsidRPr="00330234">
              <w:rPr>
                <w:bCs/>
              </w:rPr>
              <w:t>Actie</w:t>
            </w:r>
          </w:p>
        </w:tc>
      </w:tr>
      <w:tr w:rsidR="00436DAA" w:rsidRPr="00330234" w14:paraId="0CAF5324" w14:textId="77777777" w:rsidTr="003C4B56">
        <w:trPr>
          <w:trHeight w:val="20"/>
        </w:trPr>
        <w:tc>
          <w:tcPr>
            <w:tcW w:w="1993" w:type="dxa"/>
          </w:tcPr>
          <w:p w14:paraId="360429D9" w14:textId="77777777" w:rsidR="00436DAA" w:rsidRPr="00330234" w:rsidRDefault="009B4B8E" w:rsidP="00BD109B">
            <w:pPr>
              <w:pStyle w:val="TableParagraph"/>
              <w:widowControl/>
            </w:pPr>
            <w:r w:rsidRPr="00330234">
              <w:t xml:space="preserve">&gt; 1 tot 3 x </w:t>
            </w:r>
            <w:r w:rsidRPr="00330234">
              <w:rPr>
                <w:i/>
              </w:rPr>
              <w:t xml:space="preserve">Upper Limit of Normal </w:t>
            </w:r>
            <w:r w:rsidRPr="00330234">
              <w:t>(ULN)</w:t>
            </w:r>
          </w:p>
        </w:tc>
        <w:tc>
          <w:tcPr>
            <w:tcW w:w="7073" w:type="dxa"/>
          </w:tcPr>
          <w:p w14:paraId="58C62805" w14:textId="77777777" w:rsidR="00436DAA" w:rsidRPr="00330234" w:rsidRDefault="009B4B8E" w:rsidP="00BD109B">
            <w:pPr>
              <w:pStyle w:val="TableParagraph"/>
              <w:widowControl/>
            </w:pPr>
            <w:r w:rsidRPr="00330234">
              <w:t>Pas de dosering aan van gelijktijdig gebruikte MTX, indien aangewezen.</w:t>
            </w:r>
          </w:p>
          <w:p w14:paraId="0CB5C398" w14:textId="77777777" w:rsidR="00592DC5" w:rsidRPr="00330234" w:rsidRDefault="00592DC5" w:rsidP="00BD109B">
            <w:pPr>
              <w:pStyle w:val="TableParagraph"/>
              <w:widowControl/>
            </w:pPr>
          </w:p>
          <w:p w14:paraId="44FA3EE1" w14:textId="2DF3EB88" w:rsidR="00436DAA" w:rsidRPr="00330234" w:rsidRDefault="009B4B8E" w:rsidP="00BD109B">
            <w:pPr>
              <w:pStyle w:val="TableParagraph"/>
              <w:widowControl/>
            </w:pPr>
            <w:r w:rsidRPr="00330234">
              <w:t xml:space="preserve">Bij aanhoudende stijging binnen dit bereik, verlaag de </w:t>
            </w:r>
            <w:r w:rsidR="00DB17BC" w:rsidRPr="00330234">
              <w:t>Avtozma</w:t>
            </w:r>
            <w:r w:rsidRPr="00330234">
              <w:t xml:space="preserve"> dosering naar 4 mg/kg of onderbreek de behandeling met </w:t>
            </w:r>
            <w:r w:rsidR="00DB17BC" w:rsidRPr="00330234">
              <w:t>Avtozma</w:t>
            </w:r>
            <w:r w:rsidRPr="00330234">
              <w:t xml:space="preserve"> totdat de alanineaminotransferase (ALAT) of aspartaataminotransferase (ASAT) zijn genormaliseerd.</w:t>
            </w:r>
          </w:p>
          <w:p w14:paraId="65243C34" w14:textId="77777777" w:rsidR="00592DC5" w:rsidRPr="00330234" w:rsidRDefault="00592DC5" w:rsidP="00BD109B">
            <w:pPr>
              <w:pStyle w:val="TableParagraph"/>
              <w:widowControl/>
            </w:pPr>
          </w:p>
          <w:p w14:paraId="4F4B0944" w14:textId="1483FA0D" w:rsidR="00592DC5" w:rsidRPr="00330234" w:rsidRDefault="009B4B8E" w:rsidP="002328C5">
            <w:pPr>
              <w:pStyle w:val="TableParagraph"/>
              <w:widowControl/>
            </w:pPr>
            <w:r w:rsidRPr="00330234">
              <w:t>Herstart de behandeling met 4 mg/kg of 8 mg/kg, indien klinisch verantwoord.</w:t>
            </w:r>
          </w:p>
        </w:tc>
      </w:tr>
      <w:tr w:rsidR="00436DAA" w:rsidRPr="00330234" w14:paraId="48B93832" w14:textId="77777777" w:rsidTr="003C4B56">
        <w:trPr>
          <w:trHeight w:val="20"/>
        </w:trPr>
        <w:tc>
          <w:tcPr>
            <w:tcW w:w="1993" w:type="dxa"/>
          </w:tcPr>
          <w:p w14:paraId="3D1552F6" w14:textId="77777777" w:rsidR="00436DAA" w:rsidRPr="00330234" w:rsidRDefault="009B4B8E" w:rsidP="00BD109B">
            <w:pPr>
              <w:pStyle w:val="TableParagraph"/>
              <w:widowControl/>
            </w:pPr>
            <w:r w:rsidRPr="00330234">
              <w:lastRenderedPageBreak/>
              <w:t>&gt; 3 tot 5 x ULN</w:t>
            </w:r>
          </w:p>
          <w:p w14:paraId="761C7AC2" w14:textId="77777777" w:rsidR="00436DAA" w:rsidRPr="00330234" w:rsidRDefault="009B4B8E" w:rsidP="00BD109B">
            <w:pPr>
              <w:pStyle w:val="TableParagraph"/>
              <w:widowControl/>
            </w:pPr>
            <w:r w:rsidRPr="00330234">
              <w:t>(bevestigd middels herhaald testen, zie rubriek 4.4)</w:t>
            </w:r>
          </w:p>
        </w:tc>
        <w:tc>
          <w:tcPr>
            <w:tcW w:w="7073" w:type="dxa"/>
          </w:tcPr>
          <w:p w14:paraId="3D9E6B0C" w14:textId="019F7948" w:rsidR="00436DAA" w:rsidRPr="00330234" w:rsidRDefault="009B4B8E" w:rsidP="00BD109B">
            <w:pPr>
              <w:pStyle w:val="TableParagraph"/>
              <w:widowControl/>
            </w:pPr>
            <w:r w:rsidRPr="00330234">
              <w:t xml:space="preserve">Onderbreek de behandeling met </w:t>
            </w:r>
            <w:r w:rsidR="00DB17BC" w:rsidRPr="00330234">
              <w:t>Avtozma</w:t>
            </w:r>
            <w:r w:rsidRPr="00330234">
              <w:t xml:space="preserve"> tot de waarde van &lt; 3 x ULN is bereikt en volg de hierboven beschreven aanbevelingen voor de waarde &gt; 1 tot 3</w:t>
            </w:r>
            <w:r w:rsidR="00592DC5" w:rsidRPr="00330234">
              <w:t> </w:t>
            </w:r>
            <w:r w:rsidRPr="00330234">
              <w:t>x ULN.</w:t>
            </w:r>
          </w:p>
          <w:p w14:paraId="7437E2D8" w14:textId="77777777" w:rsidR="00592DC5" w:rsidRPr="00330234" w:rsidRDefault="00592DC5" w:rsidP="00BD109B">
            <w:pPr>
              <w:pStyle w:val="TableParagraph"/>
              <w:widowControl/>
            </w:pPr>
          </w:p>
          <w:p w14:paraId="017D8DE5" w14:textId="5DFC6D76" w:rsidR="00436DAA" w:rsidRPr="00330234" w:rsidRDefault="009B4B8E" w:rsidP="002328C5">
            <w:pPr>
              <w:pStyle w:val="TableParagraph"/>
              <w:widowControl/>
            </w:pPr>
            <w:r w:rsidRPr="00330234">
              <w:t xml:space="preserve">Bij een aanhoudende stijging van &gt; 3 x ULN; staak de behandeling met </w:t>
            </w:r>
            <w:r w:rsidR="00DB17BC" w:rsidRPr="00330234">
              <w:t>Avtozma</w:t>
            </w:r>
            <w:r w:rsidRPr="00330234">
              <w:t>.</w:t>
            </w:r>
          </w:p>
        </w:tc>
      </w:tr>
      <w:tr w:rsidR="00436DAA" w:rsidRPr="00330234" w14:paraId="62DEF559" w14:textId="77777777" w:rsidTr="003C4B56">
        <w:trPr>
          <w:trHeight w:val="20"/>
        </w:trPr>
        <w:tc>
          <w:tcPr>
            <w:tcW w:w="1993" w:type="dxa"/>
          </w:tcPr>
          <w:p w14:paraId="04ADC43D" w14:textId="77777777" w:rsidR="00436DAA" w:rsidRPr="00330234" w:rsidRDefault="009B4B8E" w:rsidP="00BD109B">
            <w:pPr>
              <w:pStyle w:val="TableParagraph"/>
              <w:widowControl/>
            </w:pPr>
            <w:r w:rsidRPr="00330234">
              <w:t>&gt; 5 x ULN</w:t>
            </w:r>
          </w:p>
        </w:tc>
        <w:tc>
          <w:tcPr>
            <w:tcW w:w="7073" w:type="dxa"/>
          </w:tcPr>
          <w:p w14:paraId="194E1095" w14:textId="38002B73" w:rsidR="00592DC5" w:rsidRPr="00330234" w:rsidRDefault="009B4B8E" w:rsidP="002328C5">
            <w:pPr>
              <w:pStyle w:val="TableParagraph"/>
              <w:widowControl/>
            </w:pPr>
            <w:r w:rsidRPr="00330234">
              <w:t xml:space="preserve">Staak de behandeling met </w:t>
            </w:r>
            <w:r w:rsidR="00DB17BC" w:rsidRPr="00330234">
              <w:t>Avtozma</w:t>
            </w:r>
            <w:r w:rsidRPr="00330234">
              <w:t>.</w:t>
            </w:r>
          </w:p>
        </w:tc>
      </w:tr>
    </w:tbl>
    <w:p w14:paraId="72AC2B0A" w14:textId="77777777" w:rsidR="00592DC5" w:rsidRPr="00330234" w:rsidRDefault="00592DC5" w:rsidP="00BD109B"/>
    <w:p w14:paraId="1E7753A4" w14:textId="7C1CA9D4" w:rsidR="00436DAA" w:rsidRPr="00330234" w:rsidRDefault="005328BF" w:rsidP="00BD109B">
      <w:pPr>
        <w:pStyle w:val="bullet"/>
        <w:keepNext/>
      </w:pPr>
      <w:r w:rsidRPr="00330234">
        <w:rPr>
          <w:rFonts w:eastAsia="Symbol"/>
        </w:rPr>
        <w:tab/>
      </w:r>
      <w:r w:rsidR="009B4B8E" w:rsidRPr="00330234">
        <w:t>Laag absoluut aantal neutrofielen (ANC)</w:t>
      </w:r>
    </w:p>
    <w:p w14:paraId="62D07B2A" w14:textId="77777777" w:rsidR="00436DAA" w:rsidRPr="00330234" w:rsidRDefault="00436DAA" w:rsidP="00BD109B">
      <w:pPr>
        <w:pStyle w:val="a3"/>
        <w:keepNext/>
        <w:widowControl/>
        <w:ind w:left="0"/>
      </w:pPr>
    </w:p>
    <w:p w14:paraId="7311EA1F" w14:textId="6650C6DD" w:rsidR="00436DAA" w:rsidRPr="00330234" w:rsidRDefault="009B4B8E" w:rsidP="00BD109B">
      <w:pPr>
        <w:pStyle w:val="a3"/>
        <w:keepNext/>
        <w:widowControl/>
        <w:ind w:left="0"/>
      </w:pPr>
      <w:r w:rsidRPr="00330234">
        <w:t xml:space="preserve">Bij patiënten die niet eerder met </w:t>
      </w:r>
      <w:bookmarkStart w:id="12" w:name="_Hlk153268914"/>
      <w:r w:rsidR="00DB17BC" w:rsidRPr="00330234">
        <w:t>tocilizumab</w:t>
      </w:r>
      <w:bookmarkEnd w:id="12"/>
      <w:r w:rsidRPr="00330234">
        <w:t xml:space="preserve"> zijn behandeld, wordt starten van de behandeling niet aanbevolen als de patiënt een absoluut aantal neutrofielen (ANC) lager dan 2 x 10</w:t>
      </w:r>
      <w:r w:rsidRPr="00330234">
        <w:rPr>
          <w:vertAlign w:val="superscript"/>
        </w:rPr>
        <w:t>9</w:t>
      </w:r>
      <w:r w:rsidRPr="00330234">
        <w:t>/l heeft.</w:t>
      </w:r>
    </w:p>
    <w:p w14:paraId="114FAEBC" w14:textId="77777777" w:rsidR="00436DAA" w:rsidRPr="00330234" w:rsidRDefault="00436DAA" w:rsidP="00BD109B">
      <w:pPr>
        <w:pStyle w:val="a3"/>
        <w:widowControl/>
        <w:ind w:left="0"/>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8"/>
        <w:gridCol w:w="7068"/>
      </w:tblGrid>
      <w:tr w:rsidR="00436DAA" w:rsidRPr="00330234" w14:paraId="240E82A5" w14:textId="77777777" w:rsidTr="001B3E1E">
        <w:trPr>
          <w:trHeight w:val="20"/>
        </w:trPr>
        <w:tc>
          <w:tcPr>
            <w:tcW w:w="1998" w:type="dxa"/>
          </w:tcPr>
          <w:p w14:paraId="497903B4" w14:textId="56986B36" w:rsidR="00592DC5" w:rsidRPr="00330234" w:rsidRDefault="009B4B8E" w:rsidP="002328C5">
            <w:pPr>
              <w:pStyle w:val="TableParagraph"/>
              <w:widowControl/>
              <w:jc w:val="center"/>
              <w:rPr>
                <w:bCs/>
              </w:rPr>
            </w:pPr>
            <w:r w:rsidRPr="00330234">
              <w:rPr>
                <w:bCs/>
              </w:rPr>
              <w:t>Laboratorium- waarde</w:t>
            </w:r>
            <w:r w:rsidR="00592DC5" w:rsidRPr="00330234">
              <w:rPr>
                <w:bCs/>
              </w:rPr>
              <w:br/>
            </w:r>
            <w:r w:rsidRPr="00330234">
              <w:rPr>
                <w:bCs/>
              </w:rPr>
              <w:t>(cellen x 10</w:t>
            </w:r>
            <w:r w:rsidRPr="00330234">
              <w:rPr>
                <w:bCs/>
                <w:vertAlign w:val="superscript"/>
              </w:rPr>
              <w:t>9</w:t>
            </w:r>
            <w:r w:rsidRPr="00330234">
              <w:rPr>
                <w:bCs/>
              </w:rPr>
              <w:t>/l)</w:t>
            </w:r>
          </w:p>
        </w:tc>
        <w:tc>
          <w:tcPr>
            <w:tcW w:w="7068" w:type="dxa"/>
          </w:tcPr>
          <w:p w14:paraId="428FDC98" w14:textId="77777777" w:rsidR="00436DAA" w:rsidRPr="00330234" w:rsidRDefault="009B4B8E" w:rsidP="00BD109B">
            <w:pPr>
              <w:pStyle w:val="TableParagraph"/>
              <w:widowControl/>
              <w:jc w:val="center"/>
              <w:rPr>
                <w:bCs/>
              </w:rPr>
            </w:pPr>
            <w:r w:rsidRPr="00330234">
              <w:rPr>
                <w:bCs/>
              </w:rPr>
              <w:t>Actie</w:t>
            </w:r>
          </w:p>
        </w:tc>
      </w:tr>
      <w:tr w:rsidR="00436DAA" w:rsidRPr="00330234" w14:paraId="159728B6" w14:textId="77777777" w:rsidTr="001B3E1E">
        <w:trPr>
          <w:trHeight w:val="20"/>
        </w:trPr>
        <w:tc>
          <w:tcPr>
            <w:tcW w:w="1998" w:type="dxa"/>
          </w:tcPr>
          <w:p w14:paraId="5BB6BC19" w14:textId="43E9F3B0" w:rsidR="00592DC5" w:rsidRPr="00330234" w:rsidRDefault="009B4B8E" w:rsidP="00C1617C">
            <w:pPr>
              <w:pStyle w:val="TableParagraph"/>
              <w:widowControl/>
            </w:pPr>
            <w:r w:rsidRPr="00330234">
              <w:t>ANC &gt; 1</w:t>
            </w:r>
          </w:p>
        </w:tc>
        <w:tc>
          <w:tcPr>
            <w:tcW w:w="7068" w:type="dxa"/>
          </w:tcPr>
          <w:p w14:paraId="0C5AE1DA" w14:textId="3055CB5D" w:rsidR="00592DC5" w:rsidRPr="00330234" w:rsidRDefault="009B4B8E" w:rsidP="002328C5">
            <w:pPr>
              <w:pStyle w:val="TableParagraph"/>
              <w:widowControl/>
            </w:pPr>
            <w:r w:rsidRPr="00330234">
              <w:t>Handhaaf de dosering.</w:t>
            </w:r>
          </w:p>
        </w:tc>
      </w:tr>
      <w:tr w:rsidR="00436DAA" w:rsidRPr="00330234" w14:paraId="79A67C52" w14:textId="77777777" w:rsidTr="001B3E1E">
        <w:trPr>
          <w:trHeight w:val="20"/>
        </w:trPr>
        <w:tc>
          <w:tcPr>
            <w:tcW w:w="1998" w:type="dxa"/>
          </w:tcPr>
          <w:p w14:paraId="630190A7" w14:textId="77777777" w:rsidR="00436DAA" w:rsidRPr="00330234" w:rsidRDefault="009B4B8E" w:rsidP="00BD109B">
            <w:pPr>
              <w:pStyle w:val="TableParagraph"/>
              <w:widowControl/>
            </w:pPr>
            <w:r w:rsidRPr="00330234">
              <w:t>ANC 0,5 tot 1</w:t>
            </w:r>
          </w:p>
        </w:tc>
        <w:tc>
          <w:tcPr>
            <w:tcW w:w="7068" w:type="dxa"/>
          </w:tcPr>
          <w:p w14:paraId="4E173BE5" w14:textId="013673E5" w:rsidR="00436DAA" w:rsidRPr="00330234" w:rsidRDefault="009B4B8E" w:rsidP="00BD109B">
            <w:pPr>
              <w:pStyle w:val="TableParagraph"/>
              <w:widowControl/>
            </w:pPr>
            <w:r w:rsidRPr="00330234">
              <w:t xml:space="preserve">Onderbreek de behandeling met </w:t>
            </w:r>
            <w:r w:rsidR="00DB17BC" w:rsidRPr="00330234">
              <w:t>Avtozma</w:t>
            </w:r>
            <w:r w:rsidRPr="00330234">
              <w:t>.</w:t>
            </w:r>
          </w:p>
          <w:p w14:paraId="085DC9C1" w14:textId="77777777" w:rsidR="00592DC5" w:rsidRPr="00330234" w:rsidRDefault="00592DC5" w:rsidP="00BD109B">
            <w:pPr>
              <w:pStyle w:val="TableParagraph"/>
              <w:widowControl/>
            </w:pPr>
          </w:p>
          <w:p w14:paraId="6C61A93D" w14:textId="2108BA36" w:rsidR="00592DC5" w:rsidRPr="00330234" w:rsidRDefault="009B4B8E" w:rsidP="002328C5">
            <w:pPr>
              <w:pStyle w:val="TableParagraph"/>
              <w:widowControl/>
            </w:pPr>
            <w:r w:rsidRPr="00330234">
              <w:t>Wanneer het ANC toeneemt tot &gt; 1 x 10</w:t>
            </w:r>
            <w:r w:rsidRPr="00330234">
              <w:rPr>
                <w:vertAlign w:val="superscript"/>
              </w:rPr>
              <w:t>9</w:t>
            </w:r>
            <w:r w:rsidR="00CB797D" w:rsidRPr="00330234">
              <w:t>/l</w:t>
            </w:r>
            <w:r w:rsidRPr="00330234">
              <w:t xml:space="preserve">; hervat de behandeling met </w:t>
            </w:r>
            <w:r w:rsidR="00DB17BC" w:rsidRPr="00330234">
              <w:t>Avtozma</w:t>
            </w:r>
            <w:r w:rsidRPr="00330234">
              <w:t xml:space="preserve"> met een dosering van 4 mg/kg en verhoog tot 8 mg/kg, indien klinisch verantwoord.</w:t>
            </w:r>
          </w:p>
        </w:tc>
      </w:tr>
      <w:tr w:rsidR="00436DAA" w:rsidRPr="00330234" w14:paraId="15D058E7" w14:textId="77777777" w:rsidTr="001B3E1E">
        <w:trPr>
          <w:trHeight w:val="20"/>
        </w:trPr>
        <w:tc>
          <w:tcPr>
            <w:tcW w:w="1998" w:type="dxa"/>
          </w:tcPr>
          <w:p w14:paraId="02FC5D0A" w14:textId="3EDF6819" w:rsidR="00592DC5" w:rsidRPr="00330234" w:rsidRDefault="009B4B8E" w:rsidP="002328C5">
            <w:pPr>
              <w:pStyle w:val="TableParagraph"/>
              <w:widowControl/>
            </w:pPr>
            <w:r w:rsidRPr="00330234">
              <w:t>ANC &lt; 0,5</w:t>
            </w:r>
          </w:p>
        </w:tc>
        <w:tc>
          <w:tcPr>
            <w:tcW w:w="7068" w:type="dxa"/>
          </w:tcPr>
          <w:p w14:paraId="2689F6DE" w14:textId="66DC6EED" w:rsidR="00592DC5" w:rsidRPr="00330234" w:rsidRDefault="009B4B8E" w:rsidP="002328C5">
            <w:pPr>
              <w:pStyle w:val="TableParagraph"/>
              <w:widowControl/>
            </w:pPr>
            <w:r w:rsidRPr="00330234">
              <w:t xml:space="preserve">Staak de behandeling met </w:t>
            </w:r>
            <w:r w:rsidR="00DB17BC" w:rsidRPr="00330234">
              <w:t>Avtozma</w:t>
            </w:r>
            <w:r w:rsidRPr="00330234">
              <w:t>.</w:t>
            </w:r>
          </w:p>
        </w:tc>
      </w:tr>
    </w:tbl>
    <w:p w14:paraId="0CD5189D" w14:textId="77777777" w:rsidR="00592DC5" w:rsidRPr="00330234" w:rsidRDefault="00592DC5" w:rsidP="00BD109B">
      <w:pPr>
        <w:widowControl/>
        <w:rPr>
          <w:rFonts w:eastAsia="Symbol"/>
        </w:rPr>
      </w:pPr>
    </w:p>
    <w:p w14:paraId="1B7D9241" w14:textId="29554FEA" w:rsidR="00436DAA" w:rsidRPr="00330234" w:rsidRDefault="005328BF" w:rsidP="00BD109B">
      <w:pPr>
        <w:pStyle w:val="bullet"/>
      </w:pPr>
      <w:r w:rsidRPr="00330234">
        <w:rPr>
          <w:rFonts w:eastAsia="Symbol"/>
        </w:rPr>
        <w:tab/>
      </w:r>
      <w:r w:rsidR="009B4B8E" w:rsidRPr="00330234">
        <w:t>Laag aantal trombocyten</w:t>
      </w:r>
    </w:p>
    <w:p w14:paraId="3B607E3D" w14:textId="77777777" w:rsidR="00436DAA" w:rsidRPr="00330234" w:rsidRDefault="00436DAA" w:rsidP="00BD109B">
      <w:pPr>
        <w:pStyle w:val="a3"/>
        <w:widowControl/>
        <w:ind w:left="0"/>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8"/>
        <w:gridCol w:w="7068"/>
      </w:tblGrid>
      <w:tr w:rsidR="00436DAA" w:rsidRPr="00330234" w14:paraId="71B3C3A3" w14:textId="77777777" w:rsidTr="001B3E1E">
        <w:trPr>
          <w:trHeight w:val="20"/>
        </w:trPr>
        <w:tc>
          <w:tcPr>
            <w:tcW w:w="1998" w:type="dxa"/>
          </w:tcPr>
          <w:p w14:paraId="7FD7AD98" w14:textId="1BA95C21" w:rsidR="00592DC5" w:rsidRPr="00330234" w:rsidRDefault="009B4B8E" w:rsidP="002328C5">
            <w:pPr>
              <w:pStyle w:val="TableParagraph"/>
              <w:widowControl/>
              <w:jc w:val="center"/>
              <w:rPr>
                <w:bCs/>
              </w:rPr>
            </w:pPr>
            <w:r w:rsidRPr="00330234">
              <w:rPr>
                <w:bCs/>
              </w:rPr>
              <w:t xml:space="preserve">Laboratorium- waarde </w:t>
            </w:r>
            <w:r w:rsidR="00592DC5" w:rsidRPr="00330234">
              <w:rPr>
                <w:bCs/>
              </w:rPr>
              <w:br/>
            </w:r>
            <w:r w:rsidRPr="00330234">
              <w:rPr>
                <w:bCs/>
              </w:rPr>
              <w:t>(cellen x 10</w:t>
            </w:r>
            <w:r w:rsidRPr="00330234">
              <w:rPr>
                <w:bCs/>
                <w:vertAlign w:val="superscript"/>
              </w:rPr>
              <w:t>3</w:t>
            </w:r>
            <w:r w:rsidRPr="00330234">
              <w:rPr>
                <w:bCs/>
              </w:rPr>
              <w:t>/</w:t>
            </w:r>
            <w:r w:rsidR="00592DC5" w:rsidRPr="00330234">
              <w:rPr>
                <w:bCs/>
              </w:rPr>
              <w:t> </w:t>
            </w:r>
            <w:r w:rsidRPr="00330234">
              <w:rPr>
                <w:bCs/>
              </w:rPr>
              <w:t>μl)</w:t>
            </w:r>
          </w:p>
        </w:tc>
        <w:tc>
          <w:tcPr>
            <w:tcW w:w="7068" w:type="dxa"/>
          </w:tcPr>
          <w:p w14:paraId="102B8C58" w14:textId="77777777" w:rsidR="00436DAA" w:rsidRPr="00330234" w:rsidRDefault="009B4B8E" w:rsidP="00BD109B">
            <w:pPr>
              <w:pStyle w:val="TableParagraph"/>
              <w:widowControl/>
              <w:jc w:val="center"/>
              <w:rPr>
                <w:bCs/>
              </w:rPr>
            </w:pPr>
            <w:r w:rsidRPr="00330234">
              <w:rPr>
                <w:bCs/>
              </w:rPr>
              <w:t>Actie</w:t>
            </w:r>
          </w:p>
        </w:tc>
      </w:tr>
      <w:tr w:rsidR="00436DAA" w:rsidRPr="00330234" w14:paraId="6D16695C" w14:textId="77777777" w:rsidTr="001B3E1E">
        <w:trPr>
          <w:trHeight w:val="20"/>
        </w:trPr>
        <w:tc>
          <w:tcPr>
            <w:tcW w:w="1998" w:type="dxa"/>
          </w:tcPr>
          <w:p w14:paraId="186542D9" w14:textId="77777777" w:rsidR="00436DAA" w:rsidRPr="00330234" w:rsidRDefault="009B4B8E" w:rsidP="00BD109B">
            <w:pPr>
              <w:pStyle w:val="TableParagraph"/>
              <w:widowControl/>
            </w:pPr>
            <w:r w:rsidRPr="00330234">
              <w:t>50 tot 100</w:t>
            </w:r>
          </w:p>
        </w:tc>
        <w:tc>
          <w:tcPr>
            <w:tcW w:w="7068" w:type="dxa"/>
          </w:tcPr>
          <w:p w14:paraId="7FC23168" w14:textId="3198601D" w:rsidR="00436DAA" w:rsidRPr="00330234" w:rsidRDefault="009B4B8E" w:rsidP="00BD109B">
            <w:pPr>
              <w:pStyle w:val="TableParagraph"/>
              <w:widowControl/>
            </w:pPr>
            <w:r w:rsidRPr="00330234">
              <w:t xml:space="preserve">Onderbreek de behandeling met </w:t>
            </w:r>
            <w:r w:rsidR="00DB17BC" w:rsidRPr="00330234">
              <w:t>Avtozma</w:t>
            </w:r>
            <w:r w:rsidRPr="00330234">
              <w:t>.</w:t>
            </w:r>
          </w:p>
          <w:p w14:paraId="06541AF6" w14:textId="77777777" w:rsidR="00592DC5" w:rsidRPr="00330234" w:rsidRDefault="00592DC5" w:rsidP="00BD109B">
            <w:pPr>
              <w:pStyle w:val="TableParagraph"/>
              <w:widowControl/>
            </w:pPr>
          </w:p>
          <w:p w14:paraId="57EE53EC" w14:textId="3DAC0ACF" w:rsidR="00592DC5" w:rsidRPr="00330234" w:rsidRDefault="009B4B8E" w:rsidP="002328C5">
            <w:pPr>
              <w:pStyle w:val="TableParagraph"/>
              <w:widowControl/>
            </w:pPr>
            <w:r w:rsidRPr="00330234">
              <w:t>Wanneer het trombocytenaantal &gt; 100 x 10</w:t>
            </w:r>
            <w:r w:rsidRPr="00330234">
              <w:rPr>
                <w:vertAlign w:val="superscript"/>
              </w:rPr>
              <w:t>3</w:t>
            </w:r>
            <w:r w:rsidRPr="00330234">
              <w:t xml:space="preserve">/μl is; hervat de behandeling met </w:t>
            </w:r>
            <w:r w:rsidR="00DB17BC" w:rsidRPr="00330234">
              <w:t>Avtozma</w:t>
            </w:r>
            <w:r w:rsidRPr="00330234">
              <w:t xml:space="preserve"> met een dosering van 4 mg/kg en verhoog tot 8 mg/kg, indien klinisch verantwoord.</w:t>
            </w:r>
          </w:p>
        </w:tc>
      </w:tr>
      <w:tr w:rsidR="00436DAA" w:rsidRPr="00330234" w14:paraId="239BC96A" w14:textId="77777777" w:rsidTr="001B3E1E">
        <w:trPr>
          <w:trHeight w:val="20"/>
        </w:trPr>
        <w:tc>
          <w:tcPr>
            <w:tcW w:w="1998" w:type="dxa"/>
          </w:tcPr>
          <w:p w14:paraId="0FD4EC74" w14:textId="66E58BC0" w:rsidR="00592DC5" w:rsidRPr="00330234" w:rsidRDefault="009B4B8E" w:rsidP="002328C5">
            <w:pPr>
              <w:pStyle w:val="TableParagraph"/>
              <w:widowControl/>
            </w:pPr>
            <w:r w:rsidRPr="00330234">
              <w:t>&lt; 50</w:t>
            </w:r>
          </w:p>
        </w:tc>
        <w:tc>
          <w:tcPr>
            <w:tcW w:w="7068" w:type="dxa"/>
          </w:tcPr>
          <w:p w14:paraId="767FE5B2" w14:textId="0C276B9D" w:rsidR="00592DC5" w:rsidRPr="00330234" w:rsidRDefault="009B4B8E" w:rsidP="002328C5">
            <w:pPr>
              <w:pStyle w:val="TableParagraph"/>
              <w:widowControl/>
            </w:pPr>
            <w:r w:rsidRPr="00330234">
              <w:t xml:space="preserve">Staak de behandeling met </w:t>
            </w:r>
            <w:r w:rsidR="00DB17BC" w:rsidRPr="00330234">
              <w:t>Avtozma</w:t>
            </w:r>
            <w:r w:rsidRPr="00330234">
              <w:t>.</w:t>
            </w:r>
          </w:p>
        </w:tc>
      </w:tr>
    </w:tbl>
    <w:p w14:paraId="11BAECB3" w14:textId="77777777" w:rsidR="00592DC5" w:rsidRPr="00330234" w:rsidRDefault="00592DC5" w:rsidP="00BD109B">
      <w:pPr>
        <w:pStyle w:val="a3"/>
        <w:widowControl/>
        <w:ind w:left="0"/>
      </w:pPr>
    </w:p>
    <w:p w14:paraId="2A8AA2C7" w14:textId="6A1A65A9" w:rsidR="00436DAA" w:rsidRPr="00330234" w:rsidRDefault="009B4B8E" w:rsidP="00BD109B">
      <w:pPr>
        <w:pStyle w:val="a3"/>
        <w:widowControl/>
        <w:ind w:left="0"/>
      </w:pPr>
      <w:r w:rsidRPr="00330234">
        <w:rPr>
          <w:u w:val="single"/>
        </w:rPr>
        <w:t>COVID-19-patiënten</w:t>
      </w:r>
    </w:p>
    <w:p w14:paraId="23893569" w14:textId="77777777" w:rsidR="002328C5" w:rsidRPr="00330234" w:rsidRDefault="002328C5" w:rsidP="00BD109B">
      <w:pPr>
        <w:pStyle w:val="a3"/>
        <w:widowControl/>
        <w:ind w:left="0"/>
      </w:pPr>
    </w:p>
    <w:p w14:paraId="239379C5" w14:textId="5F58134A" w:rsidR="00436DAA" w:rsidRPr="00330234" w:rsidRDefault="009B4B8E" w:rsidP="00BD109B">
      <w:pPr>
        <w:pStyle w:val="a3"/>
        <w:widowControl/>
        <w:ind w:left="0"/>
      </w:pPr>
      <w:r w:rsidRPr="00330234">
        <w:t xml:space="preserve">De aanbevolen dosering voor de behandeling van COVID-19 is 8 mg/kg gegeven als één intraveneuze infusie gedurende 60 minuten, bij patiënten die systemische corticosteroïden krijgen en die aanvullende zuurstof of mechanische beademing nodig hebben (zie rubriek 5.1). Als de klinische klachten of verschijnselen erger worden of niet verbeteren na de eerste dosis, mag één extra infusie </w:t>
      </w:r>
      <w:r w:rsidR="00DB17BC" w:rsidRPr="00330234">
        <w:t>Avtozma</w:t>
      </w:r>
      <w:r w:rsidRPr="00330234">
        <w:t xml:space="preserve"> 8 mg/kg worden toegediend. Het interval tussen de twee infusies moet ten minste 8 uur zijn.</w:t>
      </w:r>
    </w:p>
    <w:p w14:paraId="55792AE1" w14:textId="77777777" w:rsidR="00592DC5" w:rsidRPr="00330234" w:rsidRDefault="00592DC5" w:rsidP="00BD109B">
      <w:pPr>
        <w:pStyle w:val="a3"/>
        <w:widowControl/>
        <w:ind w:left="0"/>
      </w:pPr>
    </w:p>
    <w:p w14:paraId="6BB34D5C" w14:textId="4B173C82" w:rsidR="00436DAA" w:rsidRPr="00330234" w:rsidRDefault="009B4B8E" w:rsidP="00BD109B">
      <w:pPr>
        <w:pStyle w:val="a3"/>
        <w:widowControl/>
        <w:ind w:left="0"/>
      </w:pPr>
      <w:r w:rsidRPr="00330234">
        <w:t>Bij patiënten die meer dan 100 kg wegen, worden doses hoger dan 800 mg per infusie niet aanbevolen (zie rubriek 5.2).</w:t>
      </w:r>
    </w:p>
    <w:p w14:paraId="58ABB79C" w14:textId="77777777" w:rsidR="00436DAA" w:rsidRPr="00330234" w:rsidRDefault="00436DAA" w:rsidP="00BD109B">
      <w:pPr>
        <w:pStyle w:val="a3"/>
        <w:widowControl/>
        <w:ind w:left="0"/>
      </w:pPr>
    </w:p>
    <w:p w14:paraId="4EAFB8CF" w14:textId="50E8F2FF" w:rsidR="00436DAA" w:rsidRPr="00330234" w:rsidRDefault="009B4B8E" w:rsidP="00BD109B">
      <w:pPr>
        <w:pStyle w:val="a3"/>
        <w:widowControl/>
        <w:ind w:left="0"/>
      </w:pPr>
      <w:r w:rsidRPr="00330234">
        <w:t xml:space="preserve">Toediening van </w:t>
      </w:r>
      <w:r w:rsidR="00DB17BC" w:rsidRPr="00330234">
        <w:t>Avtozma</w:t>
      </w:r>
      <w:r w:rsidRPr="00330234">
        <w:t xml:space="preserve"> wordt niet aanbevolen bij patiënten met COVID-19 bij wie sprake is van een van de volgende laboratoriumafwijkingen:</w:t>
      </w:r>
    </w:p>
    <w:p w14:paraId="4651AE92" w14:textId="77777777" w:rsidR="00436DAA" w:rsidRPr="00330234" w:rsidRDefault="00436DAA" w:rsidP="00BD109B">
      <w:pPr>
        <w:pStyle w:val="a3"/>
        <w:widowControl/>
        <w:ind w:left="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21"/>
        <w:gridCol w:w="3021"/>
      </w:tblGrid>
      <w:tr w:rsidR="00436DAA" w:rsidRPr="00330234" w14:paraId="52F0B33D" w14:textId="77777777" w:rsidTr="00FF3F31">
        <w:trPr>
          <w:trHeight w:val="254"/>
        </w:trPr>
        <w:tc>
          <w:tcPr>
            <w:tcW w:w="3019" w:type="dxa"/>
          </w:tcPr>
          <w:p w14:paraId="46A2FAEB" w14:textId="77777777" w:rsidR="00436DAA" w:rsidRPr="00330234" w:rsidRDefault="009B4B8E" w:rsidP="00BD109B">
            <w:pPr>
              <w:pStyle w:val="TableParagraph"/>
              <w:widowControl/>
              <w:jc w:val="center"/>
              <w:rPr>
                <w:bCs/>
              </w:rPr>
            </w:pPr>
            <w:r w:rsidRPr="00330234">
              <w:rPr>
                <w:bCs/>
              </w:rPr>
              <w:t>Type laboratoriumonderzoek</w:t>
            </w:r>
          </w:p>
        </w:tc>
        <w:tc>
          <w:tcPr>
            <w:tcW w:w="3021" w:type="dxa"/>
          </w:tcPr>
          <w:p w14:paraId="7580E814" w14:textId="77777777" w:rsidR="00436DAA" w:rsidRPr="00330234" w:rsidRDefault="009B4B8E" w:rsidP="00BD109B">
            <w:pPr>
              <w:pStyle w:val="TableParagraph"/>
              <w:widowControl/>
              <w:jc w:val="center"/>
              <w:rPr>
                <w:bCs/>
              </w:rPr>
            </w:pPr>
            <w:r w:rsidRPr="00330234">
              <w:rPr>
                <w:bCs/>
              </w:rPr>
              <w:t>Laboratoriumwaarde</w:t>
            </w:r>
          </w:p>
        </w:tc>
        <w:tc>
          <w:tcPr>
            <w:tcW w:w="3021" w:type="dxa"/>
          </w:tcPr>
          <w:p w14:paraId="6D5437E1" w14:textId="77777777" w:rsidR="00436DAA" w:rsidRPr="00330234" w:rsidRDefault="009B4B8E" w:rsidP="00BD109B">
            <w:pPr>
              <w:pStyle w:val="TableParagraph"/>
              <w:widowControl/>
              <w:jc w:val="center"/>
              <w:rPr>
                <w:bCs/>
              </w:rPr>
            </w:pPr>
            <w:r w:rsidRPr="00330234">
              <w:rPr>
                <w:bCs/>
              </w:rPr>
              <w:t>Actie</w:t>
            </w:r>
          </w:p>
        </w:tc>
      </w:tr>
      <w:tr w:rsidR="00436DAA" w:rsidRPr="00330234" w14:paraId="3B4AC9DF" w14:textId="77777777" w:rsidTr="00FF3F31">
        <w:trPr>
          <w:trHeight w:val="251"/>
        </w:trPr>
        <w:tc>
          <w:tcPr>
            <w:tcW w:w="3019" w:type="dxa"/>
          </w:tcPr>
          <w:p w14:paraId="771918C7" w14:textId="77777777" w:rsidR="00436DAA" w:rsidRPr="00330234" w:rsidRDefault="009B4B8E" w:rsidP="00BD109B">
            <w:pPr>
              <w:pStyle w:val="TableParagraph"/>
              <w:widowControl/>
            </w:pPr>
            <w:r w:rsidRPr="00330234">
              <w:t>Leverenzymen</w:t>
            </w:r>
          </w:p>
        </w:tc>
        <w:tc>
          <w:tcPr>
            <w:tcW w:w="3021" w:type="dxa"/>
          </w:tcPr>
          <w:p w14:paraId="18D88088" w14:textId="7EFB2670" w:rsidR="00436DAA" w:rsidRPr="00330234" w:rsidRDefault="009B4B8E" w:rsidP="00BD109B">
            <w:pPr>
              <w:pStyle w:val="TableParagraph"/>
              <w:widowControl/>
            </w:pPr>
            <w:r w:rsidRPr="00EF6C9D">
              <w:rPr>
                <w:u w:val="single"/>
              </w:rPr>
              <w:t>&gt;</w:t>
            </w:r>
            <w:r w:rsidRPr="001B3E1E">
              <w:t xml:space="preserve"> </w:t>
            </w:r>
            <w:r w:rsidRPr="00330234">
              <w:t>10 x ULN</w:t>
            </w:r>
          </w:p>
        </w:tc>
        <w:tc>
          <w:tcPr>
            <w:tcW w:w="3021" w:type="dxa"/>
            <w:vMerge w:val="restart"/>
          </w:tcPr>
          <w:p w14:paraId="44C7AD29" w14:textId="13BEF6CF" w:rsidR="00436DAA" w:rsidRPr="00330234" w:rsidRDefault="009B4B8E" w:rsidP="00BD109B">
            <w:pPr>
              <w:pStyle w:val="TableParagraph"/>
              <w:widowControl/>
            </w:pPr>
            <w:r w:rsidRPr="00330234">
              <w:t xml:space="preserve">Toediening van </w:t>
            </w:r>
            <w:r w:rsidR="00DB17BC" w:rsidRPr="00330234">
              <w:t>Avtozma</w:t>
            </w:r>
            <w:r w:rsidRPr="00330234">
              <w:t xml:space="preserve"> wordt niet aanbevolen</w:t>
            </w:r>
          </w:p>
        </w:tc>
      </w:tr>
      <w:tr w:rsidR="00436DAA" w:rsidRPr="00330234" w14:paraId="507F6FEB" w14:textId="77777777" w:rsidTr="00FF3F31">
        <w:trPr>
          <w:trHeight w:val="253"/>
        </w:trPr>
        <w:tc>
          <w:tcPr>
            <w:tcW w:w="3019" w:type="dxa"/>
          </w:tcPr>
          <w:p w14:paraId="3F2F50E5" w14:textId="77777777" w:rsidR="00436DAA" w:rsidRPr="00330234" w:rsidRDefault="009B4B8E" w:rsidP="00BD109B">
            <w:pPr>
              <w:pStyle w:val="TableParagraph"/>
              <w:widowControl/>
            </w:pPr>
            <w:r w:rsidRPr="00330234">
              <w:t>Absoluut aantal neutrofielen</w:t>
            </w:r>
          </w:p>
        </w:tc>
        <w:tc>
          <w:tcPr>
            <w:tcW w:w="3021" w:type="dxa"/>
          </w:tcPr>
          <w:p w14:paraId="153F35B7" w14:textId="77777777" w:rsidR="00436DAA" w:rsidRPr="00330234" w:rsidRDefault="009B4B8E" w:rsidP="00BD109B">
            <w:pPr>
              <w:pStyle w:val="TableParagraph"/>
              <w:widowControl/>
            </w:pPr>
            <w:r w:rsidRPr="00330234">
              <w:t>&lt; 1 x 10</w:t>
            </w:r>
            <w:r w:rsidRPr="00330234">
              <w:rPr>
                <w:vertAlign w:val="superscript"/>
              </w:rPr>
              <w:t>9</w:t>
            </w:r>
            <w:r w:rsidRPr="00330234">
              <w:t>/l</w:t>
            </w:r>
          </w:p>
        </w:tc>
        <w:tc>
          <w:tcPr>
            <w:tcW w:w="3021" w:type="dxa"/>
            <w:vMerge/>
            <w:tcBorders>
              <w:top w:val="nil"/>
            </w:tcBorders>
          </w:tcPr>
          <w:p w14:paraId="34FC5CC3" w14:textId="77777777" w:rsidR="00436DAA" w:rsidRPr="00330234" w:rsidRDefault="00436DAA" w:rsidP="00BD109B">
            <w:pPr>
              <w:widowControl/>
              <w:rPr>
                <w:szCs w:val="2"/>
              </w:rPr>
            </w:pPr>
          </w:p>
        </w:tc>
      </w:tr>
      <w:tr w:rsidR="00436DAA" w:rsidRPr="00330234" w14:paraId="075D0110" w14:textId="77777777" w:rsidTr="00FF3F31">
        <w:trPr>
          <w:trHeight w:val="268"/>
        </w:trPr>
        <w:tc>
          <w:tcPr>
            <w:tcW w:w="3019" w:type="dxa"/>
          </w:tcPr>
          <w:p w14:paraId="43F5645C" w14:textId="77777777" w:rsidR="00436DAA" w:rsidRPr="00330234" w:rsidRDefault="009B4B8E" w:rsidP="00BD109B">
            <w:pPr>
              <w:pStyle w:val="TableParagraph"/>
              <w:widowControl/>
            </w:pPr>
            <w:r w:rsidRPr="00330234">
              <w:lastRenderedPageBreak/>
              <w:t>Aantal trombocyten</w:t>
            </w:r>
          </w:p>
        </w:tc>
        <w:tc>
          <w:tcPr>
            <w:tcW w:w="3021" w:type="dxa"/>
          </w:tcPr>
          <w:p w14:paraId="3817FD08" w14:textId="3ACF333B" w:rsidR="00436DAA" w:rsidRPr="00330234" w:rsidRDefault="009B4B8E" w:rsidP="00BD109B">
            <w:pPr>
              <w:pStyle w:val="TableParagraph"/>
              <w:widowControl/>
            </w:pPr>
            <w:r w:rsidRPr="00330234">
              <w:t>&lt; 50 x 10</w:t>
            </w:r>
            <w:r w:rsidRPr="00330234">
              <w:rPr>
                <w:vertAlign w:val="superscript"/>
              </w:rPr>
              <w:t>3</w:t>
            </w:r>
            <w:r w:rsidRPr="00330234">
              <w:t>/μ</w:t>
            </w:r>
            <w:r w:rsidR="003A2981" w:rsidRPr="00330234">
              <w:t>l</w:t>
            </w:r>
          </w:p>
        </w:tc>
        <w:tc>
          <w:tcPr>
            <w:tcW w:w="3021" w:type="dxa"/>
            <w:vMerge/>
            <w:tcBorders>
              <w:top w:val="nil"/>
            </w:tcBorders>
          </w:tcPr>
          <w:p w14:paraId="0B52ED0F" w14:textId="77777777" w:rsidR="00436DAA" w:rsidRPr="00330234" w:rsidRDefault="00436DAA" w:rsidP="00BD109B">
            <w:pPr>
              <w:widowControl/>
              <w:rPr>
                <w:szCs w:val="2"/>
              </w:rPr>
            </w:pPr>
          </w:p>
        </w:tc>
      </w:tr>
    </w:tbl>
    <w:p w14:paraId="64D5A7A2" w14:textId="77777777" w:rsidR="00FF3F31" w:rsidRPr="00330234" w:rsidRDefault="00FF3F31" w:rsidP="00BD109B">
      <w:pPr>
        <w:widowControl/>
        <w:rPr>
          <w:iCs/>
        </w:rPr>
      </w:pPr>
    </w:p>
    <w:p w14:paraId="15FE8786" w14:textId="57F81F4D" w:rsidR="00436DAA" w:rsidRPr="00330234" w:rsidRDefault="009B4B8E" w:rsidP="00BD109B">
      <w:pPr>
        <w:keepNext/>
        <w:keepLines/>
        <w:widowControl/>
      </w:pPr>
      <w:r w:rsidRPr="00330234">
        <w:rPr>
          <w:i/>
          <w:u w:val="single"/>
        </w:rPr>
        <w:t xml:space="preserve">Cytokine-release syndrome </w:t>
      </w:r>
      <w:r w:rsidRPr="00330234">
        <w:rPr>
          <w:u w:val="single"/>
        </w:rPr>
        <w:t>(CRS) (volwassenen en pediatrische patiënten)</w:t>
      </w:r>
    </w:p>
    <w:p w14:paraId="60A1E8CF" w14:textId="200F1255" w:rsidR="00436DAA" w:rsidRPr="00330234" w:rsidRDefault="009B4B8E" w:rsidP="00BD109B">
      <w:pPr>
        <w:pStyle w:val="a3"/>
        <w:keepNext/>
        <w:keepLines/>
        <w:widowControl/>
        <w:ind w:left="0"/>
      </w:pPr>
      <w:r w:rsidRPr="00330234">
        <w:t xml:space="preserve">De aanbevolen dosering voor de behandeling van CRS is 8 mg/kg gegeven als intraveneuze infusie gedurende 60 minuten bij patiënten die 30 kg of meer wegen of 12 mg/kg bij patiënten die minder dan 30 kg wegen. </w:t>
      </w:r>
      <w:r w:rsidR="00DB17BC" w:rsidRPr="00330234">
        <w:t>Avtozma</w:t>
      </w:r>
      <w:r w:rsidRPr="00330234">
        <w:t xml:space="preserve"> kan alleen of in combinatie met corticosteroïden worden gegeven.</w:t>
      </w:r>
    </w:p>
    <w:p w14:paraId="3E6D31D4" w14:textId="77777777" w:rsidR="00436DAA" w:rsidRPr="00330234" w:rsidRDefault="00436DAA" w:rsidP="00BD109B">
      <w:pPr>
        <w:pStyle w:val="a3"/>
        <w:widowControl/>
        <w:ind w:left="0"/>
      </w:pPr>
    </w:p>
    <w:p w14:paraId="7E1D69AE" w14:textId="7D3F0404" w:rsidR="00436DAA" w:rsidRPr="00330234" w:rsidRDefault="009B4B8E" w:rsidP="00BD109B">
      <w:pPr>
        <w:pStyle w:val="a3"/>
        <w:widowControl/>
        <w:ind w:left="0"/>
      </w:pPr>
      <w:r w:rsidRPr="00330234">
        <w:t xml:space="preserve">Indien er geen klinische verbetering van de klachten en verschijnselen van CRS optreedt na de eerste dosis, mogen er maximaal 3 additionele doseringen van </w:t>
      </w:r>
      <w:r w:rsidR="00DB17BC" w:rsidRPr="00330234">
        <w:t>Avtozma</w:t>
      </w:r>
      <w:r w:rsidRPr="00330234">
        <w:t xml:space="preserve"> worden toegediend. Het interval tussen de opeenvolgende doseringen moet ten minste 8 uur zijn. Doses boven de 800 mg per infusie worden niet aanbevolen bij patiënten met CRS.</w:t>
      </w:r>
    </w:p>
    <w:p w14:paraId="03F88E90" w14:textId="77777777" w:rsidR="00A54BBC" w:rsidRPr="00330234" w:rsidRDefault="00A54BBC" w:rsidP="00BD109B">
      <w:pPr>
        <w:pStyle w:val="a3"/>
        <w:widowControl/>
        <w:ind w:left="0"/>
      </w:pPr>
    </w:p>
    <w:p w14:paraId="496C25FB" w14:textId="77777777" w:rsidR="00436DAA" w:rsidRPr="00330234" w:rsidRDefault="009B4B8E" w:rsidP="00BD109B">
      <w:pPr>
        <w:pStyle w:val="a3"/>
        <w:widowControl/>
        <w:ind w:left="0"/>
      </w:pPr>
      <w:r w:rsidRPr="00330234">
        <w:t>Patiënten met ernstige of levensbedreigende CRS hebben vaak cytopenie of een verhoogde ALAT of ASAT vanwege de onderliggende maligniteit, de voorafgaande lymfocytenafbrekende chemotherapie of CRS.</w:t>
      </w:r>
    </w:p>
    <w:p w14:paraId="54F9EC11" w14:textId="77777777" w:rsidR="00436DAA" w:rsidRPr="00330234" w:rsidRDefault="00436DAA" w:rsidP="00BD109B">
      <w:pPr>
        <w:pStyle w:val="a3"/>
        <w:widowControl/>
        <w:ind w:left="0"/>
      </w:pPr>
    </w:p>
    <w:p w14:paraId="12E238DF" w14:textId="77777777" w:rsidR="00436DAA" w:rsidRPr="00330234" w:rsidRDefault="009B4B8E" w:rsidP="00BD109B">
      <w:pPr>
        <w:pStyle w:val="a3"/>
        <w:widowControl/>
        <w:ind w:left="0"/>
      </w:pPr>
      <w:r w:rsidRPr="00330234">
        <w:rPr>
          <w:u w:val="single"/>
        </w:rPr>
        <w:t>Speciale populaties</w:t>
      </w:r>
    </w:p>
    <w:p w14:paraId="20038A97" w14:textId="77777777" w:rsidR="00A54BBC" w:rsidRPr="00330234" w:rsidRDefault="00A54BBC" w:rsidP="00BD109B">
      <w:pPr>
        <w:widowControl/>
        <w:rPr>
          <w:iCs/>
        </w:rPr>
      </w:pPr>
    </w:p>
    <w:p w14:paraId="0BAC7DAF" w14:textId="7181EA39" w:rsidR="00436DAA" w:rsidRPr="00330234" w:rsidRDefault="009B4B8E" w:rsidP="00BD109B">
      <w:pPr>
        <w:widowControl/>
        <w:rPr>
          <w:i/>
        </w:rPr>
      </w:pPr>
      <w:r w:rsidRPr="00330234">
        <w:rPr>
          <w:i/>
        </w:rPr>
        <w:t>Pediatrische patiënten:</w:t>
      </w:r>
    </w:p>
    <w:p w14:paraId="735E5EAA" w14:textId="77777777" w:rsidR="00436DAA" w:rsidRPr="00330234" w:rsidRDefault="00436DAA" w:rsidP="00BD109B">
      <w:pPr>
        <w:pStyle w:val="a3"/>
        <w:widowControl/>
        <w:ind w:left="0"/>
        <w:rPr>
          <w:i/>
        </w:rPr>
      </w:pPr>
    </w:p>
    <w:p w14:paraId="06629387" w14:textId="77777777" w:rsidR="00436DAA" w:rsidRPr="00330234" w:rsidRDefault="009B4B8E" w:rsidP="00BD109B">
      <w:pPr>
        <w:widowControl/>
        <w:rPr>
          <w:i/>
        </w:rPr>
      </w:pPr>
      <w:r w:rsidRPr="00330234">
        <w:rPr>
          <w:i/>
        </w:rPr>
        <w:t>sJIA-patiënten</w:t>
      </w:r>
    </w:p>
    <w:p w14:paraId="0EC24796" w14:textId="77777777" w:rsidR="00436DAA" w:rsidRPr="00330234" w:rsidRDefault="00436DAA" w:rsidP="00BD109B">
      <w:pPr>
        <w:pStyle w:val="a3"/>
        <w:widowControl/>
        <w:ind w:left="0"/>
        <w:rPr>
          <w:i/>
        </w:rPr>
      </w:pPr>
    </w:p>
    <w:p w14:paraId="6BF66234" w14:textId="758A160B" w:rsidR="00A54BBC" w:rsidRPr="00330234" w:rsidRDefault="009B4B8E" w:rsidP="00BD109B">
      <w:pPr>
        <w:pStyle w:val="a3"/>
        <w:widowControl/>
        <w:ind w:left="0"/>
      </w:pPr>
      <w:r w:rsidRPr="00330234">
        <w:t>De aanbevolen dosering voor patiënten ouder dan 2 jaar is 8 mg/kg eenmaal per 2 weken bij patiënten die 30 kg of meer wegen, of 12 mg/kg eenmaal per 2 weken bij patiënten die minder dan 30 kg wegen.</w:t>
      </w:r>
    </w:p>
    <w:p w14:paraId="45F5897C" w14:textId="42E87C53" w:rsidR="00436DAA" w:rsidRPr="00330234" w:rsidRDefault="009B4B8E" w:rsidP="00BD109B">
      <w:pPr>
        <w:pStyle w:val="a3"/>
        <w:widowControl/>
        <w:ind w:left="0"/>
      </w:pPr>
      <w:r w:rsidRPr="00330234">
        <w:t>De dosis dient berekend te worden op basis van het lichaamsgewicht van de patiënt bij elke toediening. Een wijziging in de dosis dient alleen gebaseerd te zijn op een consistente verandering in het lichaamsgewicht van de patiënt in de tijd.</w:t>
      </w:r>
    </w:p>
    <w:p w14:paraId="77A828A5" w14:textId="77777777" w:rsidR="00436DAA" w:rsidRPr="00330234" w:rsidRDefault="00436DAA" w:rsidP="00BD109B">
      <w:pPr>
        <w:pStyle w:val="a3"/>
        <w:widowControl/>
        <w:ind w:left="0"/>
      </w:pPr>
    </w:p>
    <w:p w14:paraId="092C308A" w14:textId="4D7CA94B" w:rsidR="00436DAA" w:rsidRPr="00330234" w:rsidRDefault="009B4B8E" w:rsidP="00BD109B">
      <w:pPr>
        <w:pStyle w:val="a3"/>
        <w:widowControl/>
        <w:ind w:left="0"/>
      </w:pPr>
      <w:r w:rsidRPr="00330234">
        <w:t xml:space="preserve">De veiligheid en werkzaamheid van intraveneus </w:t>
      </w:r>
      <w:r w:rsidR="00DB17BC" w:rsidRPr="00330234">
        <w:t>Avtozma</w:t>
      </w:r>
      <w:r w:rsidRPr="00330234">
        <w:t xml:space="preserve"> bij kinderen jonger dan 2 jaar zijn niet vastgesteld.</w:t>
      </w:r>
    </w:p>
    <w:p w14:paraId="4D12038E" w14:textId="77777777" w:rsidR="00A54BBC" w:rsidRPr="00330234" w:rsidRDefault="00A54BBC" w:rsidP="00BD109B">
      <w:pPr>
        <w:pStyle w:val="a3"/>
        <w:widowControl/>
        <w:ind w:left="0"/>
      </w:pPr>
    </w:p>
    <w:p w14:paraId="7F4ED580" w14:textId="66224DDD" w:rsidR="00436DAA" w:rsidRPr="00330234" w:rsidRDefault="009B4B8E" w:rsidP="00BD109B">
      <w:pPr>
        <w:pStyle w:val="a3"/>
        <w:widowControl/>
        <w:ind w:left="0"/>
      </w:pPr>
      <w:r w:rsidRPr="00330234">
        <w:t>Bij afwijkingen in laboratoriumonderzoek worden onderbrekingen van de toediening van tocilizumab aanbevolen bij sJIA-patiënten zoals vermeld in onderstaande tabellen. Indien passend, dient de dosis van gelijktijdig toegediend MTX en/of andere geneesmiddelen aangepast te worden of dient toediening hiervan te worden gestaakt, en dient toediening van tocilizumab onderbroken te worden totdat de klinische situatie geëvalueerd is. Aangezien er bij sJIA veel comorbiditeit is die invloed kan hebben op laboratoriumonderzoek, dient de beslissing om te stoppen met tocilizumab bij een afwijking in het laboratoriumonderzoek gebaseerd te zijn op de medische beoordeling van de individuele patiënt.</w:t>
      </w:r>
    </w:p>
    <w:p w14:paraId="0E61989F" w14:textId="77777777" w:rsidR="00436DAA" w:rsidRPr="00330234" w:rsidRDefault="00436DAA" w:rsidP="00BD109B">
      <w:pPr>
        <w:pStyle w:val="a3"/>
        <w:widowControl/>
        <w:ind w:left="0"/>
      </w:pPr>
    </w:p>
    <w:p w14:paraId="5128CED2" w14:textId="6D1F6EA2" w:rsidR="00436DAA" w:rsidRPr="00330234" w:rsidRDefault="008B4384" w:rsidP="00BD109B">
      <w:pPr>
        <w:pStyle w:val="bullet"/>
      </w:pPr>
      <w:r w:rsidRPr="00330234">
        <w:tab/>
      </w:r>
      <w:r w:rsidR="009B4B8E" w:rsidRPr="00330234">
        <w:t>Leverenzymafwijkingen</w:t>
      </w:r>
    </w:p>
    <w:p w14:paraId="25933DEF" w14:textId="77777777" w:rsidR="00436DAA" w:rsidRPr="00330234" w:rsidRDefault="00436DAA" w:rsidP="00BD109B">
      <w:pPr>
        <w:pStyle w:val="a3"/>
        <w:widowControl/>
        <w:ind w:left="0"/>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67"/>
      </w:tblGrid>
      <w:tr w:rsidR="00436DAA" w:rsidRPr="00330234" w14:paraId="6858F73F" w14:textId="77777777" w:rsidTr="00A54BBC">
        <w:trPr>
          <w:trHeight w:val="20"/>
          <w:tblHeader/>
        </w:trPr>
        <w:tc>
          <w:tcPr>
            <w:tcW w:w="1699" w:type="dxa"/>
          </w:tcPr>
          <w:p w14:paraId="1CBBC607" w14:textId="6C2A65C8" w:rsidR="00A54BBC" w:rsidRPr="00330234" w:rsidRDefault="009B4B8E" w:rsidP="002328C5">
            <w:pPr>
              <w:pStyle w:val="TableParagraph"/>
              <w:widowControl/>
              <w:jc w:val="center"/>
              <w:rPr>
                <w:bCs/>
              </w:rPr>
            </w:pPr>
            <w:r w:rsidRPr="00330234">
              <w:rPr>
                <w:bCs/>
              </w:rPr>
              <w:t>Laboratorium- waarde</w:t>
            </w:r>
          </w:p>
        </w:tc>
        <w:tc>
          <w:tcPr>
            <w:tcW w:w="7367" w:type="dxa"/>
          </w:tcPr>
          <w:p w14:paraId="6AA8C9F7" w14:textId="77777777" w:rsidR="00436DAA" w:rsidRPr="00330234" w:rsidRDefault="009B4B8E" w:rsidP="00BD109B">
            <w:pPr>
              <w:pStyle w:val="TableParagraph"/>
              <w:widowControl/>
              <w:jc w:val="center"/>
              <w:rPr>
                <w:bCs/>
              </w:rPr>
            </w:pPr>
            <w:r w:rsidRPr="00330234">
              <w:rPr>
                <w:bCs/>
              </w:rPr>
              <w:t>Actie</w:t>
            </w:r>
          </w:p>
        </w:tc>
      </w:tr>
      <w:tr w:rsidR="00436DAA" w:rsidRPr="00330234" w14:paraId="04B637BD" w14:textId="77777777" w:rsidTr="00A54BBC">
        <w:trPr>
          <w:trHeight w:val="20"/>
        </w:trPr>
        <w:tc>
          <w:tcPr>
            <w:tcW w:w="1699" w:type="dxa"/>
          </w:tcPr>
          <w:p w14:paraId="38122905" w14:textId="77777777" w:rsidR="00436DAA" w:rsidRPr="00330234" w:rsidRDefault="009B4B8E" w:rsidP="00BD109B">
            <w:pPr>
              <w:pStyle w:val="TableParagraph"/>
              <w:widowControl/>
            </w:pPr>
            <w:r w:rsidRPr="00330234">
              <w:t>&gt; 1 tot 3 x ULN</w:t>
            </w:r>
          </w:p>
        </w:tc>
        <w:tc>
          <w:tcPr>
            <w:tcW w:w="7367" w:type="dxa"/>
          </w:tcPr>
          <w:p w14:paraId="2BBC6555" w14:textId="77777777" w:rsidR="00436DAA" w:rsidRPr="00330234" w:rsidRDefault="009B4B8E" w:rsidP="00BD109B">
            <w:pPr>
              <w:pStyle w:val="TableParagraph"/>
              <w:widowControl/>
            </w:pPr>
            <w:r w:rsidRPr="00330234">
              <w:t>Pas de dosering aan van gelijktijdig gebruikte MTX, indien aangewezen.</w:t>
            </w:r>
          </w:p>
          <w:p w14:paraId="57D31DA9" w14:textId="77777777" w:rsidR="00A54BBC" w:rsidRPr="00330234" w:rsidRDefault="00A54BBC" w:rsidP="00BD109B">
            <w:pPr>
              <w:pStyle w:val="TableParagraph"/>
              <w:widowControl/>
            </w:pPr>
          </w:p>
          <w:p w14:paraId="7588306A" w14:textId="4277817B" w:rsidR="00A54BBC" w:rsidRPr="00330234" w:rsidRDefault="009B4B8E" w:rsidP="002328C5">
            <w:pPr>
              <w:pStyle w:val="TableParagraph"/>
              <w:widowControl/>
            </w:pPr>
            <w:r w:rsidRPr="00330234">
              <w:t xml:space="preserve">Bij aanhoudende stijging binnen dit bereik, onderbreek de behandeling met </w:t>
            </w:r>
            <w:r w:rsidR="00DB17BC" w:rsidRPr="00330234">
              <w:t>Avtozma</w:t>
            </w:r>
            <w:r w:rsidRPr="00330234">
              <w:t xml:space="preserve"> totdat de ALAT/ASAT zijn genormaliseerd.</w:t>
            </w:r>
          </w:p>
        </w:tc>
      </w:tr>
      <w:tr w:rsidR="00436DAA" w:rsidRPr="00330234" w14:paraId="475282A6" w14:textId="77777777" w:rsidTr="00A54BBC">
        <w:trPr>
          <w:trHeight w:val="20"/>
        </w:trPr>
        <w:tc>
          <w:tcPr>
            <w:tcW w:w="1699" w:type="dxa"/>
          </w:tcPr>
          <w:p w14:paraId="5D85106B" w14:textId="0340FB92" w:rsidR="00436DAA" w:rsidRPr="00330234" w:rsidRDefault="009B4B8E" w:rsidP="00BD109B">
            <w:pPr>
              <w:pStyle w:val="TableParagraph"/>
              <w:widowControl/>
            </w:pPr>
            <w:r w:rsidRPr="00330234">
              <w:t>&gt; 3 x ULN tot 5</w:t>
            </w:r>
            <w:r w:rsidR="00A54BBC" w:rsidRPr="00330234">
              <w:t> </w:t>
            </w:r>
            <w:r w:rsidRPr="00330234">
              <w:t>x ULN</w:t>
            </w:r>
          </w:p>
        </w:tc>
        <w:tc>
          <w:tcPr>
            <w:tcW w:w="7367" w:type="dxa"/>
          </w:tcPr>
          <w:p w14:paraId="54D3D301" w14:textId="77777777" w:rsidR="00436DAA" w:rsidRPr="00330234" w:rsidRDefault="009B4B8E" w:rsidP="00BD109B">
            <w:pPr>
              <w:pStyle w:val="TableParagraph"/>
              <w:widowControl/>
            </w:pPr>
            <w:r w:rsidRPr="00330234">
              <w:t>Pas de dosering aan van gelijktijdig gebruikte MTX, indien aangewezen.</w:t>
            </w:r>
          </w:p>
          <w:p w14:paraId="166B31DE" w14:textId="77777777" w:rsidR="00A54BBC" w:rsidRPr="00330234" w:rsidRDefault="00A54BBC" w:rsidP="00BD109B">
            <w:pPr>
              <w:pStyle w:val="TableParagraph"/>
              <w:widowControl/>
            </w:pPr>
          </w:p>
          <w:p w14:paraId="5D52AA0C" w14:textId="7DAF2059" w:rsidR="00A54BBC" w:rsidRPr="00330234" w:rsidRDefault="009B4B8E" w:rsidP="002328C5">
            <w:pPr>
              <w:pStyle w:val="TableParagraph"/>
              <w:widowControl/>
            </w:pPr>
            <w:r w:rsidRPr="00330234">
              <w:t xml:space="preserve">Onderbreek de behandeling met </w:t>
            </w:r>
            <w:r w:rsidR="00DB17BC" w:rsidRPr="00330234">
              <w:t>Avtozma</w:t>
            </w:r>
            <w:r w:rsidRPr="00330234">
              <w:t xml:space="preserve"> tot &lt; 3 x ULN en volg de aanbevelingen hierboven voor &gt;1 tot 3 x ULN.</w:t>
            </w:r>
          </w:p>
        </w:tc>
      </w:tr>
      <w:tr w:rsidR="00436DAA" w:rsidRPr="00330234" w14:paraId="0E30DEAB" w14:textId="77777777" w:rsidTr="00A54BBC">
        <w:trPr>
          <w:trHeight w:val="20"/>
        </w:trPr>
        <w:tc>
          <w:tcPr>
            <w:tcW w:w="1699" w:type="dxa"/>
          </w:tcPr>
          <w:p w14:paraId="436AF08C" w14:textId="77777777" w:rsidR="00436DAA" w:rsidRPr="00330234" w:rsidRDefault="009B4B8E" w:rsidP="00BD109B">
            <w:pPr>
              <w:pStyle w:val="TableParagraph"/>
              <w:keepNext/>
              <w:keepLines/>
              <w:widowControl/>
            </w:pPr>
            <w:r w:rsidRPr="00330234">
              <w:t>&gt; 5 x ULN</w:t>
            </w:r>
          </w:p>
        </w:tc>
        <w:tc>
          <w:tcPr>
            <w:tcW w:w="7367" w:type="dxa"/>
          </w:tcPr>
          <w:p w14:paraId="789B0751" w14:textId="42790046" w:rsidR="00436DAA" w:rsidRPr="00330234" w:rsidRDefault="009B4B8E" w:rsidP="00BD109B">
            <w:pPr>
              <w:pStyle w:val="TableParagraph"/>
              <w:keepNext/>
              <w:keepLines/>
              <w:widowControl/>
            </w:pPr>
            <w:r w:rsidRPr="00330234">
              <w:t xml:space="preserve">Staak de behandeling met </w:t>
            </w:r>
            <w:r w:rsidR="00DB17BC" w:rsidRPr="00330234">
              <w:t>Avtozma</w:t>
            </w:r>
            <w:r w:rsidRPr="00330234">
              <w:t>.</w:t>
            </w:r>
          </w:p>
          <w:p w14:paraId="1D9A03E1" w14:textId="77777777" w:rsidR="00A54BBC" w:rsidRPr="00330234" w:rsidRDefault="00A54BBC" w:rsidP="00BD109B">
            <w:pPr>
              <w:pStyle w:val="TableParagraph"/>
              <w:keepNext/>
              <w:keepLines/>
              <w:widowControl/>
            </w:pPr>
          </w:p>
          <w:p w14:paraId="6E74B42C" w14:textId="370C66B4" w:rsidR="00A54BBC" w:rsidRPr="00330234" w:rsidRDefault="009B4B8E" w:rsidP="002328C5">
            <w:pPr>
              <w:pStyle w:val="TableParagraph"/>
              <w:keepNext/>
              <w:keepLines/>
              <w:widowControl/>
            </w:pPr>
            <w:r w:rsidRPr="00330234">
              <w:t xml:space="preserve">De beslissing om te stoppen met </w:t>
            </w:r>
            <w:r w:rsidR="00DB17BC" w:rsidRPr="00330234">
              <w:t>Avtozma</w:t>
            </w:r>
            <w:r w:rsidRPr="00330234">
              <w:t xml:space="preserve"> bij sJIA vanwege een afwijking in het laboratoriumonderzoek dient gebaseerd te zijn op de medische beoordeling van de individuele patiënt.</w:t>
            </w:r>
          </w:p>
        </w:tc>
      </w:tr>
    </w:tbl>
    <w:p w14:paraId="50624823" w14:textId="77777777" w:rsidR="00A54BBC" w:rsidRPr="00330234" w:rsidRDefault="00A54BBC" w:rsidP="00BD109B"/>
    <w:p w14:paraId="03DB0225" w14:textId="4A9EFD25" w:rsidR="00436DAA" w:rsidRPr="00330234" w:rsidRDefault="005328BF" w:rsidP="00BD109B">
      <w:pPr>
        <w:pStyle w:val="bullet"/>
      </w:pPr>
      <w:r w:rsidRPr="00330234">
        <w:rPr>
          <w:rFonts w:eastAsia="Symbol"/>
        </w:rPr>
        <w:lastRenderedPageBreak/>
        <w:tab/>
      </w:r>
      <w:r w:rsidR="009B4B8E" w:rsidRPr="00330234">
        <w:t>Laag absoluut aantal neutrofielen (ANC)</w:t>
      </w:r>
    </w:p>
    <w:p w14:paraId="03EDE584" w14:textId="77777777" w:rsidR="00436DAA" w:rsidRPr="00330234" w:rsidRDefault="00436DAA" w:rsidP="00BD109B">
      <w:pPr>
        <w:pStyle w:val="a3"/>
        <w:widowControl/>
        <w:ind w:left="0"/>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7361"/>
      </w:tblGrid>
      <w:tr w:rsidR="00436DAA" w:rsidRPr="00330234" w14:paraId="7AE92EFB" w14:textId="77777777" w:rsidTr="003C4B56">
        <w:trPr>
          <w:trHeight w:val="20"/>
          <w:tblHeader/>
        </w:trPr>
        <w:tc>
          <w:tcPr>
            <w:tcW w:w="1705" w:type="dxa"/>
          </w:tcPr>
          <w:p w14:paraId="588AA28A" w14:textId="77777777" w:rsidR="00436DAA" w:rsidRPr="00330234" w:rsidRDefault="009B4B8E" w:rsidP="00BD109B">
            <w:pPr>
              <w:pStyle w:val="TableParagraph"/>
              <w:widowControl/>
              <w:jc w:val="center"/>
              <w:rPr>
                <w:bCs/>
              </w:rPr>
            </w:pPr>
            <w:r w:rsidRPr="00330234">
              <w:rPr>
                <w:bCs/>
              </w:rPr>
              <w:t>Laboratorium- waarde</w:t>
            </w:r>
          </w:p>
          <w:p w14:paraId="598A5AB4" w14:textId="2FD204E6" w:rsidR="00A54BBC" w:rsidRPr="00330234" w:rsidRDefault="009B4B8E" w:rsidP="002328C5">
            <w:pPr>
              <w:pStyle w:val="TableParagraph"/>
              <w:widowControl/>
              <w:jc w:val="center"/>
              <w:rPr>
                <w:bCs/>
              </w:rPr>
            </w:pPr>
            <w:r w:rsidRPr="00330234">
              <w:rPr>
                <w:bCs/>
              </w:rPr>
              <w:t>(cellen x 10</w:t>
            </w:r>
            <w:r w:rsidRPr="00330234">
              <w:rPr>
                <w:bCs/>
                <w:vertAlign w:val="superscript"/>
              </w:rPr>
              <w:t>9</w:t>
            </w:r>
            <w:r w:rsidRPr="00330234">
              <w:rPr>
                <w:bCs/>
              </w:rPr>
              <w:t>/l)</w:t>
            </w:r>
          </w:p>
        </w:tc>
        <w:tc>
          <w:tcPr>
            <w:tcW w:w="7361" w:type="dxa"/>
          </w:tcPr>
          <w:p w14:paraId="2BC68BAD" w14:textId="77777777" w:rsidR="00436DAA" w:rsidRPr="00330234" w:rsidRDefault="009B4B8E" w:rsidP="00BD109B">
            <w:pPr>
              <w:pStyle w:val="TableParagraph"/>
              <w:widowControl/>
              <w:jc w:val="center"/>
              <w:rPr>
                <w:bCs/>
              </w:rPr>
            </w:pPr>
            <w:r w:rsidRPr="00330234">
              <w:rPr>
                <w:bCs/>
              </w:rPr>
              <w:t>Actie</w:t>
            </w:r>
          </w:p>
        </w:tc>
      </w:tr>
      <w:tr w:rsidR="00436DAA" w:rsidRPr="00330234" w14:paraId="43ED0A78" w14:textId="77777777" w:rsidTr="003C4B56">
        <w:trPr>
          <w:trHeight w:val="20"/>
        </w:trPr>
        <w:tc>
          <w:tcPr>
            <w:tcW w:w="1705" w:type="dxa"/>
          </w:tcPr>
          <w:p w14:paraId="5EBC49CB" w14:textId="77777777" w:rsidR="00436DAA" w:rsidRPr="00330234" w:rsidRDefault="009B4B8E" w:rsidP="00BD109B">
            <w:pPr>
              <w:pStyle w:val="TableParagraph"/>
              <w:widowControl/>
            </w:pPr>
            <w:r w:rsidRPr="00330234">
              <w:t>ANC &gt; 1</w:t>
            </w:r>
          </w:p>
        </w:tc>
        <w:tc>
          <w:tcPr>
            <w:tcW w:w="7361" w:type="dxa"/>
          </w:tcPr>
          <w:p w14:paraId="7867DF43" w14:textId="2712AFD1" w:rsidR="00A54BBC" w:rsidRPr="00330234" w:rsidRDefault="009B4B8E" w:rsidP="002328C5">
            <w:pPr>
              <w:pStyle w:val="TableParagraph"/>
              <w:widowControl/>
            </w:pPr>
            <w:r w:rsidRPr="00330234">
              <w:t>Handhaaf de dosering.</w:t>
            </w:r>
          </w:p>
        </w:tc>
      </w:tr>
      <w:tr w:rsidR="00436DAA" w:rsidRPr="00330234" w14:paraId="6B0B2C32" w14:textId="77777777" w:rsidTr="003C4B56">
        <w:trPr>
          <w:trHeight w:val="20"/>
        </w:trPr>
        <w:tc>
          <w:tcPr>
            <w:tcW w:w="1705" w:type="dxa"/>
          </w:tcPr>
          <w:p w14:paraId="77B7849E" w14:textId="77777777" w:rsidR="00436DAA" w:rsidRPr="00330234" w:rsidRDefault="009B4B8E" w:rsidP="001B3E1E">
            <w:pPr>
              <w:pStyle w:val="TableParagraph"/>
              <w:widowControl/>
            </w:pPr>
            <w:r w:rsidRPr="00330234">
              <w:t>ANC 0,5 tot 1</w:t>
            </w:r>
          </w:p>
        </w:tc>
        <w:tc>
          <w:tcPr>
            <w:tcW w:w="7361" w:type="dxa"/>
          </w:tcPr>
          <w:p w14:paraId="5667983C" w14:textId="71CCE918" w:rsidR="00436DAA" w:rsidRPr="00330234" w:rsidRDefault="009B4B8E" w:rsidP="001B3E1E">
            <w:pPr>
              <w:pStyle w:val="TableParagraph"/>
              <w:widowControl/>
            </w:pPr>
            <w:r w:rsidRPr="00330234">
              <w:t xml:space="preserve">Onderbreek de behandeling met </w:t>
            </w:r>
            <w:r w:rsidR="00DB17BC" w:rsidRPr="00330234">
              <w:t>Avtozma</w:t>
            </w:r>
            <w:r w:rsidRPr="00330234">
              <w:t>.</w:t>
            </w:r>
          </w:p>
          <w:p w14:paraId="64AFAA8B" w14:textId="77777777" w:rsidR="00A54BBC" w:rsidRPr="00330234" w:rsidRDefault="00A54BBC" w:rsidP="001B3E1E">
            <w:pPr>
              <w:pStyle w:val="TableParagraph"/>
              <w:widowControl/>
            </w:pPr>
          </w:p>
          <w:p w14:paraId="5F4812EE" w14:textId="5D173886" w:rsidR="00A54BBC" w:rsidRPr="00330234" w:rsidRDefault="009B4B8E" w:rsidP="001B3E1E">
            <w:pPr>
              <w:pStyle w:val="TableParagraph"/>
              <w:widowControl/>
            </w:pPr>
            <w:r w:rsidRPr="00330234">
              <w:t>Wanneer het ANC toeneemt tot &gt; 1 x 10</w:t>
            </w:r>
            <w:r w:rsidRPr="00330234">
              <w:rPr>
                <w:vertAlign w:val="superscript"/>
              </w:rPr>
              <w:t>9</w:t>
            </w:r>
            <w:r w:rsidR="00CB797D" w:rsidRPr="00330234">
              <w:t>/l</w:t>
            </w:r>
            <w:r w:rsidRPr="00330234">
              <w:t xml:space="preserve">; hervat de behandeling met </w:t>
            </w:r>
            <w:r w:rsidR="00DB17BC" w:rsidRPr="00330234">
              <w:t>Avtozma</w:t>
            </w:r>
            <w:r w:rsidRPr="00330234">
              <w:t>.</w:t>
            </w:r>
          </w:p>
        </w:tc>
      </w:tr>
      <w:tr w:rsidR="00436DAA" w:rsidRPr="00330234" w14:paraId="62320CAE" w14:textId="77777777" w:rsidTr="003C4B56">
        <w:trPr>
          <w:trHeight w:val="20"/>
        </w:trPr>
        <w:tc>
          <w:tcPr>
            <w:tcW w:w="1705" w:type="dxa"/>
          </w:tcPr>
          <w:p w14:paraId="26AB5E0C" w14:textId="77777777" w:rsidR="00436DAA" w:rsidRPr="00330234" w:rsidRDefault="009B4B8E" w:rsidP="001B3E1E">
            <w:pPr>
              <w:pStyle w:val="TableParagraph"/>
              <w:keepNext/>
              <w:keepLines/>
              <w:widowControl/>
            </w:pPr>
            <w:r w:rsidRPr="00330234">
              <w:t>ANC &lt; 0,5</w:t>
            </w:r>
          </w:p>
        </w:tc>
        <w:tc>
          <w:tcPr>
            <w:tcW w:w="7361" w:type="dxa"/>
          </w:tcPr>
          <w:p w14:paraId="1743AAC8" w14:textId="5EE061CB" w:rsidR="00436DAA" w:rsidRPr="00330234" w:rsidRDefault="009B4B8E" w:rsidP="001B3E1E">
            <w:pPr>
              <w:pStyle w:val="TableParagraph"/>
              <w:keepNext/>
              <w:keepLines/>
              <w:widowControl/>
            </w:pPr>
            <w:r w:rsidRPr="00330234">
              <w:t xml:space="preserve">Staak de behandeling met </w:t>
            </w:r>
            <w:r w:rsidR="00DB17BC" w:rsidRPr="00330234">
              <w:t>Avtozma</w:t>
            </w:r>
            <w:r w:rsidRPr="00330234">
              <w:t>.</w:t>
            </w:r>
          </w:p>
          <w:p w14:paraId="7E53227F" w14:textId="77777777" w:rsidR="00A54BBC" w:rsidRPr="00330234" w:rsidRDefault="00A54BBC" w:rsidP="001B3E1E">
            <w:pPr>
              <w:pStyle w:val="TableParagraph"/>
              <w:keepNext/>
              <w:keepLines/>
              <w:widowControl/>
            </w:pPr>
          </w:p>
          <w:p w14:paraId="19FB8BE2" w14:textId="61147EE9" w:rsidR="00A54BBC" w:rsidRPr="00330234" w:rsidRDefault="009B4B8E" w:rsidP="001B3E1E">
            <w:pPr>
              <w:pStyle w:val="TableParagraph"/>
              <w:keepNext/>
              <w:keepLines/>
              <w:widowControl/>
            </w:pPr>
            <w:r w:rsidRPr="00330234">
              <w:t xml:space="preserve">De beslissing om te stoppen met </w:t>
            </w:r>
            <w:r w:rsidR="00DB17BC" w:rsidRPr="00330234">
              <w:t>Avtozma</w:t>
            </w:r>
            <w:r w:rsidRPr="00330234">
              <w:t xml:space="preserve"> bij sJIA vanwege een afwijking in het laboratoriumonderzoek dient gebaseerd te zijn op de medische beoordeling van de individuele patiënt.</w:t>
            </w:r>
          </w:p>
        </w:tc>
      </w:tr>
    </w:tbl>
    <w:p w14:paraId="2121D9D3" w14:textId="77777777" w:rsidR="00436DAA" w:rsidRPr="00330234" w:rsidRDefault="00436DAA" w:rsidP="00BD109B">
      <w:pPr>
        <w:widowControl/>
      </w:pPr>
    </w:p>
    <w:p w14:paraId="417F52C3" w14:textId="6015D1E8" w:rsidR="00436DAA" w:rsidRPr="00330234" w:rsidRDefault="005328BF" w:rsidP="00BD109B">
      <w:pPr>
        <w:pStyle w:val="bullet"/>
      </w:pPr>
      <w:r w:rsidRPr="00330234">
        <w:rPr>
          <w:rFonts w:eastAsia="Symbol"/>
        </w:rPr>
        <w:tab/>
      </w:r>
      <w:r w:rsidR="009B4B8E" w:rsidRPr="00330234">
        <w:t>Laag aantal trombocyten</w:t>
      </w:r>
    </w:p>
    <w:p w14:paraId="4C96E3F2" w14:textId="77777777" w:rsidR="00436DAA" w:rsidRPr="00330234" w:rsidRDefault="00436DAA" w:rsidP="00BD109B">
      <w:pPr>
        <w:pStyle w:val="a3"/>
        <w:widowControl/>
        <w:ind w:left="0"/>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67"/>
      </w:tblGrid>
      <w:tr w:rsidR="00436DAA" w:rsidRPr="00330234" w14:paraId="19FA158C" w14:textId="77777777" w:rsidTr="00A54BBC">
        <w:trPr>
          <w:trHeight w:val="20"/>
        </w:trPr>
        <w:tc>
          <w:tcPr>
            <w:tcW w:w="1699" w:type="dxa"/>
          </w:tcPr>
          <w:p w14:paraId="53B3A456" w14:textId="77777777" w:rsidR="00436DAA" w:rsidRPr="00330234" w:rsidRDefault="009B4B8E" w:rsidP="00BD109B">
            <w:pPr>
              <w:pStyle w:val="TableParagraph"/>
              <w:widowControl/>
              <w:jc w:val="center"/>
              <w:rPr>
                <w:b/>
              </w:rPr>
            </w:pPr>
            <w:r w:rsidRPr="00330234">
              <w:rPr>
                <w:b/>
              </w:rPr>
              <w:t>Laboratorium- waarde</w:t>
            </w:r>
          </w:p>
          <w:p w14:paraId="2DB466E3" w14:textId="31AAEF1C" w:rsidR="00A54BBC" w:rsidRPr="00330234" w:rsidRDefault="009B4B8E" w:rsidP="002328C5">
            <w:pPr>
              <w:pStyle w:val="TableParagraph"/>
              <w:widowControl/>
              <w:jc w:val="center"/>
              <w:rPr>
                <w:b/>
              </w:rPr>
            </w:pPr>
            <w:r w:rsidRPr="00330234">
              <w:rPr>
                <w:b/>
              </w:rPr>
              <w:t>(cellen x 10</w:t>
            </w:r>
            <w:r w:rsidRPr="00330234">
              <w:rPr>
                <w:b/>
                <w:vertAlign w:val="superscript"/>
              </w:rPr>
              <w:t>3</w:t>
            </w:r>
            <w:r w:rsidRPr="00330234">
              <w:rPr>
                <w:b/>
              </w:rPr>
              <w:t>/</w:t>
            </w:r>
            <w:r w:rsidR="00A54BBC" w:rsidRPr="00330234">
              <w:rPr>
                <w:b/>
              </w:rPr>
              <w:t>μ</w:t>
            </w:r>
            <w:r w:rsidRPr="00330234">
              <w:rPr>
                <w:b/>
              </w:rPr>
              <w:t>l)</w:t>
            </w:r>
          </w:p>
        </w:tc>
        <w:tc>
          <w:tcPr>
            <w:tcW w:w="7367" w:type="dxa"/>
          </w:tcPr>
          <w:p w14:paraId="7CDBDEAA" w14:textId="77777777" w:rsidR="00436DAA" w:rsidRPr="00330234" w:rsidRDefault="009B4B8E" w:rsidP="00BD109B">
            <w:pPr>
              <w:pStyle w:val="TableParagraph"/>
              <w:widowControl/>
              <w:jc w:val="center"/>
              <w:rPr>
                <w:b/>
              </w:rPr>
            </w:pPr>
            <w:r w:rsidRPr="00330234">
              <w:rPr>
                <w:b/>
              </w:rPr>
              <w:t>Actie</w:t>
            </w:r>
          </w:p>
        </w:tc>
      </w:tr>
      <w:tr w:rsidR="00436DAA" w:rsidRPr="00330234" w14:paraId="7911DFC0" w14:textId="77777777" w:rsidTr="00A54BBC">
        <w:trPr>
          <w:trHeight w:val="20"/>
        </w:trPr>
        <w:tc>
          <w:tcPr>
            <w:tcW w:w="1699" w:type="dxa"/>
          </w:tcPr>
          <w:p w14:paraId="2A196404" w14:textId="77777777" w:rsidR="00436DAA" w:rsidRPr="00330234" w:rsidRDefault="009B4B8E" w:rsidP="00BD109B">
            <w:pPr>
              <w:pStyle w:val="TableParagraph"/>
              <w:widowControl/>
            </w:pPr>
            <w:r w:rsidRPr="00330234">
              <w:t>50 tot 100</w:t>
            </w:r>
          </w:p>
        </w:tc>
        <w:tc>
          <w:tcPr>
            <w:tcW w:w="7367" w:type="dxa"/>
          </w:tcPr>
          <w:p w14:paraId="51BC59E4" w14:textId="77777777" w:rsidR="00A54BBC" w:rsidRPr="00330234" w:rsidRDefault="009B4B8E" w:rsidP="00BD109B">
            <w:pPr>
              <w:pStyle w:val="TableParagraph"/>
              <w:widowControl/>
            </w:pPr>
            <w:r w:rsidRPr="00330234">
              <w:t xml:space="preserve">Pas de dosering aan van gelijktijdig gebruikte MTX, indien aangewezen. </w:t>
            </w:r>
          </w:p>
          <w:p w14:paraId="18CE36C2" w14:textId="77777777" w:rsidR="00A54BBC" w:rsidRPr="00330234" w:rsidRDefault="00A54BBC" w:rsidP="00BD109B">
            <w:pPr>
              <w:pStyle w:val="TableParagraph"/>
              <w:widowControl/>
            </w:pPr>
          </w:p>
          <w:p w14:paraId="2B1EC439" w14:textId="6A55AC80" w:rsidR="00436DAA" w:rsidRPr="00330234" w:rsidRDefault="009B4B8E" w:rsidP="00BD109B">
            <w:pPr>
              <w:pStyle w:val="TableParagraph"/>
              <w:widowControl/>
            </w:pPr>
            <w:r w:rsidRPr="00330234">
              <w:t xml:space="preserve">Onderbreek de behandeling met </w:t>
            </w:r>
            <w:r w:rsidR="00790622" w:rsidRPr="00330234">
              <w:t>Avtozma</w:t>
            </w:r>
            <w:r w:rsidRPr="00330234">
              <w:t>.</w:t>
            </w:r>
          </w:p>
          <w:p w14:paraId="32396D16" w14:textId="77777777" w:rsidR="00A54BBC" w:rsidRPr="00330234" w:rsidRDefault="00A54BBC" w:rsidP="00BD109B">
            <w:pPr>
              <w:pStyle w:val="TableParagraph"/>
              <w:widowControl/>
            </w:pPr>
          </w:p>
          <w:p w14:paraId="565A7F38" w14:textId="2A30FBCC" w:rsidR="00436DAA" w:rsidRPr="00330234" w:rsidRDefault="009B4B8E" w:rsidP="00BD109B">
            <w:pPr>
              <w:pStyle w:val="TableParagraph"/>
              <w:widowControl/>
            </w:pPr>
            <w:r w:rsidRPr="00330234">
              <w:t>Wanneer trombocytenaantal &gt; 100 x 10</w:t>
            </w:r>
            <w:r w:rsidRPr="00330234">
              <w:rPr>
                <w:vertAlign w:val="superscript"/>
              </w:rPr>
              <w:t>3</w:t>
            </w:r>
            <w:r w:rsidRPr="00330234">
              <w:t>/</w:t>
            </w:r>
            <w:r w:rsidR="003A2981" w:rsidRPr="00330234">
              <w:t>μ</w:t>
            </w:r>
            <w:r w:rsidRPr="00330234">
              <w:t>l is; hervat de behandeling met</w:t>
            </w:r>
          </w:p>
          <w:p w14:paraId="68CF703E" w14:textId="73C78E00" w:rsidR="00A54BBC" w:rsidRPr="00330234" w:rsidRDefault="005E3B5C" w:rsidP="002328C5">
            <w:pPr>
              <w:pStyle w:val="TableParagraph"/>
              <w:widowControl/>
            </w:pPr>
            <w:r w:rsidRPr="00330234">
              <w:t>Avtozma</w:t>
            </w:r>
            <w:r w:rsidR="009B4B8E" w:rsidRPr="00330234">
              <w:t>.</w:t>
            </w:r>
          </w:p>
        </w:tc>
      </w:tr>
      <w:tr w:rsidR="00436DAA" w:rsidRPr="00330234" w14:paraId="6280CD7E" w14:textId="77777777" w:rsidTr="00A54BBC">
        <w:trPr>
          <w:trHeight w:val="20"/>
        </w:trPr>
        <w:tc>
          <w:tcPr>
            <w:tcW w:w="1699" w:type="dxa"/>
          </w:tcPr>
          <w:p w14:paraId="3DC1B1CD" w14:textId="77777777" w:rsidR="00436DAA" w:rsidRPr="00330234" w:rsidRDefault="009B4B8E" w:rsidP="00BD109B">
            <w:pPr>
              <w:pStyle w:val="TableParagraph"/>
              <w:widowControl/>
            </w:pPr>
            <w:r w:rsidRPr="00330234">
              <w:t>&lt; 50</w:t>
            </w:r>
          </w:p>
        </w:tc>
        <w:tc>
          <w:tcPr>
            <w:tcW w:w="7367" w:type="dxa"/>
          </w:tcPr>
          <w:p w14:paraId="4ACED26C" w14:textId="499F9E98" w:rsidR="00436DAA" w:rsidRPr="00330234" w:rsidRDefault="009B4B8E" w:rsidP="00BD109B">
            <w:pPr>
              <w:pStyle w:val="TableParagraph"/>
              <w:widowControl/>
            </w:pPr>
            <w:r w:rsidRPr="00330234">
              <w:t xml:space="preserve">Staak de behandeling met </w:t>
            </w:r>
            <w:r w:rsidR="005E3B5C" w:rsidRPr="00330234">
              <w:t>Avtozma</w:t>
            </w:r>
            <w:r w:rsidRPr="00330234">
              <w:t>.</w:t>
            </w:r>
          </w:p>
          <w:p w14:paraId="6EE00FF8" w14:textId="77777777" w:rsidR="00A54BBC" w:rsidRPr="00330234" w:rsidRDefault="00A54BBC" w:rsidP="00BD109B">
            <w:pPr>
              <w:pStyle w:val="TableParagraph"/>
              <w:widowControl/>
            </w:pPr>
          </w:p>
          <w:p w14:paraId="7B6B67FA" w14:textId="0B940C28" w:rsidR="00A54BBC" w:rsidRPr="00330234" w:rsidRDefault="009B4B8E" w:rsidP="002328C5">
            <w:pPr>
              <w:pStyle w:val="TableParagraph"/>
              <w:widowControl/>
            </w:pPr>
            <w:r w:rsidRPr="00330234">
              <w:t xml:space="preserve">De beslissing om te stoppen met </w:t>
            </w:r>
            <w:r w:rsidR="005E3B5C" w:rsidRPr="00330234">
              <w:t>Avtozma</w:t>
            </w:r>
            <w:r w:rsidRPr="00330234">
              <w:t xml:space="preserve"> bij sJIA vanwege een afwijking in het laboratoriumonderzoek dient gebaseerd te zijn op de medische beoordeling van de individuele patiënt.</w:t>
            </w:r>
          </w:p>
        </w:tc>
      </w:tr>
    </w:tbl>
    <w:p w14:paraId="73A304C6" w14:textId="77777777" w:rsidR="00A54BBC" w:rsidRPr="00330234" w:rsidRDefault="00A54BBC" w:rsidP="00BD109B">
      <w:pPr>
        <w:pStyle w:val="a3"/>
        <w:widowControl/>
        <w:ind w:left="0"/>
      </w:pPr>
    </w:p>
    <w:p w14:paraId="0258355E" w14:textId="0E51CFF1" w:rsidR="00436DAA" w:rsidRPr="00330234" w:rsidRDefault="009B4B8E" w:rsidP="00BD109B">
      <w:pPr>
        <w:pStyle w:val="a3"/>
        <w:widowControl/>
        <w:ind w:left="0"/>
      </w:pPr>
      <w:r w:rsidRPr="00330234">
        <w:t>Er zijn onvoldoende klinische gegevens beschikbaar om het effect te bepalen van verlaging van de dosis tocilizumab vanwege afwijkingen in laboratoriumonderzoek bij sJIA-patiënten.</w:t>
      </w:r>
    </w:p>
    <w:p w14:paraId="6DC50446" w14:textId="77777777" w:rsidR="00A54BBC" w:rsidRPr="00330234" w:rsidRDefault="00A54BBC" w:rsidP="00BD109B">
      <w:pPr>
        <w:pStyle w:val="a3"/>
        <w:widowControl/>
        <w:ind w:left="0"/>
      </w:pPr>
    </w:p>
    <w:p w14:paraId="0D03FB6B" w14:textId="49A31354" w:rsidR="00436DAA" w:rsidRPr="00330234" w:rsidRDefault="009B4B8E" w:rsidP="00BD109B">
      <w:pPr>
        <w:pStyle w:val="a3"/>
        <w:widowControl/>
        <w:ind w:left="0"/>
      </w:pPr>
      <w:r w:rsidRPr="00330234">
        <w:t xml:space="preserve">De beschikbare gegevens suggereren dat klinische verbetering wordt gezien binnen 6 weken na het starten van de behandeling met </w:t>
      </w:r>
      <w:r w:rsidR="00C53E1C" w:rsidRPr="00330234">
        <w:t>tocilizumab</w:t>
      </w:r>
      <w:r w:rsidRPr="00330234">
        <w:t>. Voortzetten van de therapie moet zorgvuldig worden overwogen bij een patiënt die binnen deze tijd geen verbetering laat zien.</w:t>
      </w:r>
    </w:p>
    <w:p w14:paraId="0DB1D342" w14:textId="77777777" w:rsidR="00A54BBC" w:rsidRPr="00330234" w:rsidRDefault="00A54BBC" w:rsidP="00BD109B">
      <w:pPr>
        <w:widowControl/>
        <w:rPr>
          <w:iCs/>
        </w:rPr>
      </w:pPr>
    </w:p>
    <w:p w14:paraId="6CD0E80D" w14:textId="3A41E9C4" w:rsidR="00436DAA" w:rsidRPr="00330234" w:rsidRDefault="009B4B8E" w:rsidP="00BD109B">
      <w:pPr>
        <w:keepNext/>
        <w:keepLines/>
        <w:widowControl/>
        <w:rPr>
          <w:i/>
        </w:rPr>
      </w:pPr>
      <w:r w:rsidRPr="00330234">
        <w:rPr>
          <w:i/>
        </w:rPr>
        <w:t>pJIA-patiënten</w:t>
      </w:r>
    </w:p>
    <w:p w14:paraId="256323B1" w14:textId="77777777" w:rsidR="00436DAA" w:rsidRPr="00330234" w:rsidRDefault="00436DAA" w:rsidP="00BD109B">
      <w:pPr>
        <w:pStyle w:val="a3"/>
        <w:keepNext/>
        <w:keepLines/>
        <w:widowControl/>
        <w:ind w:left="0"/>
        <w:rPr>
          <w:i/>
        </w:rPr>
      </w:pPr>
    </w:p>
    <w:p w14:paraId="675CF3EC" w14:textId="77777777" w:rsidR="00436DAA" w:rsidRPr="00330234" w:rsidRDefault="009B4B8E" w:rsidP="00BD109B">
      <w:pPr>
        <w:pStyle w:val="a3"/>
        <w:keepNext/>
        <w:keepLines/>
        <w:widowControl/>
        <w:ind w:left="0"/>
      </w:pPr>
      <w:r w:rsidRPr="00330234">
        <w:t>De aanbevolen dosering voor patiënten ouder dan 2 jaar is 8 mg/kg eenmaal per 4 weken bij patiënten die 30 kg of meer wegen, of 10 mg/kg eenmaal per 4 weken bij patiënten die minder dan 30 kg wegen. De dosis dient berekend te worden op basis van het lichaamsgewicht van de patiënt bij elke toediening. Een wijziging in de dosis dient alleen gebaseerd te zijn op een consistente verandering in het lichaamsgewicht van de patiënt in de tijd.</w:t>
      </w:r>
    </w:p>
    <w:p w14:paraId="74068E88" w14:textId="77777777" w:rsidR="00436DAA" w:rsidRPr="00330234" w:rsidRDefault="00436DAA" w:rsidP="00BD109B">
      <w:pPr>
        <w:pStyle w:val="a3"/>
        <w:widowControl/>
        <w:ind w:left="0"/>
      </w:pPr>
    </w:p>
    <w:p w14:paraId="3A96E387" w14:textId="10294B38" w:rsidR="00436DAA" w:rsidRPr="00330234" w:rsidRDefault="009B4B8E" w:rsidP="00BD109B">
      <w:pPr>
        <w:pStyle w:val="a3"/>
        <w:widowControl/>
        <w:ind w:left="0"/>
      </w:pPr>
      <w:r w:rsidRPr="00330234">
        <w:t xml:space="preserve">De veiligheid en werkzaamheid van intraveneus </w:t>
      </w:r>
      <w:r w:rsidR="005E3B5C" w:rsidRPr="00330234">
        <w:t>Avtozma</w:t>
      </w:r>
      <w:r w:rsidRPr="00330234">
        <w:t xml:space="preserve"> bij kinderen jonger dan 2 jaar zijn niet vastgesteld.</w:t>
      </w:r>
    </w:p>
    <w:p w14:paraId="41037241" w14:textId="77777777" w:rsidR="00A54BBC" w:rsidRPr="00330234" w:rsidRDefault="00A54BBC" w:rsidP="00BD109B">
      <w:pPr>
        <w:pStyle w:val="a3"/>
        <w:widowControl/>
        <w:ind w:left="0"/>
      </w:pPr>
    </w:p>
    <w:p w14:paraId="49A39014" w14:textId="7A02304A" w:rsidR="00436DAA" w:rsidRPr="00330234" w:rsidRDefault="009B4B8E" w:rsidP="00BD109B">
      <w:pPr>
        <w:pStyle w:val="a3"/>
        <w:widowControl/>
        <w:ind w:left="0"/>
      </w:pPr>
      <w:r w:rsidRPr="00330234">
        <w:t>Bij afwijkingen in laboratoriumonderzoek worden onderbrekingen van de toediening van tocilizumab aanbevolen bij pJIA-patiënten zoals vermeld in onderstaande tabellen. Indien passend, dient de dosis van gelijktijdig toegediend MTX en/of andere geneesmiddelen aangepast te worden of dient toediening hiervan gestaakt te worden, en dient toediening van tocilizumab onderbroken te worden totdat de klinische situatie geëvalueerd is. Aangezien er bij pJIA veel comorbiditeit is die invloed kan hebben op laboratoriumonderzoek, dient de beslissing om te stoppen met tocilizumab bij een afwijking in het laboratoriumonderzoek gebaseerd te zijn op de medische beoordeling van de individuele patiënt.</w:t>
      </w:r>
    </w:p>
    <w:p w14:paraId="24A15AC2" w14:textId="77777777" w:rsidR="00A54BBC" w:rsidRPr="00330234" w:rsidRDefault="00A54BBC" w:rsidP="00BD109B">
      <w:pPr>
        <w:pStyle w:val="a3"/>
        <w:widowControl/>
        <w:ind w:left="0"/>
      </w:pPr>
    </w:p>
    <w:p w14:paraId="4C886532" w14:textId="17FA9F5E" w:rsidR="00436DAA" w:rsidRPr="00330234" w:rsidRDefault="005328BF" w:rsidP="00C1617C">
      <w:pPr>
        <w:pStyle w:val="bullet"/>
        <w:keepNext/>
        <w:keepLines/>
      </w:pPr>
      <w:r w:rsidRPr="00330234">
        <w:rPr>
          <w:rFonts w:eastAsia="Symbol"/>
        </w:rPr>
        <w:tab/>
      </w:r>
      <w:r w:rsidR="009B4B8E" w:rsidRPr="00330234">
        <w:t>Leverenzymafwijkingen</w:t>
      </w:r>
    </w:p>
    <w:p w14:paraId="279F125F" w14:textId="77777777" w:rsidR="00436DAA" w:rsidRPr="00330234" w:rsidRDefault="00436DAA" w:rsidP="00C1617C">
      <w:pPr>
        <w:pStyle w:val="a3"/>
        <w:keepNext/>
        <w:keepLines/>
        <w:widowControl/>
        <w:ind w:left="0"/>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9"/>
        <w:gridCol w:w="6677"/>
      </w:tblGrid>
      <w:tr w:rsidR="00436DAA" w:rsidRPr="00330234" w14:paraId="6F6759F7" w14:textId="77777777" w:rsidTr="00A54BBC">
        <w:trPr>
          <w:trHeight w:val="20"/>
        </w:trPr>
        <w:tc>
          <w:tcPr>
            <w:tcW w:w="2389" w:type="dxa"/>
          </w:tcPr>
          <w:p w14:paraId="1C908CDF" w14:textId="6CF15C08" w:rsidR="00A54BBC" w:rsidRPr="00330234" w:rsidRDefault="009B4B8E" w:rsidP="001B3E1E">
            <w:pPr>
              <w:pStyle w:val="TableParagraph"/>
              <w:keepNext/>
              <w:keepLines/>
              <w:widowControl/>
              <w:jc w:val="center"/>
              <w:rPr>
                <w:bCs/>
              </w:rPr>
            </w:pPr>
            <w:r w:rsidRPr="00330234">
              <w:rPr>
                <w:bCs/>
              </w:rPr>
              <w:t>Laboratoriumwaarde</w:t>
            </w:r>
          </w:p>
        </w:tc>
        <w:tc>
          <w:tcPr>
            <w:tcW w:w="6677" w:type="dxa"/>
          </w:tcPr>
          <w:p w14:paraId="21BB2F77" w14:textId="77777777" w:rsidR="00436DAA" w:rsidRPr="00330234" w:rsidRDefault="009B4B8E" w:rsidP="001B3E1E">
            <w:pPr>
              <w:pStyle w:val="TableParagraph"/>
              <w:keepNext/>
              <w:keepLines/>
              <w:widowControl/>
              <w:jc w:val="center"/>
              <w:rPr>
                <w:bCs/>
              </w:rPr>
            </w:pPr>
            <w:r w:rsidRPr="00330234">
              <w:rPr>
                <w:bCs/>
              </w:rPr>
              <w:t>Actie</w:t>
            </w:r>
          </w:p>
          <w:p w14:paraId="70790FFD" w14:textId="77777777" w:rsidR="00A54BBC" w:rsidRPr="00330234" w:rsidRDefault="00A54BBC" w:rsidP="001B3E1E">
            <w:pPr>
              <w:pStyle w:val="TableParagraph"/>
              <w:keepNext/>
              <w:keepLines/>
              <w:widowControl/>
              <w:rPr>
                <w:bCs/>
              </w:rPr>
            </w:pPr>
          </w:p>
        </w:tc>
      </w:tr>
      <w:tr w:rsidR="00436DAA" w:rsidRPr="00330234" w14:paraId="6F8042D6" w14:textId="77777777" w:rsidTr="00A54BBC">
        <w:trPr>
          <w:trHeight w:val="20"/>
        </w:trPr>
        <w:tc>
          <w:tcPr>
            <w:tcW w:w="2389" w:type="dxa"/>
          </w:tcPr>
          <w:p w14:paraId="6AF338B6" w14:textId="77777777" w:rsidR="00436DAA" w:rsidRPr="00330234" w:rsidRDefault="009B4B8E" w:rsidP="001B3E1E">
            <w:pPr>
              <w:pStyle w:val="TableParagraph"/>
              <w:keepNext/>
              <w:keepLines/>
              <w:widowControl/>
            </w:pPr>
            <w:r w:rsidRPr="00330234">
              <w:t>&gt; 1 tot 3 x ULN</w:t>
            </w:r>
          </w:p>
        </w:tc>
        <w:tc>
          <w:tcPr>
            <w:tcW w:w="6677" w:type="dxa"/>
          </w:tcPr>
          <w:p w14:paraId="0FD3922F" w14:textId="77777777" w:rsidR="00436DAA" w:rsidRPr="00330234" w:rsidRDefault="009B4B8E" w:rsidP="001B3E1E">
            <w:pPr>
              <w:pStyle w:val="TableParagraph"/>
              <w:keepNext/>
              <w:keepLines/>
              <w:widowControl/>
            </w:pPr>
            <w:r w:rsidRPr="00330234">
              <w:t>Pas de dosering aan van gelijktijdig gebruikte MTX, indien aangewezen.</w:t>
            </w:r>
          </w:p>
          <w:p w14:paraId="4E2948F6" w14:textId="77777777" w:rsidR="00A54BBC" w:rsidRPr="00330234" w:rsidRDefault="00A54BBC" w:rsidP="001B3E1E">
            <w:pPr>
              <w:pStyle w:val="TableParagraph"/>
              <w:keepNext/>
              <w:keepLines/>
              <w:widowControl/>
            </w:pPr>
          </w:p>
          <w:p w14:paraId="429BD67D" w14:textId="1B3764AF" w:rsidR="00A54BBC" w:rsidRPr="00330234" w:rsidRDefault="009B4B8E" w:rsidP="001B3E1E">
            <w:pPr>
              <w:pStyle w:val="TableParagraph"/>
              <w:keepNext/>
              <w:keepLines/>
              <w:widowControl/>
            </w:pPr>
            <w:r w:rsidRPr="00330234">
              <w:t xml:space="preserve">Bij aanhoudende stijging binnen dit bereik; onderbreek de behandeling met </w:t>
            </w:r>
            <w:r w:rsidR="005E3B5C" w:rsidRPr="00330234">
              <w:t>Avtozma</w:t>
            </w:r>
            <w:r w:rsidRPr="00330234">
              <w:t xml:space="preserve"> tot ALAT/ASAT zijn genormaliseerd.</w:t>
            </w:r>
          </w:p>
        </w:tc>
      </w:tr>
      <w:tr w:rsidR="00436DAA" w:rsidRPr="00330234" w14:paraId="14453208" w14:textId="77777777" w:rsidTr="00A54BBC">
        <w:trPr>
          <w:trHeight w:val="20"/>
        </w:trPr>
        <w:tc>
          <w:tcPr>
            <w:tcW w:w="2389" w:type="dxa"/>
          </w:tcPr>
          <w:p w14:paraId="26910C3F" w14:textId="77777777" w:rsidR="00436DAA" w:rsidRPr="00330234" w:rsidRDefault="009B4B8E" w:rsidP="00BD109B">
            <w:pPr>
              <w:pStyle w:val="TableParagraph"/>
              <w:widowControl/>
            </w:pPr>
            <w:r w:rsidRPr="00330234">
              <w:t>&gt; 3 x ULN tot 5 x ULN</w:t>
            </w:r>
          </w:p>
        </w:tc>
        <w:tc>
          <w:tcPr>
            <w:tcW w:w="6677" w:type="dxa"/>
          </w:tcPr>
          <w:p w14:paraId="258F9425" w14:textId="77777777" w:rsidR="00436DAA" w:rsidRPr="00330234" w:rsidRDefault="009B4B8E" w:rsidP="00BD109B">
            <w:pPr>
              <w:pStyle w:val="TableParagraph"/>
              <w:widowControl/>
            </w:pPr>
            <w:r w:rsidRPr="00330234">
              <w:t>Pas de dosering aan van gelijktijdig gebruikte MTX, indien aangewezen.</w:t>
            </w:r>
          </w:p>
          <w:p w14:paraId="72C1ECFF" w14:textId="77777777" w:rsidR="00A54BBC" w:rsidRPr="00330234" w:rsidRDefault="00A54BBC" w:rsidP="00BD109B">
            <w:pPr>
              <w:pStyle w:val="TableParagraph"/>
              <w:widowControl/>
            </w:pPr>
          </w:p>
          <w:p w14:paraId="10331F51" w14:textId="371E5009" w:rsidR="00A54BBC" w:rsidRPr="00330234" w:rsidRDefault="009B4B8E" w:rsidP="002328C5">
            <w:pPr>
              <w:pStyle w:val="TableParagraph"/>
              <w:widowControl/>
            </w:pPr>
            <w:r w:rsidRPr="00330234">
              <w:t xml:space="preserve">Onderbreek de behandeling met </w:t>
            </w:r>
            <w:r w:rsidR="005E3B5C" w:rsidRPr="00330234">
              <w:t>Avtozma</w:t>
            </w:r>
            <w:r w:rsidRPr="00330234">
              <w:t xml:space="preserve"> tot &lt; 3 x ULN en volg de aanbevelingen hierboven voor &gt; 1 tot 3 x ULN.</w:t>
            </w:r>
          </w:p>
        </w:tc>
      </w:tr>
      <w:tr w:rsidR="00436DAA" w:rsidRPr="00330234" w14:paraId="28D94A1B" w14:textId="77777777" w:rsidTr="00A54BBC">
        <w:trPr>
          <w:trHeight w:val="20"/>
        </w:trPr>
        <w:tc>
          <w:tcPr>
            <w:tcW w:w="2389" w:type="dxa"/>
          </w:tcPr>
          <w:p w14:paraId="3D9D1AF3" w14:textId="77777777" w:rsidR="00436DAA" w:rsidRPr="00330234" w:rsidRDefault="009B4B8E" w:rsidP="00BD109B">
            <w:pPr>
              <w:pStyle w:val="TableParagraph"/>
              <w:widowControl/>
            </w:pPr>
            <w:r w:rsidRPr="00330234">
              <w:t>&gt; 5 x ULN</w:t>
            </w:r>
          </w:p>
        </w:tc>
        <w:tc>
          <w:tcPr>
            <w:tcW w:w="6677" w:type="dxa"/>
          </w:tcPr>
          <w:p w14:paraId="4F1F9F0A" w14:textId="20F14788" w:rsidR="00436DAA" w:rsidRPr="00330234" w:rsidRDefault="009B4B8E" w:rsidP="00BD109B">
            <w:pPr>
              <w:pStyle w:val="TableParagraph"/>
              <w:widowControl/>
            </w:pPr>
            <w:r w:rsidRPr="00330234">
              <w:t xml:space="preserve">Staak de behandeling met </w:t>
            </w:r>
            <w:r w:rsidR="005E3B5C" w:rsidRPr="00330234">
              <w:t>Avtozma</w:t>
            </w:r>
            <w:r w:rsidRPr="00330234">
              <w:t>.</w:t>
            </w:r>
          </w:p>
          <w:p w14:paraId="5F460CFD" w14:textId="77777777" w:rsidR="00A54BBC" w:rsidRPr="00330234" w:rsidRDefault="00A54BBC" w:rsidP="00BD109B">
            <w:pPr>
              <w:pStyle w:val="TableParagraph"/>
              <w:widowControl/>
            </w:pPr>
          </w:p>
          <w:p w14:paraId="0B251668" w14:textId="6351F336" w:rsidR="00A54BBC" w:rsidRPr="00330234" w:rsidRDefault="009B4B8E" w:rsidP="002328C5">
            <w:pPr>
              <w:pStyle w:val="TableParagraph"/>
              <w:widowControl/>
            </w:pPr>
            <w:r w:rsidRPr="00330234">
              <w:t xml:space="preserve">De beslissing om te stoppen met </w:t>
            </w:r>
            <w:r w:rsidR="005E3B5C" w:rsidRPr="00330234">
              <w:t>Avtozma</w:t>
            </w:r>
            <w:r w:rsidRPr="00330234">
              <w:t xml:space="preserve"> bij pJIA vanwege een afwijking in het laboratoriumonderzoek dient gebaseerd te zijn op de medische beoordeling van de individuele patiënt.</w:t>
            </w:r>
          </w:p>
        </w:tc>
      </w:tr>
    </w:tbl>
    <w:p w14:paraId="5EA31759" w14:textId="77777777" w:rsidR="00A54BBC" w:rsidRPr="00330234" w:rsidRDefault="00A54BBC" w:rsidP="00BD109B">
      <w:pPr>
        <w:widowControl/>
        <w:rPr>
          <w:rFonts w:eastAsia="Symbol"/>
        </w:rPr>
      </w:pPr>
    </w:p>
    <w:p w14:paraId="32FCBBBC" w14:textId="4DDBFBBC" w:rsidR="00436DAA" w:rsidRPr="00330234" w:rsidRDefault="005328BF" w:rsidP="00BD109B">
      <w:pPr>
        <w:pStyle w:val="bullet"/>
      </w:pPr>
      <w:r w:rsidRPr="00330234">
        <w:rPr>
          <w:rFonts w:eastAsia="Symbol"/>
        </w:rPr>
        <w:tab/>
      </w:r>
      <w:r w:rsidR="009B4B8E" w:rsidRPr="00330234">
        <w:t>Laag absoluut aantal neutrofielen (ANC)</w:t>
      </w:r>
    </w:p>
    <w:p w14:paraId="24BAF18B" w14:textId="77777777" w:rsidR="00436DAA" w:rsidRPr="00330234" w:rsidRDefault="00436DAA" w:rsidP="00BD109B">
      <w:pPr>
        <w:pStyle w:val="a3"/>
        <w:widowControl/>
        <w:ind w:left="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9"/>
        <w:gridCol w:w="6673"/>
      </w:tblGrid>
      <w:tr w:rsidR="00436DAA" w:rsidRPr="00330234" w14:paraId="2EE1538D" w14:textId="77777777" w:rsidTr="00BD109B">
        <w:trPr>
          <w:trHeight w:val="20"/>
        </w:trPr>
        <w:tc>
          <w:tcPr>
            <w:tcW w:w="2389" w:type="dxa"/>
          </w:tcPr>
          <w:p w14:paraId="32D11798" w14:textId="12000F39" w:rsidR="00A54BBC" w:rsidRPr="00330234" w:rsidRDefault="009B4B8E" w:rsidP="002328C5">
            <w:pPr>
              <w:pStyle w:val="TableParagraph"/>
              <w:widowControl/>
              <w:jc w:val="center"/>
              <w:rPr>
                <w:bCs/>
              </w:rPr>
            </w:pPr>
            <w:r w:rsidRPr="00330234">
              <w:rPr>
                <w:bCs/>
              </w:rPr>
              <w:t>Laboratoriumwaarde (cellen x 10</w:t>
            </w:r>
            <w:r w:rsidRPr="00330234">
              <w:rPr>
                <w:bCs/>
                <w:vertAlign w:val="superscript"/>
              </w:rPr>
              <w:t>9</w:t>
            </w:r>
            <w:r w:rsidRPr="00330234">
              <w:rPr>
                <w:bCs/>
              </w:rPr>
              <w:t>/l)</w:t>
            </w:r>
          </w:p>
        </w:tc>
        <w:tc>
          <w:tcPr>
            <w:tcW w:w="6673" w:type="dxa"/>
          </w:tcPr>
          <w:p w14:paraId="3A0FD8D9" w14:textId="77777777" w:rsidR="00436DAA" w:rsidRPr="00330234" w:rsidRDefault="009B4B8E" w:rsidP="00BD109B">
            <w:pPr>
              <w:pStyle w:val="TableParagraph"/>
              <w:widowControl/>
              <w:jc w:val="center"/>
              <w:rPr>
                <w:bCs/>
              </w:rPr>
            </w:pPr>
            <w:r w:rsidRPr="00330234">
              <w:rPr>
                <w:bCs/>
              </w:rPr>
              <w:t>Actie</w:t>
            </w:r>
          </w:p>
          <w:p w14:paraId="1A83019B" w14:textId="77777777" w:rsidR="00A54BBC" w:rsidRPr="00330234" w:rsidRDefault="00A54BBC" w:rsidP="00BD109B">
            <w:pPr>
              <w:pStyle w:val="TableParagraph"/>
              <w:widowControl/>
              <w:jc w:val="center"/>
              <w:rPr>
                <w:bCs/>
              </w:rPr>
            </w:pPr>
          </w:p>
        </w:tc>
      </w:tr>
      <w:tr w:rsidR="00436DAA" w:rsidRPr="00330234" w14:paraId="548C6140" w14:textId="77777777" w:rsidTr="00BD109B">
        <w:trPr>
          <w:trHeight w:val="20"/>
        </w:trPr>
        <w:tc>
          <w:tcPr>
            <w:tcW w:w="2389" w:type="dxa"/>
          </w:tcPr>
          <w:p w14:paraId="154F2390" w14:textId="77777777" w:rsidR="00436DAA" w:rsidRPr="00330234" w:rsidRDefault="009B4B8E" w:rsidP="00BD109B">
            <w:pPr>
              <w:pStyle w:val="TableParagraph"/>
              <w:widowControl/>
            </w:pPr>
            <w:r w:rsidRPr="00330234">
              <w:t>ANC &gt; 1</w:t>
            </w:r>
          </w:p>
        </w:tc>
        <w:tc>
          <w:tcPr>
            <w:tcW w:w="6673" w:type="dxa"/>
          </w:tcPr>
          <w:p w14:paraId="18140EE7" w14:textId="2754C8DD" w:rsidR="00A54BBC" w:rsidRPr="00330234" w:rsidRDefault="009B4B8E" w:rsidP="002328C5">
            <w:pPr>
              <w:pStyle w:val="TableParagraph"/>
              <w:widowControl/>
            </w:pPr>
            <w:r w:rsidRPr="00330234">
              <w:t>Handhaaf de dosering.</w:t>
            </w:r>
          </w:p>
        </w:tc>
      </w:tr>
      <w:tr w:rsidR="00436DAA" w:rsidRPr="00330234" w14:paraId="1C295EE6" w14:textId="77777777" w:rsidTr="00BD109B">
        <w:trPr>
          <w:trHeight w:val="20"/>
        </w:trPr>
        <w:tc>
          <w:tcPr>
            <w:tcW w:w="2389" w:type="dxa"/>
          </w:tcPr>
          <w:p w14:paraId="287BA9F8" w14:textId="77777777" w:rsidR="00436DAA" w:rsidRPr="00330234" w:rsidRDefault="009B4B8E" w:rsidP="00BD109B">
            <w:pPr>
              <w:pStyle w:val="TableParagraph"/>
              <w:widowControl/>
            </w:pPr>
            <w:r w:rsidRPr="00330234">
              <w:t>ANC 0,5 tot 1</w:t>
            </w:r>
          </w:p>
        </w:tc>
        <w:tc>
          <w:tcPr>
            <w:tcW w:w="6673" w:type="dxa"/>
          </w:tcPr>
          <w:p w14:paraId="2B346124" w14:textId="59EC5168" w:rsidR="00436DAA" w:rsidRPr="00330234" w:rsidRDefault="009B4B8E" w:rsidP="00BD109B">
            <w:pPr>
              <w:pStyle w:val="TableParagraph"/>
              <w:widowControl/>
            </w:pPr>
            <w:r w:rsidRPr="00330234">
              <w:t xml:space="preserve">Onderbreek de behandeling met </w:t>
            </w:r>
            <w:r w:rsidR="005E3B5C" w:rsidRPr="00330234">
              <w:t>Avtozma</w:t>
            </w:r>
            <w:r w:rsidRPr="00330234">
              <w:t>.</w:t>
            </w:r>
          </w:p>
          <w:p w14:paraId="503D26E5" w14:textId="77777777" w:rsidR="00A54BBC" w:rsidRPr="00330234" w:rsidRDefault="00A54BBC" w:rsidP="00BD109B">
            <w:pPr>
              <w:pStyle w:val="TableParagraph"/>
              <w:widowControl/>
            </w:pPr>
          </w:p>
          <w:p w14:paraId="137F77F3" w14:textId="59FBE71C" w:rsidR="00A54BBC" w:rsidRPr="00330234" w:rsidRDefault="009B4B8E" w:rsidP="002328C5">
            <w:pPr>
              <w:pStyle w:val="TableParagraph"/>
              <w:widowControl/>
            </w:pPr>
            <w:r w:rsidRPr="00330234">
              <w:t>Wanneer ANC toeneemt tot &gt; 1 x 10</w:t>
            </w:r>
            <w:r w:rsidRPr="00330234">
              <w:rPr>
                <w:vertAlign w:val="superscript"/>
              </w:rPr>
              <w:t>9</w:t>
            </w:r>
            <w:r w:rsidR="00CB797D" w:rsidRPr="00330234">
              <w:t>/l</w:t>
            </w:r>
            <w:r w:rsidRPr="00330234">
              <w:t xml:space="preserve">; hervat </w:t>
            </w:r>
            <w:r w:rsidR="00790622" w:rsidRPr="00330234">
              <w:t>Avtozma</w:t>
            </w:r>
            <w:r w:rsidRPr="00330234">
              <w:t>.</w:t>
            </w:r>
          </w:p>
        </w:tc>
      </w:tr>
      <w:tr w:rsidR="00436DAA" w:rsidRPr="00330234" w14:paraId="70F34764" w14:textId="77777777" w:rsidTr="00BD109B">
        <w:trPr>
          <w:trHeight w:val="20"/>
        </w:trPr>
        <w:tc>
          <w:tcPr>
            <w:tcW w:w="2389" w:type="dxa"/>
          </w:tcPr>
          <w:p w14:paraId="7A2A6B2D" w14:textId="77777777" w:rsidR="00436DAA" w:rsidRPr="00330234" w:rsidRDefault="009B4B8E" w:rsidP="00BD109B">
            <w:pPr>
              <w:pStyle w:val="TableParagraph"/>
              <w:widowControl/>
            </w:pPr>
            <w:r w:rsidRPr="00330234">
              <w:t>ANC &lt; 0,5</w:t>
            </w:r>
          </w:p>
        </w:tc>
        <w:tc>
          <w:tcPr>
            <w:tcW w:w="6673" w:type="dxa"/>
          </w:tcPr>
          <w:p w14:paraId="485EA471" w14:textId="2FDDFF54" w:rsidR="00436DAA" w:rsidRPr="00330234" w:rsidRDefault="009B4B8E" w:rsidP="00BD109B">
            <w:pPr>
              <w:pStyle w:val="TableParagraph"/>
              <w:widowControl/>
            </w:pPr>
            <w:r w:rsidRPr="00330234">
              <w:t xml:space="preserve">Staak de behandeling met </w:t>
            </w:r>
            <w:r w:rsidR="005E3B5C" w:rsidRPr="00330234">
              <w:t>Avtozma</w:t>
            </w:r>
            <w:r w:rsidRPr="00330234">
              <w:t>.</w:t>
            </w:r>
          </w:p>
          <w:p w14:paraId="4F16F6E6" w14:textId="77777777" w:rsidR="00A54BBC" w:rsidRPr="00330234" w:rsidRDefault="00A54BBC" w:rsidP="00BD109B">
            <w:pPr>
              <w:pStyle w:val="TableParagraph"/>
              <w:widowControl/>
            </w:pPr>
          </w:p>
          <w:p w14:paraId="71D77012" w14:textId="72991167" w:rsidR="00A54BBC" w:rsidRPr="00330234" w:rsidRDefault="009B4B8E" w:rsidP="002328C5">
            <w:pPr>
              <w:pStyle w:val="TableParagraph"/>
              <w:widowControl/>
            </w:pPr>
            <w:r w:rsidRPr="00330234">
              <w:t xml:space="preserve">De beslissing om te stoppen met </w:t>
            </w:r>
            <w:r w:rsidR="005E3B5C" w:rsidRPr="00330234">
              <w:t>Avtozma</w:t>
            </w:r>
            <w:r w:rsidRPr="00330234">
              <w:t xml:space="preserve"> bij pJIA vanwege een afwijking in het laboratoriumonderzoek dient gebaseerd te zijn op de medische beoordeling van de individuele patiënt.</w:t>
            </w:r>
          </w:p>
        </w:tc>
      </w:tr>
    </w:tbl>
    <w:p w14:paraId="7C165D7E" w14:textId="77777777" w:rsidR="00A54BBC" w:rsidRPr="00330234" w:rsidRDefault="00A54BBC" w:rsidP="00BD109B">
      <w:pPr>
        <w:widowControl/>
        <w:rPr>
          <w:rFonts w:eastAsia="Symbol"/>
        </w:rPr>
      </w:pPr>
    </w:p>
    <w:p w14:paraId="4006B40D" w14:textId="01F99484" w:rsidR="00436DAA" w:rsidRPr="00330234" w:rsidRDefault="005328BF" w:rsidP="00BD109B">
      <w:pPr>
        <w:pStyle w:val="bullet"/>
      </w:pPr>
      <w:r w:rsidRPr="00330234">
        <w:rPr>
          <w:rFonts w:eastAsia="Symbol"/>
        </w:rPr>
        <w:tab/>
      </w:r>
      <w:r w:rsidR="009B4B8E" w:rsidRPr="00330234">
        <w:t>Laag aantal trombocyten</w:t>
      </w:r>
    </w:p>
    <w:p w14:paraId="5C361FC7" w14:textId="77777777" w:rsidR="00436DAA" w:rsidRPr="00330234" w:rsidRDefault="00436DAA" w:rsidP="00BD109B">
      <w:pPr>
        <w:pStyle w:val="a3"/>
        <w:widowControl/>
        <w:ind w:left="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9"/>
        <w:gridCol w:w="6673"/>
      </w:tblGrid>
      <w:tr w:rsidR="00436DAA" w:rsidRPr="00330234" w14:paraId="5D1680FE" w14:textId="77777777" w:rsidTr="00BD109B">
        <w:trPr>
          <w:trHeight w:val="20"/>
        </w:trPr>
        <w:tc>
          <w:tcPr>
            <w:tcW w:w="2389" w:type="dxa"/>
          </w:tcPr>
          <w:p w14:paraId="236DF2F5" w14:textId="153169AC" w:rsidR="00BD109B" w:rsidRPr="00330234" w:rsidRDefault="009B4B8E" w:rsidP="002328C5">
            <w:pPr>
              <w:pStyle w:val="TableParagraph"/>
              <w:widowControl/>
              <w:jc w:val="center"/>
              <w:rPr>
                <w:bCs/>
              </w:rPr>
            </w:pPr>
            <w:r w:rsidRPr="00330234">
              <w:rPr>
                <w:bCs/>
              </w:rPr>
              <w:t>Laboratoriumwaarde (cellen x 10</w:t>
            </w:r>
            <w:r w:rsidRPr="00330234">
              <w:rPr>
                <w:bCs/>
                <w:vertAlign w:val="superscript"/>
              </w:rPr>
              <w:t>3</w:t>
            </w:r>
            <w:r w:rsidRPr="00330234">
              <w:rPr>
                <w:bCs/>
              </w:rPr>
              <w:t>/</w:t>
            </w:r>
            <w:r w:rsidR="00BD109B" w:rsidRPr="00330234">
              <w:rPr>
                <w:bCs/>
              </w:rPr>
              <w:t>μ</w:t>
            </w:r>
            <w:r w:rsidRPr="00330234">
              <w:rPr>
                <w:bCs/>
              </w:rPr>
              <w:t>l)</w:t>
            </w:r>
          </w:p>
        </w:tc>
        <w:tc>
          <w:tcPr>
            <w:tcW w:w="6673" w:type="dxa"/>
          </w:tcPr>
          <w:p w14:paraId="4C0E566D" w14:textId="77777777" w:rsidR="00436DAA" w:rsidRPr="00330234" w:rsidRDefault="009B4B8E" w:rsidP="00BD109B">
            <w:pPr>
              <w:pStyle w:val="TableParagraph"/>
              <w:widowControl/>
              <w:jc w:val="center"/>
              <w:rPr>
                <w:bCs/>
              </w:rPr>
            </w:pPr>
            <w:r w:rsidRPr="00330234">
              <w:rPr>
                <w:bCs/>
              </w:rPr>
              <w:t>Actie</w:t>
            </w:r>
          </w:p>
        </w:tc>
      </w:tr>
      <w:tr w:rsidR="00436DAA" w:rsidRPr="00330234" w14:paraId="4DA74A71" w14:textId="77777777" w:rsidTr="00BD109B">
        <w:trPr>
          <w:trHeight w:val="20"/>
        </w:trPr>
        <w:tc>
          <w:tcPr>
            <w:tcW w:w="2389" w:type="dxa"/>
          </w:tcPr>
          <w:p w14:paraId="435F719B" w14:textId="77777777" w:rsidR="00436DAA" w:rsidRPr="00330234" w:rsidRDefault="009B4B8E" w:rsidP="00BD109B">
            <w:pPr>
              <w:pStyle w:val="TableParagraph"/>
              <w:widowControl/>
            </w:pPr>
            <w:r w:rsidRPr="00330234">
              <w:t>50 tot 100</w:t>
            </w:r>
          </w:p>
        </w:tc>
        <w:tc>
          <w:tcPr>
            <w:tcW w:w="6673" w:type="dxa"/>
          </w:tcPr>
          <w:p w14:paraId="74C6D32A" w14:textId="0A9FDF48" w:rsidR="00BD109B" w:rsidRPr="00330234" w:rsidRDefault="009B4B8E" w:rsidP="00BD109B">
            <w:pPr>
              <w:pStyle w:val="TableParagraph"/>
              <w:widowControl/>
            </w:pPr>
            <w:r w:rsidRPr="00330234">
              <w:t>Pas de dosering aan van gelijktijdig gebruikte MTX, indien aangewezen.</w:t>
            </w:r>
          </w:p>
          <w:p w14:paraId="078BF9D8" w14:textId="77777777" w:rsidR="00BD109B" w:rsidRPr="00330234" w:rsidRDefault="00BD109B" w:rsidP="00BD109B">
            <w:pPr>
              <w:pStyle w:val="TableParagraph"/>
              <w:widowControl/>
            </w:pPr>
          </w:p>
          <w:p w14:paraId="3F961F46" w14:textId="753D9F17" w:rsidR="00436DAA" w:rsidRPr="00330234" w:rsidRDefault="009B4B8E" w:rsidP="00BD109B">
            <w:pPr>
              <w:pStyle w:val="TableParagraph"/>
              <w:widowControl/>
            </w:pPr>
            <w:r w:rsidRPr="00330234">
              <w:t xml:space="preserve">Onderbreek de behandeling met </w:t>
            </w:r>
            <w:r w:rsidR="005E3B5C" w:rsidRPr="00330234">
              <w:t>Avtozma</w:t>
            </w:r>
            <w:r w:rsidRPr="00330234">
              <w:t>.</w:t>
            </w:r>
          </w:p>
          <w:p w14:paraId="63FCBB26" w14:textId="77777777" w:rsidR="00BD109B" w:rsidRPr="00330234" w:rsidRDefault="00BD109B" w:rsidP="00BD109B">
            <w:pPr>
              <w:pStyle w:val="TableParagraph"/>
              <w:widowControl/>
            </w:pPr>
          </w:p>
          <w:p w14:paraId="7D3AA3B5" w14:textId="580D2D2A" w:rsidR="00BD109B" w:rsidRPr="00330234" w:rsidRDefault="009B4B8E" w:rsidP="002328C5">
            <w:pPr>
              <w:pStyle w:val="TableParagraph"/>
              <w:widowControl/>
            </w:pPr>
            <w:r w:rsidRPr="00330234">
              <w:t>Wanneer het trombocytenaantal &gt; 100 x 10</w:t>
            </w:r>
            <w:r w:rsidRPr="00330234">
              <w:rPr>
                <w:vertAlign w:val="superscript"/>
              </w:rPr>
              <w:t>3</w:t>
            </w:r>
            <w:r w:rsidRPr="00330234">
              <w:t>/</w:t>
            </w:r>
            <w:r w:rsidR="003A2981" w:rsidRPr="00330234">
              <w:t>μ</w:t>
            </w:r>
            <w:r w:rsidRPr="00330234">
              <w:t xml:space="preserve">l is; hervat de behandeling met </w:t>
            </w:r>
            <w:r w:rsidR="00790622" w:rsidRPr="00330234">
              <w:t>Avtozma</w:t>
            </w:r>
            <w:r w:rsidRPr="00330234">
              <w:t>.</w:t>
            </w:r>
          </w:p>
        </w:tc>
      </w:tr>
      <w:tr w:rsidR="00436DAA" w:rsidRPr="00330234" w14:paraId="58226118" w14:textId="77777777" w:rsidTr="00BD109B">
        <w:trPr>
          <w:trHeight w:val="20"/>
        </w:trPr>
        <w:tc>
          <w:tcPr>
            <w:tcW w:w="2389" w:type="dxa"/>
          </w:tcPr>
          <w:p w14:paraId="25DFBC46" w14:textId="77777777" w:rsidR="00436DAA" w:rsidRPr="00330234" w:rsidRDefault="009B4B8E" w:rsidP="00BD109B">
            <w:pPr>
              <w:pStyle w:val="TableParagraph"/>
              <w:widowControl/>
            </w:pPr>
            <w:r w:rsidRPr="00330234">
              <w:t>&lt; 50</w:t>
            </w:r>
          </w:p>
        </w:tc>
        <w:tc>
          <w:tcPr>
            <w:tcW w:w="6673" w:type="dxa"/>
          </w:tcPr>
          <w:p w14:paraId="1346A080" w14:textId="0C8A8F2F" w:rsidR="00436DAA" w:rsidRPr="00330234" w:rsidRDefault="009B4B8E" w:rsidP="00BD109B">
            <w:pPr>
              <w:pStyle w:val="TableParagraph"/>
              <w:widowControl/>
            </w:pPr>
            <w:r w:rsidRPr="00330234">
              <w:t xml:space="preserve">Staak de behandeling met </w:t>
            </w:r>
            <w:r w:rsidR="005E3B5C" w:rsidRPr="00330234">
              <w:t>Avtozma</w:t>
            </w:r>
            <w:r w:rsidRPr="00330234">
              <w:t>.</w:t>
            </w:r>
          </w:p>
          <w:p w14:paraId="53995D35" w14:textId="77777777" w:rsidR="00BD109B" w:rsidRPr="00330234" w:rsidRDefault="00BD109B" w:rsidP="00BD109B">
            <w:pPr>
              <w:pStyle w:val="TableParagraph"/>
              <w:widowControl/>
            </w:pPr>
          </w:p>
          <w:p w14:paraId="17880487" w14:textId="3AA3B945" w:rsidR="00BD109B" w:rsidRPr="00330234" w:rsidRDefault="009B4B8E" w:rsidP="002328C5">
            <w:pPr>
              <w:pStyle w:val="TableParagraph"/>
              <w:widowControl/>
            </w:pPr>
            <w:r w:rsidRPr="00330234">
              <w:t xml:space="preserve">De beslissing om te stoppen met </w:t>
            </w:r>
            <w:r w:rsidR="005E3B5C" w:rsidRPr="00330234">
              <w:t>Avtozma</w:t>
            </w:r>
            <w:r w:rsidRPr="00330234">
              <w:t xml:space="preserve"> bij pJIA vanwege een afwijking in het laboratoriumonderzoek dient gebaseerd te zijn op de medische beoordeling van de individuele patiënt.</w:t>
            </w:r>
          </w:p>
        </w:tc>
      </w:tr>
    </w:tbl>
    <w:p w14:paraId="35562926" w14:textId="77777777" w:rsidR="00436DAA" w:rsidRPr="00330234" w:rsidRDefault="00436DAA" w:rsidP="00BD109B">
      <w:pPr>
        <w:widowControl/>
      </w:pPr>
    </w:p>
    <w:p w14:paraId="56913C60" w14:textId="77777777" w:rsidR="00436DAA" w:rsidRPr="00330234" w:rsidRDefault="009B4B8E" w:rsidP="00BD109B">
      <w:pPr>
        <w:pStyle w:val="a3"/>
        <w:widowControl/>
        <w:ind w:left="0"/>
      </w:pPr>
      <w:r w:rsidRPr="00330234">
        <w:t>Verlaging van de dosis tocilizumab vanwege afwijkingen in laboratoriumonderzoek is niet onderzocht bij pJIA-patiënten.</w:t>
      </w:r>
    </w:p>
    <w:p w14:paraId="1CC61C59" w14:textId="77777777" w:rsidR="00436DAA" w:rsidRPr="00330234" w:rsidRDefault="00436DAA" w:rsidP="00BD109B">
      <w:pPr>
        <w:pStyle w:val="a3"/>
        <w:widowControl/>
        <w:ind w:left="0"/>
      </w:pPr>
    </w:p>
    <w:p w14:paraId="773A4444" w14:textId="36075293" w:rsidR="00436DAA" w:rsidRPr="00330234" w:rsidRDefault="009B4B8E" w:rsidP="00BD109B">
      <w:pPr>
        <w:pStyle w:val="a3"/>
        <w:widowControl/>
        <w:ind w:left="0"/>
      </w:pPr>
      <w:r w:rsidRPr="00330234">
        <w:t xml:space="preserve">De beschikbare gegevens suggereren dat klinische verbetering wordt gezien binnen 12 weken na het starten van de behandeling met </w:t>
      </w:r>
      <w:r w:rsidR="005E3B5C" w:rsidRPr="00330234">
        <w:t>tocilizumab</w:t>
      </w:r>
      <w:r w:rsidRPr="00330234">
        <w:t>. Voortzetten van de therapie moet zorgvuldig worden overwogen bij een patiënt die binnen deze tijd geen verbetering laat zien.</w:t>
      </w:r>
    </w:p>
    <w:p w14:paraId="6E8D5E10" w14:textId="77777777" w:rsidR="00BD109B" w:rsidRPr="00330234" w:rsidRDefault="00BD109B" w:rsidP="00BD109B">
      <w:pPr>
        <w:pStyle w:val="a3"/>
        <w:widowControl/>
        <w:ind w:left="0"/>
      </w:pPr>
    </w:p>
    <w:p w14:paraId="1159DEEA" w14:textId="77777777" w:rsidR="00436DAA" w:rsidRPr="00330234" w:rsidRDefault="009B4B8E" w:rsidP="002328C5">
      <w:pPr>
        <w:keepNext/>
        <w:keepLines/>
        <w:widowControl/>
        <w:rPr>
          <w:i/>
        </w:rPr>
      </w:pPr>
      <w:r w:rsidRPr="00330234">
        <w:rPr>
          <w:i/>
        </w:rPr>
        <w:lastRenderedPageBreak/>
        <w:t>Ouderen</w:t>
      </w:r>
    </w:p>
    <w:p w14:paraId="3FC97460" w14:textId="77777777" w:rsidR="00436DAA" w:rsidRPr="00330234" w:rsidRDefault="009B4B8E" w:rsidP="002328C5">
      <w:pPr>
        <w:pStyle w:val="a3"/>
        <w:keepNext/>
        <w:keepLines/>
        <w:widowControl/>
        <w:ind w:left="0"/>
      </w:pPr>
      <w:r w:rsidRPr="00330234">
        <w:t>Er is geen aanpassing van de dosering noodzakelijk bij oudere patiënten ≥ 65 jaar.</w:t>
      </w:r>
    </w:p>
    <w:p w14:paraId="2E8257A6" w14:textId="77777777" w:rsidR="00436DAA" w:rsidRPr="00330234" w:rsidRDefault="00436DAA" w:rsidP="00BD109B">
      <w:pPr>
        <w:pStyle w:val="a3"/>
        <w:widowControl/>
        <w:ind w:left="0"/>
      </w:pPr>
    </w:p>
    <w:p w14:paraId="59694DCD" w14:textId="77777777" w:rsidR="00436DAA" w:rsidRPr="00330234" w:rsidRDefault="009B4B8E" w:rsidP="00BD109B">
      <w:pPr>
        <w:widowControl/>
        <w:rPr>
          <w:i/>
        </w:rPr>
      </w:pPr>
      <w:r w:rsidRPr="00330234">
        <w:rPr>
          <w:i/>
        </w:rPr>
        <w:t>Verminderde nierfunctie</w:t>
      </w:r>
    </w:p>
    <w:p w14:paraId="37DA8ACA" w14:textId="51F7A852" w:rsidR="00436DAA" w:rsidRPr="00330234" w:rsidRDefault="009B4B8E" w:rsidP="00BD109B">
      <w:pPr>
        <w:pStyle w:val="a3"/>
        <w:widowControl/>
        <w:ind w:left="0"/>
      </w:pPr>
      <w:r w:rsidRPr="00330234">
        <w:t xml:space="preserve">Er is geen aanpassing van de dosering noodzakelijk bij patiënten met een licht verminderde nierfunctie. </w:t>
      </w:r>
      <w:r w:rsidR="0010476C" w:rsidRPr="00330234">
        <w:t>Avtozma</w:t>
      </w:r>
      <w:r w:rsidRPr="00330234">
        <w:t xml:space="preserve"> is niet onderzocht bij patiënten met matig tot ernstig verminderde nierfunctie (zie rubriek 5.2). Bij deze patiënten moet de nierfunctie nauwgezet worden gecontroleerd.</w:t>
      </w:r>
    </w:p>
    <w:p w14:paraId="560B2EA3" w14:textId="77777777" w:rsidR="00436DAA" w:rsidRPr="00330234" w:rsidRDefault="00436DAA" w:rsidP="00BD109B">
      <w:pPr>
        <w:pStyle w:val="a3"/>
        <w:widowControl/>
        <w:ind w:left="0"/>
      </w:pPr>
    </w:p>
    <w:p w14:paraId="06091975" w14:textId="77777777" w:rsidR="00436DAA" w:rsidRPr="00330234" w:rsidRDefault="009B4B8E" w:rsidP="00BD109B">
      <w:pPr>
        <w:widowControl/>
        <w:rPr>
          <w:i/>
        </w:rPr>
      </w:pPr>
      <w:r w:rsidRPr="00330234">
        <w:rPr>
          <w:i/>
        </w:rPr>
        <w:t>Verminderde leverfunctie</w:t>
      </w:r>
    </w:p>
    <w:p w14:paraId="262242BF" w14:textId="2501203E" w:rsidR="00436DAA" w:rsidRPr="00330234" w:rsidRDefault="0010476C" w:rsidP="00BD109B">
      <w:pPr>
        <w:pStyle w:val="a3"/>
        <w:widowControl/>
        <w:ind w:left="0"/>
      </w:pPr>
      <w:r w:rsidRPr="00330234">
        <w:t>Avtozma</w:t>
      </w:r>
      <w:r w:rsidR="009B4B8E" w:rsidRPr="00330234">
        <w:t xml:space="preserve"> is niet onderzocht bij patiënten met een verminderde leverfunctie. Daarom kunnen geen aanbevelingen worden gedaan met betrekking tot de dosering.</w:t>
      </w:r>
    </w:p>
    <w:p w14:paraId="0B67576E" w14:textId="77777777" w:rsidR="00436DAA" w:rsidRPr="00330234" w:rsidRDefault="00436DAA" w:rsidP="00BD109B">
      <w:pPr>
        <w:pStyle w:val="a3"/>
        <w:widowControl/>
        <w:ind w:left="0"/>
      </w:pPr>
    </w:p>
    <w:p w14:paraId="1691D9BA" w14:textId="77777777" w:rsidR="00436DAA" w:rsidRPr="00330234" w:rsidRDefault="009B4B8E" w:rsidP="00BD109B">
      <w:pPr>
        <w:pStyle w:val="a3"/>
        <w:widowControl/>
        <w:ind w:left="0"/>
      </w:pPr>
      <w:r w:rsidRPr="00330234">
        <w:rPr>
          <w:u w:val="single"/>
        </w:rPr>
        <w:t>Wijze van toediening</w:t>
      </w:r>
    </w:p>
    <w:p w14:paraId="3BCFE13C" w14:textId="77777777" w:rsidR="002328C5" w:rsidRPr="00330234" w:rsidRDefault="002328C5" w:rsidP="00BD109B">
      <w:pPr>
        <w:pStyle w:val="a3"/>
        <w:widowControl/>
        <w:ind w:left="0"/>
      </w:pPr>
    </w:p>
    <w:p w14:paraId="745A61F9" w14:textId="373EA4D2" w:rsidR="00436DAA" w:rsidRPr="00330234" w:rsidRDefault="009B4B8E" w:rsidP="00BD109B">
      <w:pPr>
        <w:pStyle w:val="a3"/>
        <w:widowControl/>
        <w:ind w:left="0"/>
      </w:pPr>
      <w:r w:rsidRPr="00330234">
        <w:t xml:space="preserve">Na verdunning dient </w:t>
      </w:r>
      <w:r w:rsidR="0010476C" w:rsidRPr="00330234">
        <w:t>Avtozma</w:t>
      </w:r>
      <w:r w:rsidRPr="00330234">
        <w:t xml:space="preserve"> voor RA-, sJIA-, pJIA-, CRS- en COVID-19-patiënten als intraveneuze infusie te worden toegediend gedurende 1 uur.</w:t>
      </w:r>
    </w:p>
    <w:p w14:paraId="06A9E1B8" w14:textId="77777777" w:rsidR="00BD109B" w:rsidRPr="00330234" w:rsidRDefault="00BD109B" w:rsidP="00BD109B">
      <w:pPr>
        <w:pStyle w:val="a3"/>
        <w:widowControl/>
        <w:ind w:left="0"/>
      </w:pPr>
    </w:p>
    <w:p w14:paraId="4A6D9082" w14:textId="77777777" w:rsidR="00436DAA" w:rsidRPr="00330234" w:rsidRDefault="009B4B8E" w:rsidP="00BD109B">
      <w:pPr>
        <w:pStyle w:val="a3"/>
        <w:widowControl/>
        <w:ind w:left="0"/>
      </w:pPr>
      <w:r w:rsidRPr="00330234">
        <w:t>RA-, sJIA-, pJIA-, CRS- en COVID-19-patiënten ≥ 30 kg</w:t>
      </w:r>
    </w:p>
    <w:p w14:paraId="684D993A" w14:textId="7945CBE6" w:rsidR="00436DAA" w:rsidRPr="00330234" w:rsidRDefault="00185EC0" w:rsidP="00BD109B">
      <w:pPr>
        <w:pStyle w:val="a3"/>
        <w:widowControl/>
        <w:ind w:left="0"/>
      </w:pPr>
      <w:r w:rsidRPr="00330234">
        <w:t>Avtozma</w:t>
      </w:r>
      <w:r w:rsidR="009B4B8E" w:rsidRPr="00330234">
        <w:t xml:space="preserve"> dient aseptisch te worden verdund tot een eindvolume van 100 ml, met steriele, pyrogeenvrije natriumchloride 9 mg/ml (0,9%)</w:t>
      </w:r>
      <w:r w:rsidRPr="00330234">
        <w:t xml:space="preserve"> of 4,5 mg/ml (0,45%)</w:t>
      </w:r>
      <w:r w:rsidR="009B4B8E" w:rsidRPr="00330234">
        <w:t xml:space="preserve"> oplossing voor injectie.</w:t>
      </w:r>
    </w:p>
    <w:p w14:paraId="7713642D" w14:textId="77777777" w:rsidR="00BD109B" w:rsidRPr="00330234" w:rsidRDefault="00BD109B" w:rsidP="00BD109B">
      <w:pPr>
        <w:pStyle w:val="a3"/>
        <w:widowControl/>
        <w:ind w:left="0"/>
      </w:pPr>
    </w:p>
    <w:p w14:paraId="722EC117" w14:textId="77777777" w:rsidR="00BD109B" w:rsidRPr="00330234" w:rsidRDefault="009B4B8E" w:rsidP="00BD109B">
      <w:pPr>
        <w:pStyle w:val="a3"/>
        <w:widowControl/>
        <w:ind w:left="0"/>
      </w:pPr>
      <w:r w:rsidRPr="00330234">
        <w:t>Voor instructies over verdunning van het geneesmiddel voorafgaand aan toediening, zie rubriek 6.6.</w:t>
      </w:r>
    </w:p>
    <w:p w14:paraId="06C2262C" w14:textId="77777777" w:rsidR="00BD109B" w:rsidRPr="00330234" w:rsidRDefault="00BD109B" w:rsidP="00BD109B">
      <w:pPr>
        <w:pStyle w:val="a3"/>
        <w:widowControl/>
        <w:ind w:left="0"/>
      </w:pPr>
    </w:p>
    <w:p w14:paraId="03FC2349" w14:textId="06B271BD" w:rsidR="00436DAA" w:rsidRPr="00330234" w:rsidRDefault="009B4B8E" w:rsidP="00BD109B">
      <w:pPr>
        <w:pStyle w:val="a3"/>
        <w:widowControl/>
        <w:ind w:left="0"/>
      </w:pPr>
      <w:r w:rsidRPr="00330234">
        <w:t>sJIA-, pJIA- en CRS-patiënten &lt; 30 kg</w:t>
      </w:r>
    </w:p>
    <w:p w14:paraId="7AE2597E" w14:textId="618CA3FA" w:rsidR="00436DAA" w:rsidRPr="00330234" w:rsidRDefault="0010476C" w:rsidP="00BD109B">
      <w:pPr>
        <w:pStyle w:val="a3"/>
        <w:widowControl/>
        <w:ind w:left="0"/>
      </w:pPr>
      <w:r w:rsidRPr="00330234">
        <w:t>Avtozma</w:t>
      </w:r>
      <w:r w:rsidR="009B4B8E" w:rsidRPr="00330234">
        <w:t xml:space="preserve"> dient aseptisch te worden verdund tot een eindvolume van 50 ml, met steriele, pyrogeenvrije natriumchloride 9 mg/ml (0,9%) </w:t>
      </w:r>
      <w:r w:rsidR="000E7EAB">
        <w:t>of 4,5 mg/ml (0,45%)</w:t>
      </w:r>
      <w:r w:rsidR="000E7EAB" w:rsidRPr="00330234">
        <w:t xml:space="preserve"> </w:t>
      </w:r>
      <w:r w:rsidR="009B4B8E" w:rsidRPr="00330234">
        <w:t>oplossing voor injectie.</w:t>
      </w:r>
    </w:p>
    <w:p w14:paraId="4C507A95" w14:textId="77777777" w:rsidR="00BD109B" w:rsidRPr="00330234" w:rsidRDefault="00BD109B" w:rsidP="00BD109B">
      <w:pPr>
        <w:pStyle w:val="a3"/>
        <w:widowControl/>
        <w:ind w:left="0"/>
      </w:pPr>
    </w:p>
    <w:p w14:paraId="58903CE5" w14:textId="77777777" w:rsidR="00436DAA" w:rsidRPr="00330234" w:rsidRDefault="009B4B8E" w:rsidP="00BD109B">
      <w:pPr>
        <w:pStyle w:val="a3"/>
        <w:widowControl/>
        <w:ind w:left="0"/>
      </w:pPr>
      <w:r w:rsidRPr="00330234">
        <w:t>Voor instructies over verdunning van het geneesmiddel voorafgaand aan toediening, zie rubriek 6.6.</w:t>
      </w:r>
    </w:p>
    <w:p w14:paraId="307CFC6D" w14:textId="77777777" w:rsidR="00436DAA" w:rsidRPr="00330234" w:rsidRDefault="00436DAA" w:rsidP="00BD109B">
      <w:pPr>
        <w:pStyle w:val="a3"/>
        <w:widowControl/>
        <w:ind w:left="0"/>
      </w:pPr>
    </w:p>
    <w:p w14:paraId="45ECB644" w14:textId="77777777" w:rsidR="00436DAA" w:rsidRPr="00330234" w:rsidRDefault="009B4B8E" w:rsidP="00BD109B">
      <w:pPr>
        <w:pStyle w:val="a3"/>
        <w:widowControl/>
        <w:ind w:left="0"/>
      </w:pPr>
      <w:r w:rsidRPr="00330234">
        <w:t>Wanneer klachten en symptomen van een infusiegerelateerde reactie optreden, vertraag of stop dan de infusie en dien onmiddellijk passende medicatie/ondersteunende zorg toe, zie rubriek 4.4.</w:t>
      </w:r>
    </w:p>
    <w:p w14:paraId="25193249" w14:textId="77777777" w:rsidR="00436DAA" w:rsidRPr="00330234" w:rsidRDefault="00436DAA" w:rsidP="00BD109B">
      <w:pPr>
        <w:pStyle w:val="a3"/>
        <w:widowControl/>
        <w:ind w:left="0"/>
      </w:pPr>
    </w:p>
    <w:p w14:paraId="52AADD5B" w14:textId="044EC4EC" w:rsidR="00436DAA" w:rsidRPr="00330234" w:rsidRDefault="005328BF" w:rsidP="00BD109B">
      <w:pPr>
        <w:pStyle w:val="Style1"/>
      </w:pPr>
      <w:r w:rsidRPr="00330234">
        <w:t>4.3</w:t>
      </w:r>
      <w:r w:rsidRPr="00330234">
        <w:tab/>
      </w:r>
      <w:r w:rsidR="009B4B8E" w:rsidRPr="00330234">
        <w:t>Contra-indicaties</w:t>
      </w:r>
    </w:p>
    <w:p w14:paraId="4B6C3AEC" w14:textId="77777777" w:rsidR="00BD109B" w:rsidRPr="00330234" w:rsidRDefault="00BD109B" w:rsidP="00BD109B">
      <w:pPr>
        <w:pStyle w:val="a3"/>
        <w:widowControl/>
        <w:ind w:left="0"/>
      </w:pPr>
    </w:p>
    <w:p w14:paraId="077FCAE2" w14:textId="77777777" w:rsidR="00BD109B" w:rsidRPr="00330234" w:rsidRDefault="009B4B8E" w:rsidP="00BD109B">
      <w:pPr>
        <w:pStyle w:val="a3"/>
        <w:widowControl/>
        <w:ind w:left="0"/>
      </w:pPr>
      <w:r w:rsidRPr="00330234">
        <w:t xml:space="preserve">Overgevoeligheid voor de werkzame stof of voor een van de in rubriek 6.1 vermelde hulpstoffen. </w:t>
      </w:r>
    </w:p>
    <w:p w14:paraId="1EEAB947" w14:textId="77777777" w:rsidR="00AE15A4" w:rsidRPr="00330234" w:rsidRDefault="00AE15A4" w:rsidP="00BD109B">
      <w:pPr>
        <w:pStyle w:val="a3"/>
        <w:widowControl/>
        <w:ind w:left="0"/>
      </w:pPr>
    </w:p>
    <w:p w14:paraId="7FFAC6CB" w14:textId="24745B99" w:rsidR="00436DAA" w:rsidRPr="00330234" w:rsidRDefault="009B4B8E" w:rsidP="00BD109B">
      <w:pPr>
        <w:pStyle w:val="a3"/>
        <w:widowControl/>
        <w:ind w:left="0"/>
      </w:pPr>
      <w:r w:rsidRPr="00330234">
        <w:t>Actieve, ernstige infecties met uitzondering van COVID-19 (zie rubriek 4.4).</w:t>
      </w:r>
    </w:p>
    <w:p w14:paraId="53E07F65" w14:textId="77777777" w:rsidR="00BD109B" w:rsidRPr="00330234" w:rsidRDefault="00BD109B" w:rsidP="00BD109B">
      <w:pPr>
        <w:pStyle w:val="a3"/>
        <w:widowControl/>
        <w:ind w:left="0"/>
      </w:pPr>
    </w:p>
    <w:p w14:paraId="52A958AC" w14:textId="072DD4F1" w:rsidR="00436DAA" w:rsidRPr="00330234" w:rsidRDefault="005328BF" w:rsidP="00BD109B">
      <w:pPr>
        <w:pStyle w:val="Style1"/>
      </w:pPr>
      <w:r w:rsidRPr="00330234">
        <w:t>4.4</w:t>
      </w:r>
      <w:r w:rsidRPr="00330234">
        <w:tab/>
      </w:r>
      <w:r w:rsidR="009B4B8E" w:rsidRPr="00330234">
        <w:t>Bijzondere waarschuwingen en voorzorgen bij gebruik</w:t>
      </w:r>
    </w:p>
    <w:p w14:paraId="0F473F76" w14:textId="77777777" w:rsidR="00BD109B" w:rsidRPr="00330234" w:rsidRDefault="00BD109B" w:rsidP="00BD109B">
      <w:pPr>
        <w:pStyle w:val="Style1"/>
        <w:rPr>
          <w:b w:val="0"/>
          <w:bCs w:val="0"/>
        </w:rPr>
      </w:pPr>
    </w:p>
    <w:p w14:paraId="45BBB34C" w14:textId="77777777" w:rsidR="00436DAA" w:rsidRPr="00330234" w:rsidRDefault="009B4B8E" w:rsidP="00BD109B">
      <w:pPr>
        <w:widowControl/>
        <w:rPr>
          <w:i/>
        </w:rPr>
      </w:pPr>
      <w:r w:rsidRPr="00330234">
        <w:rPr>
          <w:i/>
        </w:rPr>
        <w:t>Terugvinden herkomst</w:t>
      </w:r>
    </w:p>
    <w:p w14:paraId="4CDA4B44" w14:textId="77777777" w:rsidR="00436DAA" w:rsidRPr="00330234" w:rsidRDefault="009B4B8E" w:rsidP="00BD109B">
      <w:pPr>
        <w:pStyle w:val="a3"/>
        <w:widowControl/>
        <w:ind w:left="0"/>
      </w:pPr>
      <w:r w:rsidRPr="00330234">
        <w:t>Om het terugvinden van de herkomst van biologicals te verbeteren moeten de naam en het batchnummer van het toegediende product goed geregistreerd worden.</w:t>
      </w:r>
    </w:p>
    <w:p w14:paraId="11B2CC2D" w14:textId="77777777" w:rsidR="00BD109B" w:rsidRPr="00330234" w:rsidRDefault="00BD109B" w:rsidP="00BD109B">
      <w:pPr>
        <w:pStyle w:val="a3"/>
        <w:widowControl/>
        <w:ind w:left="0"/>
      </w:pPr>
    </w:p>
    <w:p w14:paraId="6D8655AE" w14:textId="3B5A4917" w:rsidR="00436DAA" w:rsidRPr="00330234" w:rsidRDefault="009B4B8E" w:rsidP="001B3E1E">
      <w:pPr>
        <w:pStyle w:val="a3"/>
        <w:keepNext/>
        <w:keepLines/>
        <w:widowControl/>
        <w:ind w:left="0"/>
      </w:pPr>
      <w:r w:rsidRPr="00330234">
        <w:t>RA, pJIA en sJIA patiënten</w:t>
      </w:r>
    </w:p>
    <w:p w14:paraId="5591D637" w14:textId="77777777" w:rsidR="00436DAA" w:rsidRPr="00330234" w:rsidRDefault="00436DAA" w:rsidP="001B3E1E">
      <w:pPr>
        <w:pStyle w:val="a3"/>
        <w:keepNext/>
        <w:keepLines/>
        <w:widowControl/>
        <w:ind w:left="0"/>
      </w:pPr>
    </w:p>
    <w:p w14:paraId="56D3EC4C" w14:textId="77777777" w:rsidR="00436DAA" w:rsidRPr="00330234" w:rsidRDefault="009B4B8E" w:rsidP="001B3E1E">
      <w:pPr>
        <w:keepNext/>
        <w:keepLines/>
        <w:widowControl/>
        <w:rPr>
          <w:i/>
        </w:rPr>
      </w:pPr>
      <w:r w:rsidRPr="00330234">
        <w:rPr>
          <w:i/>
        </w:rPr>
        <w:t>Infecties</w:t>
      </w:r>
    </w:p>
    <w:p w14:paraId="78E07587" w14:textId="47B0C44D" w:rsidR="00436DAA" w:rsidRPr="00330234" w:rsidRDefault="009B4B8E" w:rsidP="00BD109B">
      <w:pPr>
        <w:pStyle w:val="a3"/>
        <w:widowControl/>
        <w:ind w:left="0"/>
      </w:pPr>
      <w:r w:rsidRPr="00330234">
        <w:t xml:space="preserve">Ernstige en soms fatale infecties zijn gemeld bij patiënten die immunosuppressiva kregen, waaronder </w:t>
      </w:r>
      <w:r w:rsidR="00185EC0" w:rsidRPr="00330234">
        <w:t>tocilizumab</w:t>
      </w:r>
      <w:r w:rsidRPr="00330234">
        <w:t xml:space="preserve"> (zie rubriek 4.8, Bijwerkingen). Een behandeling met </w:t>
      </w:r>
      <w:r w:rsidR="00185EC0" w:rsidRPr="00330234">
        <w:t>Avtozma</w:t>
      </w:r>
      <w:r w:rsidRPr="00330234">
        <w:t xml:space="preserve"> mag niet worden gestart bij patiënten met actieve infecties (zie rubriek 4.3). Indien de patiënt een ernstige infectie ontwikkelt, moet de behandeling met </w:t>
      </w:r>
      <w:r w:rsidR="00185EC0" w:rsidRPr="00330234">
        <w:t>tocilizumab</w:t>
      </w:r>
      <w:r w:rsidRPr="00330234">
        <w:t xml:space="preserve"> worden onderbroken totdat de infectie onder controle is (zie</w:t>
      </w:r>
      <w:r w:rsidR="00BD109B" w:rsidRPr="00330234">
        <w:t xml:space="preserve"> </w:t>
      </w:r>
      <w:r w:rsidRPr="00330234">
        <w:t xml:space="preserve">rubriek 4.8). Beroepsbeoefenaren in de gezondheidszorg moeten de nodige voorzichtigheid betrachten wanneer wordt overwogen om </w:t>
      </w:r>
      <w:r w:rsidR="00185EC0" w:rsidRPr="00330234">
        <w:t>Avtozma</w:t>
      </w:r>
      <w:r w:rsidRPr="00330234">
        <w:t xml:space="preserve"> te gebruiken bij patiënten met een voorgeschiedenis van terugkerende of chronische infecties of bij patiënten met onderliggende aandoeningen die predisponerend kunnen zijn voor infecties (bijv. diverticulitis, diabetes en interstitiële longziekte).</w:t>
      </w:r>
    </w:p>
    <w:p w14:paraId="5609BFD7" w14:textId="77777777" w:rsidR="00436DAA" w:rsidRPr="00330234" w:rsidRDefault="00436DAA" w:rsidP="00BD109B">
      <w:pPr>
        <w:pStyle w:val="a3"/>
        <w:widowControl/>
        <w:ind w:left="0"/>
      </w:pPr>
    </w:p>
    <w:p w14:paraId="4F11886D" w14:textId="77777777" w:rsidR="00436DAA" w:rsidRPr="00330234" w:rsidRDefault="009B4B8E" w:rsidP="00BD109B">
      <w:pPr>
        <w:pStyle w:val="a3"/>
        <w:widowControl/>
        <w:ind w:left="0"/>
      </w:pPr>
      <w:r w:rsidRPr="00330234">
        <w:lastRenderedPageBreak/>
        <w:t>Oplettendheid voor tijdige detectie van ernstige infecties wordt aanbevolen bij patiënten die met biologicals worden behandeld omdat klachten en symptomen van een acute ontsteking kunnen afnemen in associatie met de onderdrukking van de acutefase-reactie. Er moet rekening worden gehouden met de invloed van tocilizumab op C-reactieve proteïne (CRP), neutrofielen en klachten en symptomen van infecties wanneer een patiënt wordt beoordeeld op een potentiële infectie. Patiënten (waaronder jonge kinderen met sJIA of pJIA die misschien minder goed in staat zijn om hun symptomen aan te geven) en ouders/voogden van sJIA- en pJIA-patiënten, moeten worden geïnstrueerd om hun beroepsbeoefenaar in de gezondheidszorg onmiddellijk te waarschuwen bij het optreden van symptomen die wijzen op het ontstaan van een infectie, zodat de patiënt verzekerd is van een snelle evaluatie en passende behandeling.</w:t>
      </w:r>
    </w:p>
    <w:p w14:paraId="38A3D8DF" w14:textId="77777777" w:rsidR="00BD109B" w:rsidRPr="00330234" w:rsidRDefault="00BD109B" w:rsidP="00BD109B">
      <w:pPr>
        <w:pStyle w:val="a3"/>
        <w:widowControl/>
        <w:ind w:left="0"/>
      </w:pPr>
    </w:p>
    <w:p w14:paraId="6EAB97F5" w14:textId="77777777" w:rsidR="00436DAA" w:rsidRPr="00330234" w:rsidRDefault="009B4B8E" w:rsidP="00BD109B">
      <w:pPr>
        <w:widowControl/>
        <w:rPr>
          <w:i/>
        </w:rPr>
      </w:pPr>
      <w:r w:rsidRPr="00330234">
        <w:rPr>
          <w:i/>
        </w:rPr>
        <w:t>Tuberculose</w:t>
      </w:r>
    </w:p>
    <w:p w14:paraId="47F19474" w14:textId="18C1D208" w:rsidR="00436DAA" w:rsidRPr="00330234" w:rsidRDefault="009B4B8E" w:rsidP="00BD109B">
      <w:pPr>
        <w:pStyle w:val="a3"/>
        <w:widowControl/>
        <w:ind w:left="0"/>
      </w:pPr>
      <w:r w:rsidRPr="00330234">
        <w:t xml:space="preserve">Zoals ook bij andere behandelingen met biologicals wordt aanbevolen, moeten RA-, sJIA- en pJIA- patiënten worden gescreend op latente tuberculose-infectie voorafgaand aan het starten van de behandeling met </w:t>
      </w:r>
      <w:r w:rsidR="00185EC0" w:rsidRPr="00330234">
        <w:t>Avtozma</w:t>
      </w:r>
      <w:r w:rsidRPr="00330234">
        <w:t xml:space="preserve">. Patiënten met latente tuberculose moeten zijn gestart met standaard antimycobacteriële therapie voor aanvang van de behandeling met </w:t>
      </w:r>
      <w:r w:rsidR="00185EC0" w:rsidRPr="00330234">
        <w:t>Avtozma</w:t>
      </w:r>
      <w:r w:rsidRPr="00330234">
        <w:t>. Voorschrijvers worden herinnerd aan het risico op vals-negatieve resultaten van tuberculinehuidtesten en interferon-gamma tuberculosebloedonderzoek, in het bijzonder bij patiënten die ernstig ziek zijn of een verzwakt immuunsysteem hebben.</w:t>
      </w:r>
    </w:p>
    <w:p w14:paraId="19D90920" w14:textId="77777777" w:rsidR="00436DAA" w:rsidRPr="00330234" w:rsidRDefault="00436DAA" w:rsidP="00BD109B">
      <w:pPr>
        <w:pStyle w:val="a3"/>
        <w:widowControl/>
        <w:ind w:left="0"/>
      </w:pPr>
    </w:p>
    <w:p w14:paraId="363FC214" w14:textId="5EA329F0" w:rsidR="00436DAA" w:rsidRPr="00330234" w:rsidRDefault="009B4B8E" w:rsidP="00BD109B">
      <w:pPr>
        <w:pStyle w:val="a3"/>
        <w:widowControl/>
        <w:ind w:left="0"/>
      </w:pPr>
      <w:r w:rsidRPr="00330234">
        <w:t xml:space="preserve">Patiënten moeten geïnstrueerd worden om medisch advies te vragen als gedurende of na de behandeling met </w:t>
      </w:r>
      <w:r w:rsidR="00185EC0" w:rsidRPr="00330234">
        <w:t>Avtozma</w:t>
      </w:r>
      <w:r w:rsidRPr="00330234">
        <w:t xml:space="preserve"> klachten/symptomen optreden (bijv. aanhoudende hoest, gewichtsverlies, lichte koorts) die kunnen wijzen op een tuberculose-infectie.</w:t>
      </w:r>
    </w:p>
    <w:p w14:paraId="6F1435AB" w14:textId="77777777" w:rsidR="00BD109B" w:rsidRPr="00330234" w:rsidRDefault="00BD109B" w:rsidP="00BD109B">
      <w:pPr>
        <w:pStyle w:val="a3"/>
        <w:widowControl/>
        <w:ind w:left="0"/>
      </w:pPr>
    </w:p>
    <w:p w14:paraId="47054E9C" w14:textId="77777777" w:rsidR="00436DAA" w:rsidRPr="00330234" w:rsidRDefault="009B4B8E" w:rsidP="00BD109B">
      <w:pPr>
        <w:widowControl/>
        <w:rPr>
          <w:i/>
        </w:rPr>
      </w:pPr>
      <w:r w:rsidRPr="00330234">
        <w:rPr>
          <w:i/>
        </w:rPr>
        <w:t>Virale reactivatie</w:t>
      </w:r>
    </w:p>
    <w:p w14:paraId="31A58C3E" w14:textId="77777777" w:rsidR="00436DAA" w:rsidRPr="00330234" w:rsidRDefault="009B4B8E" w:rsidP="00BD109B">
      <w:pPr>
        <w:pStyle w:val="a3"/>
        <w:widowControl/>
        <w:ind w:left="0"/>
      </w:pPr>
      <w:r w:rsidRPr="00330234">
        <w:t>Virale reactivatie (bijv. Hepatitis B-virus) is gemeld bij behandeling met biologicals voor RA. Bij klinische studies met tocilizumab werden patiënten die bij de screening positief waren voor hepatitis, geëxcludeerd.</w:t>
      </w:r>
    </w:p>
    <w:p w14:paraId="5EB54352" w14:textId="77777777" w:rsidR="00BD109B" w:rsidRPr="00330234" w:rsidRDefault="00BD109B" w:rsidP="00BD109B">
      <w:pPr>
        <w:pStyle w:val="a3"/>
        <w:widowControl/>
        <w:ind w:left="0"/>
      </w:pPr>
    </w:p>
    <w:p w14:paraId="3701EAA2" w14:textId="77777777" w:rsidR="00436DAA" w:rsidRPr="00330234" w:rsidRDefault="009B4B8E" w:rsidP="00BD109B">
      <w:pPr>
        <w:widowControl/>
        <w:rPr>
          <w:i/>
        </w:rPr>
      </w:pPr>
      <w:r w:rsidRPr="00330234">
        <w:rPr>
          <w:i/>
        </w:rPr>
        <w:t>Complicaties van diverticulitis</w:t>
      </w:r>
    </w:p>
    <w:p w14:paraId="5F9326F6" w14:textId="1624513A" w:rsidR="00436DAA" w:rsidRPr="00330234" w:rsidRDefault="009B4B8E" w:rsidP="00BD109B">
      <w:pPr>
        <w:pStyle w:val="a3"/>
        <w:widowControl/>
        <w:ind w:left="0"/>
      </w:pPr>
      <w:r w:rsidRPr="00330234">
        <w:t xml:space="preserve">Gevallen van diverticulaire perforatie als complicatie van diverticulitis zijn soms gemeld bij de behandeling van RA-patiënten met </w:t>
      </w:r>
      <w:r w:rsidR="00185EC0" w:rsidRPr="00330234">
        <w:t>tocilizumab</w:t>
      </w:r>
      <w:r w:rsidRPr="00330234">
        <w:t xml:space="preserve"> (zie rubriek 4.8). Voorzichtigheid moet worden betracht wanneer </w:t>
      </w:r>
      <w:r w:rsidR="00185EC0" w:rsidRPr="00330234">
        <w:t>Avtozma</w:t>
      </w:r>
      <w:r w:rsidRPr="00330234">
        <w:t xml:space="preserve"> wordt gebruikt bij patiënten met een voorgeschiedenis van intestinale ulcera of diverticulitis. Patiënten met symptomen die een mogelijke indicatie kunnen zijn voor gecompliceerde diverticulitis zoals buikpijn, hemorragie en/of onverklaarbare verandering van de stoelgang met koorts moeten direct worden geëvalueerd. Dit om een vroegtijdige identificatie van diverticulitis, die geassocieerd kan zijn met gastro-intestinale perforatie, te bewerkstelligen.</w:t>
      </w:r>
    </w:p>
    <w:p w14:paraId="5E40961E" w14:textId="77777777" w:rsidR="00BD109B" w:rsidRPr="00330234" w:rsidRDefault="00BD109B" w:rsidP="00BD109B">
      <w:pPr>
        <w:pStyle w:val="a3"/>
        <w:widowControl/>
        <w:ind w:left="0"/>
      </w:pPr>
    </w:p>
    <w:p w14:paraId="2B4A8A9A" w14:textId="77777777" w:rsidR="00436DAA" w:rsidRPr="00330234" w:rsidRDefault="009B4B8E" w:rsidP="00BD109B">
      <w:pPr>
        <w:widowControl/>
        <w:rPr>
          <w:i/>
        </w:rPr>
      </w:pPr>
      <w:r w:rsidRPr="00330234">
        <w:rPr>
          <w:i/>
        </w:rPr>
        <w:t>Overgevoeligheidsreacties</w:t>
      </w:r>
    </w:p>
    <w:p w14:paraId="65B40A9D" w14:textId="6303D488" w:rsidR="00436DAA" w:rsidRPr="00330234" w:rsidRDefault="009B4B8E" w:rsidP="00BD109B">
      <w:pPr>
        <w:pStyle w:val="a3"/>
        <w:widowControl/>
        <w:ind w:left="0"/>
      </w:pPr>
      <w:r w:rsidRPr="00330234">
        <w:t xml:space="preserve">Er zijn ernstige overgevoeligheidsreacties, waaronder anafylaxie, gemeld die worden geassocieerd met de infusie van </w:t>
      </w:r>
      <w:r w:rsidR="00185EC0" w:rsidRPr="00330234">
        <w:t>tocilizumab</w:t>
      </w:r>
      <w:r w:rsidRPr="00330234">
        <w:t xml:space="preserve"> (zie rubriek 4.8). Dergelijke reacties kunnen ernstiger en mogelijk fataal zijn bij patiënten die tijdens eerdere infusies overgevoeligheidsreacties hebben ervaren, zelfs als ze premedicatie met steroïden en antihistaminica hebben ontvangen. Voor het geval van een anafylactische reactie tijdens de behandeling met </w:t>
      </w:r>
      <w:r w:rsidR="00185EC0" w:rsidRPr="00330234">
        <w:t>Avtozma</w:t>
      </w:r>
      <w:r w:rsidRPr="00330234">
        <w:t xml:space="preserve">, moet adequate behandeling voor direct gebruik beschikbaar te zijn. Als er een anafylactische reactie of andere ernstige overgevoeligheidsreactie/ ernstige infusiegerelateerde reactie optreedt, moet de toediening van </w:t>
      </w:r>
      <w:r w:rsidR="00185EC0" w:rsidRPr="00330234">
        <w:t>Avtozma</w:t>
      </w:r>
      <w:r w:rsidRPr="00330234">
        <w:t xml:space="preserve"> onmiddellijk worden gestopt en moet de behandeling met </w:t>
      </w:r>
      <w:r w:rsidR="00185EC0" w:rsidRPr="00330234">
        <w:t>Avtozma</w:t>
      </w:r>
      <w:r w:rsidRPr="00330234">
        <w:t xml:space="preserve"> permanent gestaakt worden.</w:t>
      </w:r>
    </w:p>
    <w:p w14:paraId="47080C9D" w14:textId="77777777" w:rsidR="00436DAA" w:rsidRPr="00330234" w:rsidRDefault="00436DAA" w:rsidP="00BD109B">
      <w:pPr>
        <w:pStyle w:val="a3"/>
        <w:widowControl/>
        <w:ind w:left="0"/>
      </w:pPr>
    </w:p>
    <w:p w14:paraId="1AD8CC3D" w14:textId="77777777" w:rsidR="00436DAA" w:rsidRPr="00330234" w:rsidRDefault="009B4B8E" w:rsidP="00BD109B">
      <w:pPr>
        <w:widowControl/>
        <w:rPr>
          <w:i/>
        </w:rPr>
      </w:pPr>
      <w:r w:rsidRPr="00330234">
        <w:rPr>
          <w:i/>
        </w:rPr>
        <w:t>Actieve leveraandoening en verminderde leverfunctie</w:t>
      </w:r>
    </w:p>
    <w:p w14:paraId="00B4258C" w14:textId="24FD4C0F" w:rsidR="00436DAA" w:rsidRPr="00330234" w:rsidRDefault="009B4B8E" w:rsidP="00BD109B">
      <w:pPr>
        <w:pStyle w:val="a3"/>
        <w:widowControl/>
        <w:ind w:left="0"/>
      </w:pPr>
      <w:r w:rsidRPr="00330234">
        <w:t xml:space="preserve">Behandeling met </w:t>
      </w:r>
      <w:r w:rsidR="00185EC0" w:rsidRPr="00330234">
        <w:t>tocilizumab</w:t>
      </w:r>
      <w:r w:rsidRPr="00330234">
        <w:t>, met name bij gelijktijdige toediening met MTX, kan worden geassocieerd met een stijging van de levertransaminasen. Daarom moet de nodige voorzichtigheid</w:t>
      </w:r>
      <w:r w:rsidR="00BD109B" w:rsidRPr="00330234">
        <w:t xml:space="preserve"> </w:t>
      </w:r>
      <w:r w:rsidRPr="00330234">
        <w:t>betracht worden wanneer een behandeling wordt overwogen bij patiënten met een actieve leveraandoening of een verminderde leverfunctie (zie rubriek 4.2 en 4.8).</w:t>
      </w:r>
    </w:p>
    <w:p w14:paraId="1A111838" w14:textId="77777777" w:rsidR="00436DAA" w:rsidRPr="00330234" w:rsidRDefault="00436DAA" w:rsidP="00BD109B">
      <w:pPr>
        <w:pStyle w:val="a3"/>
        <w:widowControl/>
        <w:ind w:left="0"/>
      </w:pPr>
    </w:p>
    <w:p w14:paraId="1CDAE434" w14:textId="77777777" w:rsidR="00436DAA" w:rsidRPr="00330234" w:rsidRDefault="009B4B8E" w:rsidP="001B3E1E">
      <w:pPr>
        <w:keepNext/>
        <w:keepLines/>
        <w:widowControl/>
        <w:rPr>
          <w:i/>
        </w:rPr>
      </w:pPr>
      <w:r w:rsidRPr="00330234">
        <w:rPr>
          <w:i/>
        </w:rPr>
        <w:lastRenderedPageBreak/>
        <w:t>Levertoxiciteit</w:t>
      </w:r>
    </w:p>
    <w:p w14:paraId="1471654A" w14:textId="6C6673A4" w:rsidR="00436DAA" w:rsidRPr="00330234" w:rsidRDefault="009B4B8E" w:rsidP="001B3E1E">
      <w:pPr>
        <w:pStyle w:val="a3"/>
        <w:keepNext/>
        <w:keepLines/>
        <w:widowControl/>
        <w:ind w:left="0"/>
      </w:pPr>
      <w:r w:rsidRPr="00330234">
        <w:t xml:space="preserve">Voorbijgaande of intermitterende lichte en matige stijgingen van levertransaminasen zijn vaak gemeld bij behandeling met </w:t>
      </w:r>
      <w:r w:rsidR="00185EC0" w:rsidRPr="00330234">
        <w:t>tocilizumab</w:t>
      </w:r>
      <w:r w:rsidRPr="00330234">
        <w:t xml:space="preserve"> (zie rubriek 4.8). Een toename in frequentie van deze stijgingen werd waargenomen wanneer een potentieel hepatotoxisch middel (bijv. MTX) in combinatie met </w:t>
      </w:r>
      <w:r w:rsidR="00185EC0" w:rsidRPr="00330234">
        <w:t>tocilizumab</w:t>
      </w:r>
      <w:r w:rsidRPr="00330234">
        <w:t xml:space="preserve"> werd gebruikt. Andere leverfunctietesten, waaronder bilirubine, moeten worden overwogen wanneer dit klinisch geïndiceerd is.</w:t>
      </w:r>
    </w:p>
    <w:p w14:paraId="5D47812A" w14:textId="77777777" w:rsidR="00436DAA" w:rsidRPr="00330234" w:rsidRDefault="00436DAA" w:rsidP="00BD109B">
      <w:pPr>
        <w:pStyle w:val="a3"/>
        <w:widowControl/>
        <w:ind w:left="0"/>
      </w:pPr>
    </w:p>
    <w:p w14:paraId="1B331013" w14:textId="1457264F" w:rsidR="00436DAA" w:rsidRPr="00330234" w:rsidRDefault="009B4B8E" w:rsidP="00BD109B">
      <w:pPr>
        <w:pStyle w:val="a3"/>
        <w:widowControl/>
        <w:ind w:left="0"/>
      </w:pPr>
      <w:r w:rsidRPr="00330234">
        <w:t xml:space="preserve">Ernstige geneesmiddel-geïnduceerde leverschade, waaronder acuut leverfalen, hepatitis en geelzucht, zijn waargenomen bij </w:t>
      </w:r>
      <w:r w:rsidR="00185EC0" w:rsidRPr="00330234">
        <w:t>tocilizumab</w:t>
      </w:r>
      <w:r w:rsidRPr="00330234">
        <w:t xml:space="preserve"> (zie rubriek 4.8). Ernstige leverschade trad op tussen de 2 weken tot meer dan 5 jaar na het starten van </w:t>
      </w:r>
      <w:r w:rsidR="00185EC0" w:rsidRPr="00330234">
        <w:t>tocilizumab</w:t>
      </w:r>
      <w:r w:rsidRPr="00330234">
        <w:t>. Gevallen van acuut leverfalen zijn gemeld waarbij een levertransplantatie nodig was. Adviseer patiënten onmiddellijk medische hulp te zoeken bij verschijnselen van leverschade.</w:t>
      </w:r>
    </w:p>
    <w:p w14:paraId="0C3122E6" w14:textId="77777777" w:rsidR="00BD109B" w:rsidRPr="00330234" w:rsidRDefault="00BD109B" w:rsidP="00BD109B">
      <w:pPr>
        <w:pStyle w:val="a3"/>
        <w:widowControl/>
        <w:ind w:left="0"/>
      </w:pPr>
    </w:p>
    <w:p w14:paraId="10FC629A" w14:textId="6E655733" w:rsidR="00436DAA" w:rsidRPr="00330234" w:rsidRDefault="009B4B8E" w:rsidP="00BD109B">
      <w:pPr>
        <w:pStyle w:val="a3"/>
        <w:widowControl/>
        <w:ind w:left="0"/>
      </w:pPr>
      <w:r w:rsidRPr="00330234">
        <w:t xml:space="preserve">Voorzichtigheid is geboden wanneer men overweegt de behandeling met </w:t>
      </w:r>
      <w:r w:rsidR="00185EC0" w:rsidRPr="00330234">
        <w:t>Avtozma</w:t>
      </w:r>
      <w:r w:rsidRPr="00330234">
        <w:t xml:space="preserve"> te starten bij patiënten met verhoogde ALAT- of ASAT-waarden van &gt; 1,5 x ULN. Bij patiënten met RA, pJIA en sJIA met een ALAT of ASAT van &gt; 5 x ULN op baseline, wordt de behandeling niet aanbevolen.</w:t>
      </w:r>
    </w:p>
    <w:p w14:paraId="3D5F5C2D" w14:textId="77777777" w:rsidR="00436DAA" w:rsidRPr="00330234" w:rsidRDefault="00436DAA" w:rsidP="00BD109B">
      <w:pPr>
        <w:pStyle w:val="a3"/>
        <w:widowControl/>
        <w:ind w:left="0"/>
      </w:pPr>
    </w:p>
    <w:p w14:paraId="0E6006F6" w14:textId="667FA0B3" w:rsidR="00436DAA" w:rsidRPr="00330234" w:rsidRDefault="009B4B8E" w:rsidP="00BD109B">
      <w:pPr>
        <w:pStyle w:val="a3"/>
        <w:widowControl/>
        <w:ind w:left="0"/>
      </w:pPr>
      <w:r w:rsidRPr="00330234">
        <w:t xml:space="preserve">Bij patiënten met RA, pJIA en sJIA moeten de ALAT/ASAT-waarden elke 4 tot 8 weken worden gecontroleerd tijdens de eerste 6 maanden van de behandeling en daarna elke 12 weken. Voor de aanbevolen dosisaanpassingen, inclusief staken van de behandeling met </w:t>
      </w:r>
      <w:r w:rsidR="00B14748" w:rsidRPr="00330234">
        <w:t>Avtozma</w:t>
      </w:r>
      <w:r w:rsidRPr="00330234">
        <w:t xml:space="preserve">, op basis van levertransaminasenspiegels, zie rubriek 4.2. Bij een ALAT- of ASAT-stijging van &gt; 3-5 x ULN, die bevestigd is middels herhaald onderzoek, moet de behandeling met </w:t>
      </w:r>
      <w:r w:rsidR="00B14748" w:rsidRPr="00330234">
        <w:t>Avtozma</w:t>
      </w:r>
      <w:r w:rsidRPr="00330234">
        <w:t xml:space="preserve"> worden onderbroken.</w:t>
      </w:r>
    </w:p>
    <w:p w14:paraId="33378A75" w14:textId="77777777" w:rsidR="00BD109B" w:rsidRPr="00330234" w:rsidRDefault="00BD109B" w:rsidP="00BD109B">
      <w:pPr>
        <w:pStyle w:val="a3"/>
        <w:widowControl/>
        <w:ind w:left="0"/>
      </w:pPr>
    </w:p>
    <w:p w14:paraId="14F7D254" w14:textId="77777777" w:rsidR="00436DAA" w:rsidRPr="00330234" w:rsidRDefault="009B4B8E" w:rsidP="00BD109B">
      <w:pPr>
        <w:widowControl/>
        <w:rPr>
          <w:i/>
        </w:rPr>
      </w:pPr>
      <w:r w:rsidRPr="00330234">
        <w:rPr>
          <w:i/>
        </w:rPr>
        <w:t>Hematologische afwijkingen</w:t>
      </w:r>
    </w:p>
    <w:p w14:paraId="024C9485" w14:textId="77777777" w:rsidR="00436DAA" w:rsidRPr="00330234" w:rsidRDefault="009B4B8E" w:rsidP="00BD109B">
      <w:pPr>
        <w:pStyle w:val="a3"/>
        <w:widowControl/>
        <w:ind w:left="0"/>
      </w:pPr>
      <w:r w:rsidRPr="00330234">
        <w:t>Een afname van het aantal neutrofielen en trombocyten is waargenomen bij de behandeling met tocilizumab 8 mg/kg in combinatie met MTX (zie rubriek 4.8). Er kan een verhoogd risico zijn op neutropenie bij patiënten die in het verleden met TNF antagonisten zijn behandeld.</w:t>
      </w:r>
    </w:p>
    <w:p w14:paraId="23BD0632" w14:textId="77777777" w:rsidR="00BD109B" w:rsidRPr="00330234" w:rsidRDefault="00BD109B" w:rsidP="00BD109B">
      <w:pPr>
        <w:pStyle w:val="a3"/>
        <w:widowControl/>
        <w:ind w:left="0"/>
      </w:pPr>
    </w:p>
    <w:p w14:paraId="11A62A8B" w14:textId="73C6E087" w:rsidR="00436DAA" w:rsidRPr="00330234" w:rsidRDefault="009B4B8E" w:rsidP="00BD109B">
      <w:pPr>
        <w:pStyle w:val="a3"/>
        <w:widowControl/>
        <w:ind w:left="0"/>
      </w:pPr>
      <w:r w:rsidRPr="00330234">
        <w:t xml:space="preserve">Bij patiënten die niet eerder zijn behandeld met </w:t>
      </w:r>
      <w:r w:rsidR="00B14748" w:rsidRPr="00330234">
        <w:t>tocilizumab</w:t>
      </w:r>
      <w:r w:rsidRPr="00330234">
        <w:t>, wordt het starten van de behandeling bij patiënten met een absoluut aantal neutrofielen (ANC) lager dan 2 x 10</w:t>
      </w:r>
      <w:r w:rsidRPr="00330234">
        <w:rPr>
          <w:vertAlign w:val="superscript"/>
        </w:rPr>
        <w:t>9</w:t>
      </w:r>
      <w:r w:rsidRPr="00330234">
        <w:t>/l niet aanbevolen.</w:t>
      </w:r>
      <w:r w:rsidR="00BD109B" w:rsidRPr="00330234">
        <w:t xml:space="preserve"> </w:t>
      </w:r>
      <w:r w:rsidRPr="00330234">
        <w:t xml:space="preserve">Voorzichtigheid is geboden wanneer </w:t>
      </w:r>
      <w:r w:rsidR="00B14748" w:rsidRPr="00330234">
        <w:t>tocilizumab</w:t>
      </w:r>
      <w:r w:rsidRPr="00330234">
        <w:t xml:space="preserve"> wordt overwogen bij patiënten met een laag aantal trombocyten (d.w.z. trombocyten &lt; 100 x 10</w:t>
      </w:r>
      <w:r w:rsidRPr="00330234">
        <w:rPr>
          <w:vertAlign w:val="superscript"/>
        </w:rPr>
        <w:t>3</w:t>
      </w:r>
      <w:r w:rsidRPr="00330234">
        <w:t>/μl). Bij patiënten met RA, pJIA en sJIA die een ANC van &lt; 0,5 x 10</w:t>
      </w:r>
      <w:r w:rsidRPr="00330234">
        <w:rPr>
          <w:vertAlign w:val="superscript"/>
        </w:rPr>
        <w:t>9</w:t>
      </w:r>
      <w:r w:rsidRPr="00330234">
        <w:t>/l of een aantal trombocyten van &lt; 50 x 10</w:t>
      </w:r>
      <w:r w:rsidRPr="00330234">
        <w:rPr>
          <w:vertAlign w:val="superscript"/>
        </w:rPr>
        <w:t>3</w:t>
      </w:r>
      <w:r w:rsidRPr="00330234">
        <w:t>/μl ontwikkelen, wordt het voortzetten van de behandeling niet aanbevolen.</w:t>
      </w:r>
    </w:p>
    <w:p w14:paraId="1E8946DB" w14:textId="77777777" w:rsidR="00BD109B" w:rsidRPr="00330234" w:rsidRDefault="00BD109B" w:rsidP="00BD109B">
      <w:pPr>
        <w:pStyle w:val="a3"/>
        <w:widowControl/>
        <w:ind w:left="0"/>
      </w:pPr>
    </w:p>
    <w:p w14:paraId="2EBAD7FC" w14:textId="2FA08D16" w:rsidR="00436DAA" w:rsidRPr="00330234" w:rsidRDefault="009B4B8E" w:rsidP="00BD109B">
      <w:pPr>
        <w:pStyle w:val="a3"/>
        <w:widowControl/>
        <w:ind w:left="0"/>
      </w:pPr>
      <w:r w:rsidRPr="00330234">
        <w:t xml:space="preserve">Ernstige neutropenie kan geassocieerd zijn met een verhoogd risico op ernstige infecties, hoewel tot op heden uit klinische studies met </w:t>
      </w:r>
      <w:r w:rsidR="00B14748" w:rsidRPr="00330234">
        <w:t>tocilizumab</w:t>
      </w:r>
      <w:r w:rsidRPr="00330234">
        <w:t xml:space="preserve"> geen duidelijk verband is gebleken tussen vermindering van neutrofielen en het ontstaan van ernstige infecties.</w:t>
      </w:r>
    </w:p>
    <w:p w14:paraId="50FCAEF2" w14:textId="77777777" w:rsidR="00436DAA" w:rsidRPr="00330234" w:rsidRDefault="00436DAA" w:rsidP="00BD109B">
      <w:pPr>
        <w:pStyle w:val="a3"/>
        <w:widowControl/>
        <w:ind w:left="0"/>
      </w:pPr>
    </w:p>
    <w:p w14:paraId="08D04FEF" w14:textId="77777777" w:rsidR="00436DAA" w:rsidRPr="00330234" w:rsidRDefault="009B4B8E" w:rsidP="00BD109B">
      <w:pPr>
        <w:pStyle w:val="a3"/>
        <w:widowControl/>
        <w:ind w:left="0"/>
      </w:pPr>
      <w:r w:rsidRPr="00330234">
        <w:t>Bij RA-patiënten moeten neutrofielen en trombocyten 4 tot 8 weken na de start van de therapie worden gecontroleerd en daarna conform de algemene klinische praktijk. Voor aanbevolen wijzigingen van de dosering op basis van ANC en het aantal trombocyten zie rubriek 4.2.</w:t>
      </w:r>
    </w:p>
    <w:p w14:paraId="5C1F50A3" w14:textId="77777777" w:rsidR="00BD109B" w:rsidRPr="00330234" w:rsidRDefault="00BD109B" w:rsidP="00BD109B">
      <w:pPr>
        <w:pStyle w:val="a3"/>
        <w:widowControl/>
        <w:ind w:left="0"/>
      </w:pPr>
    </w:p>
    <w:p w14:paraId="3A974B62" w14:textId="77777777" w:rsidR="00436DAA" w:rsidRPr="00330234" w:rsidRDefault="009B4B8E" w:rsidP="00BD109B">
      <w:pPr>
        <w:pStyle w:val="a3"/>
        <w:widowControl/>
        <w:ind w:left="0"/>
      </w:pPr>
      <w:r w:rsidRPr="00330234">
        <w:t>Bij sJIA- en pJIA-patiënten moeten neutrofielen en trombocyten bij de tweede infusie worden gecontroleerd en daarna conform de algemene klinische praktijk, zie rubriek 4.2.</w:t>
      </w:r>
    </w:p>
    <w:p w14:paraId="4D1B4048" w14:textId="77777777" w:rsidR="00BD109B" w:rsidRPr="00330234" w:rsidRDefault="00BD109B" w:rsidP="00BD109B">
      <w:pPr>
        <w:pStyle w:val="a3"/>
        <w:widowControl/>
        <w:ind w:left="0"/>
      </w:pPr>
    </w:p>
    <w:p w14:paraId="5933B3FC" w14:textId="77777777" w:rsidR="00436DAA" w:rsidRPr="00330234" w:rsidRDefault="009B4B8E" w:rsidP="00BD109B">
      <w:pPr>
        <w:widowControl/>
        <w:rPr>
          <w:i/>
        </w:rPr>
      </w:pPr>
      <w:r w:rsidRPr="00330234">
        <w:rPr>
          <w:i/>
        </w:rPr>
        <w:t>Lipideparameters</w:t>
      </w:r>
    </w:p>
    <w:p w14:paraId="2F8CAC08" w14:textId="77777777" w:rsidR="00436DAA" w:rsidRPr="00330234" w:rsidRDefault="009B4B8E" w:rsidP="00BD109B">
      <w:pPr>
        <w:pStyle w:val="a3"/>
        <w:widowControl/>
        <w:ind w:left="0"/>
      </w:pPr>
      <w:r w:rsidRPr="00330234">
        <w:t>Stijging van de lipideparameters, waaronder totaal cholesterol, LDL, HDL en triglyceriden, zijn waargenomen bij patiënten die met tocilizumab werden behandeld (zie rubriek 4.8). Bij de meerderheid van de patiënten was er geen stijging van de atherogene index en een verhoogd totaal cholesterol reageerde op een behandeling met lipideverlagende middelen.</w:t>
      </w:r>
    </w:p>
    <w:p w14:paraId="24FCEC69" w14:textId="77777777" w:rsidR="00BD109B" w:rsidRPr="00330234" w:rsidRDefault="00BD109B" w:rsidP="00BD109B">
      <w:pPr>
        <w:pStyle w:val="a3"/>
        <w:widowControl/>
        <w:ind w:left="0"/>
      </w:pPr>
    </w:p>
    <w:p w14:paraId="0589E675" w14:textId="3D514A27" w:rsidR="00436DAA" w:rsidRPr="00330234" w:rsidRDefault="009B4B8E" w:rsidP="00BD109B">
      <w:pPr>
        <w:pStyle w:val="a3"/>
        <w:widowControl/>
        <w:ind w:left="0"/>
      </w:pPr>
      <w:r w:rsidRPr="00330234">
        <w:t xml:space="preserve">De lipideparameters moeten bij RA-, sJIA- en pJIA-patiënten 4 tot 8 weken na de start van de therapie met </w:t>
      </w:r>
      <w:r w:rsidR="00B14748" w:rsidRPr="00330234">
        <w:t>tocilizumab</w:t>
      </w:r>
      <w:r w:rsidRPr="00330234">
        <w:t xml:space="preserve"> worden bepaald. Patiënten moeten behandeld worden volgens de lokale klinische richtlijnen voor de behandeling van hyperlipidemie.</w:t>
      </w:r>
    </w:p>
    <w:p w14:paraId="165ABE38" w14:textId="77777777" w:rsidR="00436DAA" w:rsidRPr="00330234" w:rsidRDefault="00436DAA" w:rsidP="00BD109B">
      <w:pPr>
        <w:pStyle w:val="a3"/>
        <w:widowControl/>
        <w:ind w:left="0"/>
      </w:pPr>
    </w:p>
    <w:p w14:paraId="32402829" w14:textId="77777777" w:rsidR="00436DAA" w:rsidRPr="00330234" w:rsidRDefault="009B4B8E" w:rsidP="001B3E1E">
      <w:pPr>
        <w:keepNext/>
        <w:keepLines/>
        <w:widowControl/>
        <w:rPr>
          <w:i/>
        </w:rPr>
      </w:pPr>
      <w:r w:rsidRPr="00330234">
        <w:rPr>
          <w:i/>
        </w:rPr>
        <w:lastRenderedPageBreak/>
        <w:t>Neurologische aandoeningen</w:t>
      </w:r>
    </w:p>
    <w:p w14:paraId="6251811D" w14:textId="729686BE" w:rsidR="00436DAA" w:rsidRPr="00330234" w:rsidRDefault="009B4B8E" w:rsidP="001B3E1E">
      <w:pPr>
        <w:pStyle w:val="a3"/>
        <w:keepNext/>
        <w:keepLines/>
        <w:widowControl/>
        <w:ind w:left="0"/>
      </w:pPr>
      <w:r w:rsidRPr="00330234">
        <w:t xml:space="preserve">Artsen moeten alert zijn op symptomen die mogelijk indicatief kunnen zijn voor beginnende demyeliniseringsaandoening van het centraal zenuwstelsel (CZS). Het is op dit moment onbekend of </w:t>
      </w:r>
      <w:r w:rsidR="00B14748" w:rsidRPr="00330234">
        <w:t>tocilizumab</w:t>
      </w:r>
      <w:r w:rsidRPr="00330234">
        <w:t xml:space="preserve"> demyelinisering van het CZS kan veroorzaken.</w:t>
      </w:r>
    </w:p>
    <w:p w14:paraId="0B22469F" w14:textId="77777777" w:rsidR="00BD109B" w:rsidRPr="00330234" w:rsidRDefault="00BD109B" w:rsidP="00BD109B">
      <w:pPr>
        <w:pStyle w:val="a3"/>
        <w:widowControl/>
        <w:ind w:left="0"/>
      </w:pPr>
    </w:p>
    <w:p w14:paraId="6BD315AA" w14:textId="77777777" w:rsidR="00436DAA" w:rsidRPr="00330234" w:rsidRDefault="009B4B8E" w:rsidP="00BD109B">
      <w:pPr>
        <w:widowControl/>
        <w:rPr>
          <w:i/>
        </w:rPr>
      </w:pPr>
      <w:r w:rsidRPr="00330234">
        <w:rPr>
          <w:i/>
        </w:rPr>
        <w:t>Maligniteiten</w:t>
      </w:r>
    </w:p>
    <w:p w14:paraId="1BF31CB0" w14:textId="77777777" w:rsidR="00436DAA" w:rsidRPr="00330234" w:rsidRDefault="009B4B8E" w:rsidP="00BD109B">
      <w:pPr>
        <w:pStyle w:val="a3"/>
        <w:widowControl/>
        <w:ind w:left="0"/>
      </w:pPr>
      <w:r w:rsidRPr="00330234">
        <w:t>Het risico op maligniteiten is verhoogd bij patiënten met RA. Immunomodulerende geneesmiddelen kunnen het risico op maligniteiten verhogen.</w:t>
      </w:r>
    </w:p>
    <w:p w14:paraId="26EB0EA1" w14:textId="77777777" w:rsidR="00BD109B" w:rsidRPr="00330234" w:rsidRDefault="00BD109B" w:rsidP="00BD109B">
      <w:pPr>
        <w:pStyle w:val="a3"/>
        <w:widowControl/>
        <w:ind w:left="0"/>
      </w:pPr>
    </w:p>
    <w:p w14:paraId="58A03E37" w14:textId="77777777" w:rsidR="00436DAA" w:rsidRPr="00330234" w:rsidRDefault="009B4B8E" w:rsidP="00BD109B">
      <w:pPr>
        <w:widowControl/>
        <w:rPr>
          <w:i/>
        </w:rPr>
      </w:pPr>
      <w:r w:rsidRPr="00330234">
        <w:rPr>
          <w:i/>
        </w:rPr>
        <w:t>Vaccinaties</w:t>
      </w:r>
    </w:p>
    <w:p w14:paraId="167F9940" w14:textId="4D2173E9" w:rsidR="00436DAA" w:rsidRPr="00330234" w:rsidRDefault="009B4B8E" w:rsidP="00BD109B">
      <w:pPr>
        <w:pStyle w:val="a3"/>
        <w:widowControl/>
        <w:ind w:left="0"/>
      </w:pPr>
      <w:r w:rsidRPr="00330234">
        <w:t xml:space="preserve">Levende en levend verzwakte vaccins mogen niet gelijktijdig met </w:t>
      </w:r>
      <w:r w:rsidR="00B14748" w:rsidRPr="00330234">
        <w:t>tocilizumab</w:t>
      </w:r>
      <w:r w:rsidRPr="00330234">
        <w:t xml:space="preserve"> gegeven worden omdat de klinische veiligheid hiervan niet is vastgesteld. In een gerandomiseerde open-label studie vertoonden volwassen RA-patiënten, behandeld met </w:t>
      </w:r>
      <w:r w:rsidR="00B14748" w:rsidRPr="00330234">
        <w:t>tocilizumab</w:t>
      </w:r>
      <w:r w:rsidRPr="00330234">
        <w:t xml:space="preserve"> en MTX, een effectieve respons op zowel de 23-valente pneumokokken-polysaccharide vaccins als de tetanustoxoïde vaccins. De respons was vergelijkbaar met de respons die werd waargenomen bij patiënten die alleen MTX kregen. Het wordt voor alle patiënten, met name sJIA- en pJIA-patiënten, aanbevolen om te voldoen aan alle immunisaties volgens de huidige immunisatierichtlijnen alvorens te starten met de behandeling met </w:t>
      </w:r>
      <w:r w:rsidR="00B14748" w:rsidRPr="00330234">
        <w:t>Avtozma</w:t>
      </w:r>
      <w:r w:rsidRPr="00330234">
        <w:t xml:space="preserve">. De tijd tussen levende vaccinaties en het starten van de behandeling met </w:t>
      </w:r>
      <w:r w:rsidR="00B14748" w:rsidRPr="00330234">
        <w:t>Avtozma</w:t>
      </w:r>
      <w:r w:rsidRPr="00330234">
        <w:t xml:space="preserve"> moet in overeenstemming zijn met de huidige vaccinatierichtlijnen voor immunosuppressiva.</w:t>
      </w:r>
    </w:p>
    <w:p w14:paraId="7D1E087B" w14:textId="77777777" w:rsidR="00BD109B" w:rsidRPr="00330234" w:rsidRDefault="00BD109B" w:rsidP="00BD109B">
      <w:pPr>
        <w:pStyle w:val="a3"/>
        <w:widowControl/>
        <w:ind w:left="0"/>
      </w:pPr>
    </w:p>
    <w:p w14:paraId="3826FADA" w14:textId="77777777" w:rsidR="00436DAA" w:rsidRPr="00330234" w:rsidRDefault="009B4B8E" w:rsidP="00BD109B">
      <w:pPr>
        <w:widowControl/>
        <w:rPr>
          <w:i/>
        </w:rPr>
      </w:pPr>
      <w:r w:rsidRPr="00330234">
        <w:rPr>
          <w:i/>
        </w:rPr>
        <w:t>Cardiovasculair risico</w:t>
      </w:r>
    </w:p>
    <w:p w14:paraId="4A72456D" w14:textId="77777777" w:rsidR="00436DAA" w:rsidRPr="00330234" w:rsidRDefault="009B4B8E" w:rsidP="00BD109B">
      <w:pPr>
        <w:pStyle w:val="a3"/>
        <w:widowControl/>
        <w:ind w:left="0"/>
      </w:pPr>
      <w:r w:rsidRPr="00330234">
        <w:t>RA-patiënten hebben een verhoogd risico op cardiovasculaire aandoeningen. Risicofactoren bij deze patiënten (bijv. hypertensie, hyperlipidemie) moeten worden behandeld volgens de algemene richtlijnen.</w:t>
      </w:r>
    </w:p>
    <w:p w14:paraId="3BD1CC77" w14:textId="77777777" w:rsidR="00BD109B" w:rsidRPr="00330234" w:rsidRDefault="00BD109B" w:rsidP="00BD109B">
      <w:pPr>
        <w:pStyle w:val="a3"/>
        <w:widowControl/>
        <w:ind w:left="0"/>
      </w:pPr>
    </w:p>
    <w:p w14:paraId="1CDE4456" w14:textId="77777777" w:rsidR="00436DAA" w:rsidRPr="00330234" w:rsidRDefault="009B4B8E" w:rsidP="00BD109B">
      <w:pPr>
        <w:widowControl/>
        <w:rPr>
          <w:i/>
        </w:rPr>
      </w:pPr>
      <w:r w:rsidRPr="00330234">
        <w:rPr>
          <w:i/>
        </w:rPr>
        <w:t>Combinatie met TNF-antagonisten</w:t>
      </w:r>
    </w:p>
    <w:p w14:paraId="15F053A3" w14:textId="1F1B1879" w:rsidR="00436DAA" w:rsidRPr="00330234" w:rsidRDefault="009B4B8E" w:rsidP="00BD109B">
      <w:pPr>
        <w:pStyle w:val="a3"/>
        <w:widowControl/>
        <w:ind w:left="0"/>
      </w:pPr>
      <w:r w:rsidRPr="00330234">
        <w:t xml:space="preserve">Er is geen ervaring met het gebruik van </w:t>
      </w:r>
      <w:r w:rsidR="00B14748" w:rsidRPr="00330234">
        <w:t>Avtozma</w:t>
      </w:r>
      <w:r w:rsidRPr="00330234">
        <w:t xml:space="preserve"> in combinatie met TNF-antagonisten of andere biologicals bij behandeling van RA-, sJIA- of pJIA-patiënten. Combinatietherapie van </w:t>
      </w:r>
      <w:r w:rsidR="00B14748" w:rsidRPr="00330234">
        <w:t>Avtozma</w:t>
      </w:r>
      <w:r w:rsidRPr="00330234">
        <w:t xml:space="preserve"> met andere biologicals wordt niet aanbevolen.</w:t>
      </w:r>
    </w:p>
    <w:p w14:paraId="6B650E86" w14:textId="77777777" w:rsidR="00BD109B" w:rsidRPr="00330234" w:rsidRDefault="00BD109B" w:rsidP="00BD109B">
      <w:pPr>
        <w:pStyle w:val="a3"/>
        <w:widowControl/>
        <w:ind w:left="0"/>
      </w:pPr>
    </w:p>
    <w:p w14:paraId="3C5FB953" w14:textId="77777777" w:rsidR="00436DAA" w:rsidRPr="00330234" w:rsidRDefault="009B4B8E" w:rsidP="00BD109B">
      <w:pPr>
        <w:pStyle w:val="a3"/>
        <w:keepNext/>
        <w:keepLines/>
        <w:widowControl/>
        <w:ind w:left="0"/>
      </w:pPr>
      <w:r w:rsidRPr="00330234">
        <w:t>COVID-19-patiënten</w:t>
      </w:r>
    </w:p>
    <w:p w14:paraId="3F5573D4" w14:textId="77777777" w:rsidR="00436DAA" w:rsidRPr="00330234" w:rsidRDefault="00436DAA" w:rsidP="00BD109B">
      <w:pPr>
        <w:pStyle w:val="a3"/>
        <w:keepNext/>
        <w:keepLines/>
        <w:widowControl/>
        <w:ind w:left="0"/>
      </w:pPr>
    </w:p>
    <w:p w14:paraId="4C495B37" w14:textId="17F3213E" w:rsidR="00436DAA" w:rsidRPr="00330234" w:rsidRDefault="005328BF" w:rsidP="00BD109B">
      <w:pPr>
        <w:pStyle w:val="bullet"/>
        <w:keepNext/>
        <w:keepLines/>
      </w:pPr>
      <w:r w:rsidRPr="00330234">
        <w:rPr>
          <w:rFonts w:eastAsia="Symbol"/>
        </w:rPr>
        <w:tab/>
      </w:r>
      <w:r w:rsidR="009B4B8E" w:rsidRPr="00330234">
        <w:t xml:space="preserve">De werkzaamheid van </w:t>
      </w:r>
      <w:r w:rsidR="00B14748" w:rsidRPr="00330234">
        <w:t>Avtozma</w:t>
      </w:r>
      <w:r w:rsidR="009B4B8E" w:rsidRPr="00330234">
        <w:t xml:space="preserve"> is niet vastgesteld voor de behandeling van COVID-19- patiënten die geen verhoogde CRP-waarden hebben, zie rubriek 5.1.</w:t>
      </w:r>
    </w:p>
    <w:p w14:paraId="353D2698" w14:textId="654EFAD9" w:rsidR="00436DAA" w:rsidRPr="00330234" w:rsidRDefault="005328BF" w:rsidP="00BD109B">
      <w:pPr>
        <w:pStyle w:val="bullet"/>
      </w:pPr>
      <w:r w:rsidRPr="00330234">
        <w:rPr>
          <w:rFonts w:eastAsia="Symbol"/>
        </w:rPr>
        <w:tab/>
      </w:r>
      <w:r w:rsidR="00B14748" w:rsidRPr="00330234">
        <w:t>Avtozma</w:t>
      </w:r>
      <w:r w:rsidR="009B4B8E" w:rsidRPr="00330234">
        <w:t xml:space="preserve"> mag niet worden toegediend aan COVID-19-patiënten die geen systemische corticosteroïden krijgen, omdat een toename van overlijden in deze subgroep niet kan worden uitgesloten, zie rubriek 5.1.</w:t>
      </w:r>
    </w:p>
    <w:p w14:paraId="23709F45" w14:textId="77777777" w:rsidR="00BD109B" w:rsidRPr="00330234" w:rsidRDefault="00BD109B" w:rsidP="00BD109B">
      <w:pPr>
        <w:widowControl/>
        <w:rPr>
          <w:iCs/>
        </w:rPr>
      </w:pPr>
    </w:p>
    <w:p w14:paraId="05FE785A" w14:textId="08B1AE19" w:rsidR="00436DAA" w:rsidRPr="00330234" w:rsidRDefault="009B4B8E" w:rsidP="00BD109B">
      <w:pPr>
        <w:widowControl/>
        <w:rPr>
          <w:i/>
        </w:rPr>
      </w:pPr>
      <w:r w:rsidRPr="00330234">
        <w:rPr>
          <w:i/>
        </w:rPr>
        <w:t>Infecties</w:t>
      </w:r>
    </w:p>
    <w:p w14:paraId="0E5BD417" w14:textId="1899CC18" w:rsidR="00436DAA" w:rsidRPr="00330234" w:rsidRDefault="009B4B8E" w:rsidP="00BD109B">
      <w:pPr>
        <w:pStyle w:val="a3"/>
        <w:widowControl/>
        <w:ind w:left="0"/>
      </w:pPr>
      <w:r w:rsidRPr="00330234">
        <w:t xml:space="preserve">Aan patiënten met COVID-19 mag </w:t>
      </w:r>
      <w:r w:rsidR="00B14748" w:rsidRPr="00330234">
        <w:t>Avtozma</w:t>
      </w:r>
      <w:r w:rsidRPr="00330234">
        <w:t xml:space="preserve"> niet worden toegediend als patiënten een andere gelijktijdige actieve, ernstige infectie hebben. Beroepsbeoefenaren in de gezondheidszorg moeten de nodige voorzichtigheid betrachten wanneer wordt overwogen om </w:t>
      </w:r>
      <w:r w:rsidR="00B14748" w:rsidRPr="00330234">
        <w:t>Avtozma</w:t>
      </w:r>
      <w:r w:rsidRPr="00330234">
        <w:t xml:space="preserve"> te gebruiken bij patiënten met een voorgeschiedenis van terugkerende of chronische infecties of bij patiënten met onderliggende aandoeningen die predisponerend kunnen zijn voor infecties (bijv. diverticulitis, diabetes en interstitiële longziekte).</w:t>
      </w:r>
    </w:p>
    <w:p w14:paraId="79502DB5" w14:textId="77777777" w:rsidR="00BD109B" w:rsidRPr="00330234" w:rsidRDefault="00BD109B" w:rsidP="00BD109B">
      <w:pPr>
        <w:pStyle w:val="a3"/>
        <w:widowControl/>
        <w:ind w:left="0"/>
      </w:pPr>
    </w:p>
    <w:p w14:paraId="113CF80A" w14:textId="77777777" w:rsidR="00436DAA" w:rsidRPr="00330234" w:rsidRDefault="009B4B8E" w:rsidP="00BD109B">
      <w:pPr>
        <w:widowControl/>
        <w:rPr>
          <w:i/>
        </w:rPr>
      </w:pPr>
      <w:r w:rsidRPr="00330234">
        <w:rPr>
          <w:i/>
        </w:rPr>
        <w:t>Levertoxiciteit</w:t>
      </w:r>
    </w:p>
    <w:p w14:paraId="6B0454B2" w14:textId="5F378231" w:rsidR="00436DAA" w:rsidRPr="00330234" w:rsidRDefault="009B4B8E" w:rsidP="00BD109B">
      <w:pPr>
        <w:pStyle w:val="a3"/>
        <w:widowControl/>
        <w:ind w:left="0"/>
      </w:pPr>
      <w:r w:rsidRPr="00330234">
        <w:t xml:space="preserve">Patiënten die met COVID-19 in het ziekenhuis zijn opgenomen, hebben mogelijk verhoogde ALAT- of ASAT-waarden. Multiorgaanfalen, met betrokkenheid van de lever, is een bekende complicatie van ernstige COVID-19. Bij de beslissing om tocilizumab toe te dienen moet het mogelijke voordeel van de behandeling van COVID-19 worden afgewogen tegen de mogelijke risico’s van een acute behandeling met tocilizumab. Bij COVID-19-patiënten met verhoogde ALAT- of ASAT-waarden boven 10 x ULN, wordt de toediening van </w:t>
      </w:r>
      <w:r w:rsidR="00B14748" w:rsidRPr="00330234">
        <w:t>Avtozma</w:t>
      </w:r>
      <w:r w:rsidRPr="00330234">
        <w:t xml:space="preserve"> niet aanbevolen. De ALAT-/ASAT-waarden van COVID-19-patiënten moeten worden gecontroleerd conform de huidige reguliere klinische praktijk.</w:t>
      </w:r>
    </w:p>
    <w:p w14:paraId="2032324B" w14:textId="77777777" w:rsidR="00436DAA" w:rsidRPr="00330234" w:rsidRDefault="00436DAA" w:rsidP="00BD109B">
      <w:pPr>
        <w:pStyle w:val="a3"/>
        <w:widowControl/>
        <w:ind w:left="0"/>
      </w:pPr>
    </w:p>
    <w:p w14:paraId="40C02403" w14:textId="77777777" w:rsidR="00436DAA" w:rsidRPr="00330234" w:rsidRDefault="009B4B8E" w:rsidP="001B3E1E">
      <w:pPr>
        <w:keepNext/>
        <w:keepLines/>
        <w:widowControl/>
        <w:rPr>
          <w:i/>
        </w:rPr>
      </w:pPr>
      <w:r w:rsidRPr="00330234">
        <w:rPr>
          <w:i/>
        </w:rPr>
        <w:lastRenderedPageBreak/>
        <w:t>Hematologische afwijkingen</w:t>
      </w:r>
    </w:p>
    <w:p w14:paraId="77866791" w14:textId="7C225DF0" w:rsidR="00436DAA" w:rsidRPr="00330234" w:rsidRDefault="009B4B8E" w:rsidP="001B3E1E">
      <w:pPr>
        <w:pStyle w:val="a3"/>
        <w:keepNext/>
        <w:keepLines/>
        <w:widowControl/>
        <w:ind w:left="0"/>
      </w:pPr>
      <w:r w:rsidRPr="00330234">
        <w:t>Het wordt niet aanbevolen de behandeling toe te dienen aan patiënten met COVID-19 die een ANC</w:t>
      </w:r>
      <w:r w:rsidR="002328C5" w:rsidRPr="00330234">
        <w:t xml:space="preserve"> </w:t>
      </w:r>
      <w:r w:rsidRPr="00330234">
        <w:t>&lt;</w:t>
      </w:r>
      <w:r w:rsidR="002328C5" w:rsidRPr="00330234">
        <w:t> </w:t>
      </w:r>
      <w:r w:rsidRPr="00330234">
        <w:t>1 x 10</w:t>
      </w:r>
      <w:r w:rsidRPr="00330234">
        <w:rPr>
          <w:vertAlign w:val="superscript"/>
        </w:rPr>
        <w:t>9</w:t>
      </w:r>
      <w:r w:rsidRPr="00330234">
        <w:t>/l of een aantal trombocyten van &lt; 50 x 10</w:t>
      </w:r>
      <w:r w:rsidRPr="00330234">
        <w:rPr>
          <w:vertAlign w:val="superscript"/>
        </w:rPr>
        <w:t>3</w:t>
      </w:r>
      <w:r w:rsidRPr="00330234">
        <w:t>/μl ontwikkelen. Neutrofielen en trombocyten moeten worden gecontroleerd conform de huidige reguliere medische zorg, zie rubriek 4.2.</w:t>
      </w:r>
    </w:p>
    <w:p w14:paraId="7A40225A" w14:textId="77777777" w:rsidR="00436DAA" w:rsidRPr="00330234" w:rsidRDefault="00436DAA" w:rsidP="00BD109B">
      <w:pPr>
        <w:pStyle w:val="a3"/>
        <w:widowControl/>
        <w:ind w:left="0"/>
      </w:pPr>
    </w:p>
    <w:p w14:paraId="0972E07E" w14:textId="77777777" w:rsidR="00436DAA" w:rsidRPr="00330234" w:rsidRDefault="009B4B8E" w:rsidP="00BD109B">
      <w:pPr>
        <w:pStyle w:val="a3"/>
        <w:widowControl/>
        <w:ind w:left="0"/>
        <w:rPr>
          <w:u w:val="single"/>
        </w:rPr>
      </w:pPr>
      <w:r w:rsidRPr="00330234">
        <w:rPr>
          <w:u w:val="single"/>
        </w:rPr>
        <w:t>Pediatrische patiënten</w:t>
      </w:r>
    </w:p>
    <w:p w14:paraId="6E9722B0" w14:textId="77777777" w:rsidR="00BD109B" w:rsidRPr="00330234" w:rsidRDefault="00BD109B" w:rsidP="00BD109B">
      <w:pPr>
        <w:pStyle w:val="a3"/>
        <w:widowControl/>
        <w:ind w:left="0"/>
      </w:pPr>
    </w:p>
    <w:p w14:paraId="171AF6C0" w14:textId="77777777" w:rsidR="00436DAA" w:rsidRPr="00330234" w:rsidRDefault="009B4B8E" w:rsidP="00BD109B">
      <w:pPr>
        <w:widowControl/>
        <w:rPr>
          <w:i/>
        </w:rPr>
      </w:pPr>
      <w:r w:rsidRPr="00330234">
        <w:rPr>
          <w:i/>
        </w:rPr>
        <w:t>sJIA-patiënten</w:t>
      </w:r>
    </w:p>
    <w:p w14:paraId="0078E757" w14:textId="6F8A8AF5" w:rsidR="00436DAA" w:rsidRPr="00330234" w:rsidRDefault="009B4B8E" w:rsidP="00BD109B">
      <w:pPr>
        <w:pStyle w:val="a3"/>
        <w:widowControl/>
        <w:ind w:left="0"/>
      </w:pPr>
      <w:r w:rsidRPr="00330234">
        <w:t xml:space="preserve">Het macrofaagactivatiesyndroom (MAS) is een ernstige, levensbedreigende aandoening die zich bij sJIA-patiënten kan ontwikkelen. Bij klinische studies is </w:t>
      </w:r>
      <w:r w:rsidR="000A7E61" w:rsidRPr="00330234">
        <w:t xml:space="preserve">tocilizumab </w:t>
      </w:r>
      <w:r w:rsidRPr="00330234">
        <w:t>niet bestudeerd bij patiënten tijdens een episode van actief MAS.</w:t>
      </w:r>
    </w:p>
    <w:p w14:paraId="394FA1F0" w14:textId="77777777" w:rsidR="00436DAA" w:rsidRPr="00330234" w:rsidRDefault="00436DAA" w:rsidP="00BD109B">
      <w:pPr>
        <w:pStyle w:val="a3"/>
        <w:widowControl/>
        <w:ind w:left="0"/>
      </w:pPr>
    </w:p>
    <w:p w14:paraId="772850F2" w14:textId="1D65AAEE" w:rsidR="00B14748" w:rsidRPr="00330234" w:rsidRDefault="00B14748" w:rsidP="001B3E1E">
      <w:pPr>
        <w:pStyle w:val="a3"/>
        <w:keepNext/>
        <w:keepLines/>
        <w:widowControl/>
        <w:ind w:left="0"/>
      </w:pPr>
      <w:r w:rsidRPr="00330234">
        <w:rPr>
          <w:u w:val="single"/>
        </w:rPr>
        <w:t>Hulpstoffen met bekend effect</w:t>
      </w:r>
    </w:p>
    <w:p w14:paraId="46FB2304" w14:textId="17B1B455" w:rsidR="00B14748" w:rsidRPr="00330234" w:rsidRDefault="00B14748" w:rsidP="001B3E1E">
      <w:pPr>
        <w:pStyle w:val="a3"/>
        <w:keepNext/>
        <w:keepLines/>
        <w:widowControl/>
        <w:ind w:left="0"/>
        <w:rPr>
          <w:i/>
          <w:iCs/>
        </w:rPr>
      </w:pPr>
      <w:r w:rsidRPr="00330234">
        <w:rPr>
          <w:i/>
          <w:iCs/>
        </w:rPr>
        <w:t>Polysorbaat</w:t>
      </w:r>
    </w:p>
    <w:p w14:paraId="60B649A0" w14:textId="5D134CE9" w:rsidR="00B14748" w:rsidRPr="00330234" w:rsidRDefault="00B14748" w:rsidP="00B14748">
      <w:pPr>
        <w:pStyle w:val="a3"/>
        <w:widowControl/>
        <w:ind w:left="0"/>
        <w:rPr>
          <w:rFonts w:eastAsia="SimSun"/>
          <w:lang w:eastAsia="zh-CN"/>
        </w:rPr>
      </w:pPr>
      <w:r w:rsidRPr="00330234">
        <w:t>Elke 80 mg injectieflacon bevat 2,0 mg polysorbaat</w:t>
      </w:r>
      <w:r w:rsidR="00545170">
        <w:rPr>
          <w:rFonts w:eastAsia="맑은 고딕" w:hint="eastAsia"/>
          <w:lang w:eastAsia="ko-KR"/>
        </w:rPr>
        <w:t xml:space="preserve"> 80</w:t>
      </w:r>
      <w:r w:rsidRPr="00330234">
        <w:t>.</w:t>
      </w:r>
    </w:p>
    <w:p w14:paraId="4C3366C0" w14:textId="10F01E6E" w:rsidR="00B14748" w:rsidRPr="00330234" w:rsidRDefault="00B14748" w:rsidP="00B14748">
      <w:pPr>
        <w:pStyle w:val="a3"/>
        <w:widowControl/>
        <w:ind w:left="0"/>
        <w:rPr>
          <w:rFonts w:eastAsia="SimSun"/>
          <w:lang w:eastAsia="zh-CN"/>
        </w:rPr>
      </w:pPr>
      <w:r w:rsidRPr="00330234">
        <w:t>Elke 200 mg injectieflacon bevat 5,0 mg polysorbaat</w:t>
      </w:r>
      <w:r w:rsidR="00545170">
        <w:rPr>
          <w:rFonts w:eastAsia="맑은 고딕" w:hint="eastAsia"/>
          <w:lang w:eastAsia="ko-KR"/>
        </w:rPr>
        <w:t xml:space="preserve"> 80</w:t>
      </w:r>
      <w:r w:rsidRPr="00330234">
        <w:t>.</w:t>
      </w:r>
    </w:p>
    <w:p w14:paraId="6AF9B59B" w14:textId="49178078" w:rsidR="00B14748" w:rsidRPr="00330234" w:rsidRDefault="00B14748" w:rsidP="00B14748">
      <w:pPr>
        <w:pStyle w:val="a3"/>
        <w:widowControl/>
        <w:ind w:left="0"/>
      </w:pPr>
      <w:r w:rsidRPr="00330234">
        <w:t>Elke 400 mg injectieflacon bevat 10,0 mg polysorbaat</w:t>
      </w:r>
      <w:r w:rsidR="00545170">
        <w:rPr>
          <w:rFonts w:eastAsia="맑은 고딕" w:hint="eastAsia"/>
          <w:lang w:eastAsia="ko-KR"/>
        </w:rPr>
        <w:t xml:space="preserve"> 80</w:t>
      </w:r>
      <w:r w:rsidRPr="00330234">
        <w:t>.</w:t>
      </w:r>
    </w:p>
    <w:p w14:paraId="633CDC5D" w14:textId="7E7A25A1" w:rsidR="00B14748" w:rsidRPr="00330234" w:rsidRDefault="009E0237" w:rsidP="00BD109B">
      <w:pPr>
        <w:pStyle w:val="a3"/>
        <w:widowControl/>
        <w:ind w:left="0"/>
      </w:pPr>
      <w:r w:rsidRPr="00330234">
        <w:t xml:space="preserve">Polysorbaten kunnen allergische reacties veroorzaken. </w:t>
      </w:r>
      <w:r w:rsidR="00F02A7B" w:rsidRPr="00330234">
        <w:t>Patiënten</w:t>
      </w:r>
      <w:r w:rsidRPr="00330234">
        <w:t xml:space="preserve"> met een allergie voor polysorba</w:t>
      </w:r>
      <w:r w:rsidR="00C2327F" w:rsidRPr="00330234">
        <w:t>ten</w:t>
      </w:r>
      <w:r w:rsidRPr="00330234">
        <w:t xml:space="preserve"> mogen dit geneesmiddel niet toegediend</w:t>
      </w:r>
      <w:r w:rsidR="002A3148" w:rsidRPr="002A3148">
        <w:t xml:space="preserve"> </w:t>
      </w:r>
      <w:r w:rsidR="002A3148" w:rsidRPr="00330234">
        <w:t>krijgen</w:t>
      </w:r>
      <w:r w:rsidRPr="00330234">
        <w:t>.</w:t>
      </w:r>
    </w:p>
    <w:p w14:paraId="62672032" w14:textId="77777777" w:rsidR="00B14748" w:rsidRPr="00330234" w:rsidRDefault="00B14748" w:rsidP="00BD109B">
      <w:pPr>
        <w:pStyle w:val="a3"/>
        <w:widowControl/>
        <w:ind w:left="0"/>
      </w:pPr>
    </w:p>
    <w:p w14:paraId="3F0449E8" w14:textId="06BA53C6" w:rsidR="00436DAA" w:rsidRPr="00330234" w:rsidRDefault="005328BF" w:rsidP="00BD109B">
      <w:pPr>
        <w:pStyle w:val="Style1"/>
      </w:pPr>
      <w:r w:rsidRPr="00330234">
        <w:t>4.5</w:t>
      </w:r>
      <w:r w:rsidRPr="00330234">
        <w:tab/>
      </w:r>
      <w:r w:rsidR="009B4B8E" w:rsidRPr="00330234">
        <w:t>Interacties met andere geneesmiddelen en andere vormen van interactie</w:t>
      </w:r>
    </w:p>
    <w:p w14:paraId="17CE6E5E" w14:textId="77777777" w:rsidR="00BD109B" w:rsidRPr="00330234" w:rsidRDefault="00BD109B" w:rsidP="00BD109B">
      <w:pPr>
        <w:pStyle w:val="a3"/>
        <w:widowControl/>
        <w:ind w:left="0"/>
      </w:pPr>
    </w:p>
    <w:p w14:paraId="229426CB" w14:textId="4CCE0CD0" w:rsidR="00436DAA" w:rsidRPr="00330234" w:rsidRDefault="009B4B8E" w:rsidP="00BD109B">
      <w:pPr>
        <w:pStyle w:val="a3"/>
        <w:widowControl/>
        <w:ind w:left="0"/>
      </w:pPr>
      <w:r w:rsidRPr="00330234">
        <w:t>Onderzoek naar interacties is alleen bij volwassenen uitgevoerd.</w:t>
      </w:r>
    </w:p>
    <w:p w14:paraId="28A10799" w14:textId="77777777" w:rsidR="00436DAA" w:rsidRPr="00330234" w:rsidRDefault="00436DAA" w:rsidP="00BD109B">
      <w:pPr>
        <w:pStyle w:val="a3"/>
        <w:widowControl/>
        <w:ind w:left="0"/>
      </w:pPr>
    </w:p>
    <w:p w14:paraId="44AD47DB" w14:textId="77777777" w:rsidR="00436DAA" w:rsidRPr="00330234" w:rsidRDefault="009B4B8E" w:rsidP="00BD109B">
      <w:pPr>
        <w:pStyle w:val="a3"/>
        <w:widowControl/>
        <w:ind w:left="0"/>
      </w:pPr>
      <w:r w:rsidRPr="00330234">
        <w:t>Gelijktijdige toediening van een enkele dosis van 10 mg/kg tocilizumab met 10-25 mg MTX eenmaal per week had geen klinisch significante invloed op de MTX blootstelling.</w:t>
      </w:r>
    </w:p>
    <w:p w14:paraId="1936A0D5" w14:textId="77777777" w:rsidR="00BD109B" w:rsidRPr="00330234" w:rsidRDefault="00BD109B" w:rsidP="00BD109B">
      <w:pPr>
        <w:pStyle w:val="a3"/>
        <w:widowControl/>
        <w:ind w:left="0"/>
      </w:pPr>
    </w:p>
    <w:p w14:paraId="46AA7D24" w14:textId="7DD25ACB" w:rsidR="00436DAA" w:rsidRPr="00330234" w:rsidRDefault="009B4B8E" w:rsidP="00BD109B">
      <w:pPr>
        <w:pStyle w:val="a3"/>
        <w:widowControl/>
        <w:ind w:left="0"/>
      </w:pPr>
      <w:r w:rsidRPr="00330234">
        <w:t>Farmacokinetische populatieanalyses tonen geen invloed aan van MTX, niet-steroïde anti- inflammatoire geneesmiddelen (NSAID</w:t>
      </w:r>
      <w:r w:rsidR="00753185" w:rsidRPr="00330234">
        <w:t>’</w:t>
      </w:r>
      <w:r w:rsidRPr="00330234">
        <w:t>s) of corticosteroïden op de tocilizumabklaring.</w:t>
      </w:r>
    </w:p>
    <w:p w14:paraId="158FAD17" w14:textId="77777777" w:rsidR="00436DAA" w:rsidRPr="00330234" w:rsidRDefault="00436DAA" w:rsidP="00BD109B">
      <w:pPr>
        <w:pStyle w:val="a3"/>
        <w:widowControl/>
        <w:ind w:left="0"/>
      </w:pPr>
    </w:p>
    <w:p w14:paraId="43F00B1F" w14:textId="77777777" w:rsidR="00436DAA" w:rsidRPr="00330234" w:rsidRDefault="009B4B8E" w:rsidP="00BD109B">
      <w:pPr>
        <w:pStyle w:val="a3"/>
        <w:widowControl/>
        <w:ind w:left="0"/>
        <w:rPr>
          <w:i/>
        </w:rPr>
      </w:pPr>
      <w:r w:rsidRPr="00330234">
        <w:t>De expressie van hepatische CYP450-enzymen wordt onderdrukt door cytokines, zoals IL-6, die chronische ontstekingen stimuleren. De CYP450-expressie kan derhalve teruggedraaid worden wanneer met potente cytokineremmende therapieën, zoals tocilizumab, wordt gestart</w:t>
      </w:r>
      <w:r w:rsidRPr="00330234">
        <w:rPr>
          <w:i/>
        </w:rPr>
        <w:t>.</w:t>
      </w:r>
    </w:p>
    <w:p w14:paraId="1C13CFA0" w14:textId="77777777" w:rsidR="00BD109B" w:rsidRPr="00330234" w:rsidRDefault="00BD109B" w:rsidP="00BD109B">
      <w:pPr>
        <w:pStyle w:val="a3"/>
        <w:widowControl/>
        <w:ind w:left="0"/>
        <w:rPr>
          <w:iCs/>
        </w:rPr>
      </w:pPr>
    </w:p>
    <w:p w14:paraId="6AE76DD7" w14:textId="77777777" w:rsidR="00436DAA" w:rsidRPr="00330234" w:rsidRDefault="009B4B8E" w:rsidP="00BD109B">
      <w:pPr>
        <w:pStyle w:val="a3"/>
        <w:widowControl/>
        <w:ind w:left="0"/>
      </w:pPr>
      <w:r w:rsidRPr="00330234">
        <w:rPr>
          <w:i/>
        </w:rPr>
        <w:t>In-vitro-</w:t>
      </w:r>
      <w:r w:rsidRPr="00330234">
        <w:t>onderzoeken met gekweekte humane hepatocyten laten zien dat IL-6 een verlaging van CYP1A2-, CYP2C9-, CYP2C19- en CYP3A4-enzymexpressie veroorzaakt. Tocilizumab normaliseert de expressie van deze enzymen.</w:t>
      </w:r>
    </w:p>
    <w:p w14:paraId="4B6DB92E" w14:textId="77777777" w:rsidR="00436DAA" w:rsidRPr="00330234" w:rsidRDefault="00436DAA" w:rsidP="00BD109B">
      <w:pPr>
        <w:pStyle w:val="a3"/>
        <w:widowControl/>
        <w:ind w:left="0"/>
      </w:pPr>
    </w:p>
    <w:p w14:paraId="4B65FF17" w14:textId="77777777" w:rsidR="00436DAA" w:rsidRPr="00330234" w:rsidRDefault="009B4B8E" w:rsidP="00BD109B">
      <w:pPr>
        <w:pStyle w:val="a3"/>
        <w:widowControl/>
        <w:ind w:left="0"/>
      </w:pPr>
      <w:r w:rsidRPr="00330234">
        <w:t>In een studie bij RA-patiënten werd een daling van de simvastatinespiegels (CYP3A4) van 57% waargenomen 1 week na een enkele dosis tocilizumab. Dit was tot een niveau gelijk aan, of iets hoger dan, waargenomen bij gezonde mensen.</w:t>
      </w:r>
    </w:p>
    <w:p w14:paraId="09A71607" w14:textId="77777777" w:rsidR="00BD109B" w:rsidRPr="00330234" w:rsidRDefault="00BD109B" w:rsidP="00BD109B">
      <w:pPr>
        <w:pStyle w:val="a3"/>
        <w:widowControl/>
        <w:ind w:left="0"/>
      </w:pPr>
    </w:p>
    <w:p w14:paraId="22F7E5FB" w14:textId="77777777" w:rsidR="00436DAA" w:rsidRPr="00330234" w:rsidRDefault="009B4B8E" w:rsidP="00BD109B">
      <w:pPr>
        <w:pStyle w:val="a3"/>
        <w:widowControl/>
        <w:ind w:left="0"/>
      </w:pPr>
      <w:r w:rsidRPr="00330234">
        <w:t>Wanneer de behandeling met tocilizumab wordt gestart of gestaakt, moeten patiënten die geneesmiddelen gebruiken die worden gemetaboliseerd door de enzymen CYP450-3A4, -1A2 of -2C9 (o.a. methylprednisolon, dexamethason (met kans op oraal glucocorticoïde ontwenningssyndroom), atorvastatine, calciumantagonisten, theofylline, warfarine, fenprocoumon, fenytoïne, ciclosporine en benzodiazepines) en die op individuele basis worden aangepast, worden gecontroleerd omdat de doses mogelijk verhoogd moeten worden om de therapeutische werking te handhaven. Gezien de lange eliminatiehalfwaardetijd (t</w:t>
      </w:r>
      <w:r w:rsidRPr="00330234">
        <w:rPr>
          <w:vertAlign w:val="subscript"/>
        </w:rPr>
        <w:t>1/2</w:t>
      </w:r>
      <w:r w:rsidRPr="00330234">
        <w:t>), kan de invloed van tocilizumab op de CYP450-enzymactiviteit na het staken van de behandeling enkele weken aanhouden.</w:t>
      </w:r>
    </w:p>
    <w:p w14:paraId="559B393A" w14:textId="77777777" w:rsidR="00436DAA" w:rsidRPr="00330234" w:rsidRDefault="00436DAA" w:rsidP="00BD109B">
      <w:pPr>
        <w:widowControl/>
      </w:pPr>
    </w:p>
    <w:p w14:paraId="4A906494" w14:textId="7A541519" w:rsidR="00436DAA" w:rsidRPr="00330234" w:rsidRDefault="005328BF" w:rsidP="00BD109B">
      <w:pPr>
        <w:pStyle w:val="2"/>
      </w:pPr>
      <w:r w:rsidRPr="00330234">
        <w:t>4.6</w:t>
      </w:r>
      <w:r w:rsidRPr="00330234">
        <w:tab/>
      </w:r>
      <w:r w:rsidR="009B4B8E" w:rsidRPr="00330234">
        <w:t>Vruchtbaarheid, zwangerschap en borstvoeding</w:t>
      </w:r>
    </w:p>
    <w:p w14:paraId="1A11BFC9" w14:textId="77777777" w:rsidR="00BD109B" w:rsidRPr="00330234" w:rsidRDefault="00BD109B" w:rsidP="00BD109B">
      <w:pPr>
        <w:pStyle w:val="a3"/>
        <w:widowControl/>
        <w:ind w:left="0"/>
      </w:pPr>
    </w:p>
    <w:p w14:paraId="206F6EA4" w14:textId="398763F0" w:rsidR="00436DAA" w:rsidRPr="00330234" w:rsidRDefault="009B4B8E" w:rsidP="00BD109B">
      <w:pPr>
        <w:pStyle w:val="a3"/>
        <w:widowControl/>
        <w:ind w:left="0"/>
      </w:pPr>
      <w:r w:rsidRPr="00330234">
        <w:rPr>
          <w:u w:val="single"/>
        </w:rPr>
        <w:t>Vrouwen die zwanger kunnen worden</w:t>
      </w:r>
    </w:p>
    <w:p w14:paraId="6DF43A21" w14:textId="77777777" w:rsidR="00436DAA" w:rsidRPr="00330234" w:rsidRDefault="009B4B8E" w:rsidP="00BD109B">
      <w:pPr>
        <w:pStyle w:val="a3"/>
        <w:widowControl/>
        <w:ind w:left="0"/>
      </w:pPr>
      <w:r w:rsidRPr="00330234">
        <w:t>Vrouwen die zwanger kunnen worden moeten gedurende de behandeling en tot 3 maanden daarna effectieve anticonceptie gebruiken.</w:t>
      </w:r>
    </w:p>
    <w:p w14:paraId="4D66F8CD" w14:textId="77777777" w:rsidR="00436DAA" w:rsidRPr="00330234" w:rsidRDefault="00436DAA" w:rsidP="00BD109B">
      <w:pPr>
        <w:pStyle w:val="a3"/>
        <w:widowControl/>
        <w:ind w:left="0"/>
      </w:pPr>
    </w:p>
    <w:p w14:paraId="0263B136" w14:textId="77777777" w:rsidR="00436DAA" w:rsidRPr="00330234" w:rsidRDefault="009B4B8E" w:rsidP="001B3E1E">
      <w:pPr>
        <w:pStyle w:val="a3"/>
        <w:keepNext/>
        <w:keepLines/>
        <w:widowControl/>
        <w:ind w:left="0"/>
      </w:pPr>
      <w:r w:rsidRPr="00330234">
        <w:rPr>
          <w:u w:val="single"/>
        </w:rPr>
        <w:lastRenderedPageBreak/>
        <w:t>Zwangerschap</w:t>
      </w:r>
    </w:p>
    <w:p w14:paraId="459204D6" w14:textId="77777777" w:rsidR="00436DAA" w:rsidRPr="00330234" w:rsidRDefault="009B4B8E" w:rsidP="00BD109B">
      <w:pPr>
        <w:pStyle w:val="a3"/>
        <w:widowControl/>
        <w:ind w:left="0"/>
      </w:pPr>
      <w:r w:rsidRPr="00330234">
        <w:t>Er zijn onvoldoende gegevens over het gebruik van tocilizumab bij zwangere vrouwen. Uit een dieronderzoek is bij een hoge dosis een verhoogd risico op spontane abortus/embryo-foetale dood gebleken (zie rubriek 5.3). Het potentiële risico voor de mens is niet bekend.</w:t>
      </w:r>
    </w:p>
    <w:p w14:paraId="6C6F4565" w14:textId="77777777" w:rsidR="00BD109B" w:rsidRPr="00330234" w:rsidRDefault="00BD109B" w:rsidP="00BD109B">
      <w:pPr>
        <w:pStyle w:val="a3"/>
        <w:widowControl/>
        <w:ind w:left="0"/>
      </w:pPr>
    </w:p>
    <w:p w14:paraId="2E8E4785" w14:textId="3101CE31" w:rsidR="00BD109B" w:rsidRPr="00330234" w:rsidRDefault="00C2327F" w:rsidP="00BD109B">
      <w:pPr>
        <w:pStyle w:val="a3"/>
        <w:widowControl/>
        <w:ind w:left="0"/>
      </w:pPr>
      <w:r w:rsidRPr="00330234">
        <w:t>Avtozma</w:t>
      </w:r>
      <w:r w:rsidR="009B4B8E" w:rsidRPr="00330234">
        <w:t xml:space="preserve"> mag niet tijdens de zwangerschap worden gebruikt, tenzij beslist noodzakelijk.</w:t>
      </w:r>
    </w:p>
    <w:p w14:paraId="627C11D8" w14:textId="77777777" w:rsidR="00BD109B" w:rsidRPr="00330234" w:rsidRDefault="00BD109B" w:rsidP="00BD109B">
      <w:pPr>
        <w:pStyle w:val="a3"/>
        <w:widowControl/>
        <w:ind w:left="0"/>
      </w:pPr>
    </w:p>
    <w:p w14:paraId="0DD063A2" w14:textId="235A83B9" w:rsidR="00436DAA" w:rsidRPr="00330234" w:rsidRDefault="009B4B8E" w:rsidP="00B428F3">
      <w:pPr>
        <w:pStyle w:val="a3"/>
        <w:keepNext/>
        <w:keepLines/>
        <w:widowControl/>
        <w:ind w:left="0"/>
      </w:pPr>
      <w:r w:rsidRPr="00330234">
        <w:rPr>
          <w:u w:val="single"/>
        </w:rPr>
        <w:t>Borstvoeding</w:t>
      </w:r>
    </w:p>
    <w:p w14:paraId="0E8AF8D3" w14:textId="2D500AF0" w:rsidR="00436DAA" w:rsidRPr="00330234" w:rsidRDefault="009B4B8E" w:rsidP="001B3E1E">
      <w:pPr>
        <w:pStyle w:val="a3"/>
        <w:widowControl/>
        <w:ind w:left="0"/>
      </w:pPr>
      <w:r w:rsidRPr="00330234">
        <w:t>Het is niet bekend of tocilizumab in de moedermelk wordt uitgescheiden</w:t>
      </w:r>
      <w:r w:rsidRPr="001B3E1E">
        <w:rPr>
          <w:bCs/>
        </w:rPr>
        <w:t xml:space="preserve">. </w:t>
      </w:r>
      <w:r w:rsidRPr="00330234">
        <w:t xml:space="preserve">De excretie van tocilizumab in de moedermelk is niet onderzocht bij dieren. Er moet worden besloten of borstvoeding moet worden gestaakt of dat behandeling met </w:t>
      </w:r>
      <w:r w:rsidR="00D91375" w:rsidRPr="00330234">
        <w:t>Avtozma</w:t>
      </w:r>
      <w:r w:rsidRPr="00330234">
        <w:t xml:space="preserve"> moet worden gestaakt dan wel niet moet worden ingesteld, waarbij het voordeel van borstvoeding voor het kind en het voordeel van behandeling voor de vrouw in overweging moeten worden genomen.</w:t>
      </w:r>
    </w:p>
    <w:p w14:paraId="04786842" w14:textId="77777777" w:rsidR="00436DAA" w:rsidRPr="00330234" w:rsidRDefault="00436DAA" w:rsidP="00BD109B">
      <w:pPr>
        <w:pStyle w:val="a3"/>
        <w:widowControl/>
        <w:ind w:left="0"/>
      </w:pPr>
    </w:p>
    <w:p w14:paraId="1A4468E5" w14:textId="77777777" w:rsidR="00436DAA" w:rsidRPr="00330234" w:rsidRDefault="009B4B8E" w:rsidP="00BD109B">
      <w:pPr>
        <w:pStyle w:val="a3"/>
        <w:widowControl/>
        <w:ind w:left="0"/>
      </w:pPr>
      <w:r w:rsidRPr="00330234">
        <w:rPr>
          <w:u w:val="single"/>
        </w:rPr>
        <w:t>Vruchtbaarheid</w:t>
      </w:r>
    </w:p>
    <w:p w14:paraId="4D78E684" w14:textId="77777777" w:rsidR="00436DAA" w:rsidRPr="00330234" w:rsidRDefault="009B4B8E" w:rsidP="00BD109B">
      <w:pPr>
        <w:pStyle w:val="a3"/>
        <w:widowControl/>
        <w:ind w:left="0"/>
      </w:pPr>
      <w:r w:rsidRPr="00330234">
        <w:t>Beschikbare niet-klinische gegevens duiden niet op een effect op de vruchtbaarheid tijdens tocilizumab-behandeling.</w:t>
      </w:r>
    </w:p>
    <w:p w14:paraId="3230412D" w14:textId="77777777" w:rsidR="00436DAA" w:rsidRPr="00330234" w:rsidRDefault="00436DAA" w:rsidP="00BD109B">
      <w:pPr>
        <w:pStyle w:val="a3"/>
        <w:widowControl/>
        <w:ind w:left="0"/>
      </w:pPr>
    </w:p>
    <w:p w14:paraId="0041326B" w14:textId="04B6F7FB" w:rsidR="00436DAA" w:rsidRPr="00330234" w:rsidRDefault="005328BF" w:rsidP="00BD109B">
      <w:pPr>
        <w:pStyle w:val="2"/>
      </w:pPr>
      <w:r w:rsidRPr="00330234">
        <w:t>4.7</w:t>
      </w:r>
      <w:r w:rsidRPr="00330234">
        <w:tab/>
      </w:r>
      <w:r w:rsidR="009B4B8E" w:rsidRPr="00330234">
        <w:t>Beïnvloeding van de rijvaardigheid en het vermogen om machines te bedienen</w:t>
      </w:r>
    </w:p>
    <w:p w14:paraId="4C78D19C" w14:textId="77777777" w:rsidR="00BD109B" w:rsidRPr="00330234" w:rsidRDefault="00BD109B" w:rsidP="00BD109B">
      <w:pPr>
        <w:pStyle w:val="a3"/>
        <w:widowControl/>
        <w:ind w:left="0"/>
      </w:pPr>
    </w:p>
    <w:p w14:paraId="6037E8E5" w14:textId="72C06A8F" w:rsidR="00436DAA" w:rsidRPr="00330234" w:rsidRDefault="00D91375" w:rsidP="00BD109B">
      <w:pPr>
        <w:pStyle w:val="a3"/>
        <w:widowControl/>
        <w:ind w:left="0"/>
      </w:pPr>
      <w:r w:rsidRPr="00330234">
        <w:t>Tocilizumab</w:t>
      </w:r>
      <w:r w:rsidR="009B4B8E" w:rsidRPr="00330234">
        <w:t xml:space="preserve"> heeft een geringe invloed op de rijvaardigheid en op het vermogen om machines te bedienen (zie rubriek 4.8, duizeligheid).</w:t>
      </w:r>
    </w:p>
    <w:p w14:paraId="5BEE719B" w14:textId="77777777" w:rsidR="00436DAA" w:rsidRPr="00330234" w:rsidRDefault="00436DAA" w:rsidP="00BD109B">
      <w:pPr>
        <w:pStyle w:val="a3"/>
        <w:widowControl/>
        <w:ind w:left="0"/>
      </w:pPr>
    </w:p>
    <w:p w14:paraId="65893C6B" w14:textId="75EC48EF" w:rsidR="00436DAA" w:rsidRPr="00330234" w:rsidRDefault="005328BF" w:rsidP="00BD109B">
      <w:pPr>
        <w:pStyle w:val="2"/>
      </w:pPr>
      <w:r w:rsidRPr="00330234">
        <w:t>4.8</w:t>
      </w:r>
      <w:r w:rsidRPr="00330234">
        <w:tab/>
      </w:r>
      <w:r w:rsidR="009B4B8E" w:rsidRPr="00330234">
        <w:t>Bijwerkingen</w:t>
      </w:r>
    </w:p>
    <w:p w14:paraId="072DBA50" w14:textId="77777777" w:rsidR="00BD109B" w:rsidRPr="00330234" w:rsidRDefault="00BD109B" w:rsidP="00BD109B">
      <w:pPr>
        <w:pStyle w:val="a3"/>
        <w:widowControl/>
        <w:ind w:left="0"/>
      </w:pPr>
    </w:p>
    <w:p w14:paraId="5CDFD167" w14:textId="520E3C57" w:rsidR="00436DAA" w:rsidRPr="00330234" w:rsidRDefault="009B4B8E" w:rsidP="00BD109B">
      <w:pPr>
        <w:pStyle w:val="a3"/>
        <w:widowControl/>
        <w:ind w:left="0"/>
      </w:pPr>
      <w:r w:rsidRPr="00330234">
        <w:rPr>
          <w:u w:val="single"/>
        </w:rPr>
        <w:t>Samenvatting van het veiligheidsprofiel</w:t>
      </w:r>
    </w:p>
    <w:p w14:paraId="117131EA" w14:textId="77777777" w:rsidR="00436DAA" w:rsidRPr="00330234" w:rsidRDefault="009B4B8E" w:rsidP="00BD109B">
      <w:pPr>
        <w:pStyle w:val="a3"/>
        <w:widowControl/>
        <w:ind w:left="0"/>
      </w:pPr>
      <w:r w:rsidRPr="00330234">
        <w:t>De meest gerapporteerde bijwerkingen (voorkomend bij ≥ 5 % van de patiënten behandeld met tocilizumab-monotherapie of in combinatie met DMARD’s bij RA, sJIA, pJIA en CRS) waren infecties van de bovenste luchtwegen, nasofaryngitis, hoofdpijn, hypertensie en een verhoogde ALAT- spiegel.</w:t>
      </w:r>
    </w:p>
    <w:p w14:paraId="492A7187" w14:textId="77777777" w:rsidR="00BD109B" w:rsidRPr="00330234" w:rsidRDefault="00BD109B" w:rsidP="00BD109B">
      <w:pPr>
        <w:pStyle w:val="a3"/>
        <w:widowControl/>
        <w:ind w:left="0"/>
      </w:pPr>
    </w:p>
    <w:p w14:paraId="3E949B26" w14:textId="77777777" w:rsidR="00436DAA" w:rsidRPr="00330234" w:rsidRDefault="009B4B8E" w:rsidP="00BD109B">
      <w:pPr>
        <w:pStyle w:val="a3"/>
        <w:widowControl/>
        <w:ind w:left="0"/>
      </w:pPr>
      <w:r w:rsidRPr="00330234">
        <w:t>De meest ernstige bijwerkingen waren ernstige infecties, complicaties van diverticulitis en overgevoeligheidsreacties.</w:t>
      </w:r>
    </w:p>
    <w:p w14:paraId="769173A8" w14:textId="77777777" w:rsidR="00BD109B" w:rsidRPr="00330234" w:rsidRDefault="00BD109B" w:rsidP="00BD109B">
      <w:pPr>
        <w:pStyle w:val="a3"/>
        <w:widowControl/>
        <w:ind w:left="0"/>
      </w:pPr>
    </w:p>
    <w:p w14:paraId="6610E309" w14:textId="77777777" w:rsidR="00436DAA" w:rsidRPr="00330234" w:rsidRDefault="009B4B8E" w:rsidP="00BD109B">
      <w:pPr>
        <w:pStyle w:val="a3"/>
        <w:widowControl/>
        <w:ind w:left="0"/>
      </w:pPr>
      <w:r w:rsidRPr="00330234">
        <w:t>De meest gerapporteerde bijwerkingen (voorkomend bij ≥ 5% van de patiënten behandeld met tocilizumab voor COVID-19) waren een stijging van de levertransaminasen, constipatie en een urineweginfectie.</w:t>
      </w:r>
    </w:p>
    <w:p w14:paraId="67A00BDB" w14:textId="77777777" w:rsidR="00BD109B" w:rsidRPr="00330234" w:rsidRDefault="00BD109B" w:rsidP="00BD109B">
      <w:pPr>
        <w:pStyle w:val="a3"/>
        <w:widowControl/>
        <w:ind w:left="0"/>
      </w:pPr>
    </w:p>
    <w:p w14:paraId="03655D2F" w14:textId="5AC4D3D4" w:rsidR="00436DAA" w:rsidRPr="00330234" w:rsidRDefault="009B4B8E" w:rsidP="00BD109B">
      <w:pPr>
        <w:pStyle w:val="a3"/>
        <w:widowControl/>
        <w:ind w:left="0"/>
      </w:pPr>
      <w:r w:rsidRPr="00330234">
        <w:t xml:space="preserve">Bijwerkingen uit klinische onderzoeken en/of spontane meldingen na het op de markt brengen van </w:t>
      </w:r>
      <w:r w:rsidR="00D91375" w:rsidRPr="00330234">
        <w:t>tocilizumab</w:t>
      </w:r>
      <w:r w:rsidRPr="00330234">
        <w:t xml:space="preserve"> en meldingen uit de literatuur en niet-interventionele onderzoeksprogramma’s zijn weergegeven in tabel 1 en tabel 2 naar MedDRA-systeem/orgaanklasse. De bijbehorende frequentiecategorie van elke bijwerking is gebaseerd op de volgende conventie: zeer vaak (≥ 1/10), vaak (≥ 1/100, &lt; 1/10), soms (≥ 1/1.000, &lt; 1/100), zelden (≥ 1/10.000, &lt; 1/1.000) of zeer zelden</w:t>
      </w:r>
      <w:r w:rsidR="00BD109B" w:rsidRPr="00330234">
        <w:t xml:space="preserve"> </w:t>
      </w:r>
      <w:r w:rsidRPr="00330234">
        <w:t>(&lt;</w:t>
      </w:r>
      <w:r w:rsidR="00BD109B" w:rsidRPr="00330234">
        <w:t> </w:t>
      </w:r>
      <w:r w:rsidRPr="00330234">
        <w:t>1/10.000). Binnen iedere frequentiegroep worden bijwerkingen gerangschikt naar afnemende ernst.</w:t>
      </w:r>
    </w:p>
    <w:p w14:paraId="62B47F88" w14:textId="77777777" w:rsidR="00436DAA" w:rsidRPr="00330234" w:rsidRDefault="00436DAA" w:rsidP="00BD109B">
      <w:pPr>
        <w:pStyle w:val="a3"/>
        <w:widowControl/>
        <w:ind w:left="0"/>
      </w:pPr>
    </w:p>
    <w:p w14:paraId="418D6BBC" w14:textId="77777777" w:rsidR="00436DAA" w:rsidRPr="00330234" w:rsidRDefault="009B4B8E" w:rsidP="00BD109B">
      <w:pPr>
        <w:pStyle w:val="a3"/>
        <w:widowControl/>
        <w:ind w:left="0"/>
      </w:pPr>
      <w:r w:rsidRPr="00330234">
        <w:rPr>
          <w:u w:val="single"/>
        </w:rPr>
        <w:t>RA-patiënten</w:t>
      </w:r>
    </w:p>
    <w:p w14:paraId="696AD147" w14:textId="77777777" w:rsidR="00436DAA" w:rsidRPr="00330234" w:rsidRDefault="009B4B8E" w:rsidP="00BD109B">
      <w:pPr>
        <w:pStyle w:val="a3"/>
        <w:widowControl/>
        <w:ind w:left="0"/>
      </w:pPr>
      <w:r w:rsidRPr="00330234">
        <w:t>Het veiligheidsprofiel van tocilizumab is onderzocht in 4 placebogecontroleerde studies (studies II, III, IV en V), 1 MTX-gecontroleerde studie (studie I) en hun extensieperiodes (zie rubriek 5.1).</w:t>
      </w:r>
    </w:p>
    <w:p w14:paraId="63D4C322" w14:textId="77777777" w:rsidR="00BD109B" w:rsidRPr="00330234" w:rsidRDefault="00BD109B" w:rsidP="00BD109B">
      <w:pPr>
        <w:pStyle w:val="a3"/>
        <w:widowControl/>
        <w:ind w:left="0"/>
      </w:pPr>
    </w:p>
    <w:p w14:paraId="7E21078C" w14:textId="010518F5" w:rsidR="00436DAA" w:rsidRPr="00330234" w:rsidRDefault="009B4B8E" w:rsidP="00BD109B">
      <w:pPr>
        <w:pStyle w:val="a3"/>
        <w:widowControl/>
        <w:ind w:left="0"/>
      </w:pPr>
      <w:r w:rsidRPr="00330234">
        <w:t>De dubbelblinde gecontroleerde periode was 6 maanden bij vier studies (studies I, III, IV en V) en was maximaal 2 jaar bij één studie (studie II). In de dubbelblinde gecontroleerde studies kregen 774</w:t>
      </w:r>
      <w:r w:rsidR="00BD109B" w:rsidRPr="00330234">
        <w:t xml:space="preserve"> </w:t>
      </w:r>
      <w:r w:rsidRPr="00330234">
        <w:t>patiënten tocilizumab 4 mg/kg in combinatie met MTX, 1</w:t>
      </w:r>
      <w:r w:rsidR="00D91375" w:rsidRPr="00330234">
        <w:t>.</w:t>
      </w:r>
      <w:r w:rsidRPr="00330234">
        <w:t>870 patiënten kregen tocilizumab 8 mg/kg in combinatie met MTX of andere DMARD</w:t>
      </w:r>
      <w:r w:rsidR="00753185" w:rsidRPr="00330234">
        <w:t>’</w:t>
      </w:r>
      <w:r w:rsidRPr="00330234">
        <w:t>s en 288 patiënten kregen tocilizumab 8 mg/kg als monotherapie.</w:t>
      </w:r>
    </w:p>
    <w:p w14:paraId="542B847D" w14:textId="77777777" w:rsidR="00436DAA" w:rsidRPr="00330234" w:rsidRDefault="00436DAA" w:rsidP="00BD109B">
      <w:pPr>
        <w:pStyle w:val="a3"/>
        <w:widowControl/>
        <w:ind w:left="0"/>
      </w:pPr>
    </w:p>
    <w:p w14:paraId="24869F48" w14:textId="7910D099" w:rsidR="00436DAA" w:rsidRPr="00330234" w:rsidRDefault="009B4B8E" w:rsidP="00BD109B">
      <w:pPr>
        <w:pStyle w:val="a3"/>
        <w:widowControl/>
        <w:ind w:left="0"/>
      </w:pPr>
      <w:r w:rsidRPr="00330234">
        <w:t xml:space="preserve">De populatie met langdurige blootstelling omvatte alle patiënten die ten minste één dosis tocilizumab hadden ontvangen, of in de dubbelblinde gecontroleerde periode of in de open-label-extensiefase van </w:t>
      </w:r>
      <w:r w:rsidRPr="00330234">
        <w:lastRenderedPageBreak/>
        <w:t>de studies. Van de 4</w:t>
      </w:r>
      <w:r w:rsidR="00D91375" w:rsidRPr="00330234">
        <w:t>.</w:t>
      </w:r>
      <w:r w:rsidRPr="00330234">
        <w:t>009 patiënten in deze populatie kregen 3</w:t>
      </w:r>
      <w:r w:rsidR="00D91375" w:rsidRPr="00330234">
        <w:t>.</w:t>
      </w:r>
      <w:r w:rsidRPr="00330234">
        <w:t>577 patiënten een behandeling voor ten minste 6 maanden, 3</w:t>
      </w:r>
      <w:r w:rsidR="00D91375" w:rsidRPr="00330234">
        <w:t>.</w:t>
      </w:r>
      <w:r w:rsidRPr="00330234">
        <w:t>296 voor ten minste één jaar, 2</w:t>
      </w:r>
      <w:r w:rsidR="00D91375" w:rsidRPr="00330234">
        <w:t>.</w:t>
      </w:r>
      <w:r w:rsidRPr="00330234">
        <w:t>806 voor ten minste 2 jaar en 1</w:t>
      </w:r>
      <w:r w:rsidR="00D91375" w:rsidRPr="00330234">
        <w:t>.</w:t>
      </w:r>
      <w:r w:rsidRPr="00330234">
        <w:t>222 voor 3 jaar.</w:t>
      </w:r>
    </w:p>
    <w:p w14:paraId="3312E7DD" w14:textId="77777777" w:rsidR="00BD109B" w:rsidRPr="00330234" w:rsidRDefault="00BD109B" w:rsidP="00BD109B">
      <w:pPr>
        <w:pStyle w:val="a3"/>
        <w:widowControl/>
        <w:ind w:left="0"/>
      </w:pPr>
    </w:p>
    <w:p w14:paraId="22682BFB" w14:textId="39D675BE" w:rsidR="00436DAA" w:rsidRPr="00330234" w:rsidRDefault="009B4B8E" w:rsidP="0047099E">
      <w:pPr>
        <w:keepNext/>
        <w:keepLines/>
        <w:widowControl/>
        <w:ind w:left="1134" w:hanging="1134"/>
        <w:rPr>
          <w:i/>
        </w:rPr>
      </w:pPr>
      <w:r w:rsidRPr="00330234">
        <w:rPr>
          <w:i/>
        </w:rPr>
        <w:t>Tabel 1.</w:t>
      </w:r>
      <w:r w:rsidR="00B428F3" w:rsidRPr="00330234">
        <w:rPr>
          <w:i/>
        </w:rPr>
        <w:tab/>
      </w:r>
      <w:r w:rsidRPr="00330234">
        <w:rPr>
          <w:i/>
        </w:rPr>
        <w:t>Bijwerkingen die optraden bij patiënten met RA tijdens het gebruik van tocilizumab als monotherapie of in combinatie met MTX of een andere DMARD in de dubbelblinde gecontroleerde periode of na het op de markt brengen</w:t>
      </w:r>
    </w:p>
    <w:p w14:paraId="116C0577" w14:textId="77777777" w:rsidR="00436DAA" w:rsidRPr="00330234" w:rsidRDefault="00436DAA" w:rsidP="0047099E">
      <w:pPr>
        <w:pStyle w:val="a3"/>
        <w:keepNext/>
        <w:keepLines/>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5" w:type="dxa"/>
          <w:right w:w="85" w:type="dxa"/>
        </w:tblCellMar>
        <w:tblLook w:val="01E0" w:firstRow="1" w:lastRow="1" w:firstColumn="1" w:lastColumn="1" w:noHBand="0" w:noVBand="0"/>
      </w:tblPr>
      <w:tblGrid>
        <w:gridCol w:w="2655"/>
        <w:gridCol w:w="1582"/>
        <w:gridCol w:w="1875"/>
        <w:gridCol w:w="1498"/>
        <w:gridCol w:w="1456"/>
      </w:tblGrid>
      <w:tr w:rsidR="00436DAA" w:rsidRPr="00330234" w14:paraId="348F1CE8" w14:textId="77777777" w:rsidTr="00B428F3">
        <w:trPr>
          <w:trHeight w:val="20"/>
          <w:tblHeader/>
        </w:trPr>
        <w:tc>
          <w:tcPr>
            <w:tcW w:w="2655" w:type="dxa"/>
            <w:vMerge w:val="restart"/>
          </w:tcPr>
          <w:p w14:paraId="4AB34A7C" w14:textId="77777777" w:rsidR="00436DAA" w:rsidRPr="00330234" w:rsidRDefault="009B4B8E" w:rsidP="0047099E">
            <w:pPr>
              <w:pStyle w:val="TableParagraph"/>
              <w:keepNext/>
              <w:keepLines/>
              <w:widowControl/>
              <w:jc w:val="center"/>
              <w:rPr>
                <w:rFonts w:eastAsia="SimSun"/>
                <w:b/>
                <w:sz w:val="20"/>
                <w:szCs w:val="20"/>
                <w:lang w:eastAsia="zh-CN"/>
              </w:rPr>
            </w:pPr>
            <w:r w:rsidRPr="00330234">
              <w:rPr>
                <w:b/>
                <w:sz w:val="20"/>
                <w:szCs w:val="20"/>
              </w:rPr>
              <w:t>MedDRA systeem/orgaanklasse</w:t>
            </w:r>
          </w:p>
          <w:p w14:paraId="781A726E" w14:textId="77777777" w:rsidR="00BE072F" w:rsidRPr="00330234" w:rsidRDefault="00BE072F" w:rsidP="0047099E">
            <w:pPr>
              <w:pStyle w:val="TableParagraph"/>
              <w:keepNext/>
              <w:keepLines/>
              <w:widowControl/>
              <w:jc w:val="center"/>
              <w:rPr>
                <w:rFonts w:eastAsia="SimSun"/>
                <w:b/>
                <w:sz w:val="20"/>
                <w:szCs w:val="20"/>
                <w:lang w:eastAsia="zh-CN"/>
              </w:rPr>
            </w:pPr>
          </w:p>
        </w:tc>
        <w:tc>
          <w:tcPr>
            <w:tcW w:w="6411" w:type="dxa"/>
            <w:gridSpan w:val="4"/>
          </w:tcPr>
          <w:p w14:paraId="29A4DBC0" w14:textId="77777777" w:rsidR="00436DAA" w:rsidRPr="00330234" w:rsidRDefault="009B4B8E" w:rsidP="0047099E">
            <w:pPr>
              <w:pStyle w:val="TableParagraph"/>
              <w:keepNext/>
              <w:keepLines/>
              <w:widowControl/>
              <w:jc w:val="center"/>
              <w:rPr>
                <w:b/>
                <w:sz w:val="20"/>
                <w:szCs w:val="20"/>
              </w:rPr>
            </w:pPr>
            <w:r w:rsidRPr="00330234">
              <w:rPr>
                <w:b/>
                <w:sz w:val="20"/>
                <w:szCs w:val="20"/>
              </w:rPr>
              <w:t>Frequentiegroepen en voorkeurstermen</w:t>
            </w:r>
          </w:p>
        </w:tc>
      </w:tr>
      <w:tr w:rsidR="00B340DD" w:rsidRPr="00330234" w14:paraId="384770BE" w14:textId="77777777" w:rsidTr="00B428F3">
        <w:trPr>
          <w:trHeight w:val="20"/>
          <w:tblHeader/>
        </w:trPr>
        <w:tc>
          <w:tcPr>
            <w:tcW w:w="2655" w:type="dxa"/>
            <w:vMerge/>
            <w:tcBorders>
              <w:top w:val="nil"/>
            </w:tcBorders>
          </w:tcPr>
          <w:p w14:paraId="7154C70C" w14:textId="77777777" w:rsidR="00436DAA" w:rsidRPr="00330234" w:rsidRDefault="00436DAA" w:rsidP="00BD109B">
            <w:pPr>
              <w:widowControl/>
              <w:jc w:val="center"/>
              <w:rPr>
                <w:sz w:val="20"/>
                <w:szCs w:val="20"/>
              </w:rPr>
            </w:pPr>
          </w:p>
        </w:tc>
        <w:tc>
          <w:tcPr>
            <w:tcW w:w="1582" w:type="dxa"/>
          </w:tcPr>
          <w:p w14:paraId="5342F1DE" w14:textId="77777777" w:rsidR="00436DAA" w:rsidRPr="00330234" w:rsidRDefault="009B4B8E" w:rsidP="00BD109B">
            <w:pPr>
              <w:pStyle w:val="TableParagraph"/>
              <w:widowControl/>
              <w:jc w:val="center"/>
              <w:rPr>
                <w:rFonts w:eastAsia="SimSun"/>
                <w:b/>
                <w:sz w:val="20"/>
                <w:szCs w:val="20"/>
                <w:lang w:eastAsia="zh-CN"/>
              </w:rPr>
            </w:pPr>
            <w:r w:rsidRPr="00330234">
              <w:rPr>
                <w:b/>
                <w:sz w:val="20"/>
                <w:szCs w:val="20"/>
              </w:rPr>
              <w:t>Zeer vaak</w:t>
            </w:r>
          </w:p>
          <w:p w14:paraId="5C64FE3C" w14:textId="77777777" w:rsidR="00BE072F" w:rsidRPr="00330234" w:rsidRDefault="00BE072F" w:rsidP="00BD109B">
            <w:pPr>
              <w:pStyle w:val="TableParagraph"/>
              <w:widowControl/>
              <w:jc w:val="center"/>
              <w:rPr>
                <w:rFonts w:eastAsia="SimSun"/>
                <w:b/>
                <w:sz w:val="20"/>
                <w:szCs w:val="20"/>
                <w:lang w:eastAsia="zh-CN"/>
              </w:rPr>
            </w:pPr>
          </w:p>
        </w:tc>
        <w:tc>
          <w:tcPr>
            <w:tcW w:w="1875" w:type="dxa"/>
          </w:tcPr>
          <w:p w14:paraId="1158D9A3" w14:textId="77777777" w:rsidR="00436DAA" w:rsidRPr="00330234" w:rsidRDefault="009B4B8E" w:rsidP="00BD109B">
            <w:pPr>
              <w:pStyle w:val="TableParagraph"/>
              <w:widowControl/>
              <w:jc w:val="center"/>
              <w:rPr>
                <w:rFonts w:eastAsia="SimSun"/>
                <w:b/>
                <w:sz w:val="20"/>
                <w:szCs w:val="20"/>
                <w:lang w:eastAsia="zh-CN"/>
              </w:rPr>
            </w:pPr>
            <w:r w:rsidRPr="00330234">
              <w:rPr>
                <w:b/>
                <w:sz w:val="20"/>
                <w:szCs w:val="20"/>
              </w:rPr>
              <w:t>Vaak</w:t>
            </w:r>
          </w:p>
          <w:p w14:paraId="297A2CC6" w14:textId="77777777" w:rsidR="00BE072F" w:rsidRPr="00330234" w:rsidRDefault="00BE072F" w:rsidP="00BD109B">
            <w:pPr>
              <w:pStyle w:val="TableParagraph"/>
              <w:widowControl/>
              <w:jc w:val="center"/>
              <w:rPr>
                <w:rFonts w:eastAsia="SimSun"/>
                <w:b/>
                <w:sz w:val="20"/>
                <w:szCs w:val="20"/>
                <w:lang w:eastAsia="zh-CN"/>
              </w:rPr>
            </w:pPr>
          </w:p>
        </w:tc>
        <w:tc>
          <w:tcPr>
            <w:tcW w:w="1498" w:type="dxa"/>
          </w:tcPr>
          <w:p w14:paraId="5E4937A0" w14:textId="77777777" w:rsidR="00436DAA" w:rsidRPr="00330234" w:rsidRDefault="009B4B8E" w:rsidP="00BD109B">
            <w:pPr>
              <w:pStyle w:val="TableParagraph"/>
              <w:widowControl/>
              <w:jc w:val="center"/>
              <w:rPr>
                <w:rFonts w:eastAsia="SimSun"/>
                <w:b/>
                <w:sz w:val="20"/>
                <w:szCs w:val="20"/>
                <w:lang w:eastAsia="zh-CN"/>
              </w:rPr>
            </w:pPr>
            <w:r w:rsidRPr="00330234">
              <w:rPr>
                <w:b/>
                <w:sz w:val="20"/>
                <w:szCs w:val="20"/>
              </w:rPr>
              <w:t>Soms</w:t>
            </w:r>
          </w:p>
          <w:p w14:paraId="4F146DC3" w14:textId="77777777" w:rsidR="00BE072F" w:rsidRPr="00330234" w:rsidRDefault="00BE072F" w:rsidP="00BD109B">
            <w:pPr>
              <w:pStyle w:val="TableParagraph"/>
              <w:widowControl/>
              <w:jc w:val="center"/>
              <w:rPr>
                <w:rFonts w:eastAsia="SimSun"/>
                <w:b/>
                <w:sz w:val="20"/>
                <w:szCs w:val="20"/>
                <w:lang w:eastAsia="zh-CN"/>
              </w:rPr>
            </w:pPr>
          </w:p>
        </w:tc>
        <w:tc>
          <w:tcPr>
            <w:tcW w:w="1456" w:type="dxa"/>
          </w:tcPr>
          <w:p w14:paraId="57CD2DBD" w14:textId="77777777" w:rsidR="00436DAA" w:rsidRPr="00330234" w:rsidRDefault="009B4B8E" w:rsidP="00BD109B">
            <w:pPr>
              <w:pStyle w:val="TableParagraph"/>
              <w:widowControl/>
              <w:jc w:val="center"/>
              <w:rPr>
                <w:rFonts w:eastAsia="SimSun"/>
                <w:b/>
                <w:sz w:val="20"/>
                <w:szCs w:val="20"/>
                <w:lang w:eastAsia="zh-CN"/>
              </w:rPr>
            </w:pPr>
            <w:r w:rsidRPr="00330234">
              <w:rPr>
                <w:b/>
                <w:sz w:val="20"/>
                <w:szCs w:val="20"/>
              </w:rPr>
              <w:t>Zelden</w:t>
            </w:r>
          </w:p>
          <w:p w14:paraId="5DC3B6C4" w14:textId="77777777" w:rsidR="00BE072F" w:rsidRPr="00330234" w:rsidRDefault="00BE072F" w:rsidP="00BD109B">
            <w:pPr>
              <w:pStyle w:val="TableParagraph"/>
              <w:widowControl/>
              <w:jc w:val="center"/>
              <w:rPr>
                <w:rFonts w:eastAsia="SimSun"/>
                <w:b/>
                <w:sz w:val="20"/>
                <w:szCs w:val="20"/>
                <w:lang w:eastAsia="zh-CN"/>
              </w:rPr>
            </w:pPr>
          </w:p>
        </w:tc>
      </w:tr>
      <w:tr w:rsidR="00B340DD" w:rsidRPr="00330234" w14:paraId="562766EE" w14:textId="77777777" w:rsidTr="00B428F3">
        <w:trPr>
          <w:trHeight w:val="20"/>
        </w:trPr>
        <w:tc>
          <w:tcPr>
            <w:tcW w:w="2655" w:type="dxa"/>
          </w:tcPr>
          <w:p w14:paraId="27BD0650" w14:textId="77777777" w:rsidR="00436DAA" w:rsidRPr="00330234" w:rsidRDefault="009B4B8E" w:rsidP="00BD109B">
            <w:pPr>
              <w:pStyle w:val="TableParagraph"/>
              <w:widowControl/>
              <w:rPr>
                <w:sz w:val="20"/>
                <w:szCs w:val="20"/>
              </w:rPr>
            </w:pPr>
            <w:r w:rsidRPr="00330234">
              <w:rPr>
                <w:sz w:val="20"/>
                <w:szCs w:val="20"/>
              </w:rPr>
              <w:t>Infecties en parasitaire aandoeningen</w:t>
            </w:r>
          </w:p>
        </w:tc>
        <w:tc>
          <w:tcPr>
            <w:tcW w:w="1582" w:type="dxa"/>
          </w:tcPr>
          <w:p w14:paraId="19A7E403" w14:textId="77777777" w:rsidR="00436DAA" w:rsidRPr="00330234" w:rsidRDefault="009B4B8E" w:rsidP="00BD109B">
            <w:pPr>
              <w:pStyle w:val="TableParagraph"/>
              <w:widowControl/>
              <w:rPr>
                <w:sz w:val="20"/>
                <w:szCs w:val="20"/>
              </w:rPr>
            </w:pPr>
            <w:r w:rsidRPr="00330234">
              <w:rPr>
                <w:sz w:val="20"/>
                <w:szCs w:val="20"/>
              </w:rPr>
              <w:t>Bovenste- luchtweginfecties</w:t>
            </w:r>
          </w:p>
        </w:tc>
        <w:tc>
          <w:tcPr>
            <w:tcW w:w="1875" w:type="dxa"/>
          </w:tcPr>
          <w:p w14:paraId="16F85B3F" w14:textId="61A1F35C" w:rsidR="00436DAA" w:rsidRPr="00330234" w:rsidRDefault="009B4B8E" w:rsidP="002328C5">
            <w:pPr>
              <w:pStyle w:val="TableParagraph"/>
              <w:widowControl/>
              <w:rPr>
                <w:sz w:val="20"/>
                <w:szCs w:val="20"/>
              </w:rPr>
            </w:pPr>
            <w:r w:rsidRPr="00330234">
              <w:rPr>
                <w:sz w:val="20"/>
                <w:szCs w:val="20"/>
              </w:rPr>
              <w:t>Cellulitis, Pneumonie, Orale herpes simplex,</w:t>
            </w:r>
            <w:r w:rsidR="002328C5" w:rsidRPr="00330234">
              <w:rPr>
                <w:sz w:val="20"/>
                <w:szCs w:val="20"/>
              </w:rPr>
              <w:t xml:space="preserve"> </w:t>
            </w:r>
            <w:r w:rsidRPr="00330234">
              <w:rPr>
                <w:sz w:val="20"/>
                <w:szCs w:val="20"/>
              </w:rPr>
              <w:t>Herpes zoster</w:t>
            </w:r>
          </w:p>
        </w:tc>
        <w:tc>
          <w:tcPr>
            <w:tcW w:w="1498" w:type="dxa"/>
          </w:tcPr>
          <w:p w14:paraId="50D14319" w14:textId="77777777" w:rsidR="00436DAA" w:rsidRPr="00330234" w:rsidRDefault="009B4B8E" w:rsidP="00BD109B">
            <w:pPr>
              <w:pStyle w:val="TableParagraph"/>
              <w:widowControl/>
              <w:rPr>
                <w:sz w:val="20"/>
                <w:szCs w:val="20"/>
              </w:rPr>
            </w:pPr>
            <w:r w:rsidRPr="00330234">
              <w:rPr>
                <w:sz w:val="20"/>
                <w:szCs w:val="20"/>
              </w:rPr>
              <w:t>Diverticulitis</w:t>
            </w:r>
          </w:p>
        </w:tc>
        <w:tc>
          <w:tcPr>
            <w:tcW w:w="1456" w:type="dxa"/>
          </w:tcPr>
          <w:p w14:paraId="0707ED4D" w14:textId="77777777" w:rsidR="00436DAA" w:rsidRPr="00330234" w:rsidRDefault="00436DAA" w:rsidP="00BD109B">
            <w:pPr>
              <w:pStyle w:val="TableParagraph"/>
              <w:widowControl/>
              <w:rPr>
                <w:sz w:val="20"/>
                <w:szCs w:val="20"/>
              </w:rPr>
            </w:pPr>
          </w:p>
        </w:tc>
      </w:tr>
      <w:tr w:rsidR="00B340DD" w:rsidRPr="00330234" w14:paraId="34D05CEC" w14:textId="77777777" w:rsidTr="00B428F3">
        <w:trPr>
          <w:trHeight w:val="20"/>
        </w:trPr>
        <w:tc>
          <w:tcPr>
            <w:tcW w:w="2655" w:type="dxa"/>
          </w:tcPr>
          <w:p w14:paraId="40A4AEFF" w14:textId="77777777" w:rsidR="00436DAA" w:rsidRPr="00330234" w:rsidRDefault="009B4B8E" w:rsidP="00BD109B">
            <w:pPr>
              <w:pStyle w:val="TableParagraph"/>
              <w:widowControl/>
              <w:rPr>
                <w:sz w:val="20"/>
                <w:szCs w:val="20"/>
              </w:rPr>
            </w:pPr>
            <w:r w:rsidRPr="00330234">
              <w:rPr>
                <w:sz w:val="20"/>
                <w:szCs w:val="20"/>
              </w:rPr>
              <w:t>Bloed- en lymfestelsel- aandoeningen</w:t>
            </w:r>
          </w:p>
        </w:tc>
        <w:tc>
          <w:tcPr>
            <w:tcW w:w="1582" w:type="dxa"/>
          </w:tcPr>
          <w:p w14:paraId="08DA541E" w14:textId="77777777" w:rsidR="00436DAA" w:rsidRPr="00330234" w:rsidRDefault="00436DAA" w:rsidP="00BD109B">
            <w:pPr>
              <w:pStyle w:val="TableParagraph"/>
              <w:widowControl/>
              <w:rPr>
                <w:sz w:val="20"/>
                <w:szCs w:val="20"/>
              </w:rPr>
            </w:pPr>
          </w:p>
        </w:tc>
        <w:tc>
          <w:tcPr>
            <w:tcW w:w="1875" w:type="dxa"/>
          </w:tcPr>
          <w:p w14:paraId="3AD9B075" w14:textId="77777777" w:rsidR="00436DAA" w:rsidRPr="00330234" w:rsidRDefault="009B4B8E" w:rsidP="00BD109B">
            <w:pPr>
              <w:pStyle w:val="TableParagraph"/>
              <w:widowControl/>
              <w:rPr>
                <w:sz w:val="20"/>
                <w:szCs w:val="20"/>
              </w:rPr>
            </w:pPr>
            <w:r w:rsidRPr="00330234">
              <w:rPr>
                <w:sz w:val="20"/>
                <w:szCs w:val="20"/>
              </w:rPr>
              <w:t>Leukopenie,</w:t>
            </w:r>
          </w:p>
          <w:p w14:paraId="4C533CC3" w14:textId="77777777" w:rsidR="00436DAA" w:rsidRPr="00330234" w:rsidRDefault="009B4B8E" w:rsidP="00BD109B">
            <w:pPr>
              <w:pStyle w:val="TableParagraph"/>
              <w:widowControl/>
              <w:rPr>
                <w:sz w:val="20"/>
                <w:szCs w:val="20"/>
              </w:rPr>
            </w:pPr>
            <w:r w:rsidRPr="00330234">
              <w:rPr>
                <w:sz w:val="20"/>
                <w:szCs w:val="20"/>
              </w:rPr>
              <w:t>Neutropenie, Hypofibrinogenemie</w:t>
            </w:r>
          </w:p>
        </w:tc>
        <w:tc>
          <w:tcPr>
            <w:tcW w:w="1498" w:type="dxa"/>
          </w:tcPr>
          <w:p w14:paraId="304EF0E3" w14:textId="77777777" w:rsidR="00436DAA" w:rsidRPr="00330234" w:rsidRDefault="00436DAA" w:rsidP="00BD109B">
            <w:pPr>
              <w:pStyle w:val="TableParagraph"/>
              <w:widowControl/>
              <w:rPr>
                <w:sz w:val="20"/>
                <w:szCs w:val="20"/>
              </w:rPr>
            </w:pPr>
          </w:p>
        </w:tc>
        <w:tc>
          <w:tcPr>
            <w:tcW w:w="1456" w:type="dxa"/>
          </w:tcPr>
          <w:p w14:paraId="5F7C0B74" w14:textId="77777777" w:rsidR="00436DAA" w:rsidRPr="00330234" w:rsidRDefault="00436DAA" w:rsidP="00BD109B">
            <w:pPr>
              <w:pStyle w:val="TableParagraph"/>
              <w:widowControl/>
              <w:rPr>
                <w:sz w:val="20"/>
                <w:szCs w:val="20"/>
              </w:rPr>
            </w:pPr>
          </w:p>
        </w:tc>
      </w:tr>
      <w:tr w:rsidR="00B340DD" w:rsidRPr="00330234" w14:paraId="596946C5" w14:textId="77777777" w:rsidTr="00B428F3">
        <w:trPr>
          <w:trHeight w:val="20"/>
        </w:trPr>
        <w:tc>
          <w:tcPr>
            <w:tcW w:w="2655" w:type="dxa"/>
          </w:tcPr>
          <w:p w14:paraId="13BC8B6C" w14:textId="29E8D2A5" w:rsidR="00436DAA" w:rsidRPr="00330234" w:rsidRDefault="009B4B8E" w:rsidP="00BD109B">
            <w:pPr>
              <w:pStyle w:val="TableParagraph"/>
              <w:widowControl/>
              <w:rPr>
                <w:sz w:val="20"/>
                <w:szCs w:val="20"/>
              </w:rPr>
            </w:pPr>
            <w:r w:rsidRPr="00330234">
              <w:rPr>
                <w:sz w:val="20"/>
                <w:szCs w:val="20"/>
              </w:rPr>
              <w:t>Immuunsysteemaandoeningen</w:t>
            </w:r>
          </w:p>
        </w:tc>
        <w:tc>
          <w:tcPr>
            <w:tcW w:w="1582" w:type="dxa"/>
          </w:tcPr>
          <w:p w14:paraId="433D665B" w14:textId="77777777" w:rsidR="00436DAA" w:rsidRPr="00330234" w:rsidRDefault="00436DAA" w:rsidP="00BD109B">
            <w:pPr>
              <w:pStyle w:val="TableParagraph"/>
              <w:widowControl/>
              <w:rPr>
                <w:sz w:val="20"/>
                <w:szCs w:val="20"/>
              </w:rPr>
            </w:pPr>
          </w:p>
        </w:tc>
        <w:tc>
          <w:tcPr>
            <w:tcW w:w="1875" w:type="dxa"/>
          </w:tcPr>
          <w:p w14:paraId="258C8CC6" w14:textId="77777777" w:rsidR="00436DAA" w:rsidRPr="00330234" w:rsidRDefault="00436DAA" w:rsidP="00BD109B">
            <w:pPr>
              <w:pStyle w:val="TableParagraph"/>
              <w:widowControl/>
              <w:rPr>
                <w:sz w:val="20"/>
                <w:szCs w:val="20"/>
              </w:rPr>
            </w:pPr>
          </w:p>
        </w:tc>
        <w:tc>
          <w:tcPr>
            <w:tcW w:w="1498" w:type="dxa"/>
          </w:tcPr>
          <w:p w14:paraId="1C0147FF" w14:textId="77777777" w:rsidR="00436DAA" w:rsidRPr="00330234" w:rsidRDefault="00436DAA" w:rsidP="00BD109B">
            <w:pPr>
              <w:pStyle w:val="TableParagraph"/>
              <w:widowControl/>
              <w:rPr>
                <w:sz w:val="20"/>
                <w:szCs w:val="20"/>
              </w:rPr>
            </w:pPr>
          </w:p>
        </w:tc>
        <w:tc>
          <w:tcPr>
            <w:tcW w:w="1456" w:type="dxa"/>
          </w:tcPr>
          <w:p w14:paraId="74757729" w14:textId="3B6CD804" w:rsidR="00436DAA" w:rsidRPr="00330234" w:rsidRDefault="009B4B8E" w:rsidP="00B340DD">
            <w:pPr>
              <w:pStyle w:val="TableParagraph"/>
              <w:widowControl/>
              <w:rPr>
                <w:sz w:val="20"/>
                <w:szCs w:val="20"/>
              </w:rPr>
            </w:pPr>
            <w:r w:rsidRPr="00330234">
              <w:rPr>
                <w:sz w:val="20"/>
                <w:szCs w:val="20"/>
              </w:rPr>
              <w:t>Anafylaxie</w:t>
            </w:r>
            <w:r w:rsidR="00B340DD" w:rsidRPr="00330234">
              <w:rPr>
                <w:sz w:val="20"/>
                <w:szCs w:val="20"/>
              </w:rPr>
              <w:t xml:space="preserve"> </w:t>
            </w:r>
            <w:r w:rsidRPr="00330234">
              <w:rPr>
                <w:sz w:val="20"/>
                <w:szCs w:val="20"/>
              </w:rPr>
              <w:t>(fataal)</w:t>
            </w:r>
            <w:r w:rsidRPr="00330234">
              <w:rPr>
                <w:sz w:val="20"/>
                <w:szCs w:val="20"/>
                <w:vertAlign w:val="superscript"/>
              </w:rPr>
              <w:t>1,</w:t>
            </w:r>
            <w:r w:rsidRPr="00330234">
              <w:rPr>
                <w:sz w:val="20"/>
                <w:szCs w:val="20"/>
              </w:rPr>
              <w:t xml:space="preserve"> </w:t>
            </w:r>
            <w:r w:rsidRPr="00330234">
              <w:rPr>
                <w:sz w:val="20"/>
                <w:szCs w:val="20"/>
                <w:vertAlign w:val="superscript"/>
              </w:rPr>
              <w:t>2,3</w:t>
            </w:r>
          </w:p>
        </w:tc>
      </w:tr>
      <w:tr w:rsidR="00B340DD" w:rsidRPr="00330234" w14:paraId="1375B348" w14:textId="77777777" w:rsidTr="00B428F3">
        <w:trPr>
          <w:trHeight w:val="20"/>
        </w:trPr>
        <w:tc>
          <w:tcPr>
            <w:tcW w:w="2655" w:type="dxa"/>
          </w:tcPr>
          <w:p w14:paraId="36CCDC8B" w14:textId="77777777" w:rsidR="00436DAA" w:rsidRPr="00330234" w:rsidRDefault="009B4B8E" w:rsidP="00BD109B">
            <w:pPr>
              <w:pStyle w:val="TableParagraph"/>
              <w:widowControl/>
              <w:rPr>
                <w:sz w:val="20"/>
                <w:szCs w:val="20"/>
              </w:rPr>
            </w:pPr>
            <w:r w:rsidRPr="00330234">
              <w:rPr>
                <w:sz w:val="20"/>
                <w:szCs w:val="20"/>
              </w:rPr>
              <w:t>Endocriene aandoeningen</w:t>
            </w:r>
          </w:p>
        </w:tc>
        <w:tc>
          <w:tcPr>
            <w:tcW w:w="1582" w:type="dxa"/>
          </w:tcPr>
          <w:p w14:paraId="6C358654" w14:textId="77777777" w:rsidR="00436DAA" w:rsidRPr="00330234" w:rsidRDefault="00436DAA" w:rsidP="00BD109B">
            <w:pPr>
              <w:pStyle w:val="TableParagraph"/>
              <w:widowControl/>
              <w:rPr>
                <w:sz w:val="20"/>
                <w:szCs w:val="20"/>
              </w:rPr>
            </w:pPr>
          </w:p>
        </w:tc>
        <w:tc>
          <w:tcPr>
            <w:tcW w:w="1875" w:type="dxa"/>
          </w:tcPr>
          <w:p w14:paraId="5C6F2971" w14:textId="77777777" w:rsidR="00436DAA" w:rsidRPr="00330234" w:rsidRDefault="00436DAA" w:rsidP="00BD109B">
            <w:pPr>
              <w:pStyle w:val="TableParagraph"/>
              <w:widowControl/>
              <w:rPr>
                <w:sz w:val="20"/>
                <w:szCs w:val="20"/>
              </w:rPr>
            </w:pPr>
          </w:p>
        </w:tc>
        <w:tc>
          <w:tcPr>
            <w:tcW w:w="1498" w:type="dxa"/>
          </w:tcPr>
          <w:p w14:paraId="2F95C7AB" w14:textId="77777777" w:rsidR="00436DAA" w:rsidRPr="00330234" w:rsidRDefault="009B4B8E" w:rsidP="00BD109B">
            <w:pPr>
              <w:pStyle w:val="TableParagraph"/>
              <w:widowControl/>
              <w:rPr>
                <w:sz w:val="20"/>
                <w:szCs w:val="20"/>
              </w:rPr>
            </w:pPr>
            <w:r w:rsidRPr="00330234">
              <w:rPr>
                <w:sz w:val="20"/>
                <w:szCs w:val="20"/>
              </w:rPr>
              <w:t>Hypothyreoïdie</w:t>
            </w:r>
          </w:p>
        </w:tc>
        <w:tc>
          <w:tcPr>
            <w:tcW w:w="1456" w:type="dxa"/>
          </w:tcPr>
          <w:p w14:paraId="2019A904" w14:textId="77777777" w:rsidR="00436DAA" w:rsidRPr="00330234" w:rsidRDefault="00436DAA" w:rsidP="00BD109B">
            <w:pPr>
              <w:pStyle w:val="TableParagraph"/>
              <w:widowControl/>
              <w:rPr>
                <w:sz w:val="20"/>
                <w:szCs w:val="20"/>
              </w:rPr>
            </w:pPr>
          </w:p>
        </w:tc>
      </w:tr>
      <w:tr w:rsidR="00B340DD" w:rsidRPr="00330234" w14:paraId="72FE4B44" w14:textId="77777777" w:rsidTr="00B428F3">
        <w:trPr>
          <w:trHeight w:val="20"/>
        </w:trPr>
        <w:tc>
          <w:tcPr>
            <w:tcW w:w="2655" w:type="dxa"/>
          </w:tcPr>
          <w:p w14:paraId="256B86CF" w14:textId="77777777" w:rsidR="00436DAA" w:rsidRPr="00330234" w:rsidRDefault="009B4B8E" w:rsidP="00BD109B">
            <w:pPr>
              <w:pStyle w:val="TableParagraph"/>
              <w:widowControl/>
              <w:rPr>
                <w:sz w:val="20"/>
                <w:szCs w:val="20"/>
              </w:rPr>
            </w:pPr>
            <w:r w:rsidRPr="00330234">
              <w:rPr>
                <w:sz w:val="20"/>
                <w:szCs w:val="20"/>
              </w:rPr>
              <w:t>Voedings- en stofwisselings- stoornissen</w:t>
            </w:r>
          </w:p>
        </w:tc>
        <w:tc>
          <w:tcPr>
            <w:tcW w:w="1582" w:type="dxa"/>
          </w:tcPr>
          <w:p w14:paraId="291F68C6" w14:textId="77777777" w:rsidR="00436DAA" w:rsidRPr="00330234" w:rsidRDefault="009B4B8E" w:rsidP="00BD109B">
            <w:pPr>
              <w:pStyle w:val="TableParagraph"/>
              <w:widowControl/>
              <w:rPr>
                <w:sz w:val="20"/>
                <w:szCs w:val="20"/>
              </w:rPr>
            </w:pPr>
            <w:r w:rsidRPr="00330234">
              <w:rPr>
                <w:sz w:val="20"/>
                <w:szCs w:val="20"/>
              </w:rPr>
              <w:t>Hypercholeste- rolemie*</w:t>
            </w:r>
          </w:p>
        </w:tc>
        <w:tc>
          <w:tcPr>
            <w:tcW w:w="1875" w:type="dxa"/>
          </w:tcPr>
          <w:p w14:paraId="350348E6" w14:textId="77777777" w:rsidR="00436DAA" w:rsidRPr="00330234" w:rsidRDefault="00436DAA" w:rsidP="00BD109B">
            <w:pPr>
              <w:pStyle w:val="TableParagraph"/>
              <w:widowControl/>
              <w:rPr>
                <w:sz w:val="20"/>
                <w:szCs w:val="20"/>
              </w:rPr>
            </w:pPr>
          </w:p>
        </w:tc>
        <w:tc>
          <w:tcPr>
            <w:tcW w:w="1498" w:type="dxa"/>
          </w:tcPr>
          <w:p w14:paraId="5A1078A5" w14:textId="77777777" w:rsidR="00436DAA" w:rsidRPr="00330234" w:rsidRDefault="009B4B8E" w:rsidP="00BD109B">
            <w:pPr>
              <w:pStyle w:val="TableParagraph"/>
              <w:widowControl/>
              <w:rPr>
                <w:sz w:val="20"/>
                <w:szCs w:val="20"/>
              </w:rPr>
            </w:pPr>
            <w:r w:rsidRPr="00330234">
              <w:rPr>
                <w:sz w:val="20"/>
                <w:szCs w:val="20"/>
              </w:rPr>
              <w:t>Hyper- triglyceridemie</w:t>
            </w:r>
          </w:p>
        </w:tc>
        <w:tc>
          <w:tcPr>
            <w:tcW w:w="1456" w:type="dxa"/>
          </w:tcPr>
          <w:p w14:paraId="44F12AA8" w14:textId="77777777" w:rsidR="00436DAA" w:rsidRPr="00330234" w:rsidRDefault="00436DAA" w:rsidP="00BD109B">
            <w:pPr>
              <w:pStyle w:val="TableParagraph"/>
              <w:widowControl/>
              <w:rPr>
                <w:sz w:val="20"/>
                <w:szCs w:val="20"/>
              </w:rPr>
            </w:pPr>
          </w:p>
        </w:tc>
      </w:tr>
      <w:tr w:rsidR="00B340DD" w:rsidRPr="00330234" w14:paraId="019209B5" w14:textId="77777777" w:rsidTr="00B428F3">
        <w:trPr>
          <w:trHeight w:val="20"/>
        </w:trPr>
        <w:tc>
          <w:tcPr>
            <w:tcW w:w="2655" w:type="dxa"/>
          </w:tcPr>
          <w:p w14:paraId="209A608C" w14:textId="77777777" w:rsidR="00436DAA" w:rsidRPr="00330234" w:rsidRDefault="009B4B8E" w:rsidP="00BD109B">
            <w:pPr>
              <w:pStyle w:val="TableParagraph"/>
              <w:widowControl/>
              <w:rPr>
                <w:sz w:val="20"/>
                <w:szCs w:val="20"/>
              </w:rPr>
            </w:pPr>
            <w:r w:rsidRPr="00330234">
              <w:rPr>
                <w:sz w:val="20"/>
                <w:szCs w:val="20"/>
              </w:rPr>
              <w:t>Zenuwstelselaandoeningen</w:t>
            </w:r>
          </w:p>
        </w:tc>
        <w:tc>
          <w:tcPr>
            <w:tcW w:w="1582" w:type="dxa"/>
          </w:tcPr>
          <w:p w14:paraId="5D76A39D" w14:textId="77777777" w:rsidR="00436DAA" w:rsidRPr="00330234" w:rsidRDefault="00436DAA" w:rsidP="00BD109B">
            <w:pPr>
              <w:pStyle w:val="TableParagraph"/>
              <w:widowControl/>
              <w:rPr>
                <w:sz w:val="20"/>
                <w:szCs w:val="20"/>
              </w:rPr>
            </w:pPr>
          </w:p>
        </w:tc>
        <w:tc>
          <w:tcPr>
            <w:tcW w:w="1875" w:type="dxa"/>
          </w:tcPr>
          <w:p w14:paraId="2B6FA630" w14:textId="77777777" w:rsidR="00436DAA" w:rsidRPr="00330234" w:rsidRDefault="009B4B8E" w:rsidP="00BD109B">
            <w:pPr>
              <w:pStyle w:val="TableParagraph"/>
              <w:widowControl/>
              <w:rPr>
                <w:sz w:val="20"/>
                <w:szCs w:val="20"/>
              </w:rPr>
            </w:pPr>
            <w:r w:rsidRPr="00330234">
              <w:rPr>
                <w:sz w:val="20"/>
                <w:szCs w:val="20"/>
              </w:rPr>
              <w:t>Hoofdpijn, Duizeligheid</w:t>
            </w:r>
          </w:p>
        </w:tc>
        <w:tc>
          <w:tcPr>
            <w:tcW w:w="1498" w:type="dxa"/>
          </w:tcPr>
          <w:p w14:paraId="75474558" w14:textId="77777777" w:rsidR="00436DAA" w:rsidRPr="00330234" w:rsidRDefault="00436DAA" w:rsidP="00BD109B">
            <w:pPr>
              <w:pStyle w:val="TableParagraph"/>
              <w:widowControl/>
              <w:rPr>
                <w:sz w:val="20"/>
                <w:szCs w:val="20"/>
              </w:rPr>
            </w:pPr>
          </w:p>
        </w:tc>
        <w:tc>
          <w:tcPr>
            <w:tcW w:w="1456" w:type="dxa"/>
          </w:tcPr>
          <w:p w14:paraId="4A3C2CDD" w14:textId="77777777" w:rsidR="00436DAA" w:rsidRPr="00330234" w:rsidRDefault="00436DAA" w:rsidP="00BD109B">
            <w:pPr>
              <w:pStyle w:val="TableParagraph"/>
              <w:widowControl/>
              <w:rPr>
                <w:sz w:val="20"/>
                <w:szCs w:val="20"/>
              </w:rPr>
            </w:pPr>
          </w:p>
        </w:tc>
      </w:tr>
      <w:tr w:rsidR="00B340DD" w:rsidRPr="00330234" w14:paraId="2E01FAE1" w14:textId="77777777" w:rsidTr="00B428F3">
        <w:trPr>
          <w:trHeight w:val="20"/>
        </w:trPr>
        <w:tc>
          <w:tcPr>
            <w:tcW w:w="2655" w:type="dxa"/>
          </w:tcPr>
          <w:p w14:paraId="5A8B1C0D" w14:textId="77777777" w:rsidR="00436DAA" w:rsidRPr="00330234" w:rsidRDefault="009B4B8E" w:rsidP="00BD109B">
            <w:pPr>
              <w:pStyle w:val="TableParagraph"/>
              <w:widowControl/>
              <w:rPr>
                <w:sz w:val="20"/>
                <w:szCs w:val="20"/>
              </w:rPr>
            </w:pPr>
            <w:r w:rsidRPr="00330234">
              <w:rPr>
                <w:sz w:val="20"/>
                <w:szCs w:val="20"/>
              </w:rPr>
              <w:t>Oogaandoeningen</w:t>
            </w:r>
          </w:p>
        </w:tc>
        <w:tc>
          <w:tcPr>
            <w:tcW w:w="1582" w:type="dxa"/>
          </w:tcPr>
          <w:p w14:paraId="25BFFA83" w14:textId="77777777" w:rsidR="00436DAA" w:rsidRPr="00330234" w:rsidRDefault="00436DAA" w:rsidP="00BD109B">
            <w:pPr>
              <w:pStyle w:val="TableParagraph"/>
              <w:widowControl/>
              <w:rPr>
                <w:sz w:val="20"/>
                <w:szCs w:val="20"/>
              </w:rPr>
            </w:pPr>
          </w:p>
        </w:tc>
        <w:tc>
          <w:tcPr>
            <w:tcW w:w="1875" w:type="dxa"/>
          </w:tcPr>
          <w:p w14:paraId="50FA4616" w14:textId="77777777" w:rsidR="00436DAA" w:rsidRPr="00330234" w:rsidRDefault="009B4B8E" w:rsidP="00BD109B">
            <w:pPr>
              <w:pStyle w:val="TableParagraph"/>
              <w:widowControl/>
              <w:rPr>
                <w:sz w:val="20"/>
                <w:szCs w:val="20"/>
              </w:rPr>
            </w:pPr>
            <w:r w:rsidRPr="00330234">
              <w:rPr>
                <w:sz w:val="20"/>
                <w:szCs w:val="20"/>
              </w:rPr>
              <w:t>Conjunctivitis</w:t>
            </w:r>
          </w:p>
        </w:tc>
        <w:tc>
          <w:tcPr>
            <w:tcW w:w="1498" w:type="dxa"/>
          </w:tcPr>
          <w:p w14:paraId="2C5F934F" w14:textId="77777777" w:rsidR="00436DAA" w:rsidRPr="00330234" w:rsidRDefault="00436DAA" w:rsidP="00BD109B">
            <w:pPr>
              <w:pStyle w:val="TableParagraph"/>
              <w:widowControl/>
              <w:rPr>
                <w:sz w:val="20"/>
                <w:szCs w:val="20"/>
              </w:rPr>
            </w:pPr>
          </w:p>
        </w:tc>
        <w:tc>
          <w:tcPr>
            <w:tcW w:w="1456" w:type="dxa"/>
          </w:tcPr>
          <w:p w14:paraId="69A304F4" w14:textId="77777777" w:rsidR="00436DAA" w:rsidRPr="00330234" w:rsidRDefault="00436DAA" w:rsidP="00BD109B">
            <w:pPr>
              <w:pStyle w:val="TableParagraph"/>
              <w:widowControl/>
              <w:rPr>
                <w:sz w:val="20"/>
                <w:szCs w:val="20"/>
              </w:rPr>
            </w:pPr>
          </w:p>
        </w:tc>
      </w:tr>
      <w:tr w:rsidR="00B340DD" w:rsidRPr="00330234" w14:paraId="6EAB96AF" w14:textId="77777777" w:rsidTr="00B428F3">
        <w:trPr>
          <w:trHeight w:val="20"/>
        </w:trPr>
        <w:tc>
          <w:tcPr>
            <w:tcW w:w="2655" w:type="dxa"/>
          </w:tcPr>
          <w:p w14:paraId="1D025558" w14:textId="77777777" w:rsidR="00436DAA" w:rsidRPr="00330234" w:rsidRDefault="009B4B8E" w:rsidP="00BD109B">
            <w:pPr>
              <w:pStyle w:val="TableParagraph"/>
              <w:widowControl/>
              <w:rPr>
                <w:sz w:val="20"/>
                <w:szCs w:val="20"/>
              </w:rPr>
            </w:pPr>
            <w:r w:rsidRPr="00330234">
              <w:rPr>
                <w:sz w:val="20"/>
                <w:szCs w:val="20"/>
              </w:rPr>
              <w:t>Bloedvataandoeningen</w:t>
            </w:r>
          </w:p>
        </w:tc>
        <w:tc>
          <w:tcPr>
            <w:tcW w:w="1582" w:type="dxa"/>
          </w:tcPr>
          <w:p w14:paraId="7D90CF02" w14:textId="77777777" w:rsidR="00436DAA" w:rsidRPr="00330234" w:rsidRDefault="00436DAA" w:rsidP="00BD109B">
            <w:pPr>
              <w:pStyle w:val="TableParagraph"/>
              <w:widowControl/>
              <w:rPr>
                <w:sz w:val="20"/>
                <w:szCs w:val="20"/>
              </w:rPr>
            </w:pPr>
          </w:p>
        </w:tc>
        <w:tc>
          <w:tcPr>
            <w:tcW w:w="1875" w:type="dxa"/>
          </w:tcPr>
          <w:p w14:paraId="376268DA" w14:textId="77777777" w:rsidR="00436DAA" w:rsidRPr="00330234" w:rsidRDefault="009B4B8E" w:rsidP="00BD109B">
            <w:pPr>
              <w:pStyle w:val="TableParagraph"/>
              <w:widowControl/>
              <w:rPr>
                <w:sz w:val="20"/>
                <w:szCs w:val="20"/>
              </w:rPr>
            </w:pPr>
            <w:r w:rsidRPr="00330234">
              <w:rPr>
                <w:sz w:val="20"/>
                <w:szCs w:val="20"/>
              </w:rPr>
              <w:t>Hypertensie</w:t>
            </w:r>
          </w:p>
        </w:tc>
        <w:tc>
          <w:tcPr>
            <w:tcW w:w="1498" w:type="dxa"/>
          </w:tcPr>
          <w:p w14:paraId="555D470A" w14:textId="77777777" w:rsidR="00436DAA" w:rsidRPr="00330234" w:rsidRDefault="00436DAA" w:rsidP="00BD109B">
            <w:pPr>
              <w:pStyle w:val="TableParagraph"/>
              <w:widowControl/>
              <w:rPr>
                <w:sz w:val="20"/>
                <w:szCs w:val="20"/>
              </w:rPr>
            </w:pPr>
          </w:p>
        </w:tc>
        <w:tc>
          <w:tcPr>
            <w:tcW w:w="1456" w:type="dxa"/>
          </w:tcPr>
          <w:p w14:paraId="767B2E49" w14:textId="77777777" w:rsidR="00436DAA" w:rsidRPr="00330234" w:rsidRDefault="00436DAA" w:rsidP="00BD109B">
            <w:pPr>
              <w:pStyle w:val="TableParagraph"/>
              <w:widowControl/>
              <w:rPr>
                <w:sz w:val="20"/>
                <w:szCs w:val="20"/>
              </w:rPr>
            </w:pPr>
          </w:p>
        </w:tc>
      </w:tr>
      <w:tr w:rsidR="00B340DD" w:rsidRPr="00330234" w14:paraId="685E26D6" w14:textId="77777777" w:rsidTr="00B428F3">
        <w:trPr>
          <w:trHeight w:val="20"/>
        </w:trPr>
        <w:tc>
          <w:tcPr>
            <w:tcW w:w="2655" w:type="dxa"/>
          </w:tcPr>
          <w:p w14:paraId="46DE6479" w14:textId="607C4AD1" w:rsidR="00436DAA" w:rsidRPr="00330234" w:rsidRDefault="009B4B8E" w:rsidP="00BD109B">
            <w:pPr>
              <w:pStyle w:val="TableParagraph"/>
              <w:widowControl/>
              <w:rPr>
                <w:sz w:val="20"/>
                <w:szCs w:val="20"/>
              </w:rPr>
            </w:pPr>
            <w:r w:rsidRPr="00330234">
              <w:rPr>
                <w:sz w:val="20"/>
                <w:szCs w:val="20"/>
              </w:rPr>
              <w:t>Ademhalingsstelsel-, borstkas- en mediastinum-aandoeningen</w:t>
            </w:r>
          </w:p>
        </w:tc>
        <w:tc>
          <w:tcPr>
            <w:tcW w:w="1582" w:type="dxa"/>
          </w:tcPr>
          <w:p w14:paraId="5CC14395" w14:textId="77777777" w:rsidR="00436DAA" w:rsidRPr="00330234" w:rsidRDefault="00436DAA" w:rsidP="00BD109B">
            <w:pPr>
              <w:pStyle w:val="TableParagraph"/>
              <w:widowControl/>
              <w:rPr>
                <w:sz w:val="20"/>
                <w:szCs w:val="20"/>
              </w:rPr>
            </w:pPr>
          </w:p>
        </w:tc>
        <w:tc>
          <w:tcPr>
            <w:tcW w:w="1875" w:type="dxa"/>
          </w:tcPr>
          <w:p w14:paraId="7D4A8BDC" w14:textId="77777777" w:rsidR="00436DAA" w:rsidRPr="00330234" w:rsidRDefault="009B4B8E" w:rsidP="00BD109B">
            <w:pPr>
              <w:pStyle w:val="TableParagraph"/>
              <w:widowControl/>
              <w:rPr>
                <w:sz w:val="20"/>
                <w:szCs w:val="20"/>
              </w:rPr>
            </w:pPr>
            <w:r w:rsidRPr="00330234">
              <w:rPr>
                <w:sz w:val="20"/>
                <w:szCs w:val="20"/>
              </w:rPr>
              <w:t>Hoesten, Dyspneu</w:t>
            </w:r>
          </w:p>
        </w:tc>
        <w:tc>
          <w:tcPr>
            <w:tcW w:w="1498" w:type="dxa"/>
          </w:tcPr>
          <w:p w14:paraId="2FE463DE" w14:textId="77777777" w:rsidR="00436DAA" w:rsidRPr="00330234" w:rsidRDefault="00436DAA" w:rsidP="00BD109B">
            <w:pPr>
              <w:pStyle w:val="TableParagraph"/>
              <w:widowControl/>
              <w:rPr>
                <w:sz w:val="20"/>
                <w:szCs w:val="20"/>
              </w:rPr>
            </w:pPr>
          </w:p>
        </w:tc>
        <w:tc>
          <w:tcPr>
            <w:tcW w:w="1456" w:type="dxa"/>
          </w:tcPr>
          <w:p w14:paraId="67D819AE" w14:textId="77777777" w:rsidR="00436DAA" w:rsidRPr="00330234" w:rsidRDefault="00436DAA" w:rsidP="00BD109B">
            <w:pPr>
              <w:pStyle w:val="TableParagraph"/>
              <w:widowControl/>
              <w:rPr>
                <w:sz w:val="20"/>
                <w:szCs w:val="20"/>
              </w:rPr>
            </w:pPr>
          </w:p>
        </w:tc>
      </w:tr>
      <w:tr w:rsidR="00B340DD" w:rsidRPr="00330234" w14:paraId="706BBECF" w14:textId="77777777" w:rsidTr="00B428F3">
        <w:trPr>
          <w:trHeight w:val="20"/>
        </w:trPr>
        <w:tc>
          <w:tcPr>
            <w:tcW w:w="2655" w:type="dxa"/>
          </w:tcPr>
          <w:p w14:paraId="7F04DEE4" w14:textId="77777777" w:rsidR="00436DAA" w:rsidRPr="00330234" w:rsidRDefault="009B4B8E" w:rsidP="00BD109B">
            <w:pPr>
              <w:pStyle w:val="TableParagraph"/>
              <w:widowControl/>
              <w:rPr>
                <w:sz w:val="20"/>
                <w:szCs w:val="20"/>
              </w:rPr>
            </w:pPr>
            <w:r w:rsidRPr="00330234">
              <w:rPr>
                <w:sz w:val="20"/>
                <w:szCs w:val="20"/>
              </w:rPr>
              <w:t>Maagdarmstelsel- aandoeningen</w:t>
            </w:r>
          </w:p>
        </w:tc>
        <w:tc>
          <w:tcPr>
            <w:tcW w:w="1582" w:type="dxa"/>
          </w:tcPr>
          <w:p w14:paraId="78E7DA65" w14:textId="77777777" w:rsidR="00436DAA" w:rsidRPr="00330234" w:rsidRDefault="00436DAA" w:rsidP="00BD109B">
            <w:pPr>
              <w:pStyle w:val="TableParagraph"/>
              <w:widowControl/>
              <w:rPr>
                <w:sz w:val="20"/>
                <w:szCs w:val="20"/>
              </w:rPr>
            </w:pPr>
          </w:p>
        </w:tc>
        <w:tc>
          <w:tcPr>
            <w:tcW w:w="1875" w:type="dxa"/>
          </w:tcPr>
          <w:p w14:paraId="5E844890" w14:textId="45CBE884" w:rsidR="00436DAA" w:rsidRPr="00330234" w:rsidRDefault="009B4B8E" w:rsidP="00B340DD">
            <w:pPr>
              <w:pStyle w:val="TableParagraph"/>
              <w:widowControl/>
              <w:rPr>
                <w:sz w:val="20"/>
                <w:szCs w:val="20"/>
              </w:rPr>
            </w:pPr>
            <w:r w:rsidRPr="00330234">
              <w:rPr>
                <w:sz w:val="20"/>
                <w:szCs w:val="20"/>
              </w:rPr>
              <w:t>Buikpijn, Ulceraties</w:t>
            </w:r>
            <w:r w:rsidR="00B340DD" w:rsidRPr="00330234">
              <w:rPr>
                <w:sz w:val="20"/>
                <w:szCs w:val="20"/>
              </w:rPr>
              <w:t xml:space="preserve"> </w:t>
            </w:r>
            <w:r w:rsidRPr="00330234">
              <w:rPr>
                <w:sz w:val="20"/>
                <w:szCs w:val="20"/>
              </w:rPr>
              <w:t>van de mond, Gastritis</w:t>
            </w:r>
          </w:p>
        </w:tc>
        <w:tc>
          <w:tcPr>
            <w:tcW w:w="1498" w:type="dxa"/>
          </w:tcPr>
          <w:p w14:paraId="13E09A0D" w14:textId="77777777" w:rsidR="00436DAA" w:rsidRPr="00330234" w:rsidRDefault="009B4B8E" w:rsidP="00BD109B">
            <w:pPr>
              <w:pStyle w:val="TableParagraph"/>
              <w:widowControl/>
              <w:rPr>
                <w:sz w:val="20"/>
                <w:szCs w:val="20"/>
              </w:rPr>
            </w:pPr>
            <w:r w:rsidRPr="00330234">
              <w:rPr>
                <w:sz w:val="20"/>
                <w:szCs w:val="20"/>
              </w:rPr>
              <w:t>Stomatitis, Maagulcus</w:t>
            </w:r>
          </w:p>
        </w:tc>
        <w:tc>
          <w:tcPr>
            <w:tcW w:w="1456" w:type="dxa"/>
          </w:tcPr>
          <w:p w14:paraId="2A82A11E" w14:textId="77777777" w:rsidR="00436DAA" w:rsidRPr="00330234" w:rsidRDefault="00436DAA" w:rsidP="00BD109B">
            <w:pPr>
              <w:pStyle w:val="TableParagraph"/>
              <w:widowControl/>
              <w:rPr>
                <w:sz w:val="20"/>
                <w:szCs w:val="20"/>
              </w:rPr>
            </w:pPr>
          </w:p>
        </w:tc>
      </w:tr>
      <w:tr w:rsidR="00B340DD" w:rsidRPr="00330234" w14:paraId="4B222DCF" w14:textId="77777777" w:rsidTr="00B428F3">
        <w:trPr>
          <w:trHeight w:val="20"/>
        </w:trPr>
        <w:tc>
          <w:tcPr>
            <w:tcW w:w="2655" w:type="dxa"/>
          </w:tcPr>
          <w:p w14:paraId="7083ECE7" w14:textId="77777777" w:rsidR="00436DAA" w:rsidRPr="00330234" w:rsidRDefault="009B4B8E" w:rsidP="00BD109B">
            <w:pPr>
              <w:pStyle w:val="TableParagraph"/>
              <w:widowControl/>
              <w:rPr>
                <w:sz w:val="20"/>
                <w:szCs w:val="20"/>
              </w:rPr>
            </w:pPr>
            <w:r w:rsidRPr="00330234">
              <w:rPr>
                <w:sz w:val="20"/>
                <w:szCs w:val="20"/>
              </w:rPr>
              <w:t>Lever- en galaandoeningen</w:t>
            </w:r>
          </w:p>
        </w:tc>
        <w:tc>
          <w:tcPr>
            <w:tcW w:w="1582" w:type="dxa"/>
          </w:tcPr>
          <w:p w14:paraId="102454BB" w14:textId="77777777" w:rsidR="00436DAA" w:rsidRPr="00330234" w:rsidRDefault="00436DAA" w:rsidP="00BD109B">
            <w:pPr>
              <w:pStyle w:val="TableParagraph"/>
              <w:widowControl/>
              <w:rPr>
                <w:sz w:val="20"/>
                <w:szCs w:val="20"/>
              </w:rPr>
            </w:pPr>
          </w:p>
        </w:tc>
        <w:tc>
          <w:tcPr>
            <w:tcW w:w="1875" w:type="dxa"/>
          </w:tcPr>
          <w:p w14:paraId="5CD33252" w14:textId="77777777" w:rsidR="00436DAA" w:rsidRPr="00330234" w:rsidRDefault="00436DAA" w:rsidP="00BD109B">
            <w:pPr>
              <w:pStyle w:val="TableParagraph"/>
              <w:widowControl/>
              <w:rPr>
                <w:sz w:val="20"/>
                <w:szCs w:val="20"/>
              </w:rPr>
            </w:pPr>
          </w:p>
        </w:tc>
        <w:tc>
          <w:tcPr>
            <w:tcW w:w="1498" w:type="dxa"/>
          </w:tcPr>
          <w:p w14:paraId="2D3E49F5" w14:textId="77777777" w:rsidR="00436DAA" w:rsidRPr="00330234" w:rsidRDefault="00436DAA" w:rsidP="00BD109B">
            <w:pPr>
              <w:pStyle w:val="TableParagraph"/>
              <w:widowControl/>
              <w:rPr>
                <w:sz w:val="20"/>
                <w:szCs w:val="20"/>
              </w:rPr>
            </w:pPr>
          </w:p>
        </w:tc>
        <w:tc>
          <w:tcPr>
            <w:tcW w:w="1456" w:type="dxa"/>
          </w:tcPr>
          <w:p w14:paraId="49A8117F" w14:textId="77777777" w:rsidR="00436DAA" w:rsidRPr="00330234" w:rsidRDefault="009B4B8E" w:rsidP="00BD109B">
            <w:pPr>
              <w:pStyle w:val="TableParagraph"/>
              <w:widowControl/>
              <w:rPr>
                <w:sz w:val="20"/>
                <w:szCs w:val="20"/>
              </w:rPr>
            </w:pPr>
            <w:r w:rsidRPr="00330234">
              <w:rPr>
                <w:sz w:val="20"/>
                <w:szCs w:val="20"/>
              </w:rPr>
              <w:t>Geneesmiddel- geïnduceerde leverschade, Hepatitis, Geelzucht.</w:t>
            </w:r>
          </w:p>
          <w:p w14:paraId="4FB418A4" w14:textId="77777777" w:rsidR="00436DAA" w:rsidRPr="00330234" w:rsidRDefault="009B4B8E" w:rsidP="00BD109B">
            <w:pPr>
              <w:pStyle w:val="TableParagraph"/>
              <w:widowControl/>
              <w:rPr>
                <w:sz w:val="20"/>
                <w:szCs w:val="20"/>
              </w:rPr>
            </w:pPr>
            <w:r w:rsidRPr="00330234">
              <w:rPr>
                <w:sz w:val="20"/>
                <w:szCs w:val="20"/>
              </w:rPr>
              <w:t>Zeer zelden: Leverfalen</w:t>
            </w:r>
          </w:p>
        </w:tc>
      </w:tr>
      <w:tr w:rsidR="00B340DD" w:rsidRPr="00330234" w14:paraId="51870132" w14:textId="77777777" w:rsidTr="00B428F3">
        <w:trPr>
          <w:trHeight w:val="20"/>
        </w:trPr>
        <w:tc>
          <w:tcPr>
            <w:tcW w:w="2655" w:type="dxa"/>
          </w:tcPr>
          <w:p w14:paraId="79443D0E" w14:textId="77777777" w:rsidR="00436DAA" w:rsidRPr="00330234" w:rsidRDefault="009B4B8E" w:rsidP="00BD109B">
            <w:pPr>
              <w:pStyle w:val="TableParagraph"/>
              <w:widowControl/>
              <w:rPr>
                <w:sz w:val="20"/>
                <w:szCs w:val="20"/>
              </w:rPr>
            </w:pPr>
            <w:r w:rsidRPr="00330234">
              <w:rPr>
                <w:sz w:val="20"/>
                <w:szCs w:val="20"/>
              </w:rPr>
              <w:t>Huid- en onderhuidaandoeningen</w:t>
            </w:r>
          </w:p>
        </w:tc>
        <w:tc>
          <w:tcPr>
            <w:tcW w:w="1582" w:type="dxa"/>
          </w:tcPr>
          <w:p w14:paraId="49E740A4" w14:textId="77777777" w:rsidR="00436DAA" w:rsidRPr="00330234" w:rsidRDefault="00436DAA" w:rsidP="00BD109B">
            <w:pPr>
              <w:pStyle w:val="TableParagraph"/>
              <w:widowControl/>
              <w:rPr>
                <w:sz w:val="20"/>
                <w:szCs w:val="20"/>
              </w:rPr>
            </w:pPr>
          </w:p>
        </w:tc>
        <w:tc>
          <w:tcPr>
            <w:tcW w:w="1875" w:type="dxa"/>
          </w:tcPr>
          <w:p w14:paraId="47A7A579" w14:textId="77777777" w:rsidR="00436DAA" w:rsidRPr="00330234" w:rsidRDefault="009B4B8E" w:rsidP="00BD109B">
            <w:pPr>
              <w:pStyle w:val="TableParagraph"/>
              <w:widowControl/>
              <w:rPr>
                <w:sz w:val="20"/>
                <w:szCs w:val="20"/>
              </w:rPr>
            </w:pPr>
            <w:r w:rsidRPr="00330234">
              <w:rPr>
                <w:sz w:val="20"/>
                <w:szCs w:val="20"/>
              </w:rPr>
              <w:t>Huiduitslag, Pruritus, Urticaria</w:t>
            </w:r>
          </w:p>
        </w:tc>
        <w:tc>
          <w:tcPr>
            <w:tcW w:w="1498" w:type="dxa"/>
          </w:tcPr>
          <w:p w14:paraId="05840141" w14:textId="77777777" w:rsidR="00436DAA" w:rsidRPr="00330234" w:rsidRDefault="00436DAA" w:rsidP="00BD109B">
            <w:pPr>
              <w:pStyle w:val="TableParagraph"/>
              <w:widowControl/>
              <w:rPr>
                <w:sz w:val="20"/>
                <w:szCs w:val="20"/>
              </w:rPr>
            </w:pPr>
          </w:p>
        </w:tc>
        <w:tc>
          <w:tcPr>
            <w:tcW w:w="1456" w:type="dxa"/>
          </w:tcPr>
          <w:p w14:paraId="3430DC7A" w14:textId="77777777" w:rsidR="00436DAA" w:rsidRPr="00330234" w:rsidRDefault="009B4B8E" w:rsidP="00BD109B">
            <w:pPr>
              <w:pStyle w:val="TableParagraph"/>
              <w:widowControl/>
              <w:rPr>
                <w:sz w:val="20"/>
                <w:szCs w:val="20"/>
              </w:rPr>
            </w:pPr>
            <w:r w:rsidRPr="00330234">
              <w:rPr>
                <w:sz w:val="20"/>
                <w:szCs w:val="20"/>
              </w:rPr>
              <w:t>Stevens- Johnson- syndroom</w:t>
            </w:r>
            <w:r w:rsidRPr="00330234">
              <w:rPr>
                <w:sz w:val="20"/>
                <w:szCs w:val="20"/>
                <w:vertAlign w:val="superscript"/>
              </w:rPr>
              <w:t>3</w:t>
            </w:r>
          </w:p>
        </w:tc>
      </w:tr>
      <w:tr w:rsidR="00B340DD" w:rsidRPr="00330234" w14:paraId="234B2213" w14:textId="77777777" w:rsidTr="00B428F3">
        <w:trPr>
          <w:trHeight w:val="20"/>
        </w:trPr>
        <w:tc>
          <w:tcPr>
            <w:tcW w:w="2655" w:type="dxa"/>
          </w:tcPr>
          <w:p w14:paraId="4345C2F1" w14:textId="77777777" w:rsidR="00436DAA" w:rsidRPr="00330234" w:rsidRDefault="009B4B8E" w:rsidP="002328C5">
            <w:pPr>
              <w:pStyle w:val="TableParagraph"/>
              <w:keepNext/>
              <w:keepLines/>
              <w:widowControl/>
              <w:rPr>
                <w:sz w:val="20"/>
                <w:szCs w:val="20"/>
              </w:rPr>
            </w:pPr>
            <w:r w:rsidRPr="00330234">
              <w:rPr>
                <w:sz w:val="20"/>
                <w:szCs w:val="20"/>
              </w:rPr>
              <w:t>Nier- en urineweg-</w:t>
            </w:r>
          </w:p>
          <w:p w14:paraId="665460FA" w14:textId="77777777" w:rsidR="00436DAA" w:rsidRPr="00330234" w:rsidRDefault="009B4B8E" w:rsidP="002328C5">
            <w:pPr>
              <w:pStyle w:val="TableParagraph"/>
              <w:keepNext/>
              <w:keepLines/>
              <w:widowControl/>
              <w:rPr>
                <w:sz w:val="20"/>
                <w:szCs w:val="20"/>
              </w:rPr>
            </w:pPr>
            <w:r w:rsidRPr="00330234">
              <w:rPr>
                <w:sz w:val="20"/>
                <w:szCs w:val="20"/>
              </w:rPr>
              <w:t>aandoeningen</w:t>
            </w:r>
          </w:p>
        </w:tc>
        <w:tc>
          <w:tcPr>
            <w:tcW w:w="1582" w:type="dxa"/>
          </w:tcPr>
          <w:p w14:paraId="4E195752" w14:textId="77777777" w:rsidR="00436DAA" w:rsidRPr="00330234" w:rsidRDefault="00436DAA" w:rsidP="002328C5">
            <w:pPr>
              <w:pStyle w:val="TableParagraph"/>
              <w:keepNext/>
              <w:keepLines/>
              <w:widowControl/>
              <w:rPr>
                <w:sz w:val="20"/>
                <w:szCs w:val="20"/>
              </w:rPr>
            </w:pPr>
          </w:p>
        </w:tc>
        <w:tc>
          <w:tcPr>
            <w:tcW w:w="1875" w:type="dxa"/>
          </w:tcPr>
          <w:p w14:paraId="3D37D256" w14:textId="77777777" w:rsidR="00436DAA" w:rsidRPr="00330234" w:rsidRDefault="00436DAA" w:rsidP="002328C5">
            <w:pPr>
              <w:pStyle w:val="TableParagraph"/>
              <w:keepNext/>
              <w:keepLines/>
              <w:widowControl/>
              <w:rPr>
                <w:sz w:val="20"/>
                <w:szCs w:val="20"/>
              </w:rPr>
            </w:pPr>
          </w:p>
        </w:tc>
        <w:tc>
          <w:tcPr>
            <w:tcW w:w="1498" w:type="dxa"/>
          </w:tcPr>
          <w:p w14:paraId="218CF626" w14:textId="77777777" w:rsidR="00436DAA" w:rsidRPr="00330234" w:rsidRDefault="009B4B8E" w:rsidP="002328C5">
            <w:pPr>
              <w:pStyle w:val="TableParagraph"/>
              <w:keepNext/>
              <w:keepLines/>
              <w:widowControl/>
              <w:rPr>
                <w:sz w:val="20"/>
                <w:szCs w:val="20"/>
              </w:rPr>
            </w:pPr>
            <w:r w:rsidRPr="00330234">
              <w:rPr>
                <w:sz w:val="20"/>
                <w:szCs w:val="20"/>
              </w:rPr>
              <w:t>Nefrolithiase</w:t>
            </w:r>
          </w:p>
        </w:tc>
        <w:tc>
          <w:tcPr>
            <w:tcW w:w="1456" w:type="dxa"/>
          </w:tcPr>
          <w:p w14:paraId="37CBDF87" w14:textId="77777777" w:rsidR="00436DAA" w:rsidRPr="00330234" w:rsidRDefault="00436DAA" w:rsidP="002328C5">
            <w:pPr>
              <w:pStyle w:val="TableParagraph"/>
              <w:keepNext/>
              <w:keepLines/>
              <w:widowControl/>
              <w:rPr>
                <w:sz w:val="20"/>
                <w:szCs w:val="20"/>
              </w:rPr>
            </w:pPr>
          </w:p>
        </w:tc>
      </w:tr>
      <w:tr w:rsidR="00B340DD" w:rsidRPr="00330234" w14:paraId="6ECBBE7C" w14:textId="77777777" w:rsidTr="00B428F3">
        <w:trPr>
          <w:trHeight w:val="20"/>
        </w:trPr>
        <w:tc>
          <w:tcPr>
            <w:tcW w:w="2655" w:type="dxa"/>
          </w:tcPr>
          <w:p w14:paraId="1466F930" w14:textId="77777777" w:rsidR="00436DAA" w:rsidRPr="00330234" w:rsidRDefault="009B4B8E" w:rsidP="00BD109B">
            <w:pPr>
              <w:pStyle w:val="TableParagraph"/>
              <w:widowControl/>
              <w:rPr>
                <w:sz w:val="20"/>
                <w:szCs w:val="20"/>
              </w:rPr>
            </w:pPr>
            <w:r w:rsidRPr="00330234">
              <w:rPr>
                <w:sz w:val="20"/>
                <w:szCs w:val="20"/>
              </w:rPr>
              <w:t>Algemene aandoeningen en toedieningsplaatsstoornissen</w:t>
            </w:r>
          </w:p>
        </w:tc>
        <w:tc>
          <w:tcPr>
            <w:tcW w:w="1582" w:type="dxa"/>
          </w:tcPr>
          <w:p w14:paraId="4D726873" w14:textId="77777777" w:rsidR="00436DAA" w:rsidRPr="00330234" w:rsidRDefault="00436DAA" w:rsidP="00BD109B">
            <w:pPr>
              <w:pStyle w:val="TableParagraph"/>
              <w:widowControl/>
              <w:rPr>
                <w:sz w:val="20"/>
                <w:szCs w:val="20"/>
              </w:rPr>
            </w:pPr>
          </w:p>
        </w:tc>
        <w:tc>
          <w:tcPr>
            <w:tcW w:w="1875" w:type="dxa"/>
          </w:tcPr>
          <w:p w14:paraId="49F12664" w14:textId="6F8463E8" w:rsidR="00436DAA" w:rsidRPr="00330234" w:rsidRDefault="009B4B8E" w:rsidP="002328C5">
            <w:pPr>
              <w:pStyle w:val="TableParagraph"/>
              <w:widowControl/>
              <w:rPr>
                <w:sz w:val="20"/>
                <w:szCs w:val="20"/>
              </w:rPr>
            </w:pPr>
            <w:r w:rsidRPr="00330234">
              <w:rPr>
                <w:sz w:val="20"/>
                <w:szCs w:val="20"/>
              </w:rPr>
              <w:t>Perifeer oedeem, Overgevoeligheids-</w:t>
            </w:r>
            <w:r w:rsidR="002328C5" w:rsidRPr="00330234">
              <w:rPr>
                <w:sz w:val="20"/>
                <w:szCs w:val="20"/>
              </w:rPr>
              <w:t xml:space="preserve"> </w:t>
            </w:r>
            <w:r w:rsidRPr="00330234">
              <w:rPr>
                <w:sz w:val="20"/>
                <w:szCs w:val="20"/>
              </w:rPr>
              <w:t>reactie</w:t>
            </w:r>
          </w:p>
        </w:tc>
        <w:tc>
          <w:tcPr>
            <w:tcW w:w="1498" w:type="dxa"/>
          </w:tcPr>
          <w:p w14:paraId="435A9482" w14:textId="77777777" w:rsidR="00436DAA" w:rsidRPr="00330234" w:rsidRDefault="00436DAA" w:rsidP="00BD109B">
            <w:pPr>
              <w:pStyle w:val="TableParagraph"/>
              <w:widowControl/>
              <w:rPr>
                <w:sz w:val="20"/>
                <w:szCs w:val="20"/>
              </w:rPr>
            </w:pPr>
          </w:p>
        </w:tc>
        <w:tc>
          <w:tcPr>
            <w:tcW w:w="1456" w:type="dxa"/>
          </w:tcPr>
          <w:p w14:paraId="05001253" w14:textId="77777777" w:rsidR="00436DAA" w:rsidRPr="00330234" w:rsidRDefault="00436DAA" w:rsidP="00BD109B">
            <w:pPr>
              <w:pStyle w:val="TableParagraph"/>
              <w:widowControl/>
              <w:rPr>
                <w:sz w:val="20"/>
                <w:szCs w:val="20"/>
              </w:rPr>
            </w:pPr>
          </w:p>
        </w:tc>
      </w:tr>
      <w:tr w:rsidR="00B340DD" w:rsidRPr="00330234" w14:paraId="25E75938" w14:textId="77777777" w:rsidTr="00B428F3">
        <w:trPr>
          <w:trHeight w:val="20"/>
        </w:trPr>
        <w:tc>
          <w:tcPr>
            <w:tcW w:w="2655" w:type="dxa"/>
          </w:tcPr>
          <w:p w14:paraId="19578E11" w14:textId="77777777" w:rsidR="00436DAA" w:rsidRPr="00330234" w:rsidRDefault="009B4B8E" w:rsidP="00BD109B">
            <w:pPr>
              <w:pStyle w:val="TableParagraph"/>
              <w:widowControl/>
              <w:rPr>
                <w:sz w:val="20"/>
                <w:szCs w:val="20"/>
              </w:rPr>
            </w:pPr>
            <w:r w:rsidRPr="00330234">
              <w:rPr>
                <w:sz w:val="20"/>
                <w:szCs w:val="20"/>
              </w:rPr>
              <w:t>Onderzoeken</w:t>
            </w:r>
          </w:p>
        </w:tc>
        <w:tc>
          <w:tcPr>
            <w:tcW w:w="1582" w:type="dxa"/>
          </w:tcPr>
          <w:p w14:paraId="4EF1CEC2" w14:textId="77777777" w:rsidR="00436DAA" w:rsidRPr="00330234" w:rsidRDefault="00436DAA" w:rsidP="00BD109B">
            <w:pPr>
              <w:pStyle w:val="TableParagraph"/>
              <w:widowControl/>
              <w:rPr>
                <w:sz w:val="20"/>
                <w:szCs w:val="20"/>
              </w:rPr>
            </w:pPr>
          </w:p>
        </w:tc>
        <w:tc>
          <w:tcPr>
            <w:tcW w:w="1875" w:type="dxa"/>
          </w:tcPr>
          <w:p w14:paraId="65BC8A0D" w14:textId="3B77D759" w:rsidR="00436DAA" w:rsidRPr="00330234" w:rsidRDefault="009B4B8E" w:rsidP="002328C5">
            <w:pPr>
              <w:pStyle w:val="TableParagraph"/>
              <w:widowControl/>
              <w:rPr>
                <w:sz w:val="20"/>
                <w:szCs w:val="20"/>
              </w:rPr>
            </w:pPr>
            <w:r w:rsidRPr="00330234">
              <w:rPr>
                <w:sz w:val="20"/>
                <w:szCs w:val="20"/>
              </w:rPr>
              <w:t>Stijging levertransaminasen, Gewichtstoename, Stijging totaal</w:t>
            </w:r>
            <w:r w:rsidR="002328C5" w:rsidRPr="00330234">
              <w:rPr>
                <w:sz w:val="20"/>
                <w:szCs w:val="20"/>
              </w:rPr>
              <w:t xml:space="preserve"> </w:t>
            </w:r>
            <w:r w:rsidRPr="00330234">
              <w:rPr>
                <w:sz w:val="20"/>
                <w:szCs w:val="20"/>
              </w:rPr>
              <w:t>bilirubine*</w:t>
            </w:r>
          </w:p>
        </w:tc>
        <w:tc>
          <w:tcPr>
            <w:tcW w:w="1498" w:type="dxa"/>
          </w:tcPr>
          <w:p w14:paraId="0D090D36" w14:textId="77777777" w:rsidR="00436DAA" w:rsidRPr="00330234" w:rsidRDefault="00436DAA" w:rsidP="00BD109B">
            <w:pPr>
              <w:pStyle w:val="TableParagraph"/>
              <w:widowControl/>
              <w:rPr>
                <w:sz w:val="20"/>
                <w:szCs w:val="20"/>
              </w:rPr>
            </w:pPr>
          </w:p>
        </w:tc>
        <w:tc>
          <w:tcPr>
            <w:tcW w:w="1456" w:type="dxa"/>
          </w:tcPr>
          <w:p w14:paraId="2F4C8717" w14:textId="77777777" w:rsidR="00436DAA" w:rsidRPr="00330234" w:rsidRDefault="00436DAA" w:rsidP="00BD109B">
            <w:pPr>
              <w:pStyle w:val="TableParagraph"/>
              <w:widowControl/>
              <w:rPr>
                <w:sz w:val="20"/>
                <w:szCs w:val="20"/>
              </w:rPr>
            </w:pPr>
          </w:p>
        </w:tc>
      </w:tr>
    </w:tbl>
    <w:p w14:paraId="37568758" w14:textId="0642251A" w:rsidR="00436DAA" w:rsidRPr="00330234" w:rsidRDefault="009B4B8E" w:rsidP="00B428F3">
      <w:pPr>
        <w:widowControl/>
        <w:ind w:left="284" w:hanging="284"/>
        <w:rPr>
          <w:sz w:val="18"/>
          <w:szCs w:val="18"/>
        </w:rPr>
      </w:pPr>
      <w:r w:rsidRPr="00330234">
        <w:rPr>
          <w:sz w:val="18"/>
          <w:szCs w:val="18"/>
        </w:rPr>
        <w:t>*</w:t>
      </w:r>
      <w:r w:rsidR="00B428F3" w:rsidRPr="00330234">
        <w:rPr>
          <w:sz w:val="18"/>
          <w:szCs w:val="18"/>
        </w:rPr>
        <w:tab/>
      </w:r>
      <w:r w:rsidRPr="00330234">
        <w:rPr>
          <w:sz w:val="18"/>
          <w:szCs w:val="18"/>
        </w:rPr>
        <w:t>Omvat verhogingen welke verzameld zijn via routinematige controles in een laboratorium (zie tekst hieronder)</w:t>
      </w:r>
    </w:p>
    <w:p w14:paraId="0D93182F" w14:textId="5CB6945D" w:rsidR="00436DAA" w:rsidRPr="00330234" w:rsidRDefault="009B4B8E" w:rsidP="00B428F3">
      <w:pPr>
        <w:widowControl/>
        <w:ind w:left="284" w:hanging="284"/>
        <w:rPr>
          <w:sz w:val="18"/>
          <w:szCs w:val="18"/>
        </w:rPr>
      </w:pPr>
      <w:r w:rsidRPr="00330234">
        <w:rPr>
          <w:sz w:val="18"/>
          <w:szCs w:val="18"/>
          <w:vertAlign w:val="superscript"/>
        </w:rPr>
        <w:t>1</w:t>
      </w:r>
      <w:r w:rsidR="00B428F3" w:rsidRPr="00330234">
        <w:rPr>
          <w:sz w:val="18"/>
          <w:szCs w:val="18"/>
        </w:rPr>
        <w:tab/>
      </w:r>
      <w:r w:rsidRPr="00330234">
        <w:rPr>
          <w:sz w:val="18"/>
          <w:szCs w:val="18"/>
        </w:rPr>
        <w:t>Zie rubriek 4.3</w:t>
      </w:r>
    </w:p>
    <w:p w14:paraId="5F13750D" w14:textId="72482E4B" w:rsidR="00436DAA" w:rsidRPr="00330234" w:rsidRDefault="009B4B8E" w:rsidP="00B428F3">
      <w:pPr>
        <w:widowControl/>
        <w:ind w:left="284" w:hanging="284"/>
        <w:rPr>
          <w:sz w:val="18"/>
          <w:szCs w:val="18"/>
        </w:rPr>
      </w:pPr>
      <w:r w:rsidRPr="00330234">
        <w:rPr>
          <w:sz w:val="18"/>
          <w:szCs w:val="18"/>
          <w:vertAlign w:val="superscript"/>
        </w:rPr>
        <w:t>2</w:t>
      </w:r>
      <w:r w:rsidR="00B428F3" w:rsidRPr="00330234">
        <w:rPr>
          <w:sz w:val="18"/>
          <w:szCs w:val="18"/>
        </w:rPr>
        <w:tab/>
      </w:r>
      <w:r w:rsidRPr="00330234">
        <w:rPr>
          <w:sz w:val="18"/>
          <w:szCs w:val="18"/>
        </w:rPr>
        <w:t>Zie rubriek 4.4</w:t>
      </w:r>
    </w:p>
    <w:p w14:paraId="087E537C" w14:textId="5E918314" w:rsidR="00436DAA" w:rsidRPr="00330234" w:rsidRDefault="009B4B8E" w:rsidP="00B428F3">
      <w:pPr>
        <w:widowControl/>
        <w:ind w:left="284" w:hanging="284"/>
        <w:rPr>
          <w:sz w:val="18"/>
          <w:szCs w:val="18"/>
        </w:rPr>
      </w:pPr>
      <w:r w:rsidRPr="00330234">
        <w:rPr>
          <w:sz w:val="18"/>
          <w:szCs w:val="18"/>
          <w:vertAlign w:val="superscript"/>
        </w:rPr>
        <w:t>3</w:t>
      </w:r>
      <w:r w:rsidR="00B428F3" w:rsidRPr="00330234">
        <w:rPr>
          <w:sz w:val="18"/>
          <w:szCs w:val="18"/>
        </w:rPr>
        <w:tab/>
      </w:r>
      <w:r w:rsidRPr="00330234">
        <w:rPr>
          <w:sz w:val="18"/>
          <w:szCs w:val="18"/>
        </w:rPr>
        <w:t>Deze bijwerking werd gemeld na het in de handel brengen, maar werd niet waargenomen tijdens gecontroleerde klinische onderzoeken. De frequentiecategorie is geschat als de bovengrens van het 95% betrouwbaarheidsinterval berekend op basis van het totaal aantal patiënten blootgesteld aan tocilizumab in klinische onderzoeken.</w:t>
      </w:r>
    </w:p>
    <w:p w14:paraId="5DC21E18" w14:textId="77777777" w:rsidR="00B340DD" w:rsidRPr="00330234" w:rsidRDefault="00B340DD" w:rsidP="00BD109B">
      <w:pPr>
        <w:widowControl/>
      </w:pPr>
    </w:p>
    <w:p w14:paraId="766D704C" w14:textId="77777777" w:rsidR="00436DAA" w:rsidRPr="00330234" w:rsidRDefault="009B4B8E" w:rsidP="00BD109B">
      <w:pPr>
        <w:widowControl/>
        <w:rPr>
          <w:i/>
        </w:rPr>
      </w:pPr>
      <w:r w:rsidRPr="00330234">
        <w:rPr>
          <w:i/>
        </w:rPr>
        <w:t>Infecties</w:t>
      </w:r>
    </w:p>
    <w:p w14:paraId="5F79FF6E" w14:textId="4BFF4ACD" w:rsidR="00436DAA" w:rsidRPr="00330234" w:rsidRDefault="009B4B8E" w:rsidP="00BD109B">
      <w:pPr>
        <w:pStyle w:val="a3"/>
        <w:widowControl/>
        <w:ind w:left="0"/>
      </w:pPr>
      <w:r w:rsidRPr="00330234">
        <w:t xml:space="preserve">In de 6 maanden durende gecontroleerde studies was het aantal van alle gemelde infecties bij de behandeling met tocilizumab 8 mg/kg plus DMARD’s 127 voorvallen per 100 patiëntjaren vergeleken met 112 voorvallen per 100 patiëntjaren bij placebo plus DMARD’s. In de populatie met langdurige </w:t>
      </w:r>
      <w:r w:rsidRPr="00330234">
        <w:lastRenderedPageBreak/>
        <w:t xml:space="preserve">blootstelling was het totale aantal infecties met </w:t>
      </w:r>
      <w:r w:rsidR="00D91375" w:rsidRPr="00330234">
        <w:t>tocilizumab</w:t>
      </w:r>
      <w:r w:rsidRPr="00330234">
        <w:t xml:space="preserve"> 108 voorvallen per 100 patiëntjaren blootstelling.</w:t>
      </w:r>
    </w:p>
    <w:p w14:paraId="3632AEFE" w14:textId="77777777" w:rsidR="00B340DD" w:rsidRPr="00330234" w:rsidRDefault="00B340DD" w:rsidP="00BD109B">
      <w:pPr>
        <w:pStyle w:val="a3"/>
        <w:widowControl/>
        <w:ind w:left="0"/>
      </w:pPr>
    </w:p>
    <w:p w14:paraId="6649077C" w14:textId="77777777" w:rsidR="00436DAA" w:rsidRPr="00330234" w:rsidRDefault="009B4B8E" w:rsidP="00BD109B">
      <w:pPr>
        <w:pStyle w:val="a3"/>
        <w:widowControl/>
        <w:ind w:left="0"/>
      </w:pPr>
      <w:r w:rsidRPr="00330234">
        <w:t>In de 6 maanden durende gecontroleerde klinische studies, was het aantal gemelde ernstige infecties met tocilizumab 8 mg/kg plus DMARD’s 5,3 voorvallen per 100 patiëntjaren blootstelling vergeleken met 3,9 voorvallen per 100 patiëntjaren blootstelling bij de placebo plus DMARD-groep. In het monotherapieonderzoek was het aantal gemelde ernstige infecties 3,6 voorvallen per 100 patiëntjaren blootstelling in de tocilizumabgroep en 1,5 voorvallen per 100 patiëntjaren blootstelling bij de MTX- groep.</w:t>
      </w:r>
    </w:p>
    <w:p w14:paraId="1AB108CD" w14:textId="77777777" w:rsidR="00436DAA" w:rsidRPr="00330234" w:rsidRDefault="00436DAA" w:rsidP="00BD109B">
      <w:pPr>
        <w:pStyle w:val="a3"/>
        <w:widowControl/>
        <w:ind w:left="0"/>
      </w:pPr>
    </w:p>
    <w:p w14:paraId="14AB5167" w14:textId="77777777" w:rsidR="00436DAA" w:rsidRPr="00330234" w:rsidRDefault="009B4B8E" w:rsidP="00BD109B">
      <w:pPr>
        <w:pStyle w:val="a3"/>
        <w:widowControl/>
        <w:ind w:left="0"/>
      </w:pPr>
      <w:r w:rsidRPr="00330234">
        <w:t>Bij de populatie met langdurige blootstelling was het totale aantal ernstige infecties (bacterieel, viraal en schimmel) 4,7 voorvallen per 100 patiëntjaren. De gemelde ernstige infecties, enkele met fatale afloop, waren o.a. actieve tuberculose, hetgeen zich kan presenteren met intrapulmonale of extrapulmonale ziekte, invasieve pulmonale infecties, waaronder candidiasis, aspergillose, coccidioïdomycose en pneumocystis jiroveci, pneumonie, cellulitis, herpes zoster, gastro-enteritis, diverticulitis, sepsis en bacteriële artritis. Gevallen van opportunistische infecties zijn gemeld.</w:t>
      </w:r>
    </w:p>
    <w:p w14:paraId="0B5EA75A" w14:textId="77777777" w:rsidR="00436DAA" w:rsidRPr="00330234" w:rsidRDefault="00436DAA" w:rsidP="00BD109B">
      <w:pPr>
        <w:pStyle w:val="a3"/>
        <w:widowControl/>
        <w:ind w:left="0"/>
      </w:pPr>
    </w:p>
    <w:p w14:paraId="4946CD62" w14:textId="77777777" w:rsidR="00436DAA" w:rsidRPr="00330234" w:rsidRDefault="009B4B8E" w:rsidP="00BD109B">
      <w:pPr>
        <w:widowControl/>
        <w:rPr>
          <w:i/>
        </w:rPr>
      </w:pPr>
      <w:r w:rsidRPr="00330234">
        <w:rPr>
          <w:i/>
        </w:rPr>
        <w:t>Interstitiële longziekte</w:t>
      </w:r>
    </w:p>
    <w:p w14:paraId="3C421074" w14:textId="77777777" w:rsidR="00436DAA" w:rsidRPr="00330234" w:rsidRDefault="009B4B8E" w:rsidP="00BD109B">
      <w:pPr>
        <w:pStyle w:val="a3"/>
        <w:widowControl/>
        <w:ind w:left="0"/>
      </w:pPr>
      <w:r w:rsidRPr="00330234">
        <w:t>Het risico op het ontwikkelen van infecties kan toenemen bij een verminderde longfunctie. Er zijn postmarketingmeldingen van interstitiële longziekten (waaronder pneumonitis en longfibrose), waarvan sommige een fatale afloop hadden.</w:t>
      </w:r>
    </w:p>
    <w:p w14:paraId="4D7E028A" w14:textId="77777777" w:rsidR="00436DAA" w:rsidRPr="00330234" w:rsidRDefault="00436DAA" w:rsidP="00BD109B">
      <w:pPr>
        <w:pStyle w:val="a3"/>
        <w:widowControl/>
        <w:ind w:left="0"/>
      </w:pPr>
    </w:p>
    <w:p w14:paraId="76343E26" w14:textId="77777777" w:rsidR="00436DAA" w:rsidRPr="00330234" w:rsidRDefault="009B4B8E" w:rsidP="00BD109B">
      <w:pPr>
        <w:widowControl/>
        <w:rPr>
          <w:i/>
        </w:rPr>
      </w:pPr>
      <w:r w:rsidRPr="00330234">
        <w:rPr>
          <w:i/>
        </w:rPr>
        <w:t>Gastro-intestinale perforatie</w:t>
      </w:r>
    </w:p>
    <w:p w14:paraId="4D4125B9" w14:textId="77777777" w:rsidR="00436DAA" w:rsidRPr="00330234" w:rsidRDefault="009B4B8E" w:rsidP="00BD109B">
      <w:pPr>
        <w:pStyle w:val="a3"/>
        <w:widowControl/>
        <w:ind w:left="0"/>
      </w:pPr>
      <w:r w:rsidRPr="00330234">
        <w:t>Tijdens de 6 maanden durende gecontroleerde klinische studies was het totale aantal gastro-intestinale perforaties 0,26 voorvallen per 100 patiëntjaren bij behandeling met tocilizumab. Bij de populatie met langdurige blootstelling was het totaal aantal gastro-intestinale perforaties 0,28 voorvallen per 100 patiëntjaren. Gastro-intestinale perforaties bij gebruik van tocilizumab werden voornamelijk gemeld als complicaties van diverticulitis, waaronder gegeneraliseerde purulente peritonitis, lage gastro- intestinale perforaties, fistels en abcessen.</w:t>
      </w:r>
    </w:p>
    <w:p w14:paraId="547316E1" w14:textId="77777777" w:rsidR="00B340DD" w:rsidRPr="00330234" w:rsidRDefault="00B340DD" w:rsidP="00BD109B">
      <w:pPr>
        <w:pStyle w:val="a3"/>
        <w:widowControl/>
        <w:ind w:left="0"/>
      </w:pPr>
    </w:p>
    <w:p w14:paraId="57511607" w14:textId="77777777" w:rsidR="00436DAA" w:rsidRPr="00330234" w:rsidRDefault="009B4B8E" w:rsidP="00B340DD">
      <w:pPr>
        <w:keepNext/>
        <w:keepLines/>
        <w:widowControl/>
        <w:rPr>
          <w:i/>
        </w:rPr>
      </w:pPr>
      <w:r w:rsidRPr="00330234">
        <w:rPr>
          <w:i/>
        </w:rPr>
        <w:t>Infusiegerelateerde reacties</w:t>
      </w:r>
    </w:p>
    <w:p w14:paraId="5CC6F2FE" w14:textId="77777777" w:rsidR="00436DAA" w:rsidRPr="00330234" w:rsidRDefault="009B4B8E" w:rsidP="00B340DD">
      <w:pPr>
        <w:pStyle w:val="a3"/>
        <w:keepNext/>
        <w:keepLines/>
        <w:widowControl/>
        <w:ind w:left="0"/>
      </w:pPr>
      <w:r w:rsidRPr="00330234">
        <w:t>In de 6 maanden durende gecontroleerde studies zijn infusiegerelateerde bijwerkingen (specifieke gebeurtenissen die voorkomen gedurende of binnen 24 uur na infusie) bij 6,9 % van de patiënten in de tocilizumab 8 mg/kg plus DMARD-groep en bij 5,1 % van de patiënten in de placebo plus DMARD- groep gemeld. Bijwerkingen die tijdens de infusie zijn gemeld waren voornamelijk episoden van hypertensie; bijwerkingen die binnen 24 uur na de infusie zijn gemeld waren hoofdpijn en huidreacties (uitslag en urticaria). Deze gebeurtenissen hadden geen gevolgen voor de behandeling.</w:t>
      </w:r>
    </w:p>
    <w:p w14:paraId="5764DC0E" w14:textId="77777777" w:rsidR="00436DAA" w:rsidRPr="00330234" w:rsidRDefault="00436DAA" w:rsidP="00BD109B">
      <w:pPr>
        <w:pStyle w:val="a3"/>
        <w:widowControl/>
        <w:ind w:left="0"/>
      </w:pPr>
    </w:p>
    <w:p w14:paraId="6063590D" w14:textId="11559F17" w:rsidR="00436DAA" w:rsidRPr="00330234" w:rsidRDefault="009B4B8E" w:rsidP="00B340DD">
      <w:pPr>
        <w:pStyle w:val="a3"/>
        <w:widowControl/>
        <w:ind w:left="0"/>
      </w:pPr>
      <w:r w:rsidRPr="00330234">
        <w:t>Het aantal anafylactische reacties (die voorkwamen bij in totaal 8 van de 4009 patiënten, 0,2 %) was verscheidene malen hoger bij de 4 mg/kg dosering vergeleken met de 8 mg/kg dosering. Klinisch significante overgevoeligheidsreacties geassocieerd met tocilizumab waarbij staken van de behandeling noodzakelijk was, zijn bij in totaal 56 van de 4009 (1,4 %) patiënten gemeld die tijdens de gecontroleerde en open-label klinische studies werden behandeld met tocilizumab. Deze reacties werden over het algemeen bij de 2</w:t>
      </w:r>
      <w:r w:rsidRPr="00330234">
        <w:rPr>
          <w:vertAlign w:val="superscript"/>
        </w:rPr>
        <w:t>e</w:t>
      </w:r>
      <w:r w:rsidRPr="00330234">
        <w:t xml:space="preserve"> tot aan de 5</w:t>
      </w:r>
      <w:r w:rsidRPr="00330234">
        <w:rPr>
          <w:vertAlign w:val="superscript"/>
        </w:rPr>
        <w:t>e</w:t>
      </w:r>
      <w:r w:rsidRPr="00330234">
        <w:t xml:space="preserve"> infusie van tocilizumab waargenomen (zie</w:t>
      </w:r>
      <w:r w:rsidR="00B340DD" w:rsidRPr="00330234">
        <w:t xml:space="preserve"> </w:t>
      </w:r>
      <w:r w:rsidRPr="00330234">
        <w:t>rubriek</w:t>
      </w:r>
      <w:r w:rsidR="00B340DD" w:rsidRPr="00330234">
        <w:t> </w:t>
      </w:r>
      <w:r w:rsidRPr="00330234">
        <w:t>4.4). Anafylaxie met fatale afloop is gemeld tijdens behandeling met tocilizumab intraveneus na het toekennen van de handelsvergunning (zie rubriek 4.4).</w:t>
      </w:r>
    </w:p>
    <w:p w14:paraId="52E6C135" w14:textId="77777777" w:rsidR="00B340DD" w:rsidRPr="00330234" w:rsidRDefault="00B340DD" w:rsidP="00BD109B">
      <w:pPr>
        <w:pStyle w:val="a3"/>
        <w:widowControl/>
        <w:ind w:left="0"/>
      </w:pPr>
    </w:p>
    <w:p w14:paraId="4AA51BA0" w14:textId="77777777" w:rsidR="00B340DD" w:rsidRPr="00330234" w:rsidRDefault="009B4B8E" w:rsidP="00BD109B">
      <w:pPr>
        <w:widowControl/>
        <w:rPr>
          <w:i/>
        </w:rPr>
      </w:pPr>
      <w:r w:rsidRPr="00330234">
        <w:rPr>
          <w:i/>
        </w:rPr>
        <w:t>Hematologische afwijkingen</w:t>
      </w:r>
    </w:p>
    <w:p w14:paraId="66ABDF73" w14:textId="7B3F68D1" w:rsidR="00436DAA" w:rsidRPr="00330234" w:rsidRDefault="009B4B8E" w:rsidP="00BD109B">
      <w:pPr>
        <w:widowControl/>
        <w:rPr>
          <w:i/>
        </w:rPr>
      </w:pPr>
      <w:r w:rsidRPr="00330234">
        <w:rPr>
          <w:i/>
        </w:rPr>
        <w:t>Neutrofielen</w:t>
      </w:r>
    </w:p>
    <w:p w14:paraId="4EF8C93B" w14:textId="294DB108" w:rsidR="00436DAA" w:rsidRPr="00330234" w:rsidRDefault="009B4B8E" w:rsidP="00B340DD">
      <w:pPr>
        <w:pStyle w:val="a3"/>
        <w:widowControl/>
        <w:ind w:left="0"/>
      </w:pPr>
      <w:r w:rsidRPr="00330234">
        <w:t>Bij de 6 maanden durende gecontroleerde studies werd een afname van het neutrofielenaantal onder 1</w:t>
      </w:r>
      <w:r w:rsidR="00B340DD" w:rsidRPr="00330234">
        <w:t> </w:t>
      </w:r>
      <w:r w:rsidRPr="00330234">
        <w:t>x 10</w:t>
      </w:r>
      <w:r w:rsidRPr="00330234">
        <w:rPr>
          <w:vertAlign w:val="superscript"/>
        </w:rPr>
        <w:t>9</w:t>
      </w:r>
      <w:r w:rsidRPr="00330234">
        <w:t>/l gezien bij 3,4% van de patiënten die behandeld werden met tocilizumab 8 mg/kg plus DMARD’s vergeleken met &lt; 0,1% van de patiënten die behandeld werden met placebo plus</w:t>
      </w:r>
      <w:r w:rsidR="00B340DD" w:rsidRPr="00330234">
        <w:t xml:space="preserve"> </w:t>
      </w:r>
      <w:r w:rsidRPr="00330234">
        <w:t>DMARD’s. Bij ongeveer de helft van de patiënten die een absoluut neutrofielenaantal van &lt; 1 x 10</w:t>
      </w:r>
      <w:r w:rsidRPr="00330234">
        <w:rPr>
          <w:vertAlign w:val="superscript"/>
        </w:rPr>
        <w:t>9</w:t>
      </w:r>
      <w:r w:rsidRPr="00330234">
        <w:t>/l, ontwikkelde, gebeurde dit binnen 8 weken na het starten van de therapie. Afname onder de 0,5 x 10</w:t>
      </w:r>
      <w:r w:rsidRPr="00330234">
        <w:rPr>
          <w:vertAlign w:val="superscript"/>
        </w:rPr>
        <w:t>9</w:t>
      </w:r>
      <w:r w:rsidRPr="00330234">
        <w:t>/l is gemeld bij 0,3% van de patiënten die tocilizumab 8 mg/kg plus DMARD’s kregen. Infecties met neutropenie zijn gemeld.</w:t>
      </w:r>
    </w:p>
    <w:p w14:paraId="16E29379" w14:textId="77777777" w:rsidR="00B340DD" w:rsidRPr="00330234" w:rsidRDefault="00B340DD" w:rsidP="00BD109B">
      <w:pPr>
        <w:pStyle w:val="a3"/>
        <w:widowControl/>
        <w:ind w:left="0"/>
      </w:pPr>
    </w:p>
    <w:p w14:paraId="394CC93B" w14:textId="43F2ED36" w:rsidR="00436DAA" w:rsidRPr="00330234" w:rsidRDefault="009B4B8E" w:rsidP="00BD109B">
      <w:pPr>
        <w:pStyle w:val="a3"/>
        <w:widowControl/>
        <w:ind w:left="0"/>
      </w:pPr>
      <w:r w:rsidRPr="00330234">
        <w:lastRenderedPageBreak/>
        <w:t>Tijdens de dubbelblinde gecontroleerde periode en bij langdurige blootstelling bleven het patroon en de incidentie van de daling van het aantal neutrofielen gelijk aan wat werd waargenomen bij de 6</w:t>
      </w:r>
      <w:r w:rsidR="00B340DD" w:rsidRPr="00330234">
        <w:t> </w:t>
      </w:r>
      <w:r w:rsidRPr="00330234">
        <w:t>maanden durende gecontroleerde klinische studies.</w:t>
      </w:r>
    </w:p>
    <w:p w14:paraId="51D0AC62" w14:textId="77777777" w:rsidR="00436DAA" w:rsidRPr="00330234" w:rsidRDefault="00436DAA" w:rsidP="00BD109B">
      <w:pPr>
        <w:pStyle w:val="a3"/>
        <w:widowControl/>
        <w:ind w:left="0"/>
      </w:pPr>
    </w:p>
    <w:p w14:paraId="4D71FE2C" w14:textId="77777777" w:rsidR="00436DAA" w:rsidRPr="00330234" w:rsidRDefault="009B4B8E" w:rsidP="00BD109B">
      <w:pPr>
        <w:widowControl/>
        <w:rPr>
          <w:i/>
        </w:rPr>
      </w:pPr>
      <w:r w:rsidRPr="00330234">
        <w:rPr>
          <w:i/>
        </w:rPr>
        <w:t>Trombocyten</w:t>
      </w:r>
    </w:p>
    <w:p w14:paraId="4E002034" w14:textId="585F92C0" w:rsidR="00436DAA" w:rsidRPr="00330234" w:rsidRDefault="009B4B8E" w:rsidP="00B340DD">
      <w:pPr>
        <w:pStyle w:val="a3"/>
        <w:widowControl/>
        <w:ind w:left="0"/>
      </w:pPr>
      <w:r w:rsidRPr="00330234">
        <w:t>In de 6 maanden durende gecontroleerde studies daalde het aantal trombocyten onder 100 x 10</w:t>
      </w:r>
      <w:r w:rsidRPr="00330234">
        <w:rPr>
          <w:vertAlign w:val="superscript"/>
        </w:rPr>
        <w:t>3</w:t>
      </w:r>
      <w:r w:rsidRPr="00330234">
        <w:t>/μl bij 1,7% van de patiënten die behandeld werden met tocilizumab 8 mg/kg plus DMARD’s vergeleken met</w:t>
      </w:r>
      <w:r w:rsidR="00B340DD" w:rsidRPr="00330234">
        <w:t xml:space="preserve"> </w:t>
      </w:r>
      <w:r w:rsidRPr="00330234">
        <w:t>&lt; 1% bij de patiënten di behandeld werden met placebo plus DMARD’s. Deze afname ging niet gepaard met geassocieerde bloedingen.</w:t>
      </w:r>
    </w:p>
    <w:p w14:paraId="731F0E38" w14:textId="77777777" w:rsidR="00B340DD" w:rsidRPr="00330234" w:rsidRDefault="00B340DD" w:rsidP="00BD109B">
      <w:pPr>
        <w:pStyle w:val="a3"/>
        <w:widowControl/>
        <w:ind w:left="0"/>
      </w:pPr>
    </w:p>
    <w:p w14:paraId="75E03B23" w14:textId="57294A93" w:rsidR="00436DAA" w:rsidRPr="00330234" w:rsidRDefault="009B4B8E" w:rsidP="00BD109B">
      <w:pPr>
        <w:pStyle w:val="a3"/>
        <w:widowControl/>
        <w:ind w:left="0"/>
      </w:pPr>
      <w:r w:rsidRPr="00330234">
        <w:t>Tijdens de dubbelblinde gecontroleerde periode en bij langdurige blootstelling bleven het patroon en de incidentie van de daling van het aantal trombocyten gelijk aan wat werd waargenomen bij de 6</w:t>
      </w:r>
      <w:r w:rsidR="00B340DD" w:rsidRPr="00330234">
        <w:t> </w:t>
      </w:r>
      <w:r w:rsidRPr="00330234">
        <w:t>maanden durende gecontroleerde klinische studies.</w:t>
      </w:r>
    </w:p>
    <w:p w14:paraId="36499C29" w14:textId="77777777" w:rsidR="00436DAA" w:rsidRPr="00330234" w:rsidRDefault="00436DAA" w:rsidP="00BD109B">
      <w:pPr>
        <w:pStyle w:val="a3"/>
        <w:widowControl/>
        <w:ind w:left="0"/>
      </w:pPr>
    </w:p>
    <w:p w14:paraId="40F8A0D8" w14:textId="77777777" w:rsidR="00436DAA" w:rsidRPr="00330234" w:rsidRDefault="009B4B8E" w:rsidP="00BD109B">
      <w:pPr>
        <w:pStyle w:val="a3"/>
        <w:widowControl/>
        <w:ind w:left="0"/>
      </w:pPr>
      <w:r w:rsidRPr="00330234">
        <w:t>Na het in de handel brengen zijn zeer zelden gevallen van pancytopenie voorgekomen.</w:t>
      </w:r>
    </w:p>
    <w:p w14:paraId="1D3F510B" w14:textId="77777777" w:rsidR="00436DAA" w:rsidRPr="00330234" w:rsidRDefault="00436DAA" w:rsidP="00BD109B">
      <w:pPr>
        <w:pStyle w:val="a3"/>
        <w:widowControl/>
        <w:ind w:left="0"/>
      </w:pPr>
    </w:p>
    <w:p w14:paraId="2114CCEB" w14:textId="77777777" w:rsidR="00436DAA" w:rsidRPr="00330234" w:rsidRDefault="009B4B8E" w:rsidP="00BD109B">
      <w:pPr>
        <w:widowControl/>
        <w:rPr>
          <w:i/>
        </w:rPr>
      </w:pPr>
      <w:r w:rsidRPr="00330234">
        <w:rPr>
          <w:i/>
        </w:rPr>
        <w:t>Stijging van levertransaminasen</w:t>
      </w:r>
    </w:p>
    <w:p w14:paraId="36061682" w14:textId="4465FC82" w:rsidR="00436DAA" w:rsidRPr="00330234" w:rsidRDefault="009B4B8E" w:rsidP="00BD109B">
      <w:pPr>
        <w:pStyle w:val="a3"/>
        <w:widowControl/>
        <w:ind w:left="0"/>
      </w:pPr>
      <w:r w:rsidRPr="00330234">
        <w:t>Tijdens de 6 maanden durende gecontroleerde studies is een kortstondige stijging van ALAT/ASAT &gt;</w:t>
      </w:r>
      <w:r w:rsidR="00B340DD" w:rsidRPr="00330234">
        <w:t> </w:t>
      </w:r>
      <w:r w:rsidRPr="00330234">
        <w:t>3 x ULN waargenomen bij 2,1% van de patiënten die behandeld werden met tocilizumab 8 mg/kg vergeleken met 4,9% van de patiënten die behandeld werden met MTX en bij 6,5% van de patiënten met 8 mg/kg tocilizumab plus DMARD vergeleken met 1,5% van de patiënten die behandeld werden met placebo plus DMARD.</w:t>
      </w:r>
    </w:p>
    <w:p w14:paraId="6057AB89" w14:textId="77777777" w:rsidR="00B340DD" w:rsidRPr="00330234" w:rsidRDefault="00B340DD" w:rsidP="00BD109B">
      <w:pPr>
        <w:pStyle w:val="a3"/>
        <w:widowControl/>
        <w:ind w:left="0"/>
      </w:pPr>
    </w:p>
    <w:p w14:paraId="14019568" w14:textId="1ACF514C" w:rsidR="00436DAA" w:rsidRPr="00330234" w:rsidRDefault="009B4B8E" w:rsidP="00B340DD">
      <w:pPr>
        <w:pStyle w:val="a3"/>
        <w:widowControl/>
        <w:ind w:left="0"/>
      </w:pPr>
      <w:r w:rsidRPr="00330234">
        <w:t>Toevoeging van potentieel hepatotoxische geneesmiddelen (bijv. MTX) aan tocilizumab monotherapie resulteerde in een toename van de frequentie van deze stijgingen. Stijging van ALAT/ASAT &gt;</w:t>
      </w:r>
      <w:r w:rsidR="00B340DD" w:rsidRPr="00330234">
        <w:t xml:space="preserve"> </w:t>
      </w:r>
      <w:r w:rsidRPr="00330234">
        <w:t>5 x ULN werd gezien bij 0,7% van de patiënten die behandeld werden met tocilizumab monotherapie en bij 1,4% van de patiënten die behandeld werden met tocilizumab plus DMARD. Het merendeel van hen staakte de behandeling met tocilizumab definitief. Gedurende de dubbelblinde gecontroleerde periode is de incidentie van indirect bilirubine die hoger is dan de ULN, verzameld als routinematige laboratoriumparameter, 6,2% bij patiënten die behandeld werden met tocilizumab 8 mg/kg plus DMARD werden behandeld. Een totaal van 5,8% van de patiënten had een verhoging van indirect bilirubine van &gt; 1 tot 2 x ULN en 0,4% had een verhoging van &gt; 2 x ULN.</w:t>
      </w:r>
    </w:p>
    <w:p w14:paraId="62FD15F2" w14:textId="77777777" w:rsidR="00B340DD" w:rsidRPr="00330234" w:rsidRDefault="00B340DD" w:rsidP="00BD109B">
      <w:pPr>
        <w:pStyle w:val="a3"/>
        <w:widowControl/>
        <w:ind w:left="0"/>
      </w:pPr>
    </w:p>
    <w:p w14:paraId="1BCD6038" w14:textId="5968F7B8" w:rsidR="00436DAA" w:rsidRPr="00330234" w:rsidRDefault="009B4B8E" w:rsidP="00BD109B">
      <w:pPr>
        <w:pStyle w:val="a3"/>
        <w:widowControl/>
        <w:ind w:left="0"/>
      </w:pPr>
      <w:r w:rsidRPr="00330234">
        <w:t>Tijdens de dubbelblinde gecontroleerde periode en bij langdurige blootstelling bleven het patroon en de incidentie van de stijging van ALAT/ASAT gelijk aan wat werd waargenomen tijdens de 6</w:t>
      </w:r>
      <w:r w:rsidR="00B340DD" w:rsidRPr="00330234">
        <w:t> </w:t>
      </w:r>
      <w:r w:rsidRPr="00330234">
        <w:t>maanden durende gecontroleerde klinische studies.</w:t>
      </w:r>
    </w:p>
    <w:p w14:paraId="30F108FB" w14:textId="77777777" w:rsidR="00436DAA" w:rsidRPr="00330234" w:rsidRDefault="00436DAA" w:rsidP="00BD109B">
      <w:pPr>
        <w:pStyle w:val="a3"/>
        <w:widowControl/>
        <w:ind w:left="0"/>
      </w:pPr>
    </w:p>
    <w:p w14:paraId="29F24759" w14:textId="77777777" w:rsidR="00436DAA" w:rsidRPr="00330234" w:rsidRDefault="009B4B8E" w:rsidP="00BD109B">
      <w:pPr>
        <w:widowControl/>
        <w:rPr>
          <w:i/>
        </w:rPr>
      </w:pPr>
      <w:r w:rsidRPr="00330234">
        <w:rPr>
          <w:i/>
        </w:rPr>
        <w:t>Lipideparameters</w:t>
      </w:r>
    </w:p>
    <w:p w14:paraId="19D7E123" w14:textId="71EA5E42" w:rsidR="00436DAA" w:rsidRPr="00330234" w:rsidRDefault="009B4B8E" w:rsidP="00B340DD">
      <w:pPr>
        <w:pStyle w:val="a3"/>
        <w:widowControl/>
        <w:ind w:left="0"/>
      </w:pPr>
      <w:r w:rsidRPr="00330234">
        <w:t xml:space="preserve">Tijdens de 6 maanden durende gecontroleerde onderzoeken, is een toename van de lipideparameters zoals totaal cholesterol, triglyceriden, LDL-cholesterol en/of HDL-cholesterol vaak gemeld. Met routinematige controles in het laboratorium werd waargenomen dat ongeveer 24% van de patiënten die bij klinische studies </w:t>
      </w:r>
      <w:r w:rsidR="00D91375" w:rsidRPr="00330234">
        <w:t>tocilizumab</w:t>
      </w:r>
      <w:r w:rsidRPr="00330234">
        <w:t xml:space="preserve"> kregen, een aanhoudende stijging van de totaal cholesterol</w:t>
      </w:r>
      <w:r w:rsidR="00B340DD" w:rsidRPr="00330234">
        <w:t xml:space="preserve"> </w:t>
      </w:r>
      <w:r w:rsidRPr="00330234">
        <w:t>≥</w:t>
      </w:r>
      <w:r w:rsidR="00B340DD" w:rsidRPr="00330234">
        <w:t> </w:t>
      </w:r>
      <w:r w:rsidRPr="00330234">
        <w:t>6,2</w:t>
      </w:r>
      <w:r w:rsidR="00B340DD" w:rsidRPr="00330234">
        <w:t> </w:t>
      </w:r>
      <w:r w:rsidRPr="00330234">
        <w:t>mmol/l had, waarvan 15 % een aanhoudende stijging van LDL-cholesterol tot ≥ 4,1 mmol/l ervaarde. Stijgingen van lipideparameters reageerden op behandeling met lipideverlagende middelen.</w:t>
      </w:r>
    </w:p>
    <w:p w14:paraId="7501E677" w14:textId="77777777" w:rsidR="00B340DD" w:rsidRPr="00330234" w:rsidRDefault="00B340DD" w:rsidP="00BD109B">
      <w:pPr>
        <w:pStyle w:val="a3"/>
        <w:widowControl/>
        <w:ind w:left="0"/>
      </w:pPr>
    </w:p>
    <w:p w14:paraId="28A573FF" w14:textId="678DF2D4" w:rsidR="00436DAA" w:rsidRPr="00330234" w:rsidRDefault="009B4B8E" w:rsidP="00BD109B">
      <w:pPr>
        <w:pStyle w:val="a3"/>
        <w:widowControl/>
        <w:ind w:left="0"/>
      </w:pPr>
      <w:r w:rsidRPr="00330234">
        <w:t>Tijdens de dubbelblinde gecontroleerde periode en bij langdurige blootstelling bleven het patroon en de incidentie van de stijging van de lipideparameters gelijk aan wat werd waargenomen tijdens de 6</w:t>
      </w:r>
      <w:r w:rsidR="00B340DD" w:rsidRPr="00330234">
        <w:t> </w:t>
      </w:r>
      <w:r w:rsidRPr="00330234">
        <w:t>maanden durende gecontroleerde klinische studies.</w:t>
      </w:r>
    </w:p>
    <w:p w14:paraId="6E5FBF1F" w14:textId="77777777" w:rsidR="00436DAA" w:rsidRPr="00330234" w:rsidRDefault="00436DAA" w:rsidP="00BD109B">
      <w:pPr>
        <w:pStyle w:val="a3"/>
        <w:widowControl/>
        <w:ind w:left="0"/>
      </w:pPr>
    </w:p>
    <w:p w14:paraId="6A33FF05" w14:textId="77777777" w:rsidR="00436DAA" w:rsidRPr="00330234" w:rsidRDefault="009B4B8E" w:rsidP="00BD109B">
      <w:pPr>
        <w:widowControl/>
        <w:rPr>
          <w:i/>
        </w:rPr>
      </w:pPr>
      <w:r w:rsidRPr="00330234">
        <w:rPr>
          <w:i/>
        </w:rPr>
        <w:t>Maligniteiten</w:t>
      </w:r>
    </w:p>
    <w:p w14:paraId="67CB5F45" w14:textId="77777777" w:rsidR="00436DAA" w:rsidRPr="00330234" w:rsidRDefault="009B4B8E" w:rsidP="00BD109B">
      <w:pPr>
        <w:pStyle w:val="a3"/>
        <w:widowControl/>
        <w:ind w:left="0"/>
      </w:pPr>
      <w:r w:rsidRPr="00330234">
        <w:t>Er zijn onvoldoende klinische gegevens beschikbaar om de potentiële incidentie van maligniteiten als gevolg van blootstelling aan tocilizumab te bepalen. Langetermijnveiligheidsevaluaties zijn nog gaande.</w:t>
      </w:r>
    </w:p>
    <w:p w14:paraId="457D827E" w14:textId="77777777" w:rsidR="00B340DD" w:rsidRPr="00330234" w:rsidRDefault="00B340DD" w:rsidP="00BD109B">
      <w:pPr>
        <w:pStyle w:val="a3"/>
        <w:widowControl/>
        <w:ind w:left="0"/>
      </w:pPr>
    </w:p>
    <w:p w14:paraId="0012CEF5" w14:textId="77777777" w:rsidR="00436DAA" w:rsidRPr="00330234" w:rsidRDefault="009B4B8E" w:rsidP="00BD109B">
      <w:pPr>
        <w:widowControl/>
        <w:rPr>
          <w:i/>
        </w:rPr>
      </w:pPr>
      <w:r w:rsidRPr="00330234">
        <w:rPr>
          <w:i/>
        </w:rPr>
        <w:t>Huidreacties</w:t>
      </w:r>
    </w:p>
    <w:p w14:paraId="549627CC" w14:textId="77777777" w:rsidR="00B340DD" w:rsidRPr="00330234" w:rsidRDefault="009B4B8E" w:rsidP="00BD109B">
      <w:pPr>
        <w:pStyle w:val="a3"/>
        <w:widowControl/>
        <w:ind w:left="0"/>
      </w:pPr>
      <w:r w:rsidRPr="00330234">
        <w:t>Na het in de handel brengen is zelden melding gedaan van stevens-johnsonsyndroom.</w:t>
      </w:r>
    </w:p>
    <w:p w14:paraId="4D29302D" w14:textId="77777777" w:rsidR="00B340DD" w:rsidRPr="00330234" w:rsidRDefault="00B340DD" w:rsidP="00BD109B">
      <w:pPr>
        <w:pStyle w:val="a3"/>
        <w:widowControl/>
        <w:ind w:left="0"/>
      </w:pPr>
    </w:p>
    <w:p w14:paraId="6C9A4E44" w14:textId="62CFAFBF" w:rsidR="00436DAA" w:rsidRPr="00330234" w:rsidRDefault="009B4B8E" w:rsidP="00BD109B">
      <w:pPr>
        <w:pStyle w:val="a3"/>
        <w:widowControl/>
        <w:ind w:left="0"/>
      </w:pPr>
      <w:r w:rsidRPr="00330234">
        <w:rPr>
          <w:u w:val="single"/>
        </w:rPr>
        <w:lastRenderedPageBreak/>
        <w:t>Patiënten met COVID-19</w:t>
      </w:r>
    </w:p>
    <w:p w14:paraId="76B9688F" w14:textId="7033B4A6" w:rsidR="00436DAA" w:rsidRPr="00330234" w:rsidRDefault="009B4B8E" w:rsidP="00BD109B">
      <w:pPr>
        <w:pStyle w:val="a3"/>
        <w:widowControl/>
        <w:ind w:left="0"/>
      </w:pPr>
      <w:r w:rsidRPr="00330234">
        <w:t xml:space="preserve">De veiligheidsevaluatie van </w:t>
      </w:r>
      <w:r w:rsidR="00D91375" w:rsidRPr="00330234">
        <w:t>tocilizumab</w:t>
      </w:r>
      <w:r w:rsidRPr="00330234">
        <w:t xml:space="preserve"> bij COVID-19 was gebaseerd op 3 gerandomiseerde, dubbelblinde, placebogecontroleerde onderzoeken (onderzoeken ML42528, WA42380 en WA42511). Tijdens deze onderzoeken werden in totaal 974 patiënten blootgesteld aan </w:t>
      </w:r>
      <w:r w:rsidR="00D91375" w:rsidRPr="00330234">
        <w:t>tocilizumab</w:t>
      </w:r>
      <w:r w:rsidRPr="00330234">
        <w:t>. De verzameling van veiligheidsgegevens uit RECOVERY was beperkt en wordt hier niet weergegeven.</w:t>
      </w:r>
    </w:p>
    <w:p w14:paraId="41ED261E" w14:textId="77777777" w:rsidR="00436DAA" w:rsidRPr="00330234" w:rsidRDefault="00436DAA" w:rsidP="00BD109B">
      <w:pPr>
        <w:pStyle w:val="a3"/>
        <w:widowControl/>
        <w:ind w:left="0"/>
      </w:pPr>
    </w:p>
    <w:p w14:paraId="41DC2397" w14:textId="0AA634B3" w:rsidR="00436DAA" w:rsidRPr="00330234" w:rsidRDefault="009B4B8E" w:rsidP="00BD109B">
      <w:pPr>
        <w:pStyle w:val="a3"/>
        <w:widowControl/>
        <w:ind w:left="0"/>
      </w:pPr>
      <w:r w:rsidRPr="00330234">
        <w:t xml:space="preserve">De volgende bijwerkingen naar MedDRA-systeem/orgaanklasse in tabel 2 zijn toegekend op basis van bijwerkingen die voorkwamen bij ten minste 3% van de patiënten die zijn behandeld met </w:t>
      </w:r>
      <w:r w:rsidR="00D91375" w:rsidRPr="00330234">
        <w:t>tocilizumab</w:t>
      </w:r>
      <w:r w:rsidRPr="00330234">
        <w:t xml:space="preserve"> en die vaker voorkwamen dan bij patiënten die placebo kregen in de gepoolde, op veiligheid evalueerbare populatie uit de klinische onderzoeken ML42528, WA42380 en WA42511.</w:t>
      </w:r>
    </w:p>
    <w:p w14:paraId="4CE519DB" w14:textId="77777777" w:rsidR="00B340DD" w:rsidRPr="00330234" w:rsidRDefault="00B340DD" w:rsidP="00BD109B">
      <w:pPr>
        <w:pStyle w:val="a3"/>
        <w:widowControl/>
        <w:ind w:left="0"/>
      </w:pPr>
    </w:p>
    <w:p w14:paraId="354E37C4" w14:textId="25407C30" w:rsidR="00436DAA" w:rsidRPr="00330234" w:rsidRDefault="009B4B8E" w:rsidP="00B428F3">
      <w:pPr>
        <w:widowControl/>
        <w:ind w:left="1134" w:hanging="1134"/>
        <w:rPr>
          <w:i/>
        </w:rPr>
      </w:pPr>
      <w:r w:rsidRPr="00330234">
        <w:rPr>
          <w:i/>
        </w:rPr>
        <w:t>Tabel 2:</w:t>
      </w:r>
      <w:r w:rsidR="00B428F3" w:rsidRPr="00330234">
        <w:rPr>
          <w:i/>
        </w:rPr>
        <w:tab/>
      </w:r>
      <w:r w:rsidRPr="00330234">
        <w:rPr>
          <w:i/>
        </w:rPr>
        <w:t>Lijst van bijwerkingen</w:t>
      </w:r>
      <w:r w:rsidRPr="00330234">
        <w:rPr>
          <w:i/>
          <w:vertAlign w:val="superscript"/>
        </w:rPr>
        <w:t>1</w:t>
      </w:r>
      <w:r w:rsidRPr="00330234">
        <w:rPr>
          <w:i/>
        </w:rPr>
        <w:t xml:space="preserve"> die zijn vastgesteld op basis van de gepoolde, op veiligheid evalueerbare populatie van de klinische onderzoeken naar </w:t>
      </w:r>
      <w:r w:rsidR="00D91375" w:rsidRPr="00330234">
        <w:rPr>
          <w:i/>
        </w:rPr>
        <w:t xml:space="preserve">tocilizumab </w:t>
      </w:r>
      <w:r w:rsidRPr="00330234">
        <w:rPr>
          <w:i/>
        </w:rPr>
        <w:t>bij patiënten met COVID-19</w:t>
      </w:r>
      <w:r w:rsidRPr="00330234">
        <w:rPr>
          <w:i/>
          <w:vertAlign w:val="superscript"/>
        </w:rPr>
        <w:t>2</w:t>
      </w:r>
    </w:p>
    <w:p w14:paraId="14BE20DD" w14:textId="77777777" w:rsidR="00436DAA" w:rsidRPr="00330234" w:rsidRDefault="00436DAA" w:rsidP="00BD109B">
      <w:pPr>
        <w:pStyle w:val="a3"/>
        <w:widowControl/>
        <w:ind w:left="0"/>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2"/>
        <w:gridCol w:w="2241"/>
        <w:gridCol w:w="3330"/>
      </w:tblGrid>
      <w:tr w:rsidR="00436DAA" w:rsidRPr="00330234" w14:paraId="0495DA38" w14:textId="77777777" w:rsidTr="001B3E1E">
        <w:trPr>
          <w:trHeight w:val="20"/>
          <w:tblHeader/>
        </w:trPr>
        <w:tc>
          <w:tcPr>
            <w:tcW w:w="3492" w:type="dxa"/>
          </w:tcPr>
          <w:p w14:paraId="5CFF7CC6" w14:textId="77777777" w:rsidR="00436DAA" w:rsidRPr="00330234" w:rsidRDefault="009B4B8E" w:rsidP="00B340DD">
            <w:pPr>
              <w:pStyle w:val="TableParagraph"/>
              <w:widowControl/>
              <w:jc w:val="center"/>
              <w:rPr>
                <w:b/>
              </w:rPr>
            </w:pPr>
            <w:r w:rsidRPr="00330234">
              <w:rPr>
                <w:b/>
              </w:rPr>
              <w:t>MedDRA systeem/orgaanklasse</w:t>
            </w:r>
          </w:p>
        </w:tc>
        <w:tc>
          <w:tcPr>
            <w:tcW w:w="2241" w:type="dxa"/>
          </w:tcPr>
          <w:p w14:paraId="5062A480" w14:textId="77777777" w:rsidR="00436DAA" w:rsidRPr="00330234" w:rsidRDefault="009B4B8E" w:rsidP="00B340DD">
            <w:pPr>
              <w:pStyle w:val="TableParagraph"/>
              <w:widowControl/>
              <w:jc w:val="center"/>
              <w:rPr>
                <w:b/>
              </w:rPr>
            </w:pPr>
            <w:r w:rsidRPr="00330234">
              <w:rPr>
                <w:b/>
              </w:rPr>
              <w:t>Zeer vaak</w:t>
            </w:r>
          </w:p>
        </w:tc>
        <w:tc>
          <w:tcPr>
            <w:tcW w:w="3330" w:type="dxa"/>
          </w:tcPr>
          <w:p w14:paraId="734DA3E7" w14:textId="77777777" w:rsidR="00436DAA" w:rsidRPr="00330234" w:rsidRDefault="009B4B8E" w:rsidP="00B340DD">
            <w:pPr>
              <w:pStyle w:val="TableParagraph"/>
              <w:widowControl/>
              <w:jc w:val="center"/>
              <w:rPr>
                <w:b/>
              </w:rPr>
            </w:pPr>
            <w:r w:rsidRPr="00330234">
              <w:rPr>
                <w:b/>
              </w:rPr>
              <w:t>Vaak</w:t>
            </w:r>
          </w:p>
        </w:tc>
      </w:tr>
      <w:tr w:rsidR="00436DAA" w:rsidRPr="00330234" w14:paraId="08CC4B61" w14:textId="77777777" w:rsidTr="001B3E1E">
        <w:trPr>
          <w:trHeight w:val="20"/>
        </w:trPr>
        <w:tc>
          <w:tcPr>
            <w:tcW w:w="3492" w:type="dxa"/>
          </w:tcPr>
          <w:p w14:paraId="03E14F38" w14:textId="77777777" w:rsidR="00436DAA" w:rsidRPr="00330234" w:rsidRDefault="009B4B8E" w:rsidP="00BD109B">
            <w:pPr>
              <w:pStyle w:val="TableParagraph"/>
              <w:widowControl/>
            </w:pPr>
            <w:r w:rsidRPr="00330234">
              <w:t>Infecties en parasitaire aandoeningen</w:t>
            </w:r>
          </w:p>
        </w:tc>
        <w:tc>
          <w:tcPr>
            <w:tcW w:w="2241" w:type="dxa"/>
          </w:tcPr>
          <w:p w14:paraId="75A8C5A6" w14:textId="77777777" w:rsidR="00436DAA" w:rsidRPr="00330234" w:rsidRDefault="00436DAA" w:rsidP="00BD109B">
            <w:pPr>
              <w:pStyle w:val="TableParagraph"/>
              <w:widowControl/>
            </w:pPr>
          </w:p>
        </w:tc>
        <w:tc>
          <w:tcPr>
            <w:tcW w:w="3330" w:type="dxa"/>
          </w:tcPr>
          <w:p w14:paraId="66B354E2" w14:textId="77777777" w:rsidR="00436DAA" w:rsidRPr="00330234" w:rsidRDefault="009B4B8E" w:rsidP="00BD109B">
            <w:pPr>
              <w:pStyle w:val="TableParagraph"/>
              <w:widowControl/>
            </w:pPr>
            <w:r w:rsidRPr="00330234">
              <w:t>Urineweginfectie</w:t>
            </w:r>
          </w:p>
        </w:tc>
      </w:tr>
      <w:tr w:rsidR="00436DAA" w:rsidRPr="00330234" w14:paraId="5F3C8377" w14:textId="77777777" w:rsidTr="001B3E1E">
        <w:trPr>
          <w:trHeight w:val="20"/>
        </w:trPr>
        <w:tc>
          <w:tcPr>
            <w:tcW w:w="3492" w:type="dxa"/>
          </w:tcPr>
          <w:p w14:paraId="20748395" w14:textId="77777777" w:rsidR="00436DAA" w:rsidRPr="00330234" w:rsidRDefault="009B4B8E" w:rsidP="00BD109B">
            <w:pPr>
              <w:pStyle w:val="TableParagraph"/>
              <w:widowControl/>
            </w:pPr>
            <w:r w:rsidRPr="00330234">
              <w:t>Voedings- en stofwisselingsstoornissen</w:t>
            </w:r>
          </w:p>
        </w:tc>
        <w:tc>
          <w:tcPr>
            <w:tcW w:w="2241" w:type="dxa"/>
          </w:tcPr>
          <w:p w14:paraId="30E8BF93" w14:textId="77777777" w:rsidR="00436DAA" w:rsidRPr="00330234" w:rsidRDefault="00436DAA" w:rsidP="00BD109B">
            <w:pPr>
              <w:pStyle w:val="TableParagraph"/>
              <w:widowControl/>
            </w:pPr>
          </w:p>
        </w:tc>
        <w:tc>
          <w:tcPr>
            <w:tcW w:w="3330" w:type="dxa"/>
          </w:tcPr>
          <w:p w14:paraId="6C0A3913" w14:textId="77777777" w:rsidR="00436DAA" w:rsidRPr="00330234" w:rsidRDefault="009B4B8E" w:rsidP="00BD109B">
            <w:pPr>
              <w:pStyle w:val="TableParagraph"/>
              <w:widowControl/>
            </w:pPr>
            <w:r w:rsidRPr="00330234">
              <w:t>Hypokaliëmie</w:t>
            </w:r>
          </w:p>
        </w:tc>
      </w:tr>
      <w:tr w:rsidR="00436DAA" w:rsidRPr="00330234" w14:paraId="6CE6098B" w14:textId="77777777" w:rsidTr="001B3E1E">
        <w:trPr>
          <w:trHeight w:val="20"/>
        </w:trPr>
        <w:tc>
          <w:tcPr>
            <w:tcW w:w="3492" w:type="dxa"/>
          </w:tcPr>
          <w:p w14:paraId="2F8C45EC" w14:textId="77777777" w:rsidR="00436DAA" w:rsidRPr="00330234" w:rsidRDefault="009B4B8E" w:rsidP="00BD109B">
            <w:pPr>
              <w:pStyle w:val="TableParagraph"/>
              <w:widowControl/>
            </w:pPr>
            <w:r w:rsidRPr="00330234">
              <w:t>Psychische stoornissen</w:t>
            </w:r>
          </w:p>
        </w:tc>
        <w:tc>
          <w:tcPr>
            <w:tcW w:w="2241" w:type="dxa"/>
          </w:tcPr>
          <w:p w14:paraId="33633278" w14:textId="77777777" w:rsidR="00436DAA" w:rsidRPr="00330234" w:rsidRDefault="00436DAA" w:rsidP="00BD109B">
            <w:pPr>
              <w:pStyle w:val="TableParagraph"/>
              <w:widowControl/>
            </w:pPr>
          </w:p>
        </w:tc>
        <w:tc>
          <w:tcPr>
            <w:tcW w:w="3330" w:type="dxa"/>
          </w:tcPr>
          <w:p w14:paraId="7F940739" w14:textId="77777777" w:rsidR="00436DAA" w:rsidRPr="00330234" w:rsidRDefault="009B4B8E" w:rsidP="00BD109B">
            <w:pPr>
              <w:pStyle w:val="TableParagraph"/>
              <w:widowControl/>
            </w:pPr>
            <w:r w:rsidRPr="00330234">
              <w:t>Angst, Insomnia</w:t>
            </w:r>
          </w:p>
        </w:tc>
      </w:tr>
      <w:tr w:rsidR="00436DAA" w:rsidRPr="00330234" w14:paraId="53D12B55" w14:textId="77777777" w:rsidTr="001B3E1E">
        <w:trPr>
          <w:trHeight w:val="20"/>
        </w:trPr>
        <w:tc>
          <w:tcPr>
            <w:tcW w:w="3492" w:type="dxa"/>
          </w:tcPr>
          <w:p w14:paraId="500912CE" w14:textId="77777777" w:rsidR="00436DAA" w:rsidRPr="00330234" w:rsidRDefault="009B4B8E" w:rsidP="00BD109B">
            <w:pPr>
              <w:pStyle w:val="TableParagraph"/>
              <w:widowControl/>
            </w:pPr>
            <w:r w:rsidRPr="00330234">
              <w:t>Bloedvataandoeningen</w:t>
            </w:r>
          </w:p>
        </w:tc>
        <w:tc>
          <w:tcPr>
            <w:tcW w:w="2241" w:type="dxa"/>
          </w:tcPr>
          <w:p w14:paraId="072345AD" w14:textId="77777777" w:rsidR="00436DAA" w:rsidRPr="00330234" w:rsidRDefault="00436DAA" w:rsidP="00BD109B">
            <w:pPr>
              <w:pStyle w:val="TableParagraph"/>
              <w:widowControl/>
            </w:pPr>
          </w:p>
        </w:tc>
        <w:tc>
          <w:tcPr>
            <w:tcW w:w="3330" w:type="dxa"/>
          </w:tcPr>
          <w:p w14:paraId="6F34B358" w14:textId="77777777" w:rsidR="00436DAA" w:rsidRPr="00330234" w:rsidRDefault="009B4B8E" w:rsidP="00BD109B">
            <w:pPr>
              <w:pStyle w:val="TableParagraph"/>
              <w:widowControl/>
            </w:pPr>
            <w:r w:rsidRPr="00330234">
              <w:t>Hypertensie</w:t>
            </w:r>
          </w:p>
        </w:tc>
      </w:tr>
      <w:tr w:rsidR="00436DAA" w:rsidRPr="00330234" w14:paraId="1DFBE4E5" w14:textId="77777777" w:rsidTr="001B3E1E">
        <w:trPr>
          <w:trHeight w:val="20"/>
        </w:trPr>
        <w:tc>
          <w:tcPr>
            <w:tcW w:w="3492" w:type="dxa"/>
          </w:tcPr>
          <w:p w14:paraId="1A78392B" w14:textId="77777777" w:rsidR="00436DAA" w:rsidRPr="00330234" w:rsidRDefault="009B4B8E" w:rsidP="00BD109B">
            <w:pPr>
              <w:pStyle w:val="TableParagraph"/>
              <w:widowControl/>
            </w:pPr>
            <w:r w:rsidRPr="00330234">
              <w:t>Maagdarmstelselaandoeningen</w:t>
            </w:r>
          </w:p>
        </w:tc>
        <w:tc>
          <w:tcPr>
            <w:tcW w:w="2241" w:type="dxa"/>
          </w:tcPr>
          <w:p w14:paraId="1135DF92" w14:textId="77777777" w:rsidR="00436DAA" w:rsidRPr="00330234" w:rsidRDefault="00436DAA" w:rsidP="00BD109B">
            <w:pPr>
              <w:pStyle w:val="TableParagraph"/>
              <w:widowControl/>
            </w:pPr>
          </w:p>
        </w:tc>
        <w:tc>
          <w:tcPr>
            <w:tcW w:w="3330" w:type="dxa"/>
          </w:tcPr>
          <w:p w14:paraId="42DC7185" w14:textId="35E90A04" w:rsidR="00436DAA" w:rsidRPr="00330234" w:rsidRDefault="009B4B8E" w:rsidP="00AE15A4">
            <w:pPr>
              <w:pStyle w:val="TableParagraph"/>
              <w:widowControl/>
            </w:pPr>
            <w:r w:rsidRPr="00330234">
              <w:t>Constipatie, Diarree,</w:t>
            </w:r>
            <w:r w:rsidR="00AE15A4" w:rsidRPr="00330234">
              <w:t xml:space="preserve"> </w:t>
            </w:r>
            <w:r w:rsidRPr="00330234">
              <w:t>Misselijkheid</w:t>
            </w:r>
          </w:p>
        </w:tc>
      </w:tr>
      <w:tr w:rsidR="00436DAA" w:rsidRPr="00330234" w14:paraId="7D1C8D76" w14:textId="77777777" w:rsidTr="001B3E1E">
        <w:trPr>
          <w:trHeight w:val="20"/>
        </w:trPr>
        <w:tc>
          <w:tcPr>
            <w:tcW w:w="3492" w:type="dxa"/>
          </w:tcPr>
          <w:p w14:paraId="6388D60B" w14:textId="77777777" w:rsidR="00436DAA" w:rsidRPr="00330234" w:rsidRDefault="009B4B8E" w:rsidP="003C4B56">
            <w:pPr>
              <w:pStyle w:val="TableParagraph"/>
              <w:widowControl/>
            </w:pPr>
            <w:r w:rsidRPr="00330234">
              <w:t>Lever- en galaandoeningen</w:t>
            </w:r>
          </w:p>
        </w:tc>
        <w:tc>
          <w:tcPr>
            <w:tcW w:w="2241" w:type="dxa"/>
          </w:tcPr>
          <w:p w14:paraId="13884E53" w14:textId="77777777" w:rsidR="00436DAA" w:rsidRPr="00330234" w:rsidRDefault="00436DAA" w:rsidP="00B340DD">
            <w:pPr>
              <w:pStyle w:val="TableParagraph"/>
              <w:keepNext/>
              <w:keepLines/>
              <w:widowControl/>
            </w:pPr>
          </w:p>
        </w:tc>
        <w:tc>
          <w:tcPr>
            <w:tcW w:w="3330" w:type="dxa"/>
          </w:tcPr>
          <w:p w14:paraId="56A117D8" w14:textId="4832075B" w:rsidR="00436DAA" w:rsidRPr="00330234" w:rsidRDefault="009B4B8E" w:rsidP="00AE15A4">
            <w:pPr>
              <w:pStyle w:val="TableParagraph"/>
              <w:keepNext/>
              <w:keepLines/>
              <w:widowControl/>
            </w:pPr>
            <w:r w:rsidRPr="00330234">
              <w:t>Stijging van de</w:t>
            </w:r>
            <w:r w:rsidR="00AE15A4" w:rsidRPr="00330234">
              <w:t xml:space="preserve"> </w:t>
            </w:r>
            <w:r w:rsidRPr="00330234">
              <w:t>levertransaminasen</w:t>
            </w:r>
          </w:p>
        </w:tc>
      </w:tr>
    </w:tbl>
    <w:p w14:paraId="4B6BD975" w14:textId="2D91756A" w:rsidR="00436DAA" w:rsidRPr="00330234" w:rsidRDefault="009B4B8E" w:rsidP="00B428F3">
      <w:pPr>
        <w:widowControl/>
        <w:ind w:left="284" w:hanging="284"/>
        <w:rPr>
          <w:sz w:val="18"/>
          <w:szCs w:val="18"/>
        </w:rPr>
      </w:pPr>
      <w:r w:rsidRPr="00330234">
        <w:rPr>
          <w:sz w:val="18"/>
          <w:szCs w:val="18"/>
          <w:vertAlign w:val="superscript"/>
        </w:rPr>
        <w:t>1</w:t>
      </w:r>
      <w:r w:rsidR="00B428F3" w:rsidRPr="00330234">
        <w:rPr>
          <w:sz w:val="18"/>
          <w:szCs w:val="18"/>
        </w:rPr>
        <w:tab/>
      </w:r>
      <w:r w:rsidRPr="00330234">
        <w:rPr>
          <w:sz w:val="18"/>
          <w:szCs w:val="18"/>
        </w:rPr>
        <w:t>Patiënten tellen één keer voor elke categorie, onafhankelijk van het aantal bijwerkingen</w:t>
      </w:r>
    </w:p>
    <w:p w14:paraId="0382456F" w14:textId="29960438" w:rsidR="00436DAA" w:rsidRPr="00330234" w:rsidRDefault="009B4B8E" w:rsidP="00B428F3">
      <w:pPr>
        <w:widowControl/>
        <w:ind w:left="284" w:hanging="284"/>
        <w:rPr>
          <w:sz w:val="18"/>
          <w:szCs w:val="18"/>
        </w:rPr>
      </w:pPr>
      <w:r w:rsidRPr="00330234">
        <w:rPr>
          <w:sz w:val="18"/>
          <w:szCs w:val="18"/>
          <w:vertAlign w:val="superscript"/>
        </w:rPr>
        <w:t>2</w:t>
      </w:r>
      <w:r w:rsidR="00B428F3" w:rsidRPr="00330234">
        <w:rPr>
          <w:sz w:val="18"/>
          <w:szCs w:val="18"/>
        </w:rPr>
        <w:tab/>
      </w:r>
      <w:r w:rsidRPr="00330234">
        <w:rPr>
          <w:sz w:val="18"/>
          <w:szCs w:val="18"/>
        </w:rPr>
        <w:t>Inclusief toegekende bijwerkingen die zijn gemeld in onderzoeken WA42511, WA42380 en ML42528</w:t>
      </w:r>
    </w:p>
    <w:p w14:paraId="37AE6454" w14:textId="77777777" w:rsidR="00436DAA" w:rsidRPr="00330234" w:rsidRDefault="00436DAA" w:rsidP="00BD109B">
      <w:pPr>
        <w:pStyle w:val="a3"/>
        <w:widowControl/>
        <w:ind w:left="0"/>
      </w:pPr>
    </w:p>
    <w:p w14:paraId="384BBC6A" w14:textId="77777777" w:rsidR="00436DAA" w:rsidRPr="00330234" w:rsidRDefault="009B4B8E" w:rsidP="00BD109B">
      <w:pPr>
        <w:pStyle w:val="a3"/>
        <w:widowControl/>
        <w:ind w:left="0"/>
      </w:pPr>
      <w:r w:rsidRPr="00330234">
        <w:rPr>
          <w:u w:val="single"/>
        </w:rPr>
        <w:t>Beschrijving van geselecteerde bijwerkingen</w:t>
      </w:r>
    </w:p>
    <w:p w14:paraId="4C87F670" w14:textId="77777777" w:rsidR="00436DAA" w:rsidRPr="00330234" w:rsidRDefault="00436DAA" w:rsidP="00BD109B">
      <w:pPr>
        <w:pStyle w:val="a3"/>
        <w:widowControl/>
        <w:ind w:left="0"/>
      </w:pPr>
    </w:p>
    <w:p w14:paraId="17060EEA" w14:textId="77777777" w:rsidR="00436DAA" w:rsidRPr="00330234" w:rsidRDefault="009B4B8E" w:rsidP="00BD109B">
      <w:pPr>
        <w:widowControl/>
        <w:rPr>
          <w:i/>
        </w:rPr>
      </w:pPr>
      <w:r w:rsidRPr="00330234">
        <w:rPr>
          <w:i/>
          <w:u w:val="single"/>
        </w:rPr>
        <w:t>Infecties</w:t>
      </w:r>
    </w:p>
    <w:p w14:paraId="5E76F3E2" w14:textId="77777777" w:rsidR="00436DAA" w:rsidRPr="00330234" w:rsidRDefault="009B4B8E" w:rsidP="00BD109B">
      <w:pPr>
        <w:pStyle w:val="a3"/>
        <w:widowControl/>
        <w:ind w:left="0"/>
      </w:pPr>
      <w:r w:rsidRPr="00330234">
        <w:t>In de gepoolde, op veiligheid evalueerbare populatie van de onderzoeken ML42528, WA42380 en WA42511 waren de aantallen infecties/ernstige infecties in evenwicht tussen de COVID-19-patiënten die tocilizumab kregen (30,3%/18,6%, n = 974) en de placebogroep (32,1%/22,8%, n = 483).</w:t>
      </w:r>
    </w:p>
    <w:p w14:paraId="14770CE1" w14:textId="77777777" w:rsidR="00436DAA" w:rsidRPr="00330234" w:rsidRDefault="00436DAA" w:rsidP="00BD109B">
      <w:pPr>
        <w:pStyle w:val="a3"/>
        <w:widowControl/>
        <w:ind w:left="0"/>
      </w:pPr>
    </w:p>
    <w:p w14:paraId="3635DD2B" w14:textId="77777777" w:rsidR="00436DAA" w:rsidRPr="00330234" w:rsidRDefault="009B4B8E" w:rsidP="00BD109B">
      <w:pPr>
        <w:pStyle w:val="a3"/>
        <w:widowControl/>
        <w:ind w:left="0"/>
      </w:pPr>
      <w:r w:rsidRPr="00330234">
        <w:t>Het veiligheidsprofiel dat is waargenomen bij de behandelgroep met systemische corticosteroïden op baseline kwam overeen met het veiligheidsprofiel van tocilizumab voor de totale populatie, zoals weergegeven in tabel 2. In deze subgroep traden infecties en ernstige infecties respectievelijk op bij 27,8% en 18,1% van de patiënten die werden behandeld met intraveneus tocilizumab en bij 30,5% en 22,9% van de patiënten die werden behandeld met placebo.</w:t>
      </w:r>
    </w:p>
    <w:p w14:paraId="3DA633A6" w14:textId="77777777" w:rsidR="00B340DD" w:rsidRPr="00330234" w:rsidRDefault="00B340DD" w:rsidP="00BD109B">
      <w:pPr>
        <w:pStyle w:val="a3"/>
        <w:widowControl/>
        <w:ind w:left="0"/>
      </w:pPr>
    </w:p>
    <w:p w14:paraId="05C1C407" w14:textId="77777777" w:rsidR="00436DAA" w:rsidRPr="00330234" w:rsidRDefault="009B4B8E" w:rsidP="00BD109B">
      <w:pPr>
        <w:widowControl/>
        <w:rPr>
          <w:i/>
        </w:rPr>
      </w:pPr>
      <w:r w:rsidRPr="00330234">
        <w:rPr>
          <w:i/>
          <w:u w:val="single"/>
        </w:rPr>
        <w:t>Afwijkingen in laboratoriumonderzoek</w:t>
      </w:r>
    </w:p>
    <w:p w14:paraId="7589E315" w14:textId="39ABB419" w:rsidR="00436DAA" w:rsidRPr="00330234" w:rsidRDefault="009B4B8E" w:rsidP="00BD109B">
      <w:pPr>
        <w:pStyle w:val="a3"/>
        <w:widowControl/>
        <w:ind w:left="0"/>
      </w:pPr>
      <w:r w:rsidRPr="00330234">
        <w:t xml:space="preserve">De incidentie van afwijkingen in laboratoriumonderzoek was over het algemeen, met een paar uitzonderingen, vergelijkbaar tussen patiënten met COVID-19 die een of twee doses intraveneus </w:t>
      </w:r>
      <w:r w:rsidR="003C67C0" w:rsidRPr="00330234">
        <w:t>tocilizumab</w:t>
      </w:r>
      <w:r w:rsidRPr="00330234">
        <w:t xml:space="preserve"> kregen en patiënten die placebo kregen in de gerandomiseerde, dubbelblinde, placebogecontroleerde onderzoeken. Dalingen van het aantal trombocyten en neutrofielen en stijgingen van ALAT en ASAT kwamen vaker voor bij patiënten die intraveneus </w:t>
      </w:r>
      <w:r w:rsidR="003C67C0" w:rsidRPr="00330234">
        <w:t>tocilizumab</w:t>
      </w:r>
      <w:r w:rsidRPr="00330234">
        <w:t xml:space="preserve"> kregen dan bij patiënten die placebo kregen (zie rubriek 4.2 en 4.4).</w:t>
      </w:r>
    </w:p>
    <w:p w14:paraId="45D992B7" w14:textId="77777777" w:rsidR="00436DAA" w:rsidRPr="00330234" w:rsidRDefault="00436DAA" w:rsidP="00BD109B">
      <w:pPr>
        <w:pStyle w:val="a3"/>
        <w:widowControl/>
        <w:ind w:left="0"/>
      </w:pPr>
    </w:p>
    <w:p w14:paraId="46DE5A82" w14:textId="77777777" w:rsidR="00436DAA" w:rsidRPr="00330234" w:rsidRDefault="009B4B8E" w:rsidP="00BD109B">
      <w:pPr>
        <w:pStyle w:val="a3"/>
        <w:widowControl/>
        <w:ind w:left="0"/>
      </w:pPr>
      <w:r w:rsidRPr="00330234">
        <w:rPr>
          <w:u w:val="single"/>
        </w:rPr>
        <w:t>sJIA- en pJIA-patiënten</w:t>
      </w:r>
    </w:p>
    <w:p w14:paraId="5B4319DF" w14:textId="77777777" w:rsidR="00436DAA" w:rsidRPr="00330234" w:rsidRDefault="00436DAA" w:rsidP="00BD109B">
      <w:pPr>
        <w:pStyle w:val="a3"/>
        <w:widowControl/>
        <w:ind w:left="0"/>
      </w:pPr>
    </w:p>
    <w:p w14:paraId="38446863" w14:textId="77777777" w:rsidR="00436DAA" w:rsidRPr="00330234" w:rsidRDefault="009B4B8E" w:rsidP="00BD109B">
      <w:pPr>
        <w:pStyle w:val="a3"/>
        <w:widowControl/>
        <w:ind w:left="0"/>
      </w:pPr>
      <w:r w:rsidRPr="00330234">
        <w:t>Het veiligheidsprofiel van tocilizumab bij pediatrische patiënten wordt samengevat in de onderstaande rubrieken over pJIA en sJIA. Over het algemeen was het soort bijwerkingen bij pJIA- en sJIA- patiënten vergelijkbaar met bijwerkingen bij RA-patiënten, zie rubriek 4.8.</w:t>
      </w:r>
    </w:p>
    <w:p w14:paraId="39097FCE" w14:textId="77777777" w:rsidR="00B340DD" w:rsidRPr="00330234" w:rsidRDefault="00B340DD" w:rsidP="00BD109B">
      <w:pPr>
        <w:pStyle w:val="a3"/>
        <w:widowControl/>
        <w:ind w:left="0"/>
      </w:pPr>
    </w:p>
    <w:p w14:paraId="56D749D3" w14:textId="3A39F061" w:rsidR="00436DAA" w:rsidRPr="00330234" w:rsidRDefault="009B4B8E" w:rsidP="00B340DD">
      <w:pPr>
        <w:pStyle w:val="a3"/>
        <w:widowControl/>
        <w:ind w:left="0"/>
      </w:pPr>
      <w:r w:rsidRPr="00330234">
        <w:t>Bijwerkingen bij pJIA- en sJIA-patiënten die behandeld werden met tocilizumab worden weergegeven in tabel 3 en zijn ingedeeld naar MedDRA-systeem/orgaanklasse. De bijbehorende frequentiecategorie is voor iedere bijwerking gebaseerd op de volgende conventie: zeer vaak (≥ 1/10); vaak (≥ 1/100,</w:t>
      </w:r>
      <w:r w:rsidR="00B340DD" w:rsidRPr="00330234">
        <w:t xml:space="preserve"> </w:t>
      </w:r>
      <w:r w:rsidRPr="00330234">
        <w:t>&lt;</w:t>
      </w:r>
      <w:r w:rsidR="00B340DD" w:rsidRPr="00330234">
        <w:t> </w:t>
      </w:r>
      <w:r w:rsidRPr="00330234">
        <w:t>1/10) of soms (≥ 1/1.000, &lt; 1/100).</w:t>
      </w:r>
    </w:p>
    <w:p w14:paraId="1C381432" w14:textId="77777777" w:rsidR="00436DAA" w:rsidRPr="00330234" w:rsidRDefault="00436DAA" w:rsidP="00BD109B">
      <w:pPr>
        <w:pStyle w:val="a3"/>
        <w:widowControl/>
        <w:ind w:left="0"/>
      </w:pPr>
    </w:p>
    <w:p w14:paraId="2E6B9543" w14:textId="5450065D" w:rsidR="00436DAA" w:rsidRPr="00330234" w:rsidRDefault="009B4B8E" w:rsidP="00B428F3">
      <w:pPr>
        <w:widowControl/>
        <w:ind w:left="1134" w:hanging="1134"/>
        <w:rPr>
          <w:i/>
        </w:rPr>
      </w:pPr>
      <w:r w:rsidRPr="00330234">
        <w:rPr>
          <w:i/>
        </w:rPr>
        <w:t>Tabel 3.</w:t>
      </w:r>
      <w:r w:rsidR="00B428F3" w:rsidRPr="00330234">
        <w:rPr>
          <w:i/>
        </w:rPr>
        <w:tab/>
      </w:r>
      <w:r w:rsidRPr="00330234">
        <w:rPr>
          <w:i/>
        </w:rPr>
        <w:t>Bijwerkingen die optraden in klinische onderzoeken bij patiënten met sJIA of pJIA tijdens het gebruik van tocilizumab als monotherapie of in combinatie met MTX</w:t>
      </w:r>
    </w:p>
    <w:p w14:paraId="7049EFAC" w14:textId="77777777" w:rsidR="00436DAA" w:rsidRPr="00330234" w:rsidRDefault="00436DAA" w:rsidP="00BD109B">
      <w:pPr>
        <w:pStyle w:val="a3"/>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1"/>
        <w:gridCol w:w="2014"/>
        <w:gridCol w:w="1301"/>
        <w:gridCol w:w="1316"/>
        <w:gridCol w:w="924"/>
      </w:tblGrid>
      <w:tr w:rsidR="00436DAA" w:rsidRPr="00330234" w14:paraId="218D023E" w14:textId="77777777" w:rsidTr="00B428F3">
        <w:trPr>
          <w:trHeight w:val="20"/>
          <w:tblHeader/>
        </w:trPr>
        <w:tc>
          <w:tcPr>
            <w:tcW w:w="3511" w:type="dxa"/>
          </w:tcPr>
          <w:p w14:paraId="5F7C8C7F" w14:textId="77777777" w:rsidR="00436DAA" w:rsidRPr="00330234" w:rsidRDefault="009B4B8E" w:rsidP="00A204AB">
            <w:pPr>
              <w:pStyle w:val="TableParagraph"/>
              <w:widowControl/>
              <w:jc w:val="center"/>
              <w:rPr>
                <w:b/>
              </w:rPr>
            </w:pPr>
            <w:r w:rsidRPr="00330234">
              <w:rPr>
                <w:b/>
              </w:rPr>
              <w:t>MedDRA-systeem/orgaanklasse</w:t>
            </w:r>
          </w:p>
        </w:tc>
        <w:tc>
          <w:tcPr>
            <w:tcW w:w="2014" w:type="dxa"/>
          </w:tcPr>
          <w:p w14:paraId="4826DD72" w14:textId="77777777" w:rsidR="00436DAA" w:rsidRPr="00330234" w:rsidRDefault="009B4B8E" w:rsidP="00A204AB">
            <w:pPr>
              <w:pStyle w:val="TableParagraph"/>
              <w:widowControl/>
              <w:jc w:val="center"/>
              <w:rPr>
                <w:b/>
              </w:rPr>
            </w:pPr>
            <w:r w:rsidRPr="00330234">
              <w:rPr>
                <w:b/>
              </w:rPr>
              <w:t>Voorkeursterm</w:t>
            </w:r>
          </w:p>
        </w:tc>
        <w:tc>
          <w:tcPr>
            <w:tcW w:w="3541" w:type="dxa"/>
            <w:gridSpan w:val="3"/>
          </w:tcPr>
          <w:p w14:paraId="160A3B2E" w14:textId="77777777" w:rsidR="00436DAA" w:rsidRPr="00330234" w:rsidRDefault="009B4B8E" w:rsidP="00A204AB">
            <w:pPr>
              <w:pStyle w:val="TableParagraph"/>
              <w:widowControl/>
              <w:jc w:val="center"/>
              <w:rPr>
                <w:b/>
              </w:rPr>
            </w:pPr>
            <w:r w:rsidRPr="00330234">
              <w:rPr>
                <w:b/>
              </w:rPr>
              <w:t>Frequentie</w:t>
            </w:r>
          </w:p>
        </w:tc>
      </w:tr>
      <w:tr w:rsidR="00436DAA" w:rsidRPr="00330234" w14:paraId="66759CB1" w14:textId="77777777" w:rsidTr="00B428F3">
        <w:trPr>
          <w:trHeight w:val="20"/>
        </w:trPr>
        <w:tc>
          <w:tcPr>
            <w:tcW w:w="5525" w:type="dxa"/>
            <w:gridSpan w:val="2"/>
          </w:tcPr>
          <w:p w14:paraId="399BD6A5" w14:textId="77777777" w:rsidR="00436DAA" w:rsidRPr="00330234" w:rsidRDefault="00436DAA" w:rsidP="00BD109B">
            <w:pPr>
              <w:pStyle w:val="TableParagraph"/>
              <w:widowControl/>
            </w:pPr>
          </w:p>
        </w:tc>
        <w:tc>
          <w:tcPr>
            <w:tcW w:w="1301" w:type="dxa"/>
          </w:tcPr>
          <w:p w14:paraId="2A8654C7" w14:textId="77777777" w:rsidR="00436DAA" w:rsidRPr="00330234" w:rsidRDefault="009B4B8E" w:rsidP="00BD109B">
            <w:pPr>
              <w:pStyle w:val="TableParagraph"/>
              <w:widowControl/>
            </w:pPr>
            <w:r w:rsidRPr="00330234">
              <w:t>Zeer vaak</w:t>
            </w:r>
          </w:p>
        </w:tc>
        <w:tc>
          <w:tcPr>
            <w:tcW w:w="1316" w:type="dxa"/>
          </w:tcPr>
          <w:p w14:paraId="7E6F3227" w14:textId="77777777" w:rsidR="00436DAA" w:rsidRPr="00330234" w:rsidRDefault="009B4B8E" w:rsidP="00BD109B">
            <w:pPr>
              <w:pStyle w:val="TableParagraph"/>
              <w:widowControl/>
            </w:pPr>
            <w:r w:rsidRPr="00330234">
              <w:t>Vaak</w:t>
            </w:r>
          </w:p>
        </w:tc>
        <w:tc>
          <w:tcPr>
            <w:tcW w:w="924" w:type="dxa"/>
          </w:tcPr>
          <w:p w14:paraId="0AE3F689" w14:textId="77777777" w:rsidR="00436DAA" w:rsidRPr="00330234" w:rsidRDefault="009B4B8E" w:rsidP="00BD109B">
            <w:pPr>
              <w:pStyle w:val="TableParagraph"/>
              <w:widowControl/>
            </w:pPr>
            <w:r w:rsidRPr="00330234">
              <w:t>Soms</w:t>
            </w:r>
          </w:p>
        </w:tc>
      </w:tr>
      <w:tr w:rsidR="00436DAA" w:rsidRPr="00330234" w14:paraId="3EFCDDC4" w14:textId="77777777" w:rsidTr="00B428F3">
        <w:trPr>
          <w:trHeight w:val="20"/>
        </w:trPr>
        <w:tc>
          <w:tcPr>
            <w:tcW w:w="5525" w:type="dxa"/>
            <w:gridSpan w:val="2"/>
          </w:tcPr>
          <w:p w14:paraId="4909119C" w14:textId="77777777" w:rsidR="00436DAA" w:rsidRPr="00330234" w:rsidRDefault="009B4B8E" w:rsidP="00BD109B">
            <w:pPr>
              <w:pStyle w:val="TableParagraph"/>
              <w:widowControl/>
            </w:pPr>
            <w:r w:rsidRPr="00330234">
              <w:t>Infecties en parasitaire aandoeningen</w:t>
            </w:r>
          </w:p>
        </w:tc>
        <w:tc>
          <w:tcPr>
            <w:tcW w:w="1301" w:type="dxa"/>
          </w:tcPr>
          <w:p w14:paraId="7BF5694E" w14:textId="77777777" w:rsidR="00436DAA" w:rsidRPr="00330234" w:rsidRDefault="00436DAA" w:rsidP="00BD109B">
            <w:pPr>
              <w:pStyle w:val="TableParagraph"/>
              <w:widowControl/>
            </w:pPr>
          </w:p>
        </w:tc>
        <w:tc>
          <w:tcPr>
            <w:tcW w:w="1316" w:type="dxa"/>
          </w:tcPr>
          <w:p w14:paraId="10D5DB29" w14:textId="77777777" w:rsidR="00436DAA" w:rsidRPr="00330234" w:rsidRDefault="00436DAA" w:rsidP="00BD109B">
            <w:pPr>
              <w:pStyle w:val="TableParagraph"/>
              <w:widowControl/>
            </w:pPr>
          </w:p>
        </w:tc>
        <w:tc>
          <w:tcPr>
            <w:tcW w:w="924" w:type="dxa"/>
          </w:tcPr>
          <w:p w14:paraId="77457741" w14:textId="77777777" w:rsidR="00436DAA" w:rsidRPr="00330234" w:rsidRDefault="00436DAA" w:rsidP="00BD109B">
            <w:pPr>
              <w:pStyle w:val="TableParagraph"/>
              <w:widowControl/>
            </w:pPr>
          </w:p>
        </w:tc>
      </w:tr>
      <w:tr w:rsidR="00436DAA" w:rsidRPr="00330234" w14:paraId="1407BC9F" w14:textId="77777777" w:rsidTr="00B428F3">
        <w:trPr>
          <w:trHeight w:val="20"/>
        </w:trPr>
        <w:tc>
          <w:tcPr>
            <w:tcW w:w="3511" w:type="dxa"/>
          </w:tcPr>
          <w:p w14:paraId="05D48A70" w14:textId="77777777" w:rsidR="00436DAA" w:rsidRPr="00330234" w:rsidRDefault="00436DAA" w:rsidP="00BD109B">
            <w:pPr>
              <w:pStyle w:val="TableParagraph"/>
              <w:widowControl/>
            </w:pPr>
          </w:p>
        </w:tc>
        <w:tc>
          <w:tcPr>
            <w:tcW w:w="2014" w:type="dxa"/>
          </w:tcPr>
          <w:p w14:paraId="49B41A44" w14:textId="3A45EDF5" w:rsidR="00436DAA" w:rsidRPr="00330234" w:rsidRDefault="009B4B8E" w:rsidP="00A204AB">
            <w:pPr>
              <w:pStyle w:val="TableParagraph"/>
              <w:widowControl/>
            </w:pPr>
            <w:r w:rsidRPr="00330234">
              <w:t>Bovensteluchtweg-</w:t>
            </w:r>
            <w:r w:rsidR="00A204AB" w:rsidRPr="00330234">
              <w:t xml:space="preserve"> </w:t>
            </w:r>
            <w:r w:rsidRPr="00330234">
              <w:t>infecties</w:t>
            </w:r>
          </w:p>
        </w:tc>
        <w:tc>
          <w:tcPr>
            <w:tcW w:w="1301" w:type="dxa"/>
          </w:tcPr>
          <w:p w14:paraId="1D607487" w14:textId="77777777" w:rsidR="00436DAA" w:rsidRPr="00330234" w:rsidRDefault="009B4B8E" w:rsidP="00BD109B">
            <w:pPr>
              <w:pStyle w:val="TableParagraph"/>
              <w:widowControl/>
            </w:pPr>
            <w:r w:rsidRPr="00330234">
              <w:t>pJIA, sJIA</w:t>
            </w:r>
          </w:p>
        </w:tc>
        <w:tc>
          <w:tcPr>
            <w:tcW w:w="1316" w:type="dxa"/>
          </w:tcPr>
          <w:p w14:paraId="18632002" w14:textId="77777777" w:rsidR="00436DAA" w:rsidRPr="00330234" w:rsidRDefault="00436DAA" w:rsidP="00BD109B">
            <w:pPr>
              <w:pStyle w:val="TableParagraph"/>
              <w:widowControl/>
            </w:pPr>
          </w:p>
        </w:tc>
        <w:tc>
          <w:tcPr>
            <w:tcW w:w="924" w:type="dxa"/>
          </w:tcPr>
          <w:p w14:paraId="2DCFB2B6" w14:textId="77777777" w:rsidR="00436DAA" w:rsidRPr="00330234" w:rsidRDefault="00436DAA" w:rsidP="00BD109B">
            <w:pPr>
              <w:pStyle w:val="TableParagraph"/>
              <w:widowControl/>
            </w:pPr>
          </w:p>
        </w:tc>
      </w:tr>
      <w:tr w:rsidR="00436DAA" w:rsidRPr="00330234" w14:paraId="088B158D" w14:textId="77777777" w:rsidTr="00B428F3">
        <w:trPr>
          <w:trHeight w:val="20"/>
        </w:trPr>
        <w:tc>
          <w:tcPr>
            <w:tcW w:w="3511" w:type="dxa"/>
          </w:tcPr>
          <w:p w14:paraId="07DBE4B3" w14:textId="77777777" w:rsidR="00436DAA" w:rsidRPr="00330234" w:rsidRDefault="00436DAA" w:rsidP="00BD109B">
            <w:pPr>
              <w:pStyle w:val="TableParagraph"/>
              <w:widowControl/>
            </w:pPr>
          </w:p>
        </w:tc>
        <w:tc>
          <w:tcPr>
            <w:tcW w:w="2014" w:type="dxa"/>
          </w:tcPr>
          <w:p w14:paraId="19E15EB4" w14:textId="77777777" w:rsidR="00436DAA" w:rsidRPr="00330234" w:rsidRDefault="009B4B8E" w:rsidP="00BD109B">
            <w:pPr>
              <w:pStyle w:val="TableParagraph"/>
              <w:widowControl/>
            </w:pPr>
            <w:r w:rsidRPr="00330234">
              <w:t>Nasofaryngitis</w:t>
            </w:r>
          </w:p>
        </w:tc>
        <w:tc>
          <w:tcPr>
            <w:tcW w:w="1301" w:type="dxa"/>
          </w:tcPr>
          <w:p w14:paraId="75FAD14A" w14:textId="77777777" w:rsidR="00436DAA" w:rsidRPr="00330234" w:rsidRDefault="009B4B8E" w:rsidP="00BD109B">
            <w:pPr>
              <w:pStyle w:val="TableParagraph"/>
              <w:widowControl/>
            </w:pPr>
            <w:r w:rsidRPr="00330234">
              <w:t>pJIA, sJIA</w:t>
            </w:r>
          </w:p>
        </w:tc>
        <w:tc>
          <w:tcPr>
            <w:tcW w:w="1316" w:type="dxa"/>
          </w:tcPr>
          <w:p w14:paraId="323C030A" w14:textId="77777777" w:rsidR="00436DAA" w:rsidRPr="00330234" w:rsidRDefault="00436DAA" w:rsidP="00BD109B">
            <w:pPr>
              <w:pStyle w:val="TableParagraph"/>
              <w:widowControl/>
            </w:pPr>
          </w:p>
        </w:tc>
        <w:tc>
          <w:tcPr>
            <w:tcW w:w="924" w:type="dxa"/>
          </w:tcPr>
          <w:p w14:paraId="434D538D" w14:textId="77777777" w:rsidR="00436DAA" w:rsidRPr="00330234" w:rsidRDefault="00436DAA" w:rsidP="00BD109B">
            <w:pPr>
              <w:pStyle w:val="TableParagraph"/>
              <w:widowControl/>
            </w:pPr>
          </w:p>
        </w:tc>
      </w:tr>
      <w:tr w:rsidR="00436DAA" w:rsidRPr="00330234" w14:paraId="6F589870" w14:textId="77777777" w:rsidTr="00B428F3">
        <w:trPr>
          <w:trHeight w:val="20"/>
        </w:trPr>
        <w:tc>
          <w:tcPr>
            <w:tcW w:w="5525" w:type="dxa"/>
            <w:gridSpan w:val="2"/>
          </w:tcPr>
          <w:p w14:paraId="5AC68715" w14:textId="77777777" w:rsidR="00436DAA" w:rsidRPr="00330234" w:rsidRDefault="009B4B8E" w:rsidP="00BD109B">
            <w:pPr>
              <w:pStyle w:val="TableParagraph"/>
              <w:widowControl/>
            </w:pPr>
            <w:r w:rsidRPr="00330234">
              <w:t>Zenuwstelselaandoeningen</w:t>
            </w:r>
          </w:p>
        </w:tc>
        <w:tc>
          <w:tcPr>
            <w:tcW w:w="1301" w:type="dxa"/>
          </w:tcPr>
          <w:p w14:paraId="0D3907B3" w14:textId="77777777" w:rsidR="00436DAA" w:rsidRPr="00330234" w:rsidRDefault="00436DAA" w:rsidP="00BD109B">
            <w:pPr>
              <w:pStyle w:val="TableParagraph"/>
              <w:widowControl/>
            </w:pPr>
          </w:p>
        </w:tc>
        <w:tc>
          <w:tcPr>
            <w:tcW w:w="1316" w:type="dxa"/>
          </w:tcPr>
          <w:p w14:paraId="5FE9140D" w14:textId="77777777" w:rsidR="00436DAA" w:rsidRPr="00330234" w:rsidRDefault="00436DAA" w:rsidP="00BD109B">
            <w:pPr>
              <w:pStyle w:val="TableParagraph"/>
              <w:widowControl/>
            </w:pPr>
          </w:p>
        </w:tc>
        <w:tc>
          <w:tcPr>
            <w:tcW w:w="924" w:type="dxa"/>
          </w:tcPr>
          <w:p w14:paraId="0BB30F24" w14:textId="77777777" w:rsidR="00436DAA" w:rsidRPr="00330234" w:rsidRDefault="00436DAA" w:rsidP="00BD109B">
            <w:pPr>
              <w:pStyle w:val="TableParagraph"/>
              <w:widowControl/>
            </w:pPr>
          </w:p>
        </w:tc>
      </w:tr>
      <w:tr w:rsidR="00436DAA" w:rsidRPr="00330234" w14:paraId="64D4D26B" w14:textId="77777777" w:rsidTr="00B428F3">
        <w:trPr>
          <w:trHeight w:val="20"/>
        </w:trPr>
        <w:tc>
          <w:tcPr>
            <w:tcW w:w="3511" w:type="dxa"/>
          </w:tcPr>
          <w:p w14:paraId="34DD0204" w14:textId="77777777" w:rsidR="00436DAA" w:rsidRPr="00330234" w:rsidRDefault="00436DAA" w:rsidP="00BD109B">
            <w:pPr>
              <w:pStyle w:val="TableParagraph"/>
              <w:widowControl/>
            </w:pPr>
          </w:p>
        </w:tc>
        <w:tc>
          <w:tcPr>
            <w:tcW w:w="2014" w:type="dxa"/>
          </w:tcPr>
          <w:p w14:paraId="1DA31AB6" w14:textId="77777777" w:rsidR="00436DAA" w:rsidRPr="00330234" w:rsidRDefault="009B4B8E" w:rsidP="00BD109B">
            <w:pPr>
              <w:pStyle w:val="TableParagraph"/>
              <w:widowControl/>
            </w:pPr>
            <w:r w:rsidRPr="00330234">
              <w:t>Hoofdpijn</w:t>
            </w:r>
          </w:p>
        </w:tc>
        <w:tc>
          <w:tcPr>
            <w:tcW w:w="1301" w:type="dxa"/>
          </w:tcPr>
          <w:p w14:paraId="154487FE" w14:textId="77777777" w:rsidR="00436DAA" w:rsidRPr="00330234" w:rsidRDefault="009B4B8E" w:rsidP="00BD109B">
            <w:pPr>
              <w:pStyle w:val="TableParagraph"/>
              <w:widowControl/>
            </w:pPr>
            <w:r w:rsidRPr="00330234">
              <w:t>pJIA</w:t>
            </w:r>
          </w:p>
        </w:tc>
        <w:tc>
          <w:tcPr>
            <w:tcW w:w="1316" w:type="dxa"/>
          </w:tcPr>
          <w:p w14:paraId="0121E6E1" w14:textId="77777777" w:rsidR="00436DAA" w:rsidRPr="00330234" w:rsidRDefault="009B4B8E" w:rsidP="00BD109B">
            <w:pPr>
              <w:pStyle w:val="TableParagraph"/>
              <w:widowControl/>
            </w:pPr>
            <w:r w:rsidRPr="00330234">
              <w:t>sJIA</w:t>
            </w:r>
          </w:p>
        </w:tc>
        <w:tc>
          <w:tcPr>
            <w:tcW w:w="924" w:type="dxa"/>
          </w:tcPr>
          <w:p w14:paraId="0CA303C8" w14:textId="77777777" w:rsidR="00436DAA" w:rsidRPr="00330234" w:rsidRDefault="00436DAA" w:rsidP="00BD109B">
            <w:pPr>
              <w:pStyle w:val="TableParagraph"/>
              <w:widowControl/>
            </w:pPr>
          </w:p>
        </w:tc>
      </w:tr>
      <w:tr w:rsidR="00436DAA" w:rsidRPr="00330234" w14:paraId="2205DF70" w14:textId="77777777" w:rsidTr="00B428F3">
        <w:trPr>
          <w:trHeight w:val="20"/>
        </w:trPr>
        <w:tc>
          <w:tcPr>
            <w:tcW w:w="5525" w:type="dxa"/>
            <w:gridSpan w:val="2"/>
          </w:tcPr>
          <w:p w14:paraId="53993224" w14:textId="77777777" w:rsidR="00436DAA" w:rsidRPr="00330234" w:rsidRDefault="009B4B8E" w:rsidP="00BD109B">
            <w:pPr>
              <w:pStyle w:val="TableParagraph"/>
              <w:widowControl/>
            </w:pPr>
            <w:r w:rsidRPr="00330234">
              <w:t>Maagdarmstelselaandoeningen</w:t>
            </w:r>
          </w:p>
        </w:tc>
        <w:tc>
          <w:tcPr>
            <w:tcW w:w="1301" w:type="dxa"/>
          </w:tcPr>
          <w:p w14:paraId="37257A60" w14:textId="77777777" w:rsidR="00436DAA" w:rsidRPr="00330234" w:rsidRDefault="00436DAA" w:rsidP="00BD109B">
            <w:pPr>
              <w:pStyle w:val="TableParagraph"/>
              <w:widowControl/>
            </w:pPr>
          </w:p>
        </w:tc>
        <w:tc>
          <w:tcPr>
            <w:tcW w:w="1316" w:type="dxa"/>
          </w:tcPr>
          <w:p w14:paraId="33D492E9" w14:textId="77777777" w:rsidR="00436DAA" w:rsidRPr="00330234" w:rsidRDefault="00436DAA" w:rsidP="00BD109B">
            <w:pPr>
              <w:pStyle w:val="TableParagraph"/>
              <w:widowControl/>
            </w:pPr>
          </w:p>
        </w:tc>
        <w:tc>
          <w:tcPr>
            <w:tcW w:w="924" w:type="dxa"/>
          </w:tcPr>
          <w:p w14:paraId="7D14CCE8" w14:textId="77777777" w:rsidR="00436DAA" w:rsidRPr="00330234" w:rsidRDefault="00436DAA" w:rsidP="00BD109B">
            <w:pPr>
              <w:pStyle w:val="TableParagraph"/>
              <w:widowControl/>
            </w:pPr>
          </w:p>
        </w:tc>
      </w:tr>
      <w:tr w:rsidR="00436DAA" w:rsidRPr="00330234" w14:paraId="427A7519" w14:textId="77777777" w:rsidTr="00B428F3">
        <w:trPr>
          <w:trHeight w:val="20"/>
        </w:trPr>
        <w:tc>
          <w:tcPr>
            <w:tcW w:w="3511" w:type="dxa"/>
          </w:tcPr>
          <w:p w14:paraId="5659889A" w14:textId="77777777" w:rsidR="00436DAA" w:rsidRPr="00330234" w:rsidRDefault="00436DAA" w:rsidP="00BD109B">
            <w:pPr>
              <w:pStyle w:val="TableParagraph"/>
              <w:widowControl/>
            </w:pPr>
          </w:p>
        </w:tc>
        <w:tc>
          <w:tcPr>
            <w:tcW w:w="2014" w:type="dxa"/>
          </w:tcPr>
          <w:p w14:paraId="43DA6FA2" w14:textId="77777777" w:rsidR="00436DAA" w:rsidRPr="00330234" w:rsidRDefault="009B4B8E" w:rsidP="00BD109B">
            <w:pPr>
              <w:pStyle w:val="TableParagraph"/>
              <w:widowControl/>
            </w:pPr>
            <w:r w:rsidRPr="00330234">
              <w:t>Misselijkheid</w:t>
            </w:r>
          </w:p>
        </w:tc>
        <w:tc>
          <w:tcPr>
            <w:tcW w:w="1301" w:type="dxa"/>
          </w:tcPr>
          <w:p w14:paraId="2DF98513" w14:textId="77777777" w:rsidR="00436DAA" w:rsidRPr="00330234" w:rsidRDefault="00436DAA" w:rsidP="00BD109B">
            <w:pPr>
              <w:pStyle w:val="TableParagraph"/>
              <w:widowControl/>
            </w:pPr>
          </w:p>
        </w:tc>
        <w:tc>
          <w:tcPr>
            <w:tcW w:w="1316" w:type="dxa"/>
          </w:tcPr>
          <w:p w14:paraId="587300F8" w14:textId="77777777" w:rsidR="00436DAA" w:rsidRPr="00330234" w:rsidRDefault="009B4B8E" w:rsidP="00BD109B">
            <w:pPr>
              <w:pStyle w:val="TableParagraph"/>
              <w:widowControl/>
            </w:pPr>
            <w:r w:rsidRPr="00330234">
              <w:t>pJIA</w:t>
            </w:r>
          </w:p>
        </w:tc>
        <w:tc>
          <w:tcPr>
            <w:tcW w:w="924" w:type="dxa"/>
          </w:tcPr>
          <w:p w14:paraId="4EF9067B" w14:textId="77777777" w:rsidR="00436DAA" w:rsidRPr="00330234" w:rsidRDefault="00436DAA" w:rsidP="00BD109B">
            <w:pPr>
              <w:pStyle w:val="TableParagraph"/>
              <w:widowControl/>
            </w:pPr>
          </w:p>
        </w:tc>
      </w:tr>
      <w:tr w:rsidR="00436DAA" w:rsidRPr="00330234" w14:paraId="69C1D8CD" w14:textId="77777777" w:rsidTr="00B428F3">
        <w:trPr>
          <w:trHeight w:val="20"/>
        </w:trPr>
        <w:tc>
          <w:tcPr>
            <w:tcW w:w="3511" w:type="dxa"/>
          </w:tcPr>
          <w:p w14:paraId="6EEB26CE" w14:textId="77777777" w:rsidR="00436DAA" w:rsidRPr="00330234" w:rsidRDefault="00436DAA" w:rsidP="00BD109B">
            <w:pPr>
              <w:pStyle w:val="TableParagraph"/>
              <w:widowControl/>
            </w:pPr>
          </w:p>
        </w:tc>
        <w:tc>
          <w:tcPr>
            <w:tcW w:w="2014" w:type="dxa"/>
          </w:tcPr>
          <w:p w14:paraId="4E3CAE29" w14:textId="77777777" w:rsidR="00436DAA" w:rsidRPr="00330234" w:rsidRDefault="009B4B8E" w:rsidP="00BD109B">
            <w:pPr>
              <w:pStyle w:val="TableParagraph"/>
              <w:widowControl/>
            </w:pPr>
            <w:r w:rsidRPr="00330234">
              <w:t>Diarree</w:t>
            </w:r>
          </w:p>
        </w:tc>
        <w:tc>
          <w:tcPr>
            <w:tcW w:w="1301" w:type="dxa"/>
          </w:tcPr>
          <w:p w14:paraId="08F24885" w14:textId="77777777" w:rsidR="00436DAA" w:rsidRPr="00330234" w:rsidRDefault="00436DAA" w:rsidP="00BD109B">
            <w:pPr>
              <w:pStyle w:val="TableParagraph"/>
              <w:widowControl/>
            </w:pPr>
          </w:p>
        </w:tc>
        <w:tc>
          <w:tcPr>
            <w:tcW w:w="1316" w:type="dxa"/>
          </w:tcPr>
          <w:p w14:paraId="51D4BFD3" w14:textId="77777777" w:rsidR="00436DAA" w:rsidRPr="00330234" w:rsidRDefault="009B4B8E" w:rsidP="00BD109B">
            <w:pPr>
              <w:pStyle w:val="TableParagraph"/>
              <w:widowControl/>
            </w:pPr>
            <w:r w:rsidRPr="00330234">
              <w:t>pJIA, sJIA</w:t>
            </w:r>
          </w:p>
        </w:tc>
        <w:tc>
          <w:tcPr>
            <w:tcW w:w="924" w:type="dxa"/>
          </w:tcPr>
          <w:p w14:paraId="69CFF39E" w14:textId="77777777" w:rsidR="00436DAA" w:rsidRPr="00330234" w:rsidRDefault="00436DAA" w:rsidP="00BD109B">
            <w:pPr>
              <w:pStyle w:val="TableParagraph"/>
              <w:widowControl/>
            </w:pPr>
          </w:p>
        </w:tc>
      </w:tr>
      <w:tr w:rsidR="00436DAA" w:rsidRPr="00330234" w14:paraId="2405894A" w14:textId="77777777" w:rsidTr="00B428F3">
        <w:trPr>
          <w:trHeight w:val="20"/>
        </w:trPr>
        <w:tc>
          <w:tcPr>
            <w:tcW w:w="5525" w:type="dxa"/>
            <w:gridSpan w:val="2"/>
          </w:tcPr>
          <w:p w14:paraId="4CA71999" w14:textId="77777777" w:rsidR="00436DAA" w:rsidRPr="00330234" w:rsidRDefault="009B4B8E" w:rsidP="00BD109B">
            <w:pPr>
              <w:pStyle w:val="TableParagraph"/>
              <w:widowControl/>
            </w:pPr>
            <w:r w:rsidRPr="00330234">
              <w:t>Algemene aandoeningen en toedieningsplaatsstoornissen</w:t>
            </w:r>
          </w:p>
        </w:tc>
        <w:tc>
          <w:tcPr>
            <w:tcW w:w="1301" w:type="dxa"/>
          </w:tcPr>
          <w:p w14:paraId="418DD65A" w14:textId="77777777" w:rsidR="00436DAA" w:rsidRPr="00330234" w:rsidRDefault="00436DAA" w:rsidP="00BD109B">
            <w:pPr>
              <w:pStyle w:val="TableParagraph"/>
              <w:widowControl/>
            </w:pPr>
          </w:p>
        </w:tc>
        <w:tc>
          <w:tcPr>
            <w:tcW w:w="1316" w:type="dxa"/>
          </w:tcPr>
          <w:p w14:paraId="79651761" w14:textId="77777777" w:rsidR="00436DAA" w:rsidRPr="00330234" w:rsidRDefault="00436DAA" w:rsidP="00BD109B">
            <w:pPr>
              <w:pStyle w:val="TableParagraph"/>
              <w:widowControl/>
            </w:pPr>
          </w:p>
        </w:tc>
        <w:tc>
          <w:tcPr>
            <w:tcW w:w="924" w:type="dxa"/>
          </w:tcPr>
          <w:p w14:paraId="363ED887" w14:textId="77777777" w:rsidR="00436DAA" w:rsidRPr="00330234" w:rsidRDefault="00436DAA" w:rsidP="00BD109B">
            <w:pPr>
              <w:pStyle w:val="TableParagraph"/>
              <w:widowControl/>
            </w:pPr>
          </w:p>
        </w:tc>
      </w:tr>
      <w:tr w:rsidR="00436DAA" w:rsidRPr="00330234" w14:paraId="03347788" w14:textId="77777777" w:rsidTr="00B428F3">
        <w:trPr>
          <w:trHeight w:val="20"/>
        </w:trPr>
        <w:tc>
          <w:tcPr>
            <w:tcW w:w="3511" w:type="dxa"/>
          </w:tcPr>
          <w:p w14:paraId="037091FC" w14:textId="77777777" w:rsidR="00436DAA" w:rsidRPr="00330234" w:rsidRDefault="00436DAA" w:rsidP="00BD109B">
            <w:pPr>
              <w:pStyle w:val="TableParagraph"/>
              <w:widowControl/>
            </w:pPr>
          </w:p>
        </w:tc>
        <w:tc>
          <w:tcPr>
            <w:tcW w:w="2014" w:type="dxa"/>
          </w:tcPr>
          <w:p w14:paraId="78508247" w14:textId="026FC319" w:rsidR="00436DAA" w:rsidRPr="00330234" w:rsidRDefault="009B4B8E" w:rsidP="00A204AB">
            <w:pPr>
              <w:pStyle w:val="TableParagraph"/>
              <w:widowControl/>
            </w:pPr>
            <w:r w:rsidRPr="00330234">
              <w:t>Infusiegerelateerde</w:t>
            </w:r>
            <w:r w:rsidR="00A204AB" w:rsidRPr="00330234">
              <w:t xml:space="preserve"> </w:t>
            </w:r>
            <w:r w:rsidRPr="00330234">
              <w:t>reacties</w:t>
            </w:r>
          </w:p>
        </w:tc>
        <w:tc>
          <w:tcPr>
            <w:tcW w:w="1301" w:type="dxa"/>
          </w:tcPr>
          <w:p w14:paraId="43A2DF7E" w14:textId="77777777" w:rsidR="00436DAA" w:rsidRPr="00330234" w:rsidRDefault="00436DAA" w:rsidP="00BD109B">
            <w:pPr>
              <w:pStyle w:val="TableParagraph"/>
              <w:widowControl/>
            </w:pPr>
          </w:p>
        </w:tc>
        <w:tc>
          <w:tcPr>
            <w:tcW w:w="1316" w:type="dxa"/>
          </w:tcPr>
          <w:p w14:paraId="5A64CECC" w14:textId="77777777" w:rsidR="00436DAA" w:rsidRPr="00330234" w:rsidRDefault="009B4B8E" w:rsidP="00BD109B">
            <w:pPr>
              <w:pStyle w:val="TableParagraph"/>
              <w:widowControl/>
            </w:pPr>
            <w:r w:rsidRPr="00330234">
              <w:t>pJIA</w:t>
            </w:r>
            <w:r w:rsidRPr="00330234">
              <w:rPr>
                <w:vertAlign w:val="superscript"/>
              </w:rPr>
              <w:t>1</w:t>
            </w:r>
            <w:r w:rsidRPr="00330234">
              <w:t>, sJIA</w:t>
            </w:r>
            <w:r w:rsidRPr="00330234">
              <w:rPr>
                <w:vertAlign w:val="superscript"/>
              </w:rPr>
              <w:t>2</w:t>
            </w:r>
          </w:p>
        </w:tc>
        <w:tc>
          <w:tcPr>
            <w:tcW w:w="924" w:type="dxa"/>
          </w:tcPr>
          <w:p w14:paraId="685E42C5" w14:textId="77777777" w:rsidR="00436DAA" w:rsidRPr="00330234" w:rsidRDefault="00436DAA" w:rsidP="00BD109B">
            <w:pPr>
              <w:pStyle w:val="TableParagraph"/>
              <w:widowControl/>
            </w:pPr>
          </w:p>
        </w:tc>
      </w:tr>
      <w:tr w:rsidR="00436DAA" w:rsidRPr="00330234" w14:paraId="6231271B" w14:textId="77777777" w:rsidTr="00B428F3">
        <w:trPr>
          <w:trHeight w:val="20"/>
        </w:trPr>
        <w:tc>
          <w:tcPr>
            <w:tcW w:w="5525" w:type="dxa"/>
            <w:gridSpan w:val="2"/>
          </w:tcPr>
          <w:p w14:paraId="0EDA4878" w14:textId="77777777" w:rsidR="00436DAA" w:rsidRPr="00330234" w:rsidRDefault="009B4B8E" w:rsidP="00A204AB">
            <w:pPr>
              <w:pStyle w:val="TableParagraph"/>
              <w:keepNext/>
              <w:keepLines/>
              <w:widowControl/>
            </w:pPr>
            <w:r w:rsidRPr="00330234">
              <w:t>Onderzoeken</w:t>
            </w:r>
          </w:p>
        </w:tc>
        <w:tc>
          <w:tcPr>
            <w:tcW w:w="1301" w:type="dxa"/>
          </w:tcPr>
          <w:p w14:paraId="671ACF94" w14:textId="77777777" w:rsidR="00436DAA" w:rsidRPr="00330234" w:rsidRDefault="00436DAA" w:rsidP="00A204AB">
            <w:pPr>
              <w:pStyle w:val="TableParagraph"/>
              <w:keepNext/>
              <w:keepLines/>
              <w:widowControl/>
            </w:pPr>
          </w:p>
        </w:tc>
        <w:tc>
          <w:tcPr>
            <w:tcW w:w="1316" w:type="dxa"/>
          </w:tcPr>
          <w:p w14:paraId="0A9A4326" w14:textId="77777777" w:rsidR="00436DAA" w:rsidRPr="00330234" w:rsidRDefault="00436DAA" w:rsidP="00A204AB">
            <w:pPr>
              <w:pStyle w:val="TableParagraph"/>
              <w:keepNext/>
              <w:keepLines/>
              <w:widowControl/>
            </w:pPr>
          </w:p>
        </w:tc>
        <w:tc>
          <w:tcPr>
            <w:tcW w:w="924" w:type="dxa"/>
          </w:tcPr>
          <w:p w14:paraId="5B0ECF3C" w14:textId="77777777" w:rsidR="00436DAA" w:rsidRPr="00330234" w:rsidRDefault="00436DAA" w:rsidP="00A204AB">
            <w:pPr>
              <w:pStyle w:val="TableParagraph"/>
              <w:keepNext/>
              <w:keepLines/>
              <w:widowControl/>
            </w:pPr>
          </w:p>
        </w:tc>
      </w:tr>
      <w:tr w:rsidR="00436DAA" w:rsidRPr="00330234" w14:paraId="6203088E" w14:textId="77777777" w:rsidTr="00B428F3">
        <w:trPr>
          <w:trHeight w:val="20"/>
        </w:trPr>
        <w:tc>
          <w:tcPr>
            <w:tcW w:w="3511" w:type="dxa"/>
          </w:tcPr>
          <w:p w14:paraId="12B62FBF" w14:textId="77777777" w:rsidR="00436DAA" w:rsidRPr="00330234" w:rsidRDefault="00436DAA" w:rsidP="00A204AB">
            <w:pPr>
              <w:pStyle w:val="TableParagraph"/>
              <w:keepNext/>
              <w:keepLines/>
              <w:widowControl/>
            </w:pPr>
          </w:p>
        </w:tc>
        <w:tc>
          <w:tcPr>
            <w:tcW w:w="2014" w:type="dxa"/>
          </w:tcPr>
          <w:p w14:paraId="5F11D5D5" w14:textId="0915D02C" w:rsidR="00436DAA" w:rsidRPr="00330234" w:rsidRDefault="009B4B8E" w:rsidP="00A204AB">
            <w:pPr>
              <w:pStyle w:val="TableParagraph"/>
              <w:keepNext/>
              <w:keepLines/>
              <w:widowControl/>
            </w:pPr>
            <w:r w:rsidRPr="00330234">
              <w:t>Verhoogde</w:t>
            </w:r>
            <w:r w:rsidR="00A204AB" w:rsidRPr="00330234">
              <w:t xml:space="preserve"> </w:t>
            </w:r>
            <w:r w:rsidRPr="00330234">
              <w:t>levertransaminasen</w:t>
            </w:r>
          </w:p>
        </w:tc>
        <w:tc>
          <w:tcPr>
            <w:tcW w:w="1301" w:type="dxa"/>
          </w:tcPr>
          <w:p w14:paraId="4A4542FD" w14:textId="77777777" w:rsidR="00436DAA" w:rsidRPr="00330234" w:rsidRDefault="00436DAA" w:rsidP="00A204AB">
            <w:pPr>
              <w:pStyle w:val="TableParagraph"/>
              <w:keepNext/>
              <w:keepLines/>
              <w:widowControl/>
            </w:pPr>
          </w:p>
        </w:tc>
        <w:tc>
          <w:tcPr>
            <w:tcW w:w="1316" w:type="dxa"/>
          </w:tcPr>
          <w:p w14:paraId="5E27D25A" w14:textId="77777777" w:rsidR="00436DAA" w:rsidRPr="00330234" w:rsidRDefault="009B4B8E" w:rsidP="00A204AB">
            <w:pPr>
              <w:pStyle w:val="TableParagraph"/>
              <w:keepNext/>
              <w:keepLines/>
              <w:widowControl/>
            </w:pPr>
            <w:r w:rsidRPr="00330234">
              <w:t>pJIA</w:t>
            </w:r>
          </w:p>
        </w:tc>
        <w:tc>
          <w:tcPr>
            <w:tcW w:w="924" w:type="dxa"/>
          </w:tcPr>
          <w:p w14:paraId="38BDBCDC" w14:textId="77777777" w:rsidR="00436DAA" w:rsidRPr="00330234" w:rsidRDefault="00436DAA" w:rsidP="00A204AB">
            <w:pPr>
              <w:pStyle w:val="TableParagraph"/>
              <w:keepNext/>
              <w:keepLines/>
              <w:widowControl/>
            </w:pPr>
          </w:p>
        </w:tc>
      </w:tr>
      <w:tr w:rsidR="00436DAA" w:rsidRPr="00330234" w14:paraId="10ADF4A8" w14:textId="77777777" w:rsidTr="00B428F3">
        <w:trPr>
          <w:trHeight w:val="20"/>
        </w:trPr>
        <w:tc>
          <w:tcPr>
            <w:tcW w:w="3511" w:type="dxa"/>
          </w:tcPr>
          <w:p w14:paraId="296C181D" w14:textId="77777777" w:rsidR="00436DAA" w:rsidRPr="00330234" w:rsidRDefault="00436DAA" w:rsidP="00BD109B">
            <w:pPr>
              <w:pStyle w:val="TableParagraph"/>
              <w:widowControl/>
            </w:pPr>
          </w:p>
        </w:tc>
        <w:tc>
          <w:tcPr>
            <w:tcW w:w="2014" w:type="dxa"/>
          </w:tcPr>
          <w:p w14:paraId="32E5D2EC" w14:textId="77777777" w:rsidR="00436DAA" w:rsidRPr="00330234" w:rsidRDefault="009B4B8E" w:rsidP="00BD109B">
            <w:pPr>
              <w:pStyle w:val="TableParagraph"/>
              <w:widowControl/>
            </w:pPr>
            <w:r w:rsidRPr="00330234">
              <w:t>Verlaagd aantal neutrofielen</w:t>
            </w:r>
          </w:p>
        </w:tc>
        <w:tc>
          <w:tcPr>
            <w:tcW w:w="1301" w:type="dxa"/>
          </w:tcPr>
          <w:p w14:paraId="35D97F07" w14:textId="77777777" w:rsidR="00436DAA" w:rsidRPr="00330234" w:rsidRDefault="009B4B8E" w:rsidP="00BD109B">
            <w:pPr>
              <w:pStyle w:val="TableParagraph"/>
              <w:widowControl/>
            </w:pPr>
            <w:r w:rsidRPr="00330234">
              <w:t>sJIA</w:t>
            </w:r>
          </w:p>
        </w:tc>
        <w:tc>
          <w:tcPr>
            <w:tcW w:w="1316" w:type="dxa"/>
          </w:tcPr>
          <w:p w14:paraId="73EAFA78" w14:textId="77777777" w:rsidR="00436DAA" w:rsidRPr="00330234" w:rsidRDefault="009B4B8E" w:rsidP="00BD109B">
            <w:pPr>
              <w:pStyle w:val="TableParagraph"/>
              <w:widowControl/>
            </w:pPr>
            <w:r w:rsidRPr="00330234">
              <w:t>pJIA</w:t>
            </w:r>
          </w:p>
        </w:tc>
        <w:tc>
          <w:tcPr>
            <w:tcW w:w="924" w:type="dxa"/>
          </w:tcPr>
          <w:p w14:paraId="1897C003" w14:textId="77777777" w:rsidR="00436DAA" w:rsidRPr="00330234" w:rsidRDefault="00436DAA" w:rsidP="00BD109B">
            <w:pPr>
              <w:pStyle w:val="TableParagraph"/>
              <w:widowControl/>
            </w:pPr>
          </w:p>
        </w:tc>
      </w:tr>
      <w:tr w:rsidR="00436DAA" w:rsidRPr="00330234" w14:paraId="09FEAB37" w14:textId="77777777" w:rsidTr="00B428F3">
        <w:trPr>
          <w:trHeight w:val="20"/>
        </w:trPr>
        <w:tc>
          <w:tcPr>
            <w:tcW w:w="3511" w:type="dxa"/>
          </w:tcPr>
          <w:p w14:paraId="7C8F8208" w14:textId="77777777" w:rsidR="00436DAA" w:rsidRPr="00330234" w:rsidRDefault="00436DAA" w:rsidP="00BD109B">
            <w:pPr>
              <w:pStyle w:val="TableParagraph"/>
              <w:widowControl/>
            </w:pPr>
          </w:p>
        </w:tc>
        <w:tc>
          <w:tcPr>
            <w:tcW w:w="2014" w:type="dxa"/>
          </w:tcPr>
          <w:p w14:paraId="4741EAA1" w14:textId="4B07F064" w:rsidR="00436DAA" w:rsidRPr="00330234" w:rsidRDefault="009B4B8E" w:rsidP="00A204AB">
            <w:pPr>
              <w:pStyle w:val="TableParagraph"/>
              <w:widowControl/>
            </w:pPr>
            <w:r w:rsidRPr="00330234">
              <w:t>Verlaagd aantal</w:t>
            </w:r>
            <w:r w:rsidR="00A204AB" w:rsidRPr="00330234">
              <w:t xml:space="preserve"> </w:t>
            </w:r>
            <w:r w:rsidRPr="00330234">
              <w:t>trombocyten</w:t>
            </w:r>
          </w:p>
        </w:tc>
        <w:tc>
          <w:tcPr>
            <w:tcW w:w="1301" w:type="dxa"/>
          </w:tcPr>
          <w:p w14:paraId="46D2EB52" w14:textId="77777777" w:rsidR="00436DAA" w:rsidRPr="00330234" w:rsidRDefault="00436DAA" w:rsidP="00BD109B">
            <w:pPr>
              <w:pStyle w:val="TableParagraph"/>
              <w:widowControl/>
            </w:pPr>
          </w:p>
        </w:tc>
        <w:tc>
          <w:tcPr>
            <w:tcW w:w="1316" w:type="dxa"/>
          </w:tcPr>
          <w:p w14:paraId="249A718C" w14:textId="77777777" w:rsidR="00436DAA" w:rsidRPr="00330234" w:rsidRDefault="009B4B8E" w:rsidP="00BD109B">
            <w:pPr>
              <w:pStyle w:val="TableParagraph"/>
              <w:widowControl/>
            </w:pPr>
            <w:r w:rsidRPr="00330234">
              <w:t>sJIA</w:t>
            </w:r>
          </w:p>
        </w:tc>
        <w:tc>
          <w:tcPr>
            <w:tcW w:w="924" w:type="dxa"/>
          </w:tcPr>
          <w:p w14:paraId="5402C9A5" w14:textId="77777777" w:rsidR="00436DAA" w:rsidRPr="00330234" w:rsidRDefault="009B4B8E" w:rsidP="00BD109B">
            <w:pPr>
              <w:pStyle w:val="TableParagraph"/>
              <w:widowControl/>
            </w:pPr>
            <w:r w:rsidRPr="00330234">
              <w:t>pJIA</w:t>
            </w:r>
          </w:p>
        </w:tc>
      </w:tr>
      <w:tr w:rsidR="00436DAA" w:rsidRPr="00330234" w14:paraId="0B1D9213" w14:textId="77777777" w:rsidTr="00B428F3">
        <w:trPr>
          <w:trHeight w:val="20"/>
        </w:trPr>
        <w:tc>
          <w:tcPr>
            <w:tcW w:w="3511" w:type="dxa"/>
          </w:tcPr>
          <w:p w14:paraId="09FB2284" w14:textId="77777777" w:rsidR="00436DAA" w:rsidRPr="00330234" w:rsidRDefault="00436DAA" w:rsidP="00BD109B">
            <w:pPr>
              <w:pStyle w:val="TableParagraph"/>
              <w:widowControl/>
            </w:pPr>
          </w:p>
        </w:tc>
        <w:tc>
          <w:tcPr>
            <w:tcW w:w="2014" w:type="dxa"/>
          </w:tcPr>
          <w:p w14:paraId="0267EB03" w14:textId="77777777" w:rsidR="00436DAA" w:rsidRPr="00330234" w:rsidRDefault="009B4B8E" w:rsidP="00BD109B">
            <w:pPr>
              <w:pStyle w:val="TableParagraph"/>
              <w:widowControl/>
            </w:pPr>
            <w:r w:rsidRPr="00330234">
              <w:t>Verhoogd cholesterol</w:t>
            </w:r>
          </w:p>
        </w:tc>
        <w:tc>
          <w:tcPr>
            <w:tcW w:w="1301" w:type="dxa"/>
          </w:tcPr>
          <w:p w14:paraId="67AF8963" w14:textId="77777777" w:rsidR="00436DAA" w:rsidRPr="00330234" w:rsidRDefault="00436DAA" w:rsidP="00BD109B">
            <w:pPr>
              <w:pStyle w:val="TableParagraph"/>
              <w:widowControl/>
            </w:pPr>
          </w:p>
        </w:tc>
        <w:tc>
          <w:tcPr>
            <w:tcW w:w="1316" w:type="dxa"/>
          </w:tcPr>
          <w:p w14:paraId="543676C1" w14:textId="77777777" w:rsidR="00436DAA" w:rsidRPr="00330234" w:rsidRDefault="009B4B8E" w:rsidP="00BD109B">
            <w:pPr>
              <w:pStyle w:val="TableParagraph"/>
              <w:widowControl/>
            </w:pPr>
            <w:r w:rsidRPr="00330234">
              <w:t>sJIA</w:t>
            </w:r>
          </w:p>
        </w:tc>
        <w:tc>
          <w:tcPr>
            <w:tcW w:w="924" w:type="dxa"/>
          </w:tcPr>
          <w:p w14:paraId="4876A826" w14:textId="77777777" w:rsidR="00436DAA" w:rsidRPr="00330234" w:rsidRDefault="009B4B8E" w:rsidP="00BD109B">
            <w:pPr>
              <w:pStyle w:val="TableParagraph"/>
              <w:widowControl/>
            </w:pPr>
            <w:r w:rsidRPr="00330234">
              <w:t>pJIA</w:t>
            </w:r>
          </w:p>
        </w:tc>
      </w:tr>
    </w:tbl>
    <w:p w14:paraId="08799555" w14:textId="698D8A51" w:rsidR="00436DAA" w:rsidRPr="00330234" w:rsidRDefault="005328BF" w:rsidP="00B428F3">
      <w:pPr>
        <w:widowControl/>
        <w:ind w:left="284" w:hanging="284"/>
        <w:rPr>
          <w:sz w:val="18"/>
          <w:szCs w:val="18"/>
        </w:rPr>
      </w:pPr>
      <w:r w:rsidRPr="00330234">
        <w:rPr>
          <w:sz w:val="18"/>
          <w:szCs w:val="18"/>
          <w:vertAlign w:val="superscript"/>
        </w:rPr>
        <w:t>1</w:t>
      </w:r>
      <w:r w:rsidRPr="00330234">
        <w:rPr>
          <w:sz w:val="18"/>
          <w:szCs w:val="18"/>
        </w:rPr>
        <w:tab/>
      </w:r>
      <w:r w:rsidR="009B4B8E" w:rsidRPr="00330234">
        <w:rPr>
          <w:sz w:val="18"/>
          <w:szCs w:val="18"/>
        </w:rPr>
        <w:t>Infusiegerelateerde reacties bij pJIA-patiënten omvatten (maar waren niet beperkt tot) hoofdpijn, misselijkheid en hypotensie</w:t>
      </w:r>
    </w:p>
    <w:p w14:paraId="3B629AB9" w14:textId="06CC600D" w:rsidR="00436DAA" w:rsidRPr="00330234" w:rsidRDefault="005328BF" w:rsidP="00B428F3">
      <w:pPr>
        <w:widowControl/>
        <w:ind w:left="284" w:hanging="284"/>
        <w:rPr>
          <w:sz w:val="18"/>
          <w:szCs w:val="18"/>
        </w:rPr>
      </w:pPr>
      <w:r w:rsidRPr="00330234">
        <w:rPr>
          <w:sz w:val="18"/>
          <w:szCs w:val="18"/>
          <w:vertAlign w:val="superscript"/>
        </w:rPr>
        <w:t>2</w:t>
      </w:r>
      <w:r w:rsidRPr="00330234">
        <w:rPr>
          <w:sz w:val="18"/>
          <w:szCs w:val="18"/>
        </w:rPr>
        <w:tab/>
      </w:r>
      <w:r w:rsidR="009B4B8E" w:rsidRPr="00330234">
        <w:rPr>
          <w:sz w:val="18"/>
          <w:szCs w:val="18"/>
        </w:rPr>
        <w:t>Infusiegerelateerde reacties bij sJIA-patiënten omvatten (maar waren niet beperkt tot) huiduitslag, urticaria, diarree, epigastrisch ongemak, artralgie en hoofdpijn.</w:t>
      </w:r>
    </w:p>
    <w:p w14:paraId="50D67190" w14:textId="77777777" w:rsidR="00436DAA" w:rsidRPr="00330234" w:rsidRDefault="00436DAA" w:rsidP="00BD109B">
      <w:pPr>
        <w:pStyle w:val="a3"/>
        <w:widowControl/>
        <w:ind w:left="0"/>
      </w:pPr>
    </w:p>
    <w:p w14:paraId="4DCF90A8" w14:textId="77777777" w:rsidR="00436DAA" w:rsidRPr="00330234" w:rsidRDefault="009B4B8E" w:rsidP="00BD109B">
      <w:pPr>
        <w:widowControl/>
        <w:rPr>
          <w:i/>
        </w:rPr>
      </w:pPr>
      <w:r w:rsidRPr="00330234">
        <w:rPr>
          <w:i/>
        </w:rPr>
        <w:t>pJIA-patiënten</w:t>
      </w:r>
    </w:p>
    <w:p w14:paraId="2EED53BA" w14:textId="0B28F85B" w:rsidR="00436DAA" w:rsidRPr="00330234" w:rsidRDefault="009B4B8E" w:rsidP="00BD109B">
      <w:pPr>
        <w:pStyle w:val="a3"/>
        <w:widowControl/>
        <w:ind w:left="0"/>
      </w:pPr>
      <w:r w:rsidRPr="00330234">
        <w:t xml:space="preserve">Het veiligheidsprofiel van intraveneus </w:t>
      </w:r>
      <w:r w:rsidR="003C67C0" w:rsidRPr="00330234">
        <w:t>tocilizumab</w:t>
      </w:r>
      <w:r w:rsidRPr="00330234">
        <w:t xml:space="preserve"> bij pJIA is onderzocht bij 188 patiënten van 2 tot 17</w:t>
      </w:r>
      <w:r w:rsidR="00A204AB" w:rsidRPr="00330234">
        <w:t> </w:t>
      </w:r>
      <w:r w:rsidRPr="00330234">
        <w:t>jaar oud. De totale blootstelling van de patiënt was 184,4 patiëntjaren. De frequentie van bijwerkingen bij pJIA-patiënten wordt weergegeven in tabel 3. De bijwerkingen bij pJIA-patiënten waren vergelijkbaar met die waargenomen bij RA- en sJIA-patiënten, zie rubriek 4.8. Voorvallen van nasofaryngitis, hoofdpijn, misselijkheid en verlaagd aantal neutrofielen werden vaker gemeld bij de pJIA-populatie dan bij de volwassen RA-populatie. Voorvallen van verhoogd cholesterol werden minder vaak gemeld bij de pJIA-populatie dan bij de volwassen RA-populatie.</w:t>
      </w:r>
    </w:p>
    <w:p w14:paraId="6A627CAC" w14:textId="77777777" w:rsidR="00A204AB" w:rsidRPr="00330234" w:rsidRDefault="00A204AB" w:rsidP="00BD109B">
      <w:pPr>
        <w:pStyle w:val="a3"/>
        <w:widowControl/>
        <w:ind w:left="0"/>
      </w:pPr>
    </w:p>
    <w:p w14:paraId="7B24058D" w14:textId="77777777" w:rsidR="00436DAA" w:rsidRPr="00330234" w:rsidRDefault="009B4B8E" w:rsidP="00BD109B">
      <w:pPr>
        <w:widowControl/>
        <w:rPr>
          <w:i/>
        </w:rPr>
      </w:pPr>
      <w:r w:rsidRPr="00330234">
        <w:rPr>
          <w:i/>
        </w:rPr>
        <w:t>Infecties</w:t>
      </w:r>
    </w:p>
    <w:p w14:paraId="2FF5FD71" w14:textId="77777777" w:rsidR="00436DAA" w:rsidRPr="00330234" w:rsidRDefault="009B4B8E" w:rsidP="00BD109B">
      <w:pPr>
        <w:pStyle w:val="a3"/>
        <w:widowControl/>
        <w:ind w:left="0"/>
      </w:pPr>
      <w:r w:rsidRPr="00330234">
        <w:t>Het aantal infecties in de tocilizumab-populatie (patiënten die ten minste één dosis tocilizumab ontvingen) was 163,7 per 100 patiëntjaren. De meest waargenomen bijwerkingen waren nasofaryngitis en bovensteluchtweginfecties. Het aantal ernstige infecties was numeriek hoger bij patiënten met een lichaamsgewicht &lt; 30 kg die werden behandeld met 10 mg/kg tocilizumab (12,2 per 100 patiëntjaren) vergeleken met patiënten met een lichaamsgewicht ≥ 30 kg die werden behandeld met 8 mg/kg tocilizumab (4,0 per 100 patiëntjaren). De incidentie van infecties waarbij dosisonderbrekingen noodzakelijk waren, was ook numeriek hoger bij patiënten met een lichaamsgewicht &lt; 30 kg die werden behandeld met 10 mg/kg tocilizumab (21,4%) vergeleken met patiënten met een lichaamsgewicht ≥ 30 kg die werden behandeld met 8 mg/kg tocilizumab (7,6%).</w:t>
      </w:r>
    </w:p>
    <w:p w14:paraId="77423F1E" w14:textId="77777777" w:rsidR="00A204AB" w:rsidRPr="00330234" w:rsidRDefault="00A204AB" w:rsidP="00BD109B">
      <w:pPr>
        <w:pStyle w:val="a3"/>
        <w:widowControl/>
        <w:ind w:left="0"/>
      </w:pPr>
    </w:p>
    <w:p w14:paraId="0B089E69" w14:textId="77777777" w:rsidR="00436DAA" w:rsidRPr="00330234" w:rsidRDefault="009B4B8E" w:rsidP="00BD109B">
      <w:pPr>
        <w:widowControl/>
        <w:rPr>
          <w:i/>
        </w:rPr>
      </w:pPr>
      <w:r w:rsidRPr="00330234">
        <w:rPr>
          <w:i/>
        </w:rPr>
        <w:t>Infusiegerelateerde reacties</w:t>
      </w:r>
    </w:p>
    <w:p w14:paraId="64B1EB1F" w14:textId="77777777" w:rsidR="00436DAA" w:rsidRPr="00330234" w:rsidRDefault="009B4B8E" w:rsidP="00BD109B">
      <w:pPr>
        <w:pStyle w:val="a3"/>
        <w:widowControl/>
        <w:ind w:left="0"/>
      </w:pPr>
      <w:r w:rsidRPr="00330234">
        <w:t xml:space="preserve">Bij pJIA-patiënten zijn infusiegerelateerde reacties gedefinieerd als alle voorvallen die optreden tijdens of binnen 24 uur na een infusie. In de tocilizumab-populatie </w:t>
      </w:r>
      <w:r w:rsidRPr="00330234">
        <w:rPr>
          <w:color w:val="303030"/>
        </w:rPr>
        <w:t xml:space="preserve">(patiënten die ten minste één dosis tocilizumab ontvingen) </w:t>
      </w:r>
      <w:r w:rsidRPr="00330234">
        <w:t xml:space="preserve">kregen 11 patiënten (5,9%) infusiegerelateerde reacties tijdens de infusie en kregen 38 patiënten (20,2%) een voorval binnen 24 uur na de infusie. De meest voorkomende </w:t>
      </w:r>
      <w:r w:rsidRPr="00330234">
        <w:lastRenderedPageBreak/>
        <w:t>voorvallen tijdens de infusie waren hoofdpijn, misselijkheid en hypotensie en binnen 24 uur na de infusie duizeligheid en hypotensie. Over het algemeen waren de bijwerkingen die waargenomen werden tijdens of binnen 24 uur na de infusie vergelijkbaar met die gezien bij RA- en sJIA-patiënten, zie rubriek 4.8.</w:t>
      </w:r>
    </w:p>
    <w:p w14:paraId="18960152" w14:textId="77777777" w:rsidR="00436DAA" w:rsidRPr="00330234" w:rsidRDefault="00436DAA" w:rsidP="00BD109B">
      <w:pPr>
        <w:pStyle w:val="a3"/>
        <w:widowControl/>
        <w:ind w:left="0"/>
      </w:pPr>
    </w:p>
    <w:p w14:paraId="4DBD6055" w14:textId="77777777" w:rsidR="00436DAA" w:rsidRPr="00330234" w:rsidRDefault="009B4B8E" w:rsidP="00BD109B">
      <w:pPr>
        <w:pStyle w:val="a3"/>
        <w:widowControl/>
        <w:ind w:left="0"/>
      </w:pPr>
      <w:r w:rsidRPr="00330234">
        <w:t>Er werden geen klinisch significante overgevoeligheidsreacties, geassocieerd met tocilizumab, gemeld waarvoor staken van de behandeling nodig was.</w:t>
      </w:r>
    </w:p>
    <w:p w14:paraId="4CAF274C" w14:textId="77777777" w:rsidR="00A204AB" w:rsidRPr="00330234" w:rsidRDefault="00A204AB" w:rsidP="00BD109B">
      <w:pPr>
        <w:pStyle w:val="a3"/>
        <w:widowControl/>
        <w:ind w:left="0"/>
      </w:pPr>
    </w:p>
    <w:p w14:paraId="6A967F80" w14:textId="77777777" w:rsidR="00436DAA" w:rsidRPr="00330234" w:rsidRDefault="009B4B8E" w:rsidP="00BD109B">
      <w:pPr>
        <w:widowControl/>
        <w:rPr>
          <w:i/>
        </w:rPr>
      </w:pPr>
      <w:r w:rsidRPr="00330234">
        <w:rPr>
          <w:i/>
        </w:rPr>
        <w:t>Neutrofielen</w:t>
      </w:r>
    </w:p>
    <w:p w14:paraId="2AA640D8" w14:textId="77777777" w:rsidR="00436DAA" w:rsidRPr="00330234" w:rsidRDefault="009B4B8E" w:rsidP="00BD109B">
      <w:pPr>
        <w:pStyle w:val="a3"/>
        <w:widowControl/>
        <w:ind w:left="0"/>
      </w:pPr>
      <w:r w:rsidRPr="00330234">
        <w:t xml:space="preserve">Tijdens routinelaboratoriumonderzoek in de tocilizumab-populatie </w:t>
      </w:r>
      <w:r w:rsidRPr="00330234">
        <w:rPr>
          <w:color w:val="303030"/>
        </w:rPr>
        <w:t xml:space="preserve">(patiënten die ten minste één dosis tocilizumab ontvingen) </w:t>
      </w:r>
      <w:r w:rsidRPr="00330234">
        <w:t>trad een daling in het aantal neutrofielen tot onder de 1 x 10</w:t>
      </w:r>
      <w:r w:rsidRPr="00330234">
        <w:rPr>
          <w:vertAlign w:val="superscript"/>
        </w:rPr>
        <w:t>9</w:t>
      </w:r>
      <w:r w:rsidRPr="00330234">
        <w:t>/l op bij 3,7% van de patiënten.</w:t>
      </w:r>
    </w:p>
    <w:p w14:paraId="47127529" w14:textId="77777777" w:rsidR="00436DAA" w:rsidRPr="00330234" w:rsidRDefault="00436DAA" w:rsidP="00BD109B">
      <w:pPr>
        <w:pStyle w:val="a3"/>
        <w:widowControl/>
        <w:ind w:left="0"/>
      </w:pPr>
    </w:p>
    <w:p w14:paraId="2A2585CE" w14:textId="77777777" w:rsidR="00436DAA" w:rsidRPr="00330234" w:rsidRDefault="009B4B8E" w:rsidP="00850AE4">
      <w:pPr>
        <w:keepNext/>
        <w:keepLines/>
        <w:widowControl/>
        <w:rPr>
          <w:i/>
        </w:rPr>
      </w:pPr>
      <w:r w:rsidRPr="00330234">
        <w:rPr>
          <w:i/>
        </w:rPr>
        <w:t>Trombocyten</w:t>
      </w:r>
    </w:p>
    <w:p w14:paraId="7C8AF67D" w14:textId="77777777" w:rsidR="00436DAA" w:rsidRPr="00330234" w:rsidRDefault="009B4B8E" w:rsidP="00850AE4">
      <w:pPr>
        <w:pStyle w:val="a3"/>
        <w:keepNext/>
        <w:keepLines/>
        <w:widowControl/>
        <w:ind w:left="0"/>
      </w:pPr>
      <w:r w:rsidRPr="00330234">
        <w:t xml:space="preserve">Tijdens routinelaboratoriumonderzoek in de tocilizumab-populatie </w:t>
      </w:r>
      <w:r w:rsidRPr="00330234">
        <w:rPr>
          <w:color w:val="303030"/>
        </w:rPr>
        <w:t xml:space="preserve">(patiënten die ten minste één dosis tocilizumab ontvingen) </w:t>
      </w:r>
      <w:r w:rsidRPr="00330234">
        <w:t>had 1% van de patiënten een daling in het aantal trombocyten tot ≤ 50 x 10</w:t>
      </w:r>
      <w:r w:rsidRPr="00330234">
        <w:rPr>
          <w:vertAlign w:val="superscript"/>
        </w:rPr>
        <w:t>3</w:t>
      </w:r>
      <w:r w:rsidRPr="00330234">
        <w:t>/µl zonder geassocieerde bloedingen.</w:t>
      </w:r>
    </w:p>
    <w:p w14:paraId="2C3C1F14" w14:textId="77777777" w:rsidR="00A204AB" w:rsidRPr="00330234" w:rsidRDefault="00A204AB" w:rsidP="00BD109B">
      <w:pPr>
        <w:pStyle w:val="a3"/>
        <w:widowControl/>
        <w:ind w:left="0"/>
      </w:pPr>
    </w:p>
    <w:p w14:paraId="7A1F24A0" w14:textId="77777777" w:rsidR="00436DAA" w:rsidRPr="00330234" w:rsidRDefault="009B4B8E" w:rsidP="00BD109B">
      <w:pPr>
        <w:widowControl/>
        <w:rPr>
          <w:i/>
        </w:rPr>
      </w:pPr>
      <w:r w:rsidRPr="00330234">
        <w:rPr>
          <w:i/>
        </w:rPr>
        <w:t>Stijging van levertransaminasen</w:t>
      </w:r>
    </w:p>
    <w:p w14:paraId="17CCFAD9" w14:textId="77777777" w:rsidR="00436DAA" w:rsidRPr="00330234" w:rsidRDefault="009B4B8E" w:rsidP="00BD109B">
      <w:pPr>
        <w:pStyle w:val="a3"/>
        <w:widowControl/>
        <w:ind w:left="0"/>
      </w:pPr>
      <w:r w:rsidRPr="00330234">
        <w:t xml:space="preserve">Tijdens routinelaboratoriumonderzoek in de tocilizumab-populatie </w:t>
      </w:r>
      <w:r w:rsidRPr="00330234">
        <w:rPr>
          <w:color w:val="303030"/>
        </w:rPr>
        <w:t xml:space="preserve">(patiënten die ten minste één dosis tocilizumab ontvingen) </w:t>
      </w:r>
      <w:r w:rsidRPr="00330234">
        <w:t>trad een stijging in ALAT of ASAT van ≥ 3 x ULN op bij respectievelijk 3,7% en &lt; 1% van de patiënten.</w:t>
      </w:r>
    </w:p>
    <w:p w14:paraId="505661D2" w14:textId="77777777" w:rsidR="00850AE4" w:rsidRPr="00330234" w:rsidRDefault="00850AE4" w:rsidP="00BD109B">
      <w:pPr>
        <w:pStyle w:val="a3"/>
        <w:widowControl/>
        <w:ind w:left="0"/>
      </w:pPr>
    </w:p>
    <w:p w14:paraId="2DC01FE3" w14:textId="77777777" w:rsidR="00436DAA" w:rsidRPr="00330234" w:rsidRDefault="009B4B8E" w:rsidP="00BD109B">
      <w:pPr>
        <w:widowControl/>
        <w:rPr>
          <w:i/>
        </w:rPr>
      </w:pPr>
      <w:r w:rsidRPr="00330234">
        <w:rPr>
          <w:i/>
        </w:rPr>
        <w:t>Lipideparameters</w:t>
      </w:r>
    </w:p>
    <w:p w14:paraId="3E942520" w14:textId="50E76FD7" w:rsidR="00436DAA" w:rsidRPr="00330234" w:rsidRDefault="009B4B8E" w:rsidP="00BD109B">
      <w:pPr>
        <w:pStyle w:val="a3"/>
        <w:widowControl/>
        <w:ind w:left="0"/>
      </w:pPr>
      <w:r w:rsidRPr="00330234">
        <w:t xml:space="preserve">Tijdens routinelaboratoriumonderzoek in het intraveneus </w:t>
      </w:r>
      <w:r w:rsidR="003C67C0" w:rsidRPr="00330234">
        <w:t>tocilizumab</w:t>
      </w:r>
      <w:r w:rsidRPr="00330234">
        <w:t>-onderzoek WA19977 trad bij respectievelijk 3,4% en 10,4% van de patiënten een post-baseline stijging op van hun LDL-cholesterol tot ≥ 130 mg/dl en totaal cholesterol tot ≥ 200 mg/dl op enig moment gedurende de behandeling.</w:t>
      </w:r>
    </w:p>
    <w:p w14:paraId="4878C322" w14:textId="77777777" w:rsidR="00850AE4" w:rsidRPr="00330234" w:rsidRDefault="00850AE4" w:rsidP="00BD109B">
      <w:pPr>
        <w:pStyle w:val="a3"/>
        <w:widowControl/>
        <w:ind w:left="0"/>
      </w:pPr>
    </w:p>
    <w:p w14:paraId="54611869" w14:textId="77777777" w:rsidR="00436DAA" w:rsidRPr="00330234" w:rsidRDefault="009B4B8E" w:rsidP="00BD109B">
      <w:pPr>
        <w:widowControl/>
        <w:rPr>
          <w:i/>
        </w:rPr>
      </w:pPr>
      <w:r w:rsidRPr="00330234">
        <w:rPr>
          <w:i/>
        </w:rPr>
        <w:t>sJIA-patiënten</w:t>
      </w:r>
    </w:p>
    <w:p w14:paraId="2BF2618B" w14:textId="32FDB1DF" w:rsidR="00436DAA" w:rsidRPr="00330234" w:rsidRDefault="009B4B8E" w:rsidP="00BD109B">
      <w:pPr>
        <w:pStyle w:val="a3"/>
        <w:widowControl/>
        <w:ind w:left="0"/>
      </w:pPr>
      <w:r w:rsidRPr="00330234">
        <w:t xml:space="preserve">Het veiligheidsprofiel van intraveneus </w:t>
      </w:r>
      <w:r w:rsidR="003C67C0" w:rsidRPr="00330234">
        <w:t>tocilizumab</w:t>
      </w:r>
      <w:r w:rsidRPr="00330234">
        <w:t xml:space="preserve"> bij sJIA is onderzocht bij 112 patiënten van 2 tot 17</w:t>
      </w:r>
      <w:r w:rsidR="00850AE4" w:rsidRPr="00330234">
        <w:t> </w:t>
      </w:r>
      <w:r w:rsidRPr="00330234">
        <w:t xml:space="preserve">jaar oud. Tijdens de 12-weekse dubbelblinde gecontroleerde fase kregen 75 patiënten een behandeling met tocilizumab (8 mg/kg of 12 mg/kg op basis van lichaamsgewicht). Na 12 weken of bij het overgaan op </w:t>
      </w:r>
      <w:r w:rsidR="003C67C0" w:rsidRPr="00330234">
        <w:t>tocilizumab</w:t>
      </w:r>
      <w:r w:rsidRPr="00330234">
        <w:t xml:space="preserve"> vanwege verergering van de ziekte, werden patiënten behandeld in de open-label-extensiefase.</w:t>
      </w:r>
    </w:p>
    <w:p w14:paraId="65B3296D" w14:textId="77777777" w:rsidR="00850AE4" w:rsidRPr="00330234" w:rsidRDefault="00850AE4" w:rsidP="00BD109B">
      <w:pPr>
        <w:pStyle w:val="a3"/>
        <w:widowControl/>
        <w:ind w:left="0"/>
      </w:pPr>
    </w:p>
    <w:p w14:paraId="4374C932" w14:textId="77777777" w:rsidR="00436DAA" w:rsidRPr="00330234" w:rsidRDefault="009B4B8E" w:rsidP="00BD109B">
      <w:pPr>
        <w:pStyle w:val="a3"/>
        <w:widowControl/>
        <w:ind w:left="0"/>
      </w:pPr>
      <w:r w:rsidRPr="00330234">
        <w:t>In het algemeen waren de bijwerkingen bij sJIA-patiënten vergelijkbaar met die gezien bij RA- patiënten, zie rubriek 4.8. De frequentie van bijwerkingen bij sJIA-patiënten wordt weergegeven in tabel 3. Patiënten met sJIA hadden vaker nasofaryngitis, een verlaagd aantal neutrofielen, verhoogde levertransaminasen en diarree vergeleken met de volwassen RA-populatie. Voorvallen van verhoogd cholesterol werden minder vaak gemeld bij de sJIA-populatie dan bij de volwassen RA-populatie.</w:t>
      </w:r>
    </w:p>
    <w:p w14:paraId="72576671" w14:textId="77777777" w:rsidR="00436DAA" w:rsidRPr="00330234" w:rsidRDefault="00436DAA" w:rsidP="00BD109B">
      <w:pPr>
        <w:pStyle w:val="a3"/>
        <w:widowControl/>
        <w:ind w:left="0"/>
      </w:pPr>
    </w:p>
    <w:p w14:paraId="1E01F0BE" w14:textId="77777777" w:rsidR="00436DAA" w:rsidRPr="00330234" w:rsidRDefault="009B4B8E" w:rsidP="00BD109B">
      <w:pPr>
        <w:widowControl/>
        <w:rPr>
          <w:i/>
        </w:rPr>
      </w:pPr>
      <w:r w:rsidRPr="00330234">
        <w:rPr>
          <w:i/>
        </w:rPr>
        <w:t>Infecties</w:t>
      </w:r>
    </w:p>
    <w:p w14:paraId="4B7D6DE2" w14:textId="499D8C75" w:rsidR="00436DAA" w:rsidRPr="00330234" w:rsidRDefault="009B4B8E" w:rsidP="00BD109B">
      <w:pPr>
        <w:pStyle w:val="a3"/>
        <w:widowControl/>
        <w:ind w:left="0"/>
      </w:pPr>
      <w:r w:rsidRPr="00330234">
        <w:t xml:space="preserve">In de 12-weekse gecontroleerde fase was het aantal infecties in de intraveneus </w:t>
      </w:r>
      <w:r w:rsidR="003C67C0" w:rsidRPr="00330234">
        <w:t>tocilizumab</w:t>
      </w:r>
      <w:r w:rsidRPr="00330234">
        <w:t>groep 344,7</w:t>
      </w:r>
      <w:r w:rsidR="00850AE4" w:rsidRPr="00330234">
        <w:t> </w:t>
      </w:r>
      <w:r w:rsidRPr="00330234">
        <w:t>per 100 patiëntjaren en 287,0 per 100 patiëntjaren in de placebogroep. In de open-label-extensiefase (deel II) bleef het aantal infecties in totaal vergelijkbaar, met 306,6 per 100 patiëntjaren.</w:t>
      </w:r>
    </w:p>
    <w:p w14:paraId="6CD76B93" w14:textId="77777777" w:rsidR="00850AE4" w:rsidRPr="00330234" w:rsidRDefault="00850AE4" w:rsidP="00BD109B">
      <w:pPr>
        <w:pStyle w:val="a3"/>
        <w:widowControl/>
        <w:ind w:left="0"/>
      </w:pPr>
    </w:p>
    <w:p w14:paraId="25ED4E2C" w14:textId="3C22332E" w:rsidR="00436DAA" w:rsidRPr="00330234" w:rsidRDefault="009B4B8E" w:rsidP="00BD109B">
      <w:pPr>
        <w:pStyle w:val="a3"/>
        <w:widowControl/>
        <w:ind w:left="0"/>
      </w:pPr>
      <w:r w:rsidRPr="00330234">
        <w:t xml:space="preserve">In de 12-weekse gecontroleerde fase was het aantal ernstige infecties in de intraveneus </w:t>
      </w:r>
      <w:r w:rsidR="003C67C0" w:rsidRPr="00330234">
        <w:t>tocilizumab</w:t>
      </w:r>
      <w:r w:rsidRPr="00330234">
        <w:t xml:space="preserve"> groep 11,5 per 100 patiëntjaren. Na één jaar in de open-label-extensiefase bleef het totale aantal ernstige infecties stabiel op 11,3 per 100 patiëntjaren. Gemelde ernstige infecties waren vergelijkbaar met die gezien bij RA-patiënten met toevoeging van varicella en otitis media.</w:t>
      </w:r>
    </w:p>
    <w:p w14:paraId="7E711565" w14:textId="77777777" w:rsidR="00850AE4" w:rsidRPr="00330234" w:rsidRDefault="00850AE4" w:rsidP="00BD109B">
      <w:pPr>
        <w:pStyle w:val="a3"/>
        <w:widowControl/>
        <w:ind w:left="0"/>
      </w:pPr>
    </w:p>
    <w:p w14:paraId="1BDCA403" w14:textId="77777777" w:rsidR="00436DAA" w:rsidRPr="00330234" w:rsidRDefault="009B4B8E" w:rsidP="00BD109B">
      <w:pPr>
        <w:widowControl/>
        <w:rPr>
          <w:i/>
        </w:rPr>
      </w:pPr>
      <w:r w:rsidRPr="00330234">
        <w:rPr>
          <w:i/>
        </w:rPr>
        <w:t>Infusiegerelateerde reacties</w:t>
      </w:r>
    </w:p>
    <w:p w14:paraId="7A8CB924" w14:textId="77777777" w:rsidR="00436DAA" w:rsidRPr="00330234" w:rsidRDefault="009B4B8E" w:rsidP="00BD109B">
      <w:pPr>
        <w:pStyle w:val="a3"/>
        <w:widowControl/>
        <w:ind w:left="0"/>
      </w:pPr>
      <w:r w:rsidRPr="00330234">
        <w:t>Infusiegerelateerde reacties zijn gedefinieerd als alle voorvallen die optreden tijdens of binnen 24 uur na een infusie. In de 12-weekse gecontroleerde fase kreeg 4% van de patiënten uit de tocilizumabgroep een voorval dat optrad tijdens de infusie. Eén voorval (angio-oedeem) werd als ernstig en levensbedreigend beschouwd en de patiënt kreeg geen verdere studiebehandeling.</w:t>
      </w:r>
    </w:p>
    <w:p w14:paraId="117B85F9" w14:textId="77777777" w:rsidR="00850AE4" w:rsidRPr="00330234" w:rsidRDefault="00850AE4" w:rsidP="00BD109B">
      <w:pPr>
        <w:pStyle w:val="a3"/>
        <w:widowControl/>
        <w:ind w:left="0"/>
      </w:pPr>
    </w:p>
    <w:p w14:paraId="03A780CF" w14:textId="77777777" w:rsidR="00436DAA" w:rsidRPr="00330234" w:rsidRDefault="009B4B8E" w:rsidP="00BD109B">
      <w:pPr>
        <w:pStyle w:val="a3"/>
        <w:widowControl/>
        <w:ind w:left="0"/>
      </w:pPr>
      <w:r w:rsidRPr="00330234">
        <w:lastRenderedPageBreak/>
        <w:t>In de 12-weekse gecontroleerde fase kreeg 16% van de patiënten in de tocilizumabgroep en 5,4% van de patiënten in de placebogroep een voorval binnen 24 uur na de infusie. In de tocilizumabgroep omvatten de voorvallen (maar waren deze niet beperkt tot) huiduitslag, urticaria, diarree, epigastrisch ongemak, artralgie en hoofdpijn. Eén van deze voorvallen, urticaria, werd als ernstig beschouwd.</w:t>
      </w:r>
    </w:p>
    <w:p w14:paraId="4C0539E0" w14:textId="77777777" w:rsidR="00436DAA" w:rsidRPr="00330234" w:rsidRDefault="00436DAA" w:rsidP="00BD109B">
      <w:pPr>
        <w:pStyle w:val="a3"/>
        <w:widowControl/>
        <w:ind w:left="0"/>
      </w:pPr>
    </w:p>
    <w:p w14:paraId="7F8A1472" w14:textId="77777777" w:rsidR="00436DAA" w:rsidRPr="00330234" w:rsidRDefault="009B4B8E" w:rsidP="00BD109B">
      <w:pPr>
        <w:pStyle w:val="a3"/>
        <w:widowControl/>
        <w:ind w:left="0"/>
      </w:pPr>
      <w:r w:rsidRPr="00330234">
        <w:t>Klinisch significante overgevoeligheidsreacties geassocieerd met tocilizumab, waarvoor staken van de behandeling nodig was, werden gemeld bij 1 van de 112 patiënten (&lt; 1%) die met tocilizumab waren behandeld tijdens de gecontroleerde en tot en met de open-label klinische studie.</w:t>
      </w:r>
    </w:p>
    <w:p w14:paraId="02F5AD40" w14:textId="77777777" w:rsidR="00850AE4" w:rsidRPr="00330234" w:rsidRDefault="00850AE4" w:rsidP="00BD109B">
      <w:pPr>
        <w:pStyle w:val="a3"/>
        <w:widowControl/>
        <w:ind w:left="0"/>
      </w:pPr>
    </w:p>
    <w:p w14:paraId="589584C9" w14:textId="77777777" w:rsidR="00436DAA" w:rsidRPr="00330234" w:rsidRDefault="009B4B8E" w:rsidP="00BD109B">
      <w:pPr>
        <w:widowControl/>
        <w:rPr>
          <w:i/>
        </w:rPr>
      </w:pPr>
      <w:r w:rsidRPr="00330234">
        <w:rPr>
          <w:i/>
        </w:rPr>
        <w:t>Neutrofielen</w:t>
      </w:r>
    </w:p>
    <w:p w14:paraId="7B13F180" w14:textId="77777777" w:rsidR="00436DAA" w:rsidRPr="00330234" w:rsidRDefault="009B4B8E" w:rsidP="00BD109B">
      <w:pPr>
        <w:pStyle w:val="a3"/>
        <w:widowControl/>
        <w:ind w:left="0"/>
      </w:pPr>
      <w:r w:rsidRPr="00330234">
        <w:t>Tijdens routinelaboratoriumonderzoek in de 12-weekse gecontroleerde fase trad een daling in het aantal neutrofielen tot onder de 1 x 10</w:t>
      </w:r>
      <w:r w:rsidRPr="00330234">
        <w:rPr>
          <w:vertAlign w:val="superscript"/>
        </w:rPr>
        <w:t>9</w:t>
      </w:r>
      <w:r w:rsidRPr="00330234">
        <w:t>/l op bij 7% van de patiënten in de tocilizumabgroep en geen daling bij de placebogroep.</w:t>
      </w:r>
    </w:p>
    <w:p w14:paraId="4724BD93" w14:textId="77777777" w:rsidR="00436DAA" w:rsidRPr="00330234" w:rsidRDefault="00436DAA" w:rsidP="00BD109B">
      <w:pPr>
        <w:pStyle w:val="a3"/>
        <w:widowControl/>
        <w:ind w:left="0"/>
      </w:pPr>
    </w:p>
    <w:p w14:paraId="678996D4" w14:textId="77777777" w:rsidR="00436DAA" w:rsidRPr="00330234" w:rsidRDefault="009B4B8E" w:rsidP="00BD109B">
      <w:pPr>
        <w:pStyle w:val="a3"/>
        <w:widowControl/>
        <w:ind w:left="0"/>
      </w:pPr>
      <w:r w:rsidRPr="00330234">
        <w:t>In de open-label-extensiefase trad een daling in het aantal neutrofielen tot onder de 1 x 10</w:t>
      </w:r>
      <w:r w:rsidRPr="00330234">
        <w:rPr>
          <w:vertAlign w:val="superscript"/>
        </w:rPr>
        <w:t>9</w:t>
      </w:r>
      <w:r w:rsidRPr="00330234">
        <w:t>/l op bij 15% van de tocilizumabgroep.</w:t>
      </w:r>
    </w:p>
    <w:p w14:paraId="246C2878" w14:textId="77777777" w:rsidR="00436DAA" w:rsidRPr="00330234" w:rsidRDefault="00436DAA" w:rsidP="00BD109B">
      <w:pPr>
        <w:pStyle w:val="a3"/>
        <w:widowControl/>
        <w:ind w:left="0"/>
      </w:pPr>
    </w:p>
    <w:p w14:paraId="64595B2F" w14:textId="77777777" w:rsidR="00436DAA" w:rsidRPr="00330234" w:rsidRDefault="009B4B8E" w:rsidP="00BD109B">
      <w:pPr>
        <w:widowControl/>
        <w:rPr>
          <w:i/>
        </w:rPr>
      </w:pPr>
      <w:r w:rsidRPr="00330234">
        <w:rPr>
          <w:i/>
        </w:rPr>
        <w:t>Trombocyten</w:t>
      </w:r>
    </w:p>
    <w:p w14:paraId="0E8A734F" w14:textId="5E6DEA08" w:rsidR="00436DAA" w:rsidRPr="00330234" w:rsidRDefault="009B4B8E" w:rsidP="00850AE4">
      <w:pPr>
        <w:pStyle w:val="a3"/>
        <w:widowControl/>
        <w:ind w:left="0"/>
      </w:pPr>
      <w:r w:rsidRPr="00330234">
        <w:t>Tijdens routinelaboratoriumonderzoek in de 12-weekse gecontroleerde fase had 3% van de patiënten in de placebogroep en 1% in de tocilizumabgroep een daling in het aantal trombocyten tot</w:t>
      </w:r>
      <w:r w:rsidR="00850AE4" w:rsidRPr="00330234">
        <w:t xml:space="preserve"> </w:t>
      </w:r>
      <w:r w:rsidRPr="00330234">
        <w:t>≤</w:t>
      </w:r>
      <w:r w:rsidR="00850AE4" w:rsidRPr="00330234">
        <w:t> </w:t>
      </w:r>
      <w:r w:rsidRPr="00330234">
        <w:t>100</w:t>
      </w:r>
      <w:r w:rsidR="00850AE4" w:rsidRPr="00330234">
        <w:t> </w:t>
      </w:r>
      <w:r w:rsidRPr="00330234">
        <w:t>x</w:t>
      </w:r>
      <w:r w:rsidR="00850AE4" w:rsidRPr="00330234">
        <w:t> </w:t>
      </w:r>
      <w:r w:rsidRPr="00330234">
        <w:t>10</w:t>
      </w:r>
      <w:r w:rsidRPr="00330234">
        <w:rPr>
          <w:vertAlign w:val="superscript"/>
        </w:rPr>
        <w:t>3</w:t>
      </w:r>
      <w:r w:rsidRPr="00330234">
        <w:t>/µl.</w:t>
      </w:r>
    </w:p>
    <w:p w14:paraId="707660AF" w14:textId="77777777" w:rsidR="00436DAA" w:rsidRPr="00330234" w:rsidRDefault="00436DAA" w:rsidP="00BD109B">
      <w:pPr>
        <w:pStyle w:val="a3"/>
        <w:widowControl/>
        <w:ind w:left="0"/>
      </w:pPr>
    </w:p>
    <w:p w14:paraId="08680241" w14:textId="77777777" w:rsidR="00436DAA" w:rsidRPr="00330234" w:rsidRDefault="009B4B8E" w:rsidP="00BD109B">
      <w:pPr>
        <w:pStyle w:val="a3"/>
        <w:widowControl/>
        <w:ind w:left="0"/>
      </w:pPr>
      <w:r w:rsidRPr="00330234">
        <w:t>In de open-label-extensiefase trad een daling in het aantal trombocyten tot onder de 100 x 10</w:t>
      </w:r>
      <w:r w:rsidRPr="00330234">
        <w:rPr>
          <w:vertAlign w:val="superscript"/>
        </w:rPr>
        <w:t>3</w:t>
      </w:r>
      <w:r w:rsidRPr="00330234">
        <w:t>/µl op bij 3% van de patiënten in de tocilizumabgroep, zonder geassocieerde bloedingen.</w:t>
      </w:r>
    </w:p>
    <w:p w14:paraId="69C66842" w14:textId="77777777" w:rsidR="00850AE4" w:rsidRPr="00330234" w:rsidRDefault="00850AE4" w:rsidP="00BD109B">
      <w:pPr>
        <w:pStyle w:val="a3"/>
        <w:widowControl/>
        <w:ind w:left="0"/>
      </w:pPr>
    </w:p>
    <w:p w14:paraId="26B6B353" w14:textId="77777777" w:rsidR="00436DAA" w:rsidRPr="00330234" w:rsidRDefault="009B4B8E" w:rsidP="00BD109B">
      <w:pPr>
        <w:widowControl/>
        <w:rPr>
          <w:i/>
        </w:rPr>
      </w:pPr>
      <w:r w:rsidRPr="00330234">
        <w:rPr>
          <w:i/>
        </w:rPr>
        <w:t>Stijging van levertransaminasen</w:t>
      </w:r>
    </w:p>
    <w:p w14:paraId="4A0A3EB5" w14:textId="77777777" w:rsidR="00436DAA" w:rsidRPr="00330234" w:rsidRDefault="009B4B8E" w:rsidP="00BD109B">
      <w:pPr>
        <w:pStyle w:val="a3"/>
        <w:widowControl/>
        <w:ind w:left="0"/>
      </w:pPr>
      <w:r w:rsidRPr="00330234">
        <w:t>Tijdens routinelaboratoriumonderzoek in de 12-weekse gecontroleerde fase trad een stijging in ALAT of ASAT van ≥ 3 x ULN op bij resp. 5% en 3% van de patiënten in de tocilizumabgroep en 0% in de placebogroep.</w:t>
      </w:r>
    </w:p>
    <w:p w14:paraId="06149181" w14:textId="77777777" w:rsidR="00436DAA" w:rsidRPr="00330234" w:rsidRDefault="00436DAA" w:rsidP="00BD109B">
      <w:pPr>
        <w:pStyle w:val="a3"/>
        <w:widowControl/>
        <w:ind w:left="0"/>
      </w:pPr>
    </w:p>
    <w:p w14:paraId="5C44CF16" w14:textId="782B0E1D" w:rsidR="00436DAA" w:rsidRPr="00330234" w:rsidRDefault="009B4B8E" w:rsidP="00850AE4">
      <w:pPr>
        <w:pStyle w:val="a3"/>
        <w:widowControl/>
        <w:ind w:left="0"/>
      </w:pPr>
      <w:r w:rsidRPr="00330234">
        <w:t>In de open-label-extensiefase trad een stijging in ALAT of ASAT van ≥ 3 x ULN op bij resp. 12% en</w:t>
      </w:r>
      <w:r w:rsidR="00850AE4" w:rsidRPr="00330234">
        <w:t xml:space="preserve"> </w:t>
      </w:r>
      <w:r w:rsidRPr="00330234">
        <w:t>4% van de patiënten in de tocilizumabgroep.</w:t>
      </w:r>
    </w:p>
    <w:p w14:paraId="56C95A07" w14:textId="77777777" w:rsidR="00436DAA" w:rsidRPr="00330234" w:rsidRDefault="00436DAA" w:rsidP="00BD109B">
      <w:pPr>
        <w:pStyle w:val="a3"/>
        <w:widowControl/>
        <w:ind w:left="0"/>
      </w:pPr>
    </w:p>
    <w:p w14:paraId="058FB2FC" w14:textId="77777777" w:rsidR="00436DAA" w:rsidRPr="00330234" w:rsidRDefault="009B4B8E" w:rsidP="00BD109B">
      <w:pPr>
        <w:widowControl/>
        <w:rPr>
          <w:i/>
        </w:rPr>
      </w:pPr>
      <w:r w:rsidRPr="00330234">
        <w:rPr>
          <w:i/>
        </w:rPr>
        <w:t>Immunoglobuline-G</w:t>
      </w:r>
    </w:p>
    <w:p w14:paraId="74D22B5C" w14:textId="77777777" w:rsidR="00436DAA" w:rsidRPr="00330234" w:rsidRDefault="009B4B8E" w:rsidP="00BD109B">
      <w:pPr>
        <w:pStyle w:val="a3"/>
        <w:widowControl/>
        <w:ind w:left="0"/>
      </w:pPr>
      <w:r w:rsidRPr="00330234">
        <w:t>Het gehalte IgG daalde tijdens de behandeling. Een afname tot de ondergrens van normaal trad gedurende enig moment van de studie op bij 15 patiënten.</w:t>
      </w:r>
    </w:p>
    <w:p w14:paraId="1579BF23" w14:textId="77777777" w:rsidR="00850AE4" w:rsidRPr="00330234" w:rsidRDefault="00850AE4" w:rsidP="00BD109B">
      <w:pPr>
        <w:pStyle w:val="a3"/>
        <w:widowControl/>
        <w:ind w:left="0"/>
      </w:pPr>
    </w:p>
    <w:p w14:paraId="3DD66301" w14:textId="77777777" w:rsidR="00436DAA" w:rsidRPr="00330234" w:rsidRDefault="009B4B8E" w:rsidP="0047099E">
      <w:pPr>
        <w:keepNext/>
        <w:keepLines/>
        <w:widowControl/>
        <w:rPr>
          <w:i/>
        </w:rPr>
      </w:pPr>
      <w:r w:rsidRPr="00330234">
        <w:rPr>
          <w:i/>
        </w:rPr>
        <w:t>Lipideparameters</w:t>
      </w:r>
    </w:p>
    <w:p w14:paraId="64A0FD7F" w14:textId="77777777" w:rsidR="00436DAA" w:rsidRPr="00330234" w:rsidRDefault="009B4B8E" w:rsidP="0047099E">
      <w:pPr>
        <w:pStyle w:val="a3"/>
        <w:keepNext/>
        <w:keepLines/>
        <w:widowControl/>
        <w:ind w:left="0"/>
      </w:pPr>
      <w:r w:rsidRPr="00330234">
        <w:t>Tijdens routinelaboratoriumonderzoek in de 12-weekse gecontroleerde fase (onderzoek WA18221) trad bij respectievelijk 13,4% en 33,3% van de patiënten een post-baseline stijging op van hun LDL- cholesterol tot ≥ 130 mg/dl en totaal cholesterol tot ≥ 200 mg/dl op enig moment gedurende de behandeling.</w:t>
      </w:r>
    </w:p>
    <w:p w14:paraId="5E047D98" w14:textId="77777777" w:rsidR="00850AE4" w:rsidRPr="00330234" w:rsidRDefault="00850AE4" w:rsidP="00BD109B">
      <w:pPr>
        <w:pStyle w:val="a3"/>
        <w:widowControl/>
        <w:ind w:left="0"/>
      </w:pPr>
    </w:p>
    <w:p w14:paraId="0F29CCB4" w14:textId="77777777" w:rsidR="00436DAA" w:rsidRPr="00330234" w:rsidRDefault="009B4B8E" w:rsidP="00BD109B">
      <w:pPr>
        <w:pStyle w:val="a3"/>
        <w:widowControl/>
        <w:ind w:left="0"/>
      </w:pPr>
      <w:r w:rsidRPr="00330234">
        <w:t>In de open-label-extensiefase (onderzoek WA18221) trad bij respectievelijk 13,2% en 27,7% van de patiënten een post-baseline stijging op van hun LDL-cholesterol tot ≥ 130 mg/dl en totaal cholesterol tot ≥ 200 mg/dl op enig moment gedurende de behandeling.</w:t>
      </w:r>
    </w:p>
    <w:p w14:paraId="29D1C3CA" w14:textId="77777777" w:rsidR="00850AE4" w:rsidRPr="00330234" w:rsidRDefault="00850AE4" w:rsidP="00BD109B">
      <w:pPr>
        <w:pStyle w:val="a3"/>
        <w:widowControl/>
        <w:ind w:left="0"/>
      </w:pPr>
    </w:p>
    <w:p w14:paraId="519EC784" w14:textId="77777777" w:rsidR="00436DAA" w:rsidRPr="00330234" w:rsidRDefault="009B4B8E" w:rsidP="00BD109B">
      <w:pPr>
        <w:pStyle w:val="a3"/>
        <w:widowControl/>
        <w:ind w:left="0"/>
      </w:pPr>
      <w:r w:rsidRPr="00330234">
        <w:rPr>
          <w:u w:val="single"/>
        </w:rPr>
        <w:t>CRS-patiënten</w:t>
      </w:r>
    </w:p>
    <w:p w14:paraId="535900A6" w14:textId="77777777" w:rsidR="00436DAA" w:rsidRPr="00330234" w:rsidRDefault="009B4B8E" w:rsidP="00BD109B">
      <w:pPr>
        <w:pStyle w:val="a3"/>
        <w:widowControl/>
        <w:ind w:left="0"/>
      </w:pPr>
      <w:r w:rsidRPr="00330234">
        <w:t>De veiligheid van tocilizumab bij CRS is beoordeeld in een retrospectieve analyse van gegevens uit klinische onderzoeken, waarbij 51 patiënten werden behandeld met 8 mg/kg intraveneus tocilizumab (12 mg/kg bij patiënten die minder dan 30 kg wogen) met of zonder additionele hoge doseringen van corticosteroïden voor ernstige of levensbedreigende CAR-T-cel-geïnduceerde CRS. Een mediaan van 1 dosis tocilizumab (bereik: 1-4 doses) werd toegediend.</w:t>
      </w:r>
    </w:p>
    <w:p w14:paraId="00BE7691" w14:textId="77777777" w:rsidR="003C67C0" w:rsidRPr="00330234" w:rsidRDefault="003C67C0" w:rsidP="00BD109B">
      <w:pPr>
        <w:pStyle w:val="a3"/>
        <w:widowControl/>
        <w:ind w:left="0"/>
      </w:pPr>
    </w:p>
    <w:p w14:paraId="75C2992C" w14:textId="254FEE54" w:rsidR="003C67C0" w:rsidRPr="00330234" w:rsidRDefault="003C67C0" w:rsidP="00CB42FC">
      <w:pPr>
        <w:pStyle w:val="a3"/>
        <w:keepNext/>
        <w:keepLines/>
        <w:widowControl/>
        <w:ind w:left="0"/>
        <w:rPr>
          <w:u w:val="single"/>
        </w:rPr>
      </w:pPr>
      <w:r w:rsidRPr="00330234">
        <w:rPr>
          <w:u w:val="single"/>
        </w:rPr>
        <w:lastRenderedPageBreak/>
        <w:t>Immunogeniciteit</w:t>
      </w:r>
    </w:p>
    <w:p w14:paraId="16610BCB" w14:textId="53223CDB" w:rsidR="003C67C0" w:rsidRPr="00330234" w:rsidRDefault="00CB42FC" w:rsidP="00BD109B">
      <w:pPr>
        <w:pStyle w:val="a3"/>
        <w:widowControl/>
        <w:ind w:left="0"/>
        <w:rPr>
          <w:rFonts w:eastAsia="SimSun"/>
          <w:lang w:eastAsia="zh-CN"/>
        </w:rPr>
      </w:pPr>
      <w:r w:rsidRPr="00330234">
        <w:t>Tijdens de behandeling met tocilizumab kunnen zich anti-tocilizumabantilichamen ontwikkelen. Er kan een correlatie worden waargenomen tussen de ontwikkeling van antilichamen en de klinische respons of bijwerkingen.</w:t>
      </w:r>
    </w:p>
    <w:p w14:paraId="48270D85" w14:textId="77777777" w:rsidR="002C47AD" w:rsidRPr="00330234" w:rsidRDefault="002C47AD" w:rsidP="00BD109B">
      <w:pPr>
        <w:pStyle w:val="a3"/>
        <w:widowControl/>
        <w:ind w:left="0"/>
        <w:rPr>
          <w:rFonts w:eastAsia="SimSun"/>
          <w:lang w:eastAsia="zh-CN"/>
        </w:rPr>
      </w:pPr>
    </w:p>
    <w:p w14:paraId="187AB726" w14:textId="77777777" w:rsidR="00436DAA" w:rsidRPr="00330234" w:rsidRDefault="009B4B8E" w:rsidP="00BD109B">
      <w:pPr>
        <w:pStyle w:val="a3"/>
        <w:widowControl/>
        <w:ind w:left="0"/>
        <w:rPr>
          <w:u w:val="single"/>
        </w:rPr>
      </w:pPr>
      <w:r w:rsidRPr="00330234">
        <w:rPr>
          <w:u w:val="single"/>
        </w:rPr>
        <w:t>Melding van vermoedelijke bijwerkingen</w:t>
      </w:r>
    </w:p>
    <w:p w14:paraId="36D0F44A" w14:textId="2C735802" w:rsidR="00436DAA" w:rsidRPr="00330234" w:rsidRDefault="009B4B8E" w:rsidP="00BD109B">
      <w:pPr>
        <w:pStyle w:val="a3"/>
        <w:widowControl/>
        <w:ind w:left="0"/>
      </w:pPr>
      <w:r w:rsidRPr="00330234">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330234">
        <w:rPr>
          <w:color w:val="000000"/>
          <w:shd w:val="pct35" w:color="auto" w:fill="auto"/>
        </w:rPr>
        <w:t xml:space="preserve">het nationale meldsysteem zoals vermeld in </w:t>
      </w:r>
      <w:hyperlink r:id="rId13">
        <w:r w:rsidRPr="00330234">
          <w:rPr>
            <w:color w:val="0000FF"/>
            <w:u w:val="single" w:color="0000FF"/>
            <w:shd w:val="pct35" w:color="auto" w:fill="auto"/>
          </w:rPr>
          <w:t>aanhangsel V</w:t>
        </w:r>
      </w:hyperlink>
      <w:r w:rsidR="00B428F3" w:rsidRPr="00330234">
        <w:t>.</w:t>
      </w:r>
    </w:p>
    <w:p w14:paraId="0938794D" w14:textId="77777777" w:rsidR="00436DAA" w:rsidRPr="00330234" w:rsidRDefault="00436DAA" w:rsidP="00BD109B">
      <w:pPr>
        <w:pStyle w:val="a3"/>
        <w:widowControl/>
        <w:ind w:left="0"/>
      </w:pPr>
    </w:p>
    <w:p w14:paraId="56923E36" w14:textId="50E73891" w:rsidR="00436DAA" w:rsidRPr="00330234" w:rsidRDefault="005328BF" w:rsidP="00850AE4">
      <w:pPr>
        <w:pStyle w:val="2"/>
        <w:keepNext/>
        <w:keepLines/>
      </w:pPr>
      <w:r w:rsidRPr="00330234">
        <w:t>4.9</w:t>
      </w:r>
      <w:r w:rsidRPr="00330234">
        <w:tab/>
      </w:r>
      <w:r w:rsidR="009B4B8E" w:rsidRPr="00330234">
        <w:t>Overdosering</w:t>
      </w:r>
    </w:p>
    <w:p w14:paraId="360AB064" w14:textId="77777777" w:rsidR="00850AE4" w:rsidRPr="00330234" w:rsidRDefault="00850AE4" w:rsidP="00850AE4">
      <w:pPr>
        <w:pStyle w:val="a3"/>
        <w:keepNext/>
        <w:keepLines/>
        <w:widowControl/>
        <w:ind w:left="0"/>
      </w:pPr>
    </w:p>
    <w:p w14:paraId="43698325" w14:textId="5AAA851B" w:rsidR="00436DAA" w:rsidRPr="00330234" w:rsidRDefault="009B4B8E" w:rsidP="00850AE4">
      <w:pPr>
        <w:pStyle w:val="a3"/>
        <w:keepNext/>
        <w:keepLines/>
        <w:widowControl/>
        <w:ind w:left="0"/>
      </w:pPr>
      <w:r w:rsidRPr="00330234">
        <w:t xml:space="preserve">Er zijn beperkte gegevens beschikbaar van overdosering met </w:t>
      </w:r>
      <w:r w:rsidR="00654AC0" w:rsidRPr="00330234">
        <w:t>tocilizumab</w:t>
      </w:r>
      <w:r w:rsidRPr="00330234">
        <w:t>. Eén geval van overdosering is gemeld bij een patiënt met multipel myeloom die een enkelvoudige dosis van 40 mg/kg kreeg. Er zijn geen bijwerkingen waargenomen.</w:t>
      </w:r>
    </w:p>
    <w:p w14:paraId="33B6C1AF" w14:textId="77777777" w:rsidR="00850AE4" w:rsidRPr="00330234" w:rsidRDefault="00850AE4" w:rsidP="00BD109B">
      <w:pPr>
        <w:pStyle w:val="a3"/>
        <w:widowControl/>
        <w:ind w:left="0"/>
      </w:pPr>
    </w:p>
    <w:p w14:paraId="41D90100" w14:textId="78AA2E15" w:rsidR="00436DAA" w:rsidRPr="00330234" w:rsidRDefault="009B4B8E" w:rsidP="00BD109B">
      <w:pPr>
        <w:pStyle w:val="a3"/>
        <w:widowControl/>
        <w:ind w:left="0"/>
      </w:pPr>
      <w:r w:rsidRPr="00330234">
        <w:t>Er zijn geen ernstige bijwerkingen waargenomen bij gezonde vrijwilligers die een enkelvoudige dosering tot 28 mg/kg kregen. Hierbij trad echter wel een dosisbeperkende neutropenie op.</w:t>
      </w:r>
    </w:p>
    <w:p w14:paraId="3D083FAE" w14:textId="77777777" w:rsidR="00436DAA" w:rsidRPr="00330234" w:rsidRDefault="00436DAA" w:rsidP="00BD109B">
      <w:pPr>
        <w:pStyle w:val="a3"/>
        <w:widowControl/>
        <w:ind w:left="0"/>
      </w:pPr>
    </w:p>
    <w:p w14:paraId="007FD885" w14:textId="77777777" w:rsidR="00436DAA" w:rsidRPr="00330234" w:rsidRDefault="009B4B8E" w:rsidP="00BD109B">
      <w:pPr>
        <w:widowControl/>
        <w:rPr>
          <w:b/>
        </w:rPr>
      </w:pPr>
      <w:r w:rsidRPr="00330234">
        <w:rPr>
          <w:b/>
          <w:u w:val="single"/>
        </w:rPr>
        <w:t>Pediatrische patiënten</w:t>
      </w:r>
    </w:p>
    <w:p w14:paraId="48FF148A" w14:textId="77777777" w:rsidR="00AE15A4" w:rsidRPr="00330234" w:rsidRDefault="00AE15A4" w:rsidP="00BD109B">
      <w:pPr>
        <w:pStyle w:val="a3"/>
        <w:widowControl/>
        <w:ind w:left="0"/>
      </w:pPr>
    </w:p>
    <w:p w14:paraId="43A225C8" w14:textId="721C769B" w:rsidR="00436DAA" w:rsidRPr="00330234" w:rsidRDefault="009B4B8E" w:rsidP="00BD109B">
      <w:pPr>
        <w:pStyle w:val="a3"/>
        <w:widowControl/>
        <w:ind w:left="0"/>
      </w:pPr>
      <w:r w:rsidRPr="00330234">
        <w:t>Er zijn geen gevallen van een overdosis waargenomen bij kinderen.</w:t>
      </w:r>
    </w:p>
    <w:p w14:paraId="3E903DBA" w14:textId="77777777" w:rsidR="00436DAA" w:rsidRPr="00330234" w:rsidRDefault="00436DAA" w:rsidP="00BD109B">
      <w:pPr>
        <w:pStyle w:val="a3"/>
        <w:widowControl/>
        <w:ind w:left="0"/>
      </w:pPr>
    </w:p>
    <w:p w14:paraId="3E9CE63B" w14:textId="77777777" w:rsidR="00436DAA" w:rsidRPr="00330234" w:rsidRDefault="00436DAA" w:rsidP="00BD109B">
      <w:pPr>
        <w:pStyle w:val="a3"/>
        <w:widowControl/>
        <w:ind w:left="0"/>
      </w:pPr>
    </w:p>
    <w:p w14:paraId="24394139" w14:textId="4A2A395B" w:rsidR="00436DAA" w:rsidRPr="00330234" w:rsidRDefault="005328BF" w:rsidP="00850AE4">
      <w:pPr>
        <w:pStyle w:val="2"/>
      </w:pPr>
      <w:r w:rsidRPr="00330234">
        <w:t>5.</w:t>
      </w:r>
      <w:r w:rsidRPr="00330234">
        <w:tab/>
      </w:r>
      <w:r w:rsidR="009B4B8E" w:rsidRPr="00330234">
        <w:t>FARMACOLOGISCHE EIGENSCHAPPEN</w:t>
      </w:r>
    </w:p>
    <w:p w14:paraId="4387EEBD" w14:textId="77777777" w:rsidR="00436DAA" w:rsidRPr="00330234" w:rsidRDefault="00436DAA" w:rsidP="00BD109B">
      <w:pPr>
        <w:pStyle w:val="a3"/>
        <w:widowControl/>
        <w:ind w:left="0"/>
        <w:rPr>
          <w:bCs/>
        </w:rPr>
      </w:pPr>
    </w:p>
    <w:p w14:paraId="50DEA9FE" w14:textId="6405B629" w:rsidR="00436DAA" w:rsidRPr="00330234" w:rsidRDefault="005328BF" w:rsidP="00BD109B">
      <w:pPr>
        <w:pStyle w:val="2"/>
      </w:pPr>
      <w:r w:rsidRPr="00330234">
        <w:t>5.1</w:t>
      </w:r>
      <w:r w:rsidRPr="00330234">
        <w:tab/>
      </w:r>
      <w:r w:rsidR="009B4B8E" w:rsidRPr="00330234">
        <w:t>Farmacodynamische eigenschappen</w:t>
      </w:r>
    </w:p>
    <w:p w14:paraId="035E8495" w14:textId="77777777" w:rsidR="00850AE4" w:rsidRPr="00330234" w:rsidRDefault="00850AE4" w:rsidP="00BD109B">
      <w:pPr>
        <w:pStyle w:val="a3"/>
        <w:widowControl/>
        <w:ind w:left="0"/>
      </w:pPr>
    </w:p>
    <w:p w14:paraId="092C4D3E" w14:textId="6CF1628C" w:rsidR="00436DAA" w:rsidRPr="00330234" w:rsidRDefault="009B4B8E" w:rsidP="00BD109B">
      <w:pPr>
        <w:pStyle w:val="a3"/>
        <w:widowControl/>
        <w:ind w:left="0"/>
      </w:pPr>
      <w:r w:rsidRPr="00330234">
        <w:t>Farmacotherapeutische categorie: immunosuppressiva, interleukineremmers; ATC-code: L04AC07.</w:t>
      </w:r>
    </w:p>
    <w:p w14:paraId="6998ABC8" w14:textId="77777777" w:rsidR="00850AE4" w:rsidRPr="00330234" w:rsidRDefault="00850AE4" w:rsidP="00BD109B">
      <w:pPr>
        <w:pStyle w:val="a3"/>
        <w:widowControl/>
        <w:ind w:left="0"/>
      </w:pPr>
    </w:p>
    <w:p w14:paraId="7E3D344D" w14:textId="08C6399D" w:rsidR="003C342D" w:rsidRPr="00330234" w:rsidRDefault="003C342D" w:rsidP="00BD109B">
      <w:pPr>
        <w:pStyle w:val="a3"/>
        <w:widowControl/>
        <w:ind w:left="0"/>
      </w:pPr>
      <w:r w:rsidRPr="00330234">
        <w:t>Avtozma is een biosimilar. Gedetailleerde informatie is beschikbaar op de website van het Europees Geneesmiddelenbureau (</w:t>
      </w:r>
      <w:hyperlink r:id="rId14" w:history="1">
        <w:r w:rsidRPr="00330234">
          <w:rPr>
            <w:rStyle w:val="ab"/>
          </w:rPr>
          <w:t>https://www.ema.europa.eu</w:t>
        </w:r>
      </w:hyperlink>
      <w:r w:rsidRPr="00330234">
        <w:t>).</w:t>
      </w:r>
    </w:p>
    <w:p w14:paraId="75E52679" w14:textId="77777777" w:rsidR="003C342D" w:rsidRPr="00330234" w:rsidRDefault="003C342D" w:rsidP="00BD109B">
      <w:pPr>
        <w:pStyle w:val="a3"/>
        <w:widowControl/>
        <w:ind w:left="0"/>
      </w:pPr>
    </w:p>
    <w:p w14:paraId="12C9BC61" w14:textId="77777777" w:rsidR="00436DAA" w:rsidRPr="00330234" w:rsidRDefault="009B4B8E" w:rsidP="00BD109B">
      <w:pPr>
        <w:pStyle w:val="a3"/>
        <w:widowControl/>
        <w:ind w:left="0"/>
      </w:pPr>
      <w:r w:rsidRPr="00330234">
        <w:rPr>
          <w:u w:val="single"/>
        </w:rPr>
        <w:t>Werkingsmechanisme</w:t>
      </w:r>
    </w:p>
    <w:p w14:paraId="604C9A19" w14:textId="77777777" w:rsidR="00436DAA" w:rsidRPr="00330234" w:rsidRDefault="009B4B8E" w:rsidP="00BD109B">
      <w:pPr>
        <w:pStyle w:val="a3"/>
        <w:widowControl/>
        <w:ind w:left="0"/>
      </w:pPr>
      <w:r w:rsidRPr="00330234">
        <w:t>Tocilizumab bindt specifiek aan zowel oplosbare als membraangebonden IL-6 receptoren (sIL-6R en mIL-6R). Voor tocilizumab is aangetoond dat het de sIL-6R- en de mIL-6R-gemedieerde signalering remt. IL-6 is een pleiotroop pro-inflammatoir cytokine geproduceerd door verschillende typen cellen waaronder T- en B-cellen, monocyten en fibroblasten. IL-6 is betrokken bij verschillende fysiologische processen zoals T-cel-activatie, inductie van immunoglobulinesecretie, inductie van hepatische acutefase-eiwitsynthese en stimulering van hemopoëse. IL-6 is betrokken bij de pathogenese van ziekten waaronder inflammatoire ziekten, osteoporose en neoplasie.</w:t>
      </w:r>
    </w:p>
    <w:p w14:paraId="0D0DC620" w14:textId="77777777" w:rsidR="00850AE4" w:rsidRPr="00330234" w:rsidRDefault="00850AE4" w:rsidP="00BD109B">
      <w:pPr>
        <w:pStyle w:val="a3"/>
        <w:widowControl/>
        <w:ind w:left="0"/>
      </w:pPr>
    </w:p>
    <w:p w14:paraId="75C08825" w14:textId="77777777" w:rsidR="00436DAA" w:rsidRPr="00330234" w:rsidRDefault="009B4B8E" w:rsidP="00BD109B">
      <w:pPr>
        <w:pStyle w:val="a3"/>
        <w:widowControl/>
        <w:ind w:left="0"/>
      </w:pPr>
      <w:r w:rsidRPr="00330234">
        <w:rPr>
          <w:u w:val="single"/>
        </w:rPr>
        <w:t>Farmacodynamische effecten</w:t>
      </w:r>
    </w:p>
    <w:p w14:paraId="7633F630" w14:textId="77777777" w:rsidR="00436DAA" w:rsidRPr="00330234" w:rsidRDefault="009B4B8E" w:rsidP="00BD109B">
      <w:pPr>
        <w:pStyle w:val="a3"/>
        <w:widowControl/>
        <w:ind w:left="0"/>
      </w:pPr>
      <w:r w:rsidRPr="00330234">
        <w:t>In klinische studies bij RA-patiënten behandeld met tocilizumab, zijn snelle afnames van C-reactieve proteïne (CRP), erytrocytensedimentatiesnelheid (ESR), serum amyloïde A (SAA) en fibrinogeen waargenomen. Analoog aan de effecten op de acutefase-reactiecomponenten, is behandeling met tocilizumab geassocieerd met reductie van het gehalte aan trombocyten tot binnen de normaalwaarden. Een stijging van de hemoglobinespiegels is geconstateerd, doordat tocilizumab de IL-6-gestuurde effecten op de hepcidineproductie verlaagt en daarmee de beschikbaarheid van ijzer verhoogt. Bij patiënten die behandeld zijn met tocilizumab zijn al in de tweede week dalingen van de CRP-spiegels gezien tot binnen het normale bereik en deze dalingen hielden tijdens de behandeling aan.</w:t>
      </w:r>
    </w:p>
    <w:p w14:paraId="2CE59FE5" w14:textId="77777777" w:rsidR="00850AE4" w:rsidRPr="00330234" w:rsidRDefault="00850AE4" w:rsidP="00BD109B">
      <w:pPr>
        <w:pStyle w:val="a3"/>
        <w:widowControl/>
        <w:ind w:left="0"/>
      </w:pPr>
    </w:p>
    <w:p w14:paraId="42788E4B" w14:textId="77777777" w:rsidR="00436DAA" w:rsidRPr="00330234" w:rsidRDefault="009B4B8E" w:rsidP="00BD109B">
      <w:pPr>
        <w:pStyle w:val="a3"/>
        <w:widowControl/>
        <w:ind w:left="0"/>
      </w:pPr>
      <w:r w:rsidRPr="00330234">
        <w:t xml:space="preserve">Bij gezonde vrijwilligers aan wie doses tocilizumab van 2 tot 28 mg/kg werden toegediend, bereikte het absolute aantal neutrofielen het laagste niveau op dag 3 tot 5 na toediening. Daarna herstelden de neutrofielen zich tot de baselinewaarde; dit was dosisafhankelijk. Patiënten met reumatoïde artritis </w:t>
      </w:r>
      <w:r w:rsidRPr="00330234">
        <w:lastRenderedPageBreak/>
        <w:t>lieten na toediening van tocilizumab een vergelijkbare verlaging van het absolute aantal neutrofielen zien (zie rubriek 4.8).</w:t>
      </w:r>
    </w:p>
    <w:p w14:paraId="25F79AA8" w14:textId="77777777" w:rsidR="00436DAA" w:rsidRPr="00330234" w:rsidRDefault="00436DAA" w:rsidP="00BD109B">
      <w:pPr>
        <w:pStyle w:val="a3"/>
        <w:widowControl/>
        <w:ind w:left="0"/>
      </w:pPr>
    </w:p>
    <w:p w14:paraId="26F4D67B" w14:textId="77777777" w:rsidR="00436DAA" w:rsidRPr="00330234" w:rsidRDefault="009B4B8E" w:rsidP="00BD109B">
      <w:pPr>
        <w:pStyle w:val="a3"/>
        <w:widowControl/>
        <w:ind w:left="0"/>
      </w:pPr>
      <w:r w:rsidRPr="00330234">
        <w:t>Bij COVID-19-patiënten aan wie intraveneus één dosis tocilizumab 8 mg/kg werd toegediend, werden al op dag 7 afnames van CRP tot binnen de normaalwaarden gezien.</w:t>
      </w:r>
    </w:p>
    <w:p w14:paraId="19D4F00C" w14:textId="77777777" w:rsidR="00436DAA" w:rsidRPr="00330234" w:rsidRDefault="00436DAA" w:rsidP="00BD109B">
      <w:pPr>
        <w:pStyle w:val="a3"/>
        <w:widowControl/>
        <w:ind w:left="0"/>
      </w:pPr>
    </w:p>
    <w:p w14:paraId="1909BB27" w14:textId="77777777" w:rsidR="00436DAA" w:rsidRPr="00330234" w:rsidRDefault="009B4B8E" w:rsidP="00BD109B">
      <w:pPr>
        <w:pStyle w:val="a3"/>
        <w:widowControl/>
        <w:ind w:left="0"/>
      </w:pPr>
      <w:r w:rsidRPr="00330234">
        <w:rPr>
          <w:u w:val="single"/>
        </w:rPr>
        <w:t>RA-patiënten</w:t>
      </w:r>
    </w:p>
    <w:p w14:paraId="255D82E3" w14:textId="77777777" w:rsidR="00436DAA" w:rsidRPr="00330234" w:rsidRDefault="00436DAA" w:rsidP="00BD109B">
      <w:pPr>
        <w:pStyle w:val="a3"/>
        <w:widowControl/>
        <w:ind w:left="0"/>
      </w:pPr>
    </w:p>
    <w:p w14:paraId="0F730F64" w14:textId="77777777" w:rsidR="00436DAA" w:rsidRPr="00330234" w:rsidRDefault="009B4B8E" w:rsidP="00BD109B">
      <w:pPr>
        <w:pStyle w:val="a3"/>
        <w:widowControl/>
        <w:ind w:left="0"/>
      </w:pPr>
      <w:r w:rsidRPr="00330234">
        <w:rPr>
          <w:u w:val="single"/>
        </w:rPr>
        <w:t>Klinische werkzaamheid en veiligheid</w:t>
      </w:r>
    </w:p>
    <w:p w14:paraId="559AFF20" w14:textId="49A928ED" w:rsidR="00436DAA" w:rsidRPr="00330234" w:rsidRDefault="009B4B8E" w:rsidP="00850AE4">
      <w:pPr>
        <w:pStyle w:val="a3"/>
        <w:widowControl/>
        <w:ind w:left="0"/>
      </w:pPr>
      <w:r w:rsidRPr="00330234">
        <w:t>De werkzaamheid van tocilizumab in het verbeteren van de klachten en symptomen van RA is onderzocht in 5 gerandomiseerde, dubbelblinde, multicenter studies. In de studies I-V zaten patiënten</w:t>
      </w:r>
      <w:r w:rsidR="00850AE4" w:rsidRPr="00330234">
        <w:t xml:space="preserve"> ≥</w:t>
      </w:r>
      <w:r w:rsidRPr="00330234">
        <w:t xml:space="preserve"> 18 jaar met actieve RA die volgens de </w:t>
      </w:r>
      <w:r w:rsidRPr="00330234">
        <w:rPr>
          <w:i/>
        </w:rPr>
        <w:t xml:space="preserve">American College of Rheumatology </w:t>
      </w:r>
      <w:r w:rsidRPr="00330234">
        <w:t>(ACR)-criteria gediagnosticeerd waren en die op baseline ten minste 8 gevoelige en 6 gezwollen gewrichten hadden.</w:t>
      </w:r>
    </w:p>
    <w:p w14:paraId="3C3EDEF6" w14:textId="77777777" w:rsidR="00850AE4" w:rsidRPr="00330234" w:rsidRDefault="00850AE4" w:rsidP="00850AE4">
      <w:pPr>
        <w:pStyle w:val="a3"/>
        <w:widowControl/>
        <w:ind w:left="0"/>
      </w:pPr>
    </w:p>
    <w:p w14:paraId="363A5CFF" w14:textId="1223FA93" w:rsidR="00436DAA" w:rsidRPr="00330234" w:rsidRDefault="009B4B8E" w:rsidP="00BD109B">
      <w:pPr>
        <w:pStyle w:val="a3"/>
        <w:widowControl/>
        <w:ind w:left="0"/>
      </w:pPr>
      <w:r w:rsidRPr="00330234">
        <w:t>In studie I werd tocilizumab elke vier weken als monotherapie intraveneus toegediend. Bij studie II, III en V werd tocilizumab elke vier weken intraveneus toegediend in combinatie met MTX vs placebo en MTX. In studie IV werd tocilizumab elke vier weken intraveneus toegediend in combinatie met andere DMARD</w:t>
      </w:r>
      <w:r w:rsidR="00753185" w:rsidRPr="00330234">
        <w:t>’</w:t>
      </w:r>
      <w:r w:rsidRPr="00330234">
        <w:t>s vs placebo en andere DMARD</w:t>
      </w:r>
      <w:r w:rsidR="00753185" w:rsidRPr="00330234">
        <w:t>’</w:t>
      </w:r>
      <w:r w:rsidRPr="00330234">
        <w:t>s. Het primaire eindpunt van alle vijf studies was het percentage patiënten dat een ACR20-respons bereikte op week 24.</w:t>
      </w:r>
    </w:p>
    <w:p w14:paraId="780E6B77" w14:textId="77777777" w:rsidR="00436DAA" w:rsidRPr="00330234" w:rsidRDefault="00436DAA" w:rsidP="00BD109B">
      <w:pPr>
        <w:pStyle w:val="a3"/>
        <w:widowControl/>
        <w:ind w:left="0"/>
      </w:pPr>
    </w:p>
    <w:p w14:paraId="5C3DA359" w14:textId="77777777" w:rsidR="00436DAA" w:rsidRPr="00330234" w:rsidRDefault="009B4B8E" w:rsidP="00BD109B">
      <w:pPr>
        <w:pStyle w:val="a3"/>
        <w:widowControl/>
        <w:ind w:left="0"/>
      </w:pPr>
      <w:r w:rsidRPr="00330234">
        <w:t>In studie I werden 673 patiënten geëvalueerd die in de 6 maanden voor randomisatie niet met MTX waren behandeld en bij wie een voorgaande MTX-behandeling niet was gestaakt vanwege klinisch belangrijke toxische effecten of het uitblijven van respons. De meerderheid (67%) van de patiënten was MTX-naïef. Doseringen van 8 mg/kg van tocilizumab werden elke 4 weken als monotherapie toegediend. De controlegroep kreeg wekelijks MTX (dosering werd getitreerd vanaf 7,5 mg tot een maximum van 20 mg wekelijks gedurende 8 weken).</w:t>
      </w:r>
    </w:p>
    <w:p w14:paraId="348B2335" w14:textId="77777777" w:rsidR="00850AE4" w:rsidRPr="00330234" w:rsidRDefault="00850AE4" w:rsidP="00BD109B">
      <w:pPr>
        <w:pStyle w:val="a3"/>
        <w:widowControl/>
        <w:ind w:left="0"/>
      </w:pPr>
    </w:p>
    <w:p w14:paraId="4224756E" w14:textId="702516C4" w:rsidR="00436DAA" w:rsidRPr="00330234" w:rsidRDefault="009B4B8E" w:rsidP="00850AE4">
      <w:pPr>
        <w:pStyle w:val="a3"/>
        <w:widowControl/>
        <w:ind w:left="0"/>
      </w:pPr>
      <w:r w:rsidRPr="00330234">
        <w:t>In studie II, een twee jaar durende studie met geplande analyses op week 24, week 52 en week 104, werden 1196 patiënten met onvoldoende klinische respons op MTX geëvalueerd. Doseringen van 4 of 8 mg/kg van tocilizumab of placebo werden elke vier weken geblindeerd toegediend gedurende 52</w:t>
      </w:r>
      <w:r w:rsidR="00850AE4" w:rsidRPr="00330234">
        <w:t> </w:t>
      </w:r>
      <w:r w:rsidRPr="00330234">
        <w:t>weken in combinatie met een vaste dosis MTX (10-25 mg wekelijks). Na week 52 konden alle patiënten een open-label-behandeling krijgen met tocilizumab 8 mg/kg. Van de patiënten die de studie afmaakten en die oorspronkelijk gerandomiseerd waren naar placebo + MTX, kreeg 86% open-label tocilizumab 8 mg/kg in het 2</w:t>
      </w:r>
      <w:r w:rsidRPr="00330234">
        <w:rPr>
          <w:vertAlign w:val="superscript"/>
        </w:rPr>
        <w:t>e</w:t>
      </w:r>
      <w:r w:rsidRPr="00330234">
        <w:t xml:space="preserve"> jaar. Het primaire eindpunt op week 24 was het percentage patiënten dat</w:t>
      </w:r>
      <w:r w:rsidR="00850AE4" w:rsidRPr="00330234">
        <w:t xml:space="preserve"> </w:t>
      </w:r>
      <w:r w:rsidRPr="00330234">
        <w:t>een ACR20-respons had bereikt. Co-primaire eindpunten waren preventie van gewrichtsschade en verbetering van lichamelijk functioneren op week 52 en week 104.</w:t>
      </w:r>
    </w:p>
    <w:p w14:paraId="0BB9C665" w14:textId="77777777" w:rsidR="00436DAA" w:rsidRPr="00330234" w:rsidRDefault="00436DAA" w:rsidP="00BD109B">
      <w:pPr>
        <w:pStyle w:val="a3"/>
        <w:widowControl/>
        <w:ind w:left="0"/>
      </w:pPr>
    </w:p>
    <w:p w14:paraId="70FCC477" w14:textId="77777777" w:rsidR="00436DAA" w:rsidRPr="00330234" w:rsidRDefault="009B4B8E" w:rsidP="00BD109B">
      <w:pPr>
        <w:pStyle w:val="a3"/>
        <w:widowControl/>
        <w:ind w:left="0"/>
      </w:pPr>
      <w:r w:rsidRPr="00330234">
        <w:t>In studie III werden 623 patiënten geëvalueerd met onvoldoende klinische respons op MTX. Doseringen van 4 of 8 mg/kg tocilizumab of placebo werden elke vier weken gegeven, in combinatie met een vaste dosis MTX (10-25 mg wekelijks).</w:t>
      </w:r>
    </w:p>
    <w:p w14:paraId="1B113AE0" w14:textId="77777777" w:rsidR="00850AE4" w:rsidRPr="00330234" w:rsidRDefault="00850AE4" w:rsidP="00BD109B">
      <w:pPr>
        <w:pStyle w:val="a3"/>
        <w:widowControl/>
        <w:ind w:left="0"/>
      </w:pPr>
    </w:p>
    <w:p w14:paraId="2C09F6C7" w14:textId="7D301603" w:rsidR="00436DAA" w:rsidRPr="00330234" w:rsidRDefault="009B4B8E" w:rsidP="00BD109B">
      <w:pPr>
        <w:pStyle w:val="a3"/>
        <w:widowControl/>
        <w:ind w:left="0"/>
      </w:pPr>
      <w:r w:rsidRPr="00330234">
        <w:t>In studie IV werden 1220 patiënten geëvalueerd die onvoldoende reageerden op hun bestaande antireumatische therapie, inclusief één of meerdere DMARD</w:t>
      </w:r>
      <w:r w:rsidR="00EA6C41" w:rsidRPr="00330234">
        <w:t>'</w:t>
      </w:r>
      <w:r w:rsidRPr="00330234">
        <w:t>s. Tocilizumab 8 mg/kg of placebo werd elke vier weken toegediend in combinatie met een vaste dosis DMARD.</w:t>
      </w:r>
    </w:p>
    <w:p w14:paraId="154CF95A" w14:textId="77777777" w:rsidR="00436DAA" w:rsidRPr="00330234" w:rsidRDefault="00436DAA" w:rsidP="00BD109B">
      <w:pPr>
        <w:pStyle w:val="a3"/>
        <w:widowControl/>
        <w:ind w:left="0"/>
      </w:pPr>
    </w:p>
    <w:p w14:paraId="4506A8FE" w14:textId="77777777" w:rsidR="00436DAA" w:rsidRPr="00330234" w:rsidRDefault="009B4B8E" w:rsidP="00BD109B">
      <w:pPr>
        <w:pStyle w:val="a3"/>
        <w:widowControl/>
        <w:ind w:left="0"/>
      </w:pPr>
      <w:r w:rsidRPr="00330234">
        <w:t>In studie V werden 499 patiënten geëvalueerd die onvoldoende klinische respons hadden op of intolerant waren voor één of meerdere TNF-antagonisten. De therapie met TNF-antagonisten werd voor randomisatie gestopt. Doseringen van 4 of 8 mg/kg tocilizumab of placebo werden elke vier weken gegeven, in combinatie met een vaste dosis MTX (10-25 mg wekelijks).</w:t>
      </w:r>
    </w:p>
    <w:p w14:paraId="2B8DF410" w14:textId="77777777" w:rsidR="00436DAA" w:rsidRPr="00330234" w:rsidRDefault="00436DAA" w:rsidP="00BD109B">
      <w:pPr>
        <w:pStyle w:val="a3"/>
        <w:widowControl/>
        <w:ind w:left="0"/>
      </w:pPr>
    </w:p>
    <w:p w14:paraId="7FD8D0D7" w14:textId="77777777" w:rsidR="00436DAA" w:rsidRPr="00330234" w:rsidRDefault="009B4B8E" w:rsidP="00BD109B">
      <w:pPr>
        <w:widowControl/>
        <w:rPr>
          <w:i/>
        </w:rPr>
      </w:pPr>
      <w:r w:rsidRPr="00330234">
        <w:rPr>
          <w:i/>
        </w:rPr>
        <w:t>Klinische respons</w:t>
      </w:r>
    </w:p>
    <w:p w14:paraId="3BD0CFCD" w14:textId="77777777" w:rsidR="00436DAA" w:rsidRPr="00330234" w:rsidRDefault="009B4B8E" w:rsidP="00BD109B">
      <w:pPr>
        <w:pStyle w:val="a3"/>
        <w:widowControl/>
        <w:ind w:left="0"/>
      </w:pPr>
      <w:r w:rsidRPr="00330234">
        <w:t>In alle studies bereikten de patiënten die met tocilizumab 8 mg/kg werden behandeld een statistisch significant hoger ACR20, -50 en -70-responspercentage na 6 maanden vergeleken met de controlegroep (tabel 4). In studie I werd superioriteit van tocilizumab ten opzichte van de actieve vergelijkende behandeling MTX aangetoond.</w:t>
      </w:r>
    </w:p>
    <w:p w14:paraId="1BD0A84E" w14:textId="77777777" w:rsidR="00850AE4" w:rsidRPr="00330234" w:rsidRDefault="00850AE4" w:rsidP="00BD109B">
      <w:pPr>
        <w:pStyle w:val="a3"/>
        <w:widowControl/>
        <w:ind w:left="0"/>
      </w:pPr>
    </w:p>
    <w:p w14:paraId="54C0C383" w14:textId="77777777" w:rsidR="00436DAA" w:rsidRPr="00330234" w:rsidRDefault="009B4B8E" w:rsidP="00BD109B">
      <w:pPr>
        <w:pStyle w:val="a3"/>
        <w:widowControl/>
        <w:ind w:left="0"/>
      </w:pPr>
      <w:r w:rsidRPr="00330234">
        <w:lastRenderedPageBreak/>
        <w:t>Het behandeleffect bij de patiënten was vergelijkbaar, onafhankelijk van de reumafactorstatus, leeftijd, geslacht, ras, aantal eerdere behandelingen en de ziektestatus. De tijd tot aanslaan van de behandeling was snel (al binnen twee weken) en de respons bleef verbeteren naarmate de periode van de behandeling voortduurde. Gedurende meer dan 3 jaar is een aanhoudende en duurzame responsverbetering waargenomen in de open-label-extensiestudies I-V.</w:t>
      </w:r>
    </w:p>
    <w:p w14:paraId="021962D8" w14:textId="77777777" w:rsidR="00436DAA" w:rsidRPr="00330234" w:rsidRDefault="00436DAA" w:rsidP="00BD109B">
      <w:pPr>
        <w:pStyle w:val="a3"/>
        <w:widowControl/>
        <w:ind w:left="0"/>
      </w:pPr>
    </w:p>
    <w:p w14:paraId="22F19B50" w14:textId="743BEE42" w:rsidR="00436DAA" w:rsidRPr="00330234" w:rsidRDefault="009B4B8E" w:rsidP="00BD109B">
      <w:pPr>
        <w:pStyle w:val="a3"/>
        <w:widowControl/>
        <w:ind w:left="0"/>
      </w:pPr>
      <w:r w:rsidRPr="00330234">
        <w:t xml:space="preserve">Bij de patiënten die met tocilizumab 8 mg/kg zijn behandeld, zijn significante verbeteringen geconstateerd in alle individuele componenten van de ACR-respons, waaronder het aantal gevoelige en gezwollen gewrichten; globale waardering door de patiënt en de arts, </w:t>
      </w:r>
      <w:r w:rsidRPr="00330234">
        <w:rPr>
          <w:i/>
        </w:rPr>
        <w:t>disability index</w:t>
      </w:r>
      <w:r w:rsidRPr="00330234">
        <w:t>-score; pijnscore en CRP vergeleken met patiënten die placebo plus MTX of andere DMARD</w:t>
      </w:r>
      <w:r w:rsidR="00753185" w:rsidRPr="00330234">
        <w:t>’</w:t>
      </w:r>
      <w:r w:rsidRPr="00330234">
        <w:t>s kregen in alle studies.</w:t>
      </w:r>
    </w:p>
    <w:p w14:paraId="4C849D03" w14:textId="77777777" w:rsidR="00850AE4" w:rsidRPr="00330234" w:rsidRDefault="00850AE4" w:rsidP="00BD109B">
      <w:pPr>
        <w:pStyle w:val="a3"/>
        <w:widowControl/>
        <w:ind w:left="0"/>
      </w:pPr>
    </w:p>
    <w:p w14:paraId="29E0114D" w14:textId="77777777" w:rsidR="00436DAA" w:rsidRPr="00330234" w:rsidRDefault="009B4B8E" w:rsidP="00BD109B">
      <w:pPr>
        <w:pStyle w:val="a3"/>
        <w:widowControl/>
        <w:ind w:left="0"/>
      </w:pPr>
      <w:r w:rsidRPr="00330234">
        <w:t xml:space="preserve">Patiënten in studies I-V hadden een gemiddelde </w:t>
      </w:r>
      <w:r w:rsidRPr="00330234">
        <w:rPr>
          <w:i/>
        </w:rPr>
        <w:t xml:space="preserve">Disease Activity Score </w:t>
      </w:r>
      <w:r w:rsidRPr="00330234">
        <w:t>(DAS28) van 6,5-6,8 op baseline. Er is een significante daling in DAS28 ten opzichte van baseline (gemiddelde verbetering) van 3,1-3,4 gezien bij de patiënten met tocilizumab ten opzichte van de controlegroep (1,3-2,1). Het percentage patiënten met een DAS28 klinische remissie (DAS28 &lt; 2,6) was significant hoger bij de tocilizumab patiënten (28-34%) dan bij de controlegroep (1-12%) op week 24. In studie II bereikte 65% van de patiënten een DAS28 van &lt; 2,6 op week 104 vergeleken met 48% op week 52 en 33% op week 24.</w:t>
      </w:r>
    </w:p>
    <w:p w14:paraId="14047B29" w14:textId="77777777" w:rsidR="00436DAA" w:rsidRPr="00330234" w:rsidRDefault="00436DAA" w:rsidP="00BD109B">
      <w:pPr>
        <w:pStyle w:val="a3"/>
        <w:widowControl/>
        <w:ind w:left="0"/>
      </w:pPr>
    </w:p>
    <w:p w14:paraId="0AF5929D" w14:textId="77777777" w:rsidR="00436DAA" w:rsidRPr="00330234" w:rsidRDefault="009B4B8E" w:rsidP="00BD109B">
      <w:pPr>
        <w:pStyle w:val="a3"/>
        <w:widowControl/>
        <w:ind w:left="0"/>
      </w:pPr>
      <w:r w:rsidRPr="00330234">
        <w:t>Bij een gepoolde analyse van de studies II, III en IV was het percentage patiënten dat een ACR20-, - 50- en -70-respons bereikte significant hoger (respectievelijk 59% vs 50%, 37% vs 27%, 18% vs 11%) bij de tocilizumab 8 mg/kg plus DMARD vs de met tocilizumab 4 mg/kg plus DMARD behandelde groep (p&lt; 0,03). Zo ook was het percentage patiënten dat een DAS28-remissie (DAS28 &lt; 2,6) bereikte significant hoger (respectievelijk 31% vs 16%) bij patiënten die met tocilizumab 8 mg/kg plus DMARD waren behandeld ten opzichte van patiënten die met tocilizumab 4 mg/kg plus DMARD waren behandeld (p&lt; 0,0001).</w:t>
      </w:r>
    </w:p>
    <w:p w14:paraId="035927EF" w14:textId="77777777" w:rsidR="00850AE4" w:rsidRPr="00330234" w:rsidRDefault="00850AE4" w:rsidP="00BD109B">
      <w:pPr>
        <w:pStyle w:val="a3"/>
        <w:widowControl/>
        <w:ind w:left="0"/>
      </w:pPr>
    </w:p>
    <w:p w14:paraId="2DB00511" w14:textId="4CAD3EB7" w:rsidR="00436DAA" w:rsidRPr="00330234" w:rsidRDefault="009B4B8E" w:rsidP="00B428F3">
      <w:pPr>
        <w:widowControl/>
        <w:ind w:left="1134" w:hanging="1134"/>
        <w:rPr>
          <w:i/>
        </w:rPr>
      </w:pPr>
      <w:r w:rsidRPr="00330234">
        <w:rPr>
          <w:i/>
        </w:rPr>
        <w:t>Tabel 4.</w:t>
      </w:r>
      <w:r w:rsidR="00B428F3" w:rsidRPr="00330234">
        <w:rPr>
          <w:i/>
        </w:rPr>
        <w:tab/>
      </w:r>
      <w:r w:rsidRPr="00330234">
        <w:rPr>
          <w:i/>
        </w:rPr>
        <w:t>ACR-respons bij placebo-/MTX-/DMARD-gecontroleerde studies (% patiënten)</w:t>
      </w:r>
    </w:p>
    <w:p w14:paraId="54BF16DF" w14:textId="77777777" w:rsidR="00436DAA" w:rsidRPr="00330234" w:rsidRDefault="00436DAA" w:rsidP="00BD109B">
      <w:pPr>
        <w:pStyle w:val="a3"/>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625"/>
        <w:gridCol w:w="840"/>
        <w:gridCol w:w="784"/>
        <w:gridCol w:w="854"/>
        <w:gridCol w:w="798"/>
        <w:gridCol w:w="854"/>
        <w:gridCol w:w="812"/>
        <w:gridCol w:w="881"/>
        <w:gridCol w:w="896"/>
        <w:gridCol w:w="840"/>
        <w:gridCol w:w="882"/>
      </w:tblGrid>
      <w:tr w:rsidR="00436DAA" w:rsidRPr="00330234" w14:paraId="2C5524B9" w14:textId="77777777" w:rsidTr="00B428F3">
        <w:trPr>
          <w:trHeight w:val="20"/>
        </w:trPr>
        <w:tc>
          <w:tcPr>
            <w:tcW w:w="625" w:type="dxa"/>
          </w:tcPr>
          <w:p w14:paraId="41DD3D9B" w14:textId="77777777" w:rsidR="00436DAA" w:rsidRPr="00330234" w:rsidRDefault="00436DAA" w:rsidP="00C07873">
            <w:pPr>
              <w:pStyle w:val="TableParagraph"/>
              <w:widowControl/>
              <w:jc w:val="center"/>
              <w:rPr>
                <w:sz w:val="20"/>
                <w:szCs w:val="20"/>
              </w:rPr>
            </w:pPr>
          </w:p>
        </w:tc>
        <w:tc>
          <w:tcPr>
            <w:tcW w:w="1624" w:type="dxa"/>
            <w:gridSpan w:val="2"/>
          </w:tcPr>
          <w:p w14:paraId="5F913FEB" w14:textId="77777777" w:rsidR="00436DAA" w:rsidRPr="00330234" w:rsidRDefault="009B4B8E" w:rsidP="00C07873">
            <w:pPr>
              <w:pStyle w:val="TableParagraph"/>
              <w:widowControl/>
              <w:jc w:val="center"/>
              <w:rPr>
                <w:b/>
                <w:sz w:val="20"/>
                <w:szCs w:val="20"/>
              </w:rPr>
            </w:pPr>
            <w:r w:rsidRPr="00330234">
              <w:rPr>
                <w:b/>
                <w:sz w:val="20"/>
                <w:szCs w:val="20"/>
              </w:rPr>
              <w:t>Studie I AMBITION</w:t>
            </w:r>
          </w:p>
        </w:tc>
        <w:tc>
          <w:tcPr>
            <w:tcW w:w="1652" w:type="dxa"/>
            <w:gridSpan w:val="2"/>
          </w:tcPr>
          <w:p w14:paraId="624E07B1" w14:textId="37BBC17E" w:rsidR="00436DAA" w:rsidRPr="00330234" w:rsidRDefault="009B4B8E" w:rsidP="00C07873">
            <w:pPr>
              <w:pStyle w:val="TableParagraph"/>
              <w:widowControl/>
              <w:jc w:val="center"/>
              <w:rPr>
                <w:b/>
                <w:sz w:val="20"/>
                <w:szCs w:val="20"/>
              </w:rPr>
            </w:pPr>
            <w:r w:rsidRPr="00330234">
              <w:rPr>
                <w:b/>
                <w:sz w:val="20"/>
                <w:szCs w:val="20"/>
              </w:rPr>
              <w:t xml:space="preserve">Studie II </w:t>
            </w:r>
            <w:r w:rsidR="007165C0" w:rsidRPr="00330234">
              <w:rPr>
                <w:rFonts w:eastAsia="SimSun"/>
                <w:b/>
                <w:sz w:val="20"/>
                <w:szCs w:val="20"/>
                <w:lang w:eastAsia="zh-CN"/>
              </w:rPr>
              <w:br/>
            </w:r>
            <w:r w:rsidRPr="00330234">
              <w:rPr>
                <w:b/>
                <w:sz w:val="20"/>
                <w:szCs w:val="20"/>
              </w:rPr>
              <w:t>LITHE</w:t>
            </w:r>
          </w:p>
        </w:tc>
        <w:tc>
          <w:tcPr>
            <w:tcW w:w="1666" w:type="dxa"/>
            <w:gridSpan w:val="2"/>
          </w:tcPr>
          <w:p w14:paraId="6689EBAA" w14:textId="77777777" w:rsidR="00436DAA" w:rsidRPr="00330234" w:rsidRDefault="009B4B8E" w:rsidP="00C07873">
            <w:pPr>
              <w:pStyle w:val="TableParagraph"/>
              <w:widowControl/>
              <w:jc w:val="center"/>
              <w:rPr>
                <w:b/>
                <w:sz w:val="20"/>
                <w:szCs w:val="20"/>
              </w:rPr>
            </w:pPr>
            <w:r w:rsidRPr="00330234">
              <w:rPr>
                <w:b/>
                <w:sz w:val="20"/>
                <w:szCs w:val="20"/>
              </w:rPr>
              <w:t>Studie III OPTION</w:t>
            </w:r>
          </w:p>
        </w:tc>
        <w:tc>
          <w:tcPr>
            <w:tcW w:w="1777" w:type="dxa"/>
            <w:gridSpan w:val="2"/>
          </w:tcPr>
          <w:p w14:paraId="5422B4D8" w14:textId="77777777" w:rsidR="00436DAA" w:rsidRPr="00330234" w:rsidRDefault="009B4B8E" w:rsidP="00C07873">
            <w:pPr>
              <w:pStyle w:val="TableParagraph"/>
              <w:widowControl/>
              <w:jc w:val="center"/>
              <w:rPr>
                <w:b/>
                <w:sz w:val="20"/>
                <w:szCs w:val="20"/>
              </w:rPr>
            </w:pPr>
            <w:r w:rsidRPr="00330234">
              <w:rPr>
                <w:b/>
                <w:sz w:val="20"/>
                <w:szCs w:val="20"/>
              </w:rPr>
              <w:t>Studie IV TOWARD</w:t>
            </w:r>
          </w:p>
        </w:tc>
        <w:tc>
          <w:tcPr>
            <w:tcW w:w="1722" w:type="dxa"/>
            <w:gridSpan w:val="2"/>
          </w:tcPr>
          <w:p w14:paraId="5280A560" w14:textId="77777777" w:rsidR="00436DAA" w:rsidRPr="00330234" w:rsidRDefault="009B4B8E" w:rsidP="00C07873">
            <w:pPr>
              <w:pStyle w:val="TableParagraph"/>
              <w:widowControl/>
              <w:jc w:val="center"/>
              <w:rPr>
                <w:b/>
                <w:sz w:val="20"/>
                <w:szCs w:val="20"/>
              </w:rPr>
            </w:pPr>
            <w:r w:rsidRPr="00330234">
              <w:rPr>
                <w:b/>
                <w:sz w:val="20"/>
                <w:szCs w:val="20"/>
              </w:rPr>
              <w:t>Studie V RADIATE</w:t>
            </w:r>
          </w:p>
        </w:tc>
      </w:tr>
      <w:tr w:rsidR="00B428F3" w:rsidRPr="00330234" w14:paraId="16CC7CFE" w14:textId="77777777" w:rsidTr="00B428F3">
        <w:trPr>
          <w:trHeight w:val="20"/>
        </w:trPr>
        <w:tc>
          <w:tcPr>
            <w:tcW w:w="625" w:type="dxa"/>
          </w:tcPr>
          <w:p w14:paraId="596EA6AC" w14:textId="77777777" w:rsidR="00436DAA" w:rsidRPr="00330234" w:rsidRDefault="009B4B8E" w:rsidP="00C07873">
            <w:pPr>
              <w:pStyle w:val="TableParagraph"/>
              <w:widowControl/>
              <w:jc w:val="center"/>
              <w:rPr>
                <w:b/>
                <w:sz w:val="20"/>
                <w:szCs w:val="20"/>
              </w:rPr>
            </w:pPr>
            <w:r w:rsidRPr="00330234">
              <w:rPr>
                <w:b/>
                <w:sz w:val="20"/>
                <w:szCs w:val="20"/>
              </w:rPr>
              <w:t>Week</w:t>
            </w:r>
          </w:p>
        </w:tc>
        <w:tc>
          <w:tcPr>
            <w:tcW w:w="840" w:type="dxa"/>
          </w:tcPr>
          <w:p w14:paraId="759D7FD7" w14:textId="7FAA13C4" w:rsidR="00436DAA" w:rsidRPr="00330234" w:rsidRDefault="009B4B8E" w:rsidP="00C07873">
            <w:pPr>
              <w:pStyle w:val="TableParagraph"/>
              <w:widowControl/>
              <w:jc w:val="center"/>
              <w:rPr>
                <w:b/>
                <w:sz w:val="20"/>
                <w:szCs w:val="20"/>
              </w:rPr>
            </w:pPr>
            <w:r w:rsidRPr="00330234">
              <w:rPr>
                <w:b/>
                <w:sz w:val="20"/>
                <w:szCs w:val="20"/>
              </w:rPr>
              <w:t>TCZ</w:t>
            </w:r>
            <w:r w:rsidR="00C07873" w:rsidRPr="00330234">
              <w:rPr>
                <w:b/>
                <w:sz w:val="20"/>
                <w:szCs w:val="20"/>
              </w:rPr>
              <w:t xml:space="preserve"> </w:t>
            </w:r>
            <w:r w:rsidRPr="00330234">
              <w:rPr>
                <w:b/>
                <w:sz w:val="20"/>
                <w:szCs w:val="20"/>
              </w:rPr>
              <w:t>8</w:t>
            </w:r>
            <w:r w:rsidR="00C07873" w:rsidRPr="00330234">
              <w:rPr>
                <w:b/>
                <w:sz w:val="20"/>
                <w:szCs w:val="20"/>
              </w:rPr>
              <w:t> </w:t>
            </w:r>
            <w:r w:rsidRPr="00330234">
              <w:rPr>
                <w:b/>
                <w:sz w:val="20"/>
                <w:szCs w:val="20"/>
              </w:rPr>
              <w:t>mg/kg</w:t>
            </w:r>
          </w:p>
        </w:tc>
        <w:tc>
          <w:tcPr>
            <w:tcW w:w="784" w:type="dxa"/>
          </w:tcPr>
          <w:p w14:paraId="363E4DD2" w14:textId="77777777" w:rsidR="00436DAA" w:rsidRPr="00330234" w:rsidRDefault="009B4B8E" w:rsidP="00C07873">
            <w:pPr>
              <w:pStyle w:val="TableParagraph"/>
              <w:widowControl/>
              <w:jc w:val="center"/>
              <w:rPr>
                <w:b/>
                <w:sz w:val="20"/>
                <w:szCs w:val="20"/>
              </w:rPr>
            </w:pPr>
            <w:r w:rsidRPr="00330234">
              <w:rPr>
                <w:b/>
                <w:sz w:val="20"/>
                <w:szCs w:val="20"/>
              </w:rPr>
              <w:t>MTX</w:t>
            </w:r>
          </w:p>
        </w:tc>
        <w:tc>
          <w:tcPr>
            <w:tcW w:w="854" w:type="dxa"/>
          </w:tcPr>
          <w:p w14:paraId="2F75C18A" w14:textId="11183D26" w:rsidR="00436DAA" w:rsidRPr="00330234" w:rsidRDefault="009B4B8E" w:rsidP="00C07873">
            <w:pPr>
              <w:pStyle w:val="TableParagraph"/>
              <w:widowControl/>
              <w:jc w:val="center"/>
              <w:rPr>
                <w:b/>
                <w:sz w:val="20"/>
                <w:szCs w:val="20"/>
              </w:rPr>
            </w:pPr>
            <w:r w:rsidRPr="00330234">
              <w:rPr>
                <w:b/>
                <w:sz w:val="20"/>
                <w:szCs w:val="20"/>
              </w:rPr>
              <w:t>TCZ</w:t>
            </w:r>
            <w:r w:rsidR="00C07873" w:rsidRPr="00330234">
              <w:rPr>
                <w:b/>
                <w:sz w:val="20"/>
                <w:szCs w:val="20"/>
              </w:rPr>
              <w:t xml:space="preserve"> </w:t>
            </w:r>
            <w:r w:rsidRPr="00330234">
              <w:rPr>
                <w:b/>
                <w:sz w:val="20"/>
                <w:szCs w:val="20"/>
              </w:rPr>
              <w:t>8</w:t>
            </w:r>
            <w:r w:rsidR="00C07873" w:rsidRPr="00330234">
              <w:rPr>
                <w:b/>
                <w:sz w:val="20"/>
                <w:szCs w:val="20"/>
              </w:rPr>
              <w:t> </w:t>
            </w:r>
            <w:r w:rsidRPr="00330234">
              <w:rPr>
                <w:b/>
                <w:sz w:val="20"/>
                <w:szCs w:val="20"/>
              </w:rPr>
              <w:t>mg/kg</w:t>
            </w:r>
            <w:r w:rsidR="00C07873" w:rsidRPr="00330234">
              <w:rPr>
                <w:b/>
                <w:sz w:val="20"/>
                <w:szCs w:val="20"/>
              </w:rPr>
              <w:t xml:space="preserve"> </w:t>
            </w:r>
            <w:r w:rsidRPr="00330234">
              <w:rPr>
                <w:b/>
                <w:sz w:val="20"/>
                <w:szCs w:val="20"/>
              </w:rPr>
              <w:t>+ MTX</w:t>
            </w:r>
          </w:p>
        </w:tc>
        <w:tc>
          <w:tcPr>
            <w:tcW w:w="798" w:type="dxa"/>
          </w:tcPr>
          <w:p w14:paraId="538E84FA" w14:textId="77777777" w:rsidR="00436DAA" w:rsidRPr="00330234" w:rsidRDefault="009B4B8E" w:rsidP="00C07873">
            <w:pPr>
              <w:pStyle w:val="TableParagraph"/>
              <w:widowControl/>
              <w:jc w:val="center"/>
              <w:rPr>
                <w:b/>
                <w:sz w:val="20"/>
                <w:szCs w:val="20"/>
              </w:rPr>
            </w:pPr>
            <w:r w:rsidRPr="00330234">
              <w:rPr>
                <w:b/>
                <w:sz w:val="20"/>
                <w:szCs w:val="20"/>
              </w:rPr>
              <w:t>PBO + MTX</w:t>
            </w:r>
          </w:p>
        </w:tc>
        <w:tc>
          <w:tcPr>
            <w:tcW w:w="854" w:type="dxa"/>
          </w:tcPr>
          <w:p w14:paraId="0DCA35E3" w14:textId="49F14946" w:rsidR="00436DAA" w:rsidRPr="00330234" w:rsidRDefault="009B4B8E" w:rsidP="00C07873">
            <w:pPr>
              <w:pStyle w:val="TableParagraph"/>
              <w:widowControl/>
              <w:jc w:val="center"/>
              <w:rPr>
                <w:b/>
                <w:sz w:val="20"/>
                <w:szCs w:val="20"/>
              </w:rPr>
            </w:pPr>
            <w:r w:rsidRPr="00330234">
              <w:rPr>
                <w:b/>
                <w:sz w:val="20"/>
                <w:szCs w:val="20"/>
              </w:rPr>
              <w:t>TCZ</w:t>
            </w:r>
            <w:r w:rsidR="00C07873" w:rsidRPr="00330234">
              <w:rPr>
                <w:b/>
                <w:sz w:val="20"/>
                <w:szCs w:val="20"/>
              </w:rPr>
              <w:t xml:space="preserve"> </w:t>
            </w:r>
            <w:r w:rsidRPr="00330234">
              <w:rPr>
                <w:b/>
                <w:sz w:val="20"/>
                <w:szCs w:val="20"/>
              </w:rPr>
              <w:t>8</w:t>
            </w:r>
            <w:r w:rsidR="00C07873" w:rsidRPr="00330234">
              <w:rPr>
                <w:b/>
                <w:sz w:val="20"/>
                <w:szCs w:val="20"/>
              </w:rPr>
              <w:t> </w:t>
            </w:r>
            <w:r w:rsidRPr="00330234">
              <w:rPr>
                <w:b/>
                <w:sz w:val="20"/>
                <w:szCs w:val="20"/>
              </w:rPr>
              <w:t>mg/kg</w:t>
            </w:r>
            <w:r w:rsidR="00C07873" w:rsidRPr="00330234">
              <w:rPr>
                <w:b/>
                <w:sz w:val="20"/>
                <w:szCs w:val="20"/>
              </w:rPr>
              <w:t xml:space="preserve"> </w:t>
            </w:r>
            <w:r w:rsidRPr="00330234">
              <w:rPr>
                <w:b/>
                <w:sz w:val="20"/>
                <w:szCs w:val="20"/>
              </w:rPr>
              <w:t>+ MTX</w:t>
            </w:r>
          </w:p>
        </w:tc>
        <w:tc>
          <w:tcPr>
            <w:tcW w:w="812" w:type="dxa"/>
          </w:tcPr>
          <w:p w14:paraId="113DF27A" w14:textId="5E9ECFC7" w:rsidR="00436DAA" w:rsidRPr="00330234" w:rsidRDefault="009B4B8E" w:rsidP="00C07873">
            <w:pPr>
              <w:pStyle w:val="TableParagraph"/>
              <w:widowControl/>
              <w:jc w:val="center"/>
              <w:rPr>
                <w:b/>
                <w:sz w:val="20"/>
                <w:szCs w:val="20"/>
              </w:rPr>
            </w:pPr>
            <w:r w:rsidRPr="00330234">
              <w:rPr>
                <w:b/>
                <w:sz w:val="20"/>
                <w:szCs w:val="20"/>
              </w:rPr>
              <w:t>PBO</w:t>
            </w:r>
            <w:r w:rsidR="00C07873" w:rsidRPr="00330234">
              <w:rPr>
                <w:b/>
                <w:sz w:val="20"/>
                <w:szCs w:val="20"/>
              </w:rPr>
              <w:t xml:space="preserve"> </w:t>
            </w:r>
            <w:r w:rsidRPr="00330234">
              <w:rPr>
                <w:b/>
                <w:sz w:val="20"/>
                <w:szCs w:val="20"/>
              </w:rPr>
              <w:t>+ MTX</w:t>
            </w:r>
          </w:p>
        </w:tc>
        <w:tc>
          <w:tcPr>
            <w:tcW w:w="881" w:type="dxa"/>
          </w:tcPr>
          <w:p w14:paraId="63E71EAA" w14:textId="3ADD901E" w:rsidR="00436DAA" w:rsidRPr="00330234" w:rsidRDefault="009B4B8E" w:rsidP="00C07873">
            <w:pPr>
              <w:pStyle w:val="TableParagraph"/>
              <w:widowControl/>
              <w:jc w:val="center"/>
              <w:rPr>
                <w:b/>
                <w:sz w:val="20"/>
                <w:szCs w:val="20"/>
              </w:rPr>
            </w:pPr>
            <w:r w:rsidRPr="00330234">
              <w:rPr>
                <w:b/>
                <w:sz w:val="20"/>
                <w:szCs w:val="20"/>
              </w:rPr>
              <w:t>TCZ</w:t>
            </w:r>
            <w:r w:rsidR="00C07873" w:rsidRPr="00330234">
              <w:rPr>
                <w:b/>
                <w:sz w:val="20"/>
                <w:szCs w:val="20"/>
              </w:rPr>
              <w:t xml:space="preserve"> </w:t>
            </w:r>
            <w:r w:rsidRPr="00330234">
              <w:rPr>
                <w:b/>
                <w:sz w:val="20"/>
                <w:szCs w:val="20"/>
              </w:rPr>
              <w:t>8</w:t>
            </w:r>
            <w:r w:rsidR="00C07873" w:rsidRPr="00330234">
              <w:rPr>
                <w:b/>
                <w:sz w:val="20"/>
                <w:szCs w:val="20"/>
              </w:rPr>
              <w:t> </w:t>
            </w:r>
            <w:r w:rsidRPr="00330234">
              <w:rPr>
                <w:b/>
                <w:sz w:val="20"/>
                <w:szCs w:val="20"/>
              </w:rPr>
              <w:t>mg/kg + DMARD</w:t>
            </w:r>
          </w:p>
        </w:tc>
        <w:tc>
          <w:tcPr>
            <w:tcW w:w="896" w:type="dxa"/>
          </w:tcPr>
          <w:p w14:paraId="3490515A" w14:textId="77777777" w:rsidR="00436DAA" w:rsidRPr="00330234" w:rsidRDefault="009B4B8E" w:rsidP="00C07873">
            <w:pPr>
              <w:pStyle w:val="TableParagraph"/>
              <w:widowControl/>
              <w:jc w:val="center"/>
              <w:rPr>
                <w:b/>
                <w:sz w:val="20"/>
                <w:szCs w:val="20"/>
              </w:rPr>
            </w:pPr>
            <w:r w:rsidRPr="00330234">
              <w:rPr>
                <w:b/>
                <w:sz w:val="20"/>
                <w:szCs w:val="20"/>
              </w:rPr>
              <w:t>PBO + DMARD</w:t>
            </w:r>
          </w:p>
        </w:tc>
        <w:tc>
          <w:tcPr>
            <w:tcW w:w="840" w:type="dxa"/>
          </w:tcPr>
          <w:p w14:paraId="449833DE" w14:textId="7E48B955" w:rsidR="00436DAA" w:rsidRPr="00330234" w:rsidRDefault="009B4B8E" w:rsidP="00C07873">
            <w:pPr>
              <w:pStyle w:val="TableParagraph"/>
              <w:widowControl/>
              <w:jc w:val="center"/>
              <w:rPr>
                <w:b/>
                <w:sz w:val="20"/>
                <w:szCs w:val="20"/>
              </w:rPr>
            </w:pPr>
            <w:r w:rsidRPr="00330234">
              <w:rPr>
                <w:b/>
                <w:sz w:val="20"/>
                <w:szCs w:val="20"/>
              </w:rPr>
              <w:t>TCZ</w:t>
            </w:r>
            <w:r w:rsidR="00C07873" w:rsidRPr="00330234">
              <w:rPr>
                <w:b/>
                <w:sz w:val="20"/>
                <w:szCs w:val="20"/>
              </w:rPr>
              <w:t xml:space="preserve"> </w:t>
            </w:r>
            <w:r w:rsidRPr="00330234">
              <w:rPr>
                <w:b/>
                <w:sz w:val="20"/>
                <w:szCs w:val="20"/>
              </w:rPr>
              <w:t>8</w:t>
            </w:r>
            <w:r w:rsidR="00C07873" w:rsidRPr="00330234">
              <w:rPr>
                <w:b/>
                <w:sz w:val="20"/>
                <w:szCs w:val="20"/>
              </w:rPr>
              <w:t> </w:t>
            </w:r>
            <w:r w:rsidRPr="00330234">
              <w:rPr>
                <w:b/>
                <w:sz w:val="20"/>
                <w:szCs w:val="20"/>
              </w:rPr>
              <w:t>mg/kg</w:t>
            </w:r>
            <w:r w:rsidR="00C07873" w:rsidRPr="00330234">
              <w:rPr>
                <w:b/>
                <w:sz w:val="20"/>
                <w:szCs w:val="20"/>
              </w:rPr>
              <w:t xml:space="preserve"> </w:t>
            </w:r>
            <w:r w:rsidRPr="00330234">
              <w:rPr>
                <w:b/>
                <w:sz w:val="20"/>
                <w:szCs w:val="20"/>
              </w:rPr>
              <w:t>+ MTX</w:t>
            </w:r>
          </w:p>
        </w:tc>
        <w:tc>
          <w:tcPr>
            <w:tcW w:w="882" w:type="dxa"/>
          </w:tcPr>
          <w:p w14:paraId="1E0A9395" w14:textId="77777777" w:rsidR="00436DAA" w:rsidRPr="00330234" w:rsidRDefault="009B4B8E" w:rsidP="00C07873">
            <w:pPr>
              <w:pStyle w:val="TableParagraph"/>
              <w:widowControl/>
              <w:jc w:val="center"/>
              <w:rPr>
                <w:b/>
                <w:sz w:val="20"/>
                <w:szCs w:val="20"/>
              </w:rPr>
            </w:pPr>
            <w:r w:rsidRPr="00330234">
              <w:rPr>
                <w:b/>
                <w:sz w:val="20"/>
                <w:szCs w:val="20"/>
              </w:rPr>
              <w:t>PBO + MTX</w:t>
            </w:r>
          </w:p>
        </w:tc>
      </w:tr>
      <w:tr w:rsidR="00B428F3" w:rsidRPr="00330234" w14:paraId="5224CB8F" w14:textId="77777777" w:rsidTr="00B428F3">
        <w:trPr>
          <w:trHeight w:val="20"/>
        </w:trPr>
        <w:tc>
          <w:tcPr>
            <w:tcW w:w="625" w:type="dxa"/>
          </w:tcPr>
          <w:p w14:paraId="3DE3E926" w14:textId="77777777" w:rsidR="00436DAA" w:rsidRPr="00330234" w:rsidRDefault="00436DAA" w:rsidP="00C07873">
            <w:pPr>
              <w:pStyle w:val="TableParagraph"/>
              <w:widowControl/>
              <w:jc w:val="center"/>
              <w:rPr>
                <w:sz w:val="20"/>
                <w:szCs w:val="20"/>
              </w:rPr>
            </w:pPr>
          </w:p>
        </w:tc>
        <w:tc>
          <w:tcPr>
            <w:tcW w:w="840" w:type="dxa"/>
          </w:tcPr>
          <w:p w14:paraId="6B743E94" w14:textId="77777777" w:rsidR="00436DAA" w:rsidRPr="00330234" w:rsidRDefault="009B4B8E" w:rsidP="00C07873">
            <w:pPr>
              <w:pStyle w:val="TableParagraph"/>
              <w:widowControl/>
              <w:jc w:val="center"/>
              <w:rPr>
                <w:b/>
                <w:sz w:val="20"/>
                <w:szCs w:val="20"/>
              </w:rPr>
            </w:pPr>
            <w:r w:rsidRPr="00330234">
              <w:rPr>
                <w:b/>
                <w:sz w:val="20"/>
                <w:szCs w:val="20"/>
              </w:rPr>
              <w:t>N = 286</w:t>
            </w:r>
          </w:p>
        </w:tc>
        <w:tc>
          <w:tcPr>
            <w:tcW w:w="784" w:type="dxa"/>
          </w:tcPr>
          <w:p w14:paraId="6591A38F" w14:textId="77777777" w:rsidR="00436DAA" w:rsidRPr="00330234" w:rsidRDefault="009B4B8E" w:rsidP="00C07873">
            <w:pPr>
              <w:pStyle w:val="TableParagraph"/>
              <w:widowControl/>
              <w:jc w:val="center"/>
              <w:rPr>
                <w:b/>
                <w:sz w:val="20"/>
                <w:szCs w:val="20"/>
              </w:rPr>
            </w:pPr>
            <w:r w:rsidRPr="00330234">
              <w:rPr>
                <w:b/>
                <w:sz w:val="20"/>
                <w:szCs w:val="20"/>
              </w:rPr>
              <w:t>N = 284</w:t>
            </w:r>
          </w:p>
        </w:tc>
        <w:tc>
          <w:tcPr>
            <w:tcW w:w="854" w:type="dxa"/>
          </w:tcPr>
          <w:p w14:paraId="1F3C7F17" w14:textId="77777777" w:rsidR="00436DAA" w:rsidRPr="00330234" w:rsidRDefault="009B4B8E" w:rsidP="00C07873">
            <w:pPr>
              <w:pStyle w:val="TableParagraph"/>
              <w:widowControl/>
              <w:jc w:val="center"/>
              <w:rPr>
                <w:b/>
                <w:sz w:val="20"/>
                <w:szCs w:val="20"/>
              </w:rPr>
            </w:pPr>
            <w:r w:rsidRPr="00330234">
              <w:rPr>
                <w:b/>
                <w:sz w:val="20"/>
                <w:szCs w:val="20"/>
              </w:rPr>
              <w:t>N = 398</w:t>
            </w:r>
          </w:p>
        </w:tc>
        <w:tc>
          <w:tcPr>
            <w:tcW w:w="798" w:type="dxa"/>
          </w:tcPr>
          <w:p w14:paraId="6EE45C89" w14:textId="77777777" w:rsidR="00436DAA" w:rsidRPr="00330234" w:rsidRDefault="009B4B8E" w:rsidP="00C07873">
            <w:pPr>
              <w:pStyle w:val="TableParagraph"/>
              <w:widowControl/>
              <w:jc w:val="center"/>
              <w:rPr>
                <w:b/>
                <w:sz w:val="20"/>
                <w:szCs w:val="20"/>
              </w:rPr>
            </w:pPr>
            <w:r w:rsidRPr="00330234">
              <w:rPr>
                <w:b/>
                <w:sz w:val="20"/>
                <w:szCs w:val="20"/>
              </w:rPr>
              <w:t>N = 393</w:t>
            </w:r>
          </w:p>
        </w:tc>
        <w:tc>
          <w:tcPr>
            <w:tcW w:w="854" w:type="dxa"/>
          </w:tcPr>
          <w:p w14:paraId="49BEE30A" w14:textId="77777777" w:rsidR="00436DAA" w:rsidRPr="00330234" w:rsidRDefault="009B4B8E" w:rsidP="00C07873">
            <w:pPr>
              <w:pStyle w:val="TableParagraph"/>
              <w:widowControl/>
              <w:jc w:val="center"/>
              <w:rPr>
                <w:b/>
                <w:sz w:val="20"/>
                <w:szCs w:val="20"/>
              </w:rPr>
            </w:pPr>
            <w:r w:rsidRPr="00330234">
              <w:rPr>
                <w:b/>
                <w:sz w:val="20"/>
                <w:szCs w:val="20"/>
              </w:rPr>
              <w:t>N = 205</w:t>
            </w:r>
          </w:p>
        </w:tc>
        <w:tc>
          <w:tcPr>
            <w:tcW w:w="812" w:type="dxa"/>
          </w:tcPr>
          <w:p w14:paraId="3B18C66F" w14:textId="77777777" w:rsidR="00436DAA" w:rsidRPr="00330234" w:rsidRDefault="009B4B8E" w:rsidP="00C07873">
            <w:pPr>
              <w:pStyle w:val="TableParagraph"/>
              <w:widowControl/>
              <w:jc w:val="center"/>
              <w:rPr>
                <w:b/>
                <w:sz w:val="20"/>
                <w:szCs w:val="20"/>
              </w:rPr>
            </w:pPr>
            <w:r w:rsidRPr="00330234">
              <w:rPr>
                <w:b/>
                <w:sz w:val="20"/>
                <w:szCs w:val="20"/>
              </w:rPr>
              <w:t>N = 204</w:t>
            </w:r>
          </w:p>
        </w:tc>
        <w:tc>
          <w:tcPr>
            <w:tcW w:w="881" w:type="dxa"/>
          </w:tcPr>
          <w:p w14:paraId="408154F5" w14:textId="77777777" w:rsidR="00436DAA" w:rsidRPr="00330234" w:rsidRDefault="009B4B8E" w:rsidP="00C07873">
            <w:pPr>
              <w:pStyle w:val="TableParagraph"/>
              <w:widowControl/>
              <w:jc w:val="center"/>
              <w:rPr>
                <w:b/>
                <w:sz w:val="20"/>
                <w:szCs w:val="20"/>
              </w:rPr>
            </w:pPr>
            <w:r w:rsidRPr="00330234">
              <w:rPr>
                <w:b/>
                <w:sz w:val="20"/>
                <w:szCs w:val="20"/>
              </w:rPr>
              <w:t>N = 803</w:t>
            </w:r>
          </w:p>
        </w:tc>
        <w:tc>
          <w:tcPr>
            <w:tcW w:w="896" w:type="dxa"/>
          </w:tcPr>
          <w:p w14:paraId="3CA52388" w14:textId="77777777" w:rsidR="00436DAA" w:rsidRPr="00330234" w:rsidRDefault="009B4B8E" w:rsidP="00C07873">
            <w:pPr>
              <w:pStyle w:val="TableParagraph"/>
              <w:widowControl/>
              <w:jc w:val="center"/>
              <w:rPr>
                <w:b/>
                <w:sz w:val="20"/>
                <w:szCs w:val="20"/>
              </w:rPr>
            </w:pPr>
            <w:r w:rsidRPr="00330234">
              <w:rPr>
                <w:b/>
                <w:sz w:val="20"/>
                <w:szCs w:val="20"/>
              </w:rPr>
              <w:t>N = 413</w:t>
            </w:r>
          </w:p>
        </w:tc>
        <w:tc>
          <w:tcPr>
            <w:tcW w:w="840" w:type="dxa"/>
          </w:tcPr>
          <w:p w14:paraId="2650DACB" w14:textId="77777777" w:rsidR="00436DAA" w:rsidRPr="00330234" w:rsidRDefault="009B4B8E" w:rsidP="00C07873">
            <w:pPr>
              <w:pStyle w:val="TableParagraph"/>
              <w:widowControl/>
              <w:jc w:val="center"/>
              <w:rPr>
                <w:b/>
                <w:sz w:val="20"/>
                <w:szCs w:val="20"/>
              </w:rPr>
            </w:pPr>
            <w:r w:rsidRPr="00330234">
              <w:rPr>
                <w:b/>
                <w:sz w:val="20"/>
                <w:szCs w:val="20"/>
              </w:rPr>
              <w:t>N = 170</w:t>
            </w:r>
          </w:p>
        </w:tc>
        <w:tc>
          <w:tcPr>
            <w:tcW w:w="882" w:type="dxa"/>
          </w:tcPr>
          <w:p w14:paraId="06E6750B" w14:textId="77777777" w:rsidR="00436DAA" w:rsidRPr="00330234" w:rsidRDefault="009B4B8E" w:rsidP="00C07873">
            <w:pPr>
              <w:pStyle w:val="TableParagraph"/>
              <w:widowControl/>
              <w:jc w:val="center"/>
              <w:rPr>
                <w:b/>
                <w:sz w:val="20"/>
                <w:szCs w:val="20"/>
              </w:rPr>
            </w:pPr>
            <w:r w:rsidRPr="00330234">
              <w:rPr>
                <w:b/>
                <w:sz w:val="20"/>
                <w:szCs w:val="20"/>
              </w:rPr>
              <w:t>N = 158</w:t>
            </w:r>
          </w:p>
        </w:tc>
      </w:tr>
      <w:tr w:rsidR="00436DAA" w:rsidRPr="00330234" w14:paraId="2E9A1AA3" w14:textId="77777777" w:rsidTr="00B428F3">
        <w:trPr>
          <w:trHeight w:val="20"/>
        </w:trPr>
        <w:tc>
          <w:tcPr>
            <w:tcW w:w="9066" w:type="dxa"/>
            <w:gridSpan w:val="11"/>
          </w:tcPr>
          <w:p w14:paraId="68A21F5D" w14:textId="77777777" w:rsidR="00436DAA" w:rsidRPr="00330234" w:rsidRDefault="009B4B8E" w:rsidP="00C07873">
            <w:pPr>
              <w:pStyle w:val="TableParagraph"/>
              <w:widowControl/>
              <w:jc w:val="center"/>
              <w:rPr>
                <w:b/>
                <w:sz w:val="20"/>
                <w:szCs w:val="20"/>
              </w:rPr>
            </w:pPr>
            <w:r w:rsidRPr="00330234">
              <w:rPr>
                <w:b/>
                <w:sz w:val="20"/>
                <w:szCs w:val="20"/>
              </w:rPr>
              <w:t>ACR20</w:t>
            </w:r>
          </w:p>
        </w:tc>
      </w:tr>
      <w:tr w:rsidR="00B428F3" w:rsidRPr="00330234" w14:paraId="7E046E48" w14:textId="77777777" w:rsidTr="00B428F3">
        <w:trPr>
          <w:trHeight w:val="20"/>
        </w:trPr>
        <w:tc>
          <w:tcPr>
            <w:tcW w:w="625" w:type="dxa"/>
          </w:tcPr>
          <w:p w14:paraId="68FCAF9C" w14:textId="77777777" w:rsidR="00436DAA" w:rsidRPr="00330234" w:rsidRDefault="009B4B8E" w:rsidP="00C07873">
            <w:pPr>
              <w:pStyle w:val="TableParagraph"/>
              <w:widowControl/>
              <w:jc w:val="center"/>
              <w:rPr>
                <w:sz w:val="20"/>
                <w:szCs w:val="20"/>
              </w:rPr>
            </w:pPr>
            <w:r w:rsidRPr="00330234">
              <w:rPr>
                <w:sz w:val="20"/>
                <w:szCs w:val="20"/>
              </w:rPr>
              <w:t>24</w:t>
            </w:r>
          </w:p>
        </w:tc>
        <w:tc>
          <w:tcPr>
            <w:tcW w:w="840" w:type="dxa"/>
          </w:tcPr>
          <w:p w14:paraId="69AB10A4" w14:textId="6BF7952B" w:rsidR="00436DAA" w:rsidRPr="00330234" w:rsidRDefault="009B4B8E" w:rsidP="00C07873">
            <w:pPr>
              <w:pStyle w:val="TableParagraph"/>
              <w:widowControl/>
              <w:jc w:val="center"/>
              <w:rPr>
                <w:sz w:val="20"/>
                <w:szCs w:val="20"/>
              </w:rPr>
            </w:pPr>
            <w:r w:rsidRPr="00330234">
              <w:rPr>
                <w:sz w:val="20"/>
                <w:szCs w:val="20"/>
              </w:rPr>
              <w:t>70</w:t>
            </w:r>
            <w:r w:rsidR="00C07873" w:rsidRPr="00330234">
              <w:rPr>
                <w:sz w:val="20"/>
                <w:szCs w:val="20"/>
              </w:rPr>
              <w:t> </w:t>
            </w:r>
            <w:r w:rsidRPr="00330234">
              <w:rPr>
                <w:sz w:val="20"/>
                <w:szCs w:val="20"/>
              </w:rPr>
              <w:t>%***</w:t>
            </w:r>
          </w:p>
        </w:tc>
        <w:tc>
          <w:tcPr>
            <w:tcW w:w="784" w:type="dxa"/>
          </w:tcPr>
          <w:p w14:paraId="62AA4F53" w14:textId="7F0B7F09" w:rsidR="00436DAA" w:rsidRPr="00330234" w:rsidRDefault="009B4B8E" w:rsidP="00C07873">
            <w:pPr>
              <w:pStyle w:val="TableParagraph"/>
              <w:widowControl/>
              <w:jc w:val="center"/>
              <w:rPr>
                <w:sz w:val="20"/>
                <w:szCs w:val="20"/>
              </w:rPr>
            </w:pPr>
            <w:r w:rsidRPr="00330234">
              <w:rPr>
                <w:sz w:val="20"/>
                <w:szCs w:val="20"/>
              </w:rPr>
              <w:t>52</w:t>
            </w:r>
            <w:r w:rsidR="00C07873" w:rsidRPr="00330234">
              <w:rPr>
                <w:sz w:val="20"/>
                <w:szCs w:val="20"/>
              </w:rPr>
              <w:t> </w:t>
            </w:r>
            <w:r w:rsidRPr="00330234">
              <w:rPr>
                <w:sz w:val="20"/>
                <w:szCs w:val="20"/>
              </w:rPr>
              <w:t>%</w:t>
            </w:r>
          </w:p>
        </w:tc>
        <w:tc>
          <w:tcPr>
            <w:tcW w:w="854" w:type="dxa"/>
          </w:tcPr>
          <w:p w14:paraId="3AB204A2" w14:textId="11977E2D" w:rsidR="00436DAA" w:rsidRPr="00330234" w:rsidRDefault="009B4B8E" w:rsidP="00C07873">
            <w:pPr>
              <w:pStyle w:val="TableParagraph"/>
              <w:widowControl/>
              <w:jc w:val="center"/>
              <w:rPr>
                <w:sz w:val="20"/>
                <w:szCs w:val="20"/>
              </w:rPr>
            </w:pPr>
            <w:r w:rsidRPr="00330234">
              <w:rPr>
                <w:sz w:val="20"/>
                <w:szCs w:val="20"/>
              </w:rPr>
              <w:t>56</w:t>
            </w:r>
            <w:r w:rsidR="00C07873" w:rsidRPr="00330234">
              <w:rPr>
                <w:sz w:val="20"/>
                <w:szCs w:val="20"/>
              </w:rPr>
              <w:t> </w:t>
            </w:r>
            <w:r w:rsidRPr="00330234">
              <w:rPr>
                <w:sz w:val="20"/>
                <w:szCs w:val="20"/>
              </w:rPr>
              <w:t>%***</w:t>
            </w:r>
          </w:p>
        </w:tc>
        <w:tc>
          <w:tcPr>
            <w:tcW w:w="798" w:type="dxa"/>
          </w:tcPr>
          <w:p w14:paraId="5A68A0C1" w14:textId="77777777" w:rsidR="00436DAA" w:rsidRPr="00330234" w:rsidRDefault="009B4B8E" w:rsidP="00C07873">
            <w:pPr>
              <w:pStyle w:val="TableParagraph"/>
              <w:widowControl/>
              <w:jc w:val="center"/>
              <w:rPr>
                <w:sz w:val="20"/>
                <w:szCs w:val="20"/>
              </w:rPr>
            </w:pPr>
            <w:r w:rsidRPr="00330234">
              <w:rPr>
                <w:sz w:val="20"/>
                <w:szCs w:val="20"/>
              </w:rPr>
              <w:t>27 %</w:t>
            </w:r>
          </w:p>
        </w:tc>
        <w:tc>
          <w:tcPr>
            <w:tcW w:w="854" w:type="dxa"/>
          </w:tcPr>
          <w:p w14:paraId="7AEBE726" w14:textId="77777777" w:rsidR="00436DAA" w:rsidRPr="00330234" w:rsidRDefault="009B4B8E" w:rsidP="00C07873">
            <w:pPr>
              <w:pStyle w:val="TableParagraph"/>
              <w:widowControl/>
              <w:jc w:val="center"/>
              <w:rPr>
                <w:sz w:val="20"/>
                <w:szCs w:val="20"/>
              </w:rPr>
            </w:pPr>
            <w:r w:rsidRPr="00330234">
              <w:rPr>
                <w:sz w:val="20"/>
                <w:szCs w:val="20"/>
              </w:rPr>
              <w:t>59 %***</w:t>
            </w:r>
          </w:p>
        </w:tc>
        <w:tc>
          <w:tcPr>
            <w:tcW w:w="812" w:type="dxa"/>
          </w:tcPr>
          <w:p w14:paraId="470F913E" w14:textId="77777777" w:rsidR="00436DAA" w:rsidRPr="00330234" w:rsidRDefault="009B4B8E" w:rsidP="00C07873">
            <w:pPr>
              <w:pStyle w:val="TableParagraph"/>
              <w:widowControl/>
              <w:jc w:val="center"/>
              <w:rPr>
                <w:sz w:val="20"/>
                <w:szCs w:val="20"/>
              </w:rPr>
            </w:pPr>
            <w:r w:rsidRPr="00330234">
              <w:rPr>
                <w:sz w:val="20"/>
                <w:szCs w:val="20"/>
              </w:rPr>
              <w:t>26 %</w:t>
            </w:r>
          </w:p>
        </w:tc>
        <w:tc>
          <w:tcPr>
            <w:tcW w:w="881" w:type="dxa"/>
          </w:tcPr>
          <w:p w14:paraId="3B43DBDA" w14:textId="77777777" w:rsidR="00436DAA" w:rsidRPr="00330234" w:rsidRDefault="009B4B8E" w:rsidP="00C07873">
            <w:pPr>
              <w:pStyle w:val="TableParagraph"/>
              <w:widowControl/>
              <w:jc w:val="center"/>
              <w:rPr>
                <w:sz w:val="20"/>
                <w:szCs w:val="20"/>
              </w:rPr>
            </w:pPr>
            <w:r w:rsidRPr="00330234">
              <w:rPr>
                <w:sz w:val="20"/>
                <w:szCs w:val="20"/>
              </w:rPr>
              <w:t>61 %***</w:t>
            </w:r>
          </w:p>
        </w:tc>
        <w:tc>
          <w:tcPr>
            <w:tcW w:w="896" w:type="dxa"/>
          </w:tcPr>
          <w:p w14:paraId="35561C5A" w14:textId="77777777" w:rsidR="00436DAA" w:rsidRPr="00330234" w:rsidRDefault="009B4B8E" w:rsidP="00C07873">
            <w:pPr>
              <w:pStyle w:val="TableParagraph"/>
              <w:widowControl/>
              <w:jc w:val="center"/>
              <w:rPr>
                <w:sz w:val="20"/>
                <w:szCs w:val="20"/>
              </w:rPr>
            </w:pPr>
            <w:r w:rsidRPr="00330234">
              <w:rPr>
                <w:sz w:val="20"/>
                <w:szCs w:val="20"/>
              </w:rPr>
              <w:t>24 %</w:t>
            </w:r>
          </w:p>
        </w:tc>
        <w:tc>
          <w:tcPr>
            <w:tcW w:w="840" w:type="dxa"/>
          </w:tcPr>
          <w:p w14:paraId="438A8096" w14:textId="77777777" w:rsidR="00436DAA" w:rsidRPr="00330234" w:rsidRDefault="009B4B8E" w:rsidP="00C07873">
            <w:pPr>
              <w:pStyle w:val="TableParagraph"/>
              <w:widowControl/>
              <w:jc w:val="center"/>
              <w:rPr>
                <w:sz w:val="20"/>
                <w:szCs w:val="20"/>
              </w:rPr>
            </w:pPr>
            <w:r w:rsidRPr="00330234">
              <w:rPr>
                <w:sz w:val="20"/>
                <w:szCs w:val="20"/>
              </w:rPr>
              <w:t>50 %***</w:t>
            </w:r>
          </w:p>
        </w:tc>
        <w:tc>
          <w:tcPr>
            <w:tcW w:w="882" w:type="dxa"/>
          </w:tcPr>
          <w:p w14:paraId="3373D6CE" w14:textId="77777777" w:rsidR="00436DAA" w:rsidRPr="00330234" w:rsidRDefault="009B4B8E" w:rsidP="00C07873">
            <w:pPr>
              <w:pStyle w:val="TableParagraph"/>
              <w:widowControl/>
              <w:jc w:val="center"/>
              <w:rPr>
                <w:sz w:val="20"/>
                <w:szCs w:val="20"/>
              </w:rPr>
            </w:pPr>
            <w:r w:rsidRPr="00330234">
              <w:rPr>
                <w:sz w:val="20"/>
                <w:szCs w:val="20"/>
              </w:rPr>
              <w:t>10 %</w:t>
            </w:r>
          </w:p>
        </w:tc>
      </w:tr>
      <w:tr w:rsidR="00B428F3" w:rsidRPr="00330234" w14:paraId="028E9F64" w14:textId="77777777" w:rsidTr="00B428F3">
        <w:trPr>
          <w:trHeight w:val="20"/>
        </w:trPr>
        <w:tc>
          <w:tcPr>
            <w:tcW w:w="625" w:type="dxa"/>
          </w:tcPr>
          <w:p w14:paraId="0B07AB02" w14:textId="77777777" w:rsidR="00436DAA" w:rsidRPr="00330234" w:rsidRDefault="009B4B8E" w:rsidP="00C07873">
            <w:pPr>
              <w:pStyle w:val="TableParagraph"/>
              <w:widowControl/>
              <w:jc w:val="center"/>
              <w:rPr>
                <w:sz w:val="20"/>
                <w:szCs w:val="20"/>
              </w:rPr>
            </w:pPr>
            <w:r w:rsidRPr="00330234">
              <w:rPr>
                <w:sz w:val="20"/>
                <w:szCs w:val="20"/>
              </w:rPr>
              <w:t>52</w:t>
            </w:r>
          </w:p>
        </w:tc>
        <w:tc>
          <w:tcPr>
            <w:tcW w:w="840" w:type="dxa"/>
          </w:tcPr>
          <w:p w14:paraId="4038201A" w14:textId="77777777" w:rsidR="00436DAA" w:rsidRPr="00330234" w:rsidRDefault="00436DAA" w:rsidP="00C07873">
            <w:pPr>
              <w:pStyle w:val="TableParagraph"/>
              <w:widowControl/>
              <w:jc w:val="center"/>
              <w:rPr>
                <w:sz w:val="20"/>
                <w:szCs w:val="20"/>
              </w:rPr>
            </w:pPr>
          </w:p>
        </w:tc>
        <w:tc>
          <w:tcPr>
            <w:tcW w:w="784" w:type="dxa"/>
          </w:tcPr>
          <w:p w14:paraId="44345E03" w14:textId="77777777" w:rsidR="00436DAA" w:rsidRPr="00330234" w:rsidRDefault="00436DAA" w:rsidP="00C07873">
            <w:pPr>
              <w:pStyle w:val="TableParagraph"/>
              <w:widowControl/>
              <w:jc w:val="center"/>
              <w:rPr>
                <w:sz w:val="20"/>
                <w:szCs w:val="20"/>
              </w:rPr>
            </w:pPr>
          </w:p>
        </w:tc>
        <w:tc>
          <w:tcPr>
            <w:tcW w:w="854" w:type="dxa"/>
          </w:tcPr>
          <w:p w14:paraId="28076764" w14:textId="77777777" w:rsidR="00436DAA" w:rsidRPr="00330234" w:rsidRDefault="009B4B8E" w:rsidP="00C07873">
            <w:pPr>
              <w:pStyle w:val="TableParagraph"/>
              <w:widowControl/>
              <w:jc w:val="center"/>
              <w:rPr>
                <w:sz w:val="20"/>
                <w:szCs w:val="20"/>
              </w:rPr>
            </w:pPr>
            <w:r w:rsidRPr="00330234">
              <w:rPr>
                <w:sz w:val="20"/>
                <w:szCs w:val="20"/>
              </w:rPr>
              <w:t>56 %***</w:t>
            </w:r>
          </w:p>
        </w:tc>
        <w:tc>
          <w:tcPr>
            <w:tcW w:w="798" w:type="dxa"/>
          </w:tcPr>
          <w:p w14:paraId="3F163A0D" w14:textId="77777777" w:rsidR="00436DAA" w:rsidRPr="00330234" w:rsidRDefault="009B4B8E" w:rsidP="00C07873">
            <w:pPr>
              <w:pStyle w:val="TableParagraph"/>
              <w:widowControl/>
              <w:jc w:val="center"/>
              <w:rPr>
                <w:sz w:val="20"/>
                <w:szCs w:val="20"/>
              </w:rPr>
            </w:pPr>
            <w:r w:rsidRPr="00330234">
              <w:rPr>
                <w:sz w:val="20"/>
                <w:szCs w:val="20"/>
              </w:rPr>
              <w:t>25 %</w:t>
            </w:r>
          </w:p>
        </w:tc>
        <w:tc>
          <w:tcPr>
            <w:tcW w:w="854" w:type="dxa"/>
          </w:tcPr>
          <w:p w14:paraId="52BDCC94" w14:textId="77777777" w:rsidR="00436DAA" w:rsidRPr="00330234" w:rsidRDefault="00436DAA" w:rsidP="00C07873">
            <w:pPr>
              <w:pStyle w:val="TableParagraph"/>
              <w:widowControl/>
              <w:jc w:val="center"/>
              <w:rPr>
                <w:sz w:val="20"/>
                <w:szCs w:val="20"/>
              </w:rPr>
            </w:pPr>
          </w:p>
        </w:tc>
        <w:tc>
          <w:tcPr>
            <w:tcW w:w="812" w:type="dxa"/>
          </w:tcPr>
          <w:p w14:paraId="565E2B06" w14:textId="77777777" w:rsidR="00436DAA" w:rsidRPr="00330234" w:rsidRDefault="00436DAA" w:rsidP="00C07873">
            <w:pPr>
              <w:pStyle w:val="TableParagraph"/>
              <w:widowControl/>
              <w:jc w:val="center"/>
              <w:rPr>
                <w:sz w:val="20"/>
                <w:szCs w:val="20"/>
              </w:rPr>
            </w:pPr>
          </w:p>
        </w:tc>
        <w:tc>
          <w:tcPr>
            <w:tcW w:w="881" w:type="dxa"/>
          </w:tcPr>
          <w:p w14:paraId="75A5562D" w14:textId="77777777" w:rsidR="00436DAA" w:rsidRPr="00330234" w:rsidRDefault="00436DAA" w:rsidP="00C07873">
            <w:pPr>
              <w:pStyle w:val="TableParagraph"/>
              <w:widowControl/>
              <w:jc w:val="center"/>
              <w:rPr>
                <w:sz w:val="20"/>
                <w:szCs w:val="20"/>
              </w:rPr>
            </w:pPr>
          </w:p>
        </w:tc>
        <w:tc>
          <w:tcPr>
            <w:tcW w:w="896" w:type="dxa"/>
          </w:tcPr>
          <w:p w14:paraId="62E7E3BF" w14:textId="77777777" w:rsidR="00436DAA" w:rsidRPr="00330234" w:rsidRDefault="00436DAA" w:rsidP="00C07873">
            <w:pPr>
              <w:pStyle w:val="TableParagraph"/>
              <w:widowControl/>
              <w:jc w:val="center"/>
              <w:rPr>
                <w:sz w:val="20"/>
                <w:szCs w:val="20"/>
              </w:rPr>
            </w:pPr>
          </w:p>
        </w:tc>
        <w:tc>
          <w:tcPr>
            <w:tcW w:w="840" w:type="dxa"/>
          </w:tcPr>
          <w:p w14:paraId="751909B3" w14:textId="77777777" w:rsidR="00436DAA" w:rsidRPr="00330234" w:rsidRDefault="00436DAA" w:rsidP="00C07873">
            <w:pPr>
              <w:pStyle w:val="TableParagraph"/>
              <w:widowControl/>
              <w:jc w:val="center"/>
              <w:rPr>
                <w:sz w:val="20"/>
                <w:szCs w:val="20"/>
              </w:rPr>
            </w:pPr>
          </w:p>
        </w:tc>
        <w:tc>
          <w:tcPr>
            <w:tcW w:w="882" w:type="dxa"/>
          </w:tcPr>
          <w:p w14:paraId="5C9606C5" w14:textId="77777777" w:rsidR="00436DAA" w:rsidRPr="00330234" w:rsidRDefault="00436DAA" w:rsidP="00C07873">
            <w:pPr>
              <w:pStyle w:val="TableParagraph"/>
              <w:widowControl/>
              <w:jc w:val="center"/>
              <w:rPr>
                <w:sz w:val="20"/>
                <w:szCs w:val="20"/>
              </w:rPr>
            </w:pPr>
          </w:p>
        </w:tc>
      </w:tr>
      <w:tr w:rsidR="00436DAA" w:rsidRPr="00330234" w14:paraId="00C2A14C" w14:textId="77777777" w:rsidTr="00B428F3">
        <w:trPr>
          <w:trHeight w:val="20"/>
        </w:trPr>
        <w:tc>
          <w:tcPr>
            <w:tcW w:w="9066" w:type="dxa"/>
            <w:gridSpan w:val="11"/>
          </w:tcPr>
          <w:p w14:paraId="3485816A" w14:textId="77777777" w:rsidR="00436DAA" w:rsidRPr="00330234" w:rsidRDefault="009B4B8E" w:rsidP="00C07873">
            <w:pPr>
              <w:pStyle w:val="TableParagraph"/>
              <w:widowControl/>
              <w:jc w:val="center"/>
              <w:rPr>
                <w:b/>
                <w:sz w:val="20"/>
                <w:szCs w:val="20"/>
              </w:rPr>
            </w:pPr>
            <w:r w:rsidRPr="00330234">
              <w:rPr>
                <w:b/>
                <w:sz w:val="20"/>
                <w:szCs w:val="20"/>
              </w:rPr>
              <w:t>ACR50</w:t>
            </w:r>
          </w:p>
        </w:tc>
      </w:tr>
      <w:tr w:rsidR="00B428F3" w:rsidRPr="00330234" w14:paraId="3B528ACC" w14:textId="77777777" w:rsidTr="00B428F3">
        <w:trPr>
          <w:trHeight w:val="20"/>
        </w:trPr>
        <w:tc>
          <w:tcPr>
            <w:tcW w:w="625" w:type="dxa"/>
          </w:tcPr>
          <w:p w14:paraId="45B2864C" w14:textId="77777777" w:rsidR="00436DAA" w:rsidRPr="00330234" w:rsidRDefault="009B4B8E" w:rsidP="00C07873">
            <w:pPr>
              <w:pStyle w:val="TableParagraph"/>
              <w:widowControl/>
              <w:jc w:val="center"/>
              <w:rPr>
                <w:sz w:val="20"/>
                <w:szCs w:val="20"/>
              </w:rPr>
            </w:pPr>
            <w:r w:rsidRPr="00330234">
              <w:rPr>
                <w:sz w:val="20"/>
                <w:szCs w:val="20"/>
              </w:rPr>
              <w:t>24</w:t>
            </w:r>
          </w:p>
        </w:tc>
        <w:tc>
          <w:tcPr>
            <w:tcW w:w="840" w:type="dxa"/>
          </w:tcPr>
          <w:p w14:paraId="6CD6F975" w14:textId="77777777" w:rsidR="00436DAA" w:rsidRPr="00330234" w:rsidRDefault="009B4B8E" w:rsidP="00C07873">
            <w:pPr>
              <w:pStyle w:val="TableParagraph"/>
              <w:widowControl/>
              <w:jc w:val="center"/>
              <w:rPr>
                <w:sz w:val="20"/>
                <w:szCs w:val="20"/>
              </w:rPr>
            </w:pPr>
            <w:r w:rsidRPr="00330234">
              <w:rPr>
                <w:sz w:val="20"/>
                <w:szCs w:val="20"/>
              </w:rPr>
              <w:t>44 %**</w:t>
            </w:r>
          </w:p>
        </w:tc>
        <w:tc>
          <w:tcPr>
            <w:tcW w:w="784" w:type="dxa"/>
          </w:tcPr>
          <w:p w14:paraId="0E2CFFBC" w14:textId="77777777" w:rsidR="00436DAA" w:rsidRPr="00330234" w:rsidRDefault="009B4B8E" w:rsidP="00C07873">
            <w:pPr>
              <w:pStyle w:val="TableParagraph"/>
              <w:widowControl/>
              <w:jc w:val="center"/>
              <w:rPr>
                <w:sz w:val="20"/>
                <w:szCs w:val="20"/>
              </w:rPr>
            </w:pPr>
            <w:r w:rsidRPr="00330234">
              <w:rPr>
                <w:sz w:val="20"/>
                <w:szCs w:val="20"/>
              </w:rPr>
              <w:t>33 %</w:t>
            </w:r>
          </w:p>
        </w:tc>
        <w:tc>
          <w:tcPr>
            <w:tcW w:w="854" w:type="dxa"/>
          </w:tcPr>
          <w:p w14:paraId="6F5B7715" w14:textId="77777777" w:rsidR="00436DAA" w:rsidRPr="00330234" w:rsidRDefault="009B4B8E" w:rsidP="00C07873">
            <w:pPr>
              <w:pStyle w:val="TableParagraph"/>
              <w:widowControl/>
              <w:jc w:val="center"/>
              <w:rPr>
                <w:sz w:val="20"/>
                <w:szCs w:val="20"/>
              </w:rPr>
            </w:pPr>
            <w:r w:rsidRPr="00330234">
              <w:rPr>
                <w:sz w:val="20"/>
                <w:szCs w:val="20"/>
              </w:rPr>
              <w:t>32 %***</w:t>
            </w:r>
          </w:p>
        </w:tc>
        <w:tc>
          <w:tcPr>
            <w:tcW w:w="798" w:type="dxa"/>
          </w:tcPr>
          <w:p w14:paraId="22F44BC7" w14:textId="77777777" w:rsidR="00436DAA" w:rsidRPr="00330234" w:rsidRDefault="009B4B8E" w:rsidP="00C07873">
            <w:pPr>
              <w:pStyle w:val="TableParagraph"/>
              <w:widowControl/>
              <w:jc w:val="center"/>
              <w:rPr>
                <w:sz w:val="20"/>
                <w:szCs w:val="20"/>
              </w:rPr>
            </w:pPr>
            <w:r w:rsidRPr="00330234">
              <w:rPr>
                <w:sz w:val="20"/>
                <w:szCs w:val="20"/>
              </w:rPr>
              <w:t>10 %</w:t>
            </w:r>
          </w:p>
        </w:tc>
        <w:tc>
          <w:tcPr>
            <w:tcW w:w="854" w:type="dxa"/>
          </w:tcPr>
          <w:p w14:paraId="110BE18B" w14:textId="77777777" w:rsidR="00436DAA" w:rsidRPr="00330234" w:rsidRDefault="009B4B8E" w:rsidP="00C07873">
            <w:pPr>
              <w:pStyle w:val="TableParagraph"/>
              <w:widowControl/>
              <w:jc w:val="center"/>
              <w:rPr>
                <w:sz w:val="20"/>
                <w:szCs w:val="20"/>
              </w:rPr>
            </w:pPr>
            <w:r w:rsidRPr="00330234">
              <w:rPr>
                <w:sz w:val="20"/>
                <w:szCs w:val="20"/>
              </w:rPr>
              <w:t>44 %***</w:t>
            </w:r>
          </w:p>
        </w:tc>
        <w:tc>
          <w:tcPr>
            <w:tcW w:w="812" w:type="dxa"/>
          </w:tcPr>
          <w:p w14:paraId="0FD85995" w14:textId="77777777" w:rsidR="00436DAA" w:rsidRPr="00330234" w:rsidRDefault="009B4B8E" w:rsidP="00C07873">
            <w:pPr>
              <w:pStyle w:val="TableParagraph"/>
              <w:widowControl/>
              <w:jc w:val="center"/>
              <w:rPr>
                <w:sz w:val="20"/>
                <w:szCs w:val="20"/>
              </w:rPr>
            </w:pPr>
            <w:r w:rsidRPr="00330234">
              <w:rPr>
                <w:sz w:val="20"/>
                <w:szCs w:val="20"/>
              </w:rPr>
              <w:t>11 %</w:t>
            </w:r>
          </w:p>
        </w:tc>
        <w:tc>
          <w:tcPr>
            <w:tcW w:w="881" w:type="dxa"/>
          </w:tcPr>
          <w:p w14:paraId="79F15290" w14:textId="77777777" w:rsidR="00436DAA" w:rsidRPr="00330234" w:rsidRDefault="009B4B8E" w:rsidP="00C07873">
            <w:pPr>
              <w:pStyle w:val="TableParagraph"/>
              <w:widowControl/>
              <w:jc w:val="center"/>
              <w:rPr>
                <w:sz w:val="20"/>
                <w:szCs w:val="20"/>
              </w:rPr>
            </w:pPr>
            <w:r w:rsidRPr="00330234">
              <w:rPr>
                <w:sz w:val="20"/>
                <w:szCs w:val="20"/>
              </w:rPr>
              <w:t>38 %***</w:t>
            </w:r>
          </w:p>
        </w:tc>
        <w:tc>
          <w:tcPr>
            <w:tcW w:w="896" w:type="dxa"/>
          </w:tcPr>
          <w:p w14:paraId="39F94950" w14:textId="77777777" w:rsidR="00436DAA" w:rsidRPr="00330234" w:rsidRDefault="009B4B8E" w:rsidP="00C07873">
            <w:pPr>
              <w:pStyle w:val="TableParagraph"/>
              <w:widowControl/>
              <w:jc w:val="center"/>
              <w:rPr>
                <w:sz w:val="20"/>
                <w:szCs w:val="20"/>
              </w:rPr>
            </w:pPr>
            <w:r w:rsidRPr="00330234">
              <w:rPr>
                <w:sz w:val="20"/>
                <w:szCs w:val="20"/>
              </w:rPr>
              <w:t>9 %</w:t>
            </w:r>
          </w:p>
        </w:tc>
        <w:tc>
          <w:tcPr>
            <w:tcW w:w="840" w:type="dxa"/>
          </w:tcPr>
          <w:p w14:paraId="2B7E443A" w14:textId="77777777" w:rsidR="00436DAA" w:rsidRPr="00330234" w:rsidRDefault="009B4B8E" w:rsidP="00C07873">
            <w:pPr>
              <w:pStyle w:val="TableParagraph"/>
              <w:widowControl/>
              <w:jc w:val="center"/>
              <w:rPr>
                <w:sz w:val="20"/>
                <w:szCs w:val="20"/>
              </w:rPr>
            </w:pPr>
            <w:r w:rsidRPr="00330234">
              <w:rPr>
                <w:sz w:val="20"/>
                <w:szCs w:val="20"/>
              </w:rPr>
              <w:t>29 %***</w:t>
            </w:r>
          </w:p>
        </w:tc>
        <w:tc>
          <w:tcPr>
            <w:tcW w:w="882" w:type="dxa"/>
          </w:tcPr>
          <w:p w14:paraId="260C2775" w14:textId="77777777" w:rsidR="00436DAA" w:rsidRPr="00330234" w:rsidRDefault="009B4B8E" w:rsidP="00C07873">
            <w:pPr>
              <w:pStyle w:val="TableParagraph"/>
              <w:widowControl/>
              <w:jc w:val="center"/>
              <w:rPr>
                <w:sz w:val="20"/>
                <w:szCs w:val="20"/>
              </w:rPr>
            </w:pPr>
            <w:r w:rsidRPr="00330234">
              <w:rPr>
                <w:sz w:val="20"/>
                <w:szCs w:val="20"/>
              </w:rPr>
              <w:t>4 %</w:t>
            </w:r>
          </w:p>
        </w:tc>
      </w:tr>
      <w:tr w:rsidR="00B428F3" w:rsidRPr="00330234" w14:paraId="5014F46E" w14:textId="77777777" w:rsidTr="00B428F3">
        <w:trPr>
          <w:trHeight w:val="20"/>
        </w:trPr>
        <w:tc>
          <w:tcPr>
            <w:tcW w:w="625" w:type="dxa"/>
          </w:tcPr>
          <w:p w14:paraId="68A37F09" w14:textId="77777777" w:rsidR="00436DAA" w:rsidRPr="00330234" w:rsidRDefault="009B4B8E" w:rsidP="00C07873">
            <w:pPr>
              <w:pStyle w:val="TableParagraph"/>
              <w:widowControl/>
              <w:jc w:val="center"/>
              <w:rPr>
                <w:sz w:val="20"/>
                <w:szCs w:val="20"/>
              </w:rPr>
            </w:pPr>
            <w:r w:rsidRPr="00330234">
              <w:rPr>
                <w:sz w:val="20"/>
                <w:szCs w:val="20"/>
              </w:rPr>
              <w:t>52</w:t>
            </w:r>
          </w:p>
        </w:tc>
        <w:tc>
          <w:tcPr>
            <w:tcW w:w="840" w:type="dxa"/>
          </w:tcPr>
          <w:p w14:paraId="634D6EAF" w14:textId="77777777" w:rsidR="00436DAA" w:rsidRPr="00330234" w:rsidRDefault="00436DAA" w:rsidP="00C07873">
            <w:pPr>
              <w:pStyle w:val="TableParagraph"/>
              <w:widowControl/>
              <w:jc w:val="center"/>
              <w:rPr>
                <w:sz w:val="20"/>
                <w:szCs w:val="20"/>
              </w:rPr>
            </w:pPr>
          </w:p>
        </w:tc>
        <w:tc>
          <w:tcPr>
            <w:tcW w:w="784" w:type="dxa"/>
          </w:tcPr>
          <w:p w14:paraId="2C9C176D" w14:textId="77777777" w:rsidR="00436DAA" w:rsidRPr="00330234" w:rsidRDefault="00436DAA" w:rsidP="00C07873">
            <w:pPr>
              <w:pStyle w:val="TableParagraph"/>
              <w:widowControl/>
              <w:jc w:val="center"/>
              <w:rPr>
                <w:sz w:val="20"/>
                <w:szCs w:val="20"/>
              </w:rPr>
            </w:pPr>
          </w:p>
        </w:tc>
        <w:tc>
          <w:tcPr>
            <w:tcW w:w="854" w:type="dxa"/>
          </w:tcPr>
          <w:p w14:paraId="7B3B80FE" w14:textId="77777777" w:rsidR="00436DAA" w:rsidRPr="00330234" w:rsidRDefault="009B4B8E" w:rsidP="00C07873">
            <w:pPr>
              <w:pStyle w:val="TableParagraph"/>
              <w:widowControl/>
              <w:jc w:val="center"/>
              <w:rPr>
                <w:sz w:val="20"/>
                <w:szCs w:val="20"/>
              </w:rPr>
            </w:pPr>
            <w:r w:rsidRPr="00330234">
              <w:rPr>
                <w:sz w:val="20"/>
                <w:szCs w:val="20"/>
              </w:rPr>
              <w:t>36 %***</w:t>
            </w:r>
          </w:p>
        </w:tc>
        <w:tc>
          <w:tcPr>
            <w:tcW w:w="798" w:type="dxa"/>
          </w:tcPr>
          <w:p w14:paraId="34D08CA8" w14:textId="77777777" w:rsidR="00436DAA" w:rsidRPr="00330234" w:rsidRDefault="009B4B8E" w:rsidP="00C07873">
            <w:pPr>
              <w:pStyle w:val="TableParagraph"/>
              <w:widowControl/>
              <w:jc w:val="center"/>
              <w:rPr>
                <w:sz w:val="20"/>
                <w:szCs w:val="20"/>
              </w:rPr>
            </w:pPr>
            <w:r w:rsidRPr="00330234">
              <w:rPr>
                <w:sz w:val="20"/>
                <w:szCs w:val="20"/>
              </w:rPr>
              <w:t>10 %</w:t>
            </w:r>
          </w:p>
        </w:tc>
        <w:tc>
          <w:tcPr>
            <w:tcW w:w="854" w:type="dxa"/>
          </w:tcPr>
          <w:p w14:paraId="3FB0D097" w14:textId="77777777" w:rsidR="00436DAA" w:rsidRPr="00330234" w:rsidRDefault="00436DAA" w:rsidP="00C07873">
            <w:pPr>
              <w:pStyle w:val="TableParagraph"/>
              <w:widowControl/>
              <w:jc w:val="center"/>
              <w:rPr>
                <w:sz w:val="20"/>
                <w:szCs w:val="20"/>
              </w:rPr>
            </w:pPr>
          </w:p>
        </w:tc>
        <w:tc>
          <w:tcPr>
            <w:tcW w:w="812" w:type="dxa"/>
          </w:tcPr>
          <w:p w14:paraId="7D3EF63C" w14:textId="77777777" w:rsidR="00436DAA" w:rsidRPr="00330234" w:rsidRDefault="00436DAA" w:rsidP="00C07873">
            <w:pPr>
              <w:pStyle w:val="TableParagraph"/>
              <w:widowControl/>
              <w:jc w:val="center"/>
              <w:rPr>
                <w:sz w:val="20"/>
                <w:szCs w:val="20"/>
              </w:rPr>
            </w:pPr>
          </w:p>
        </w:tc>
        <w:tc>
          <w:tcPr>
            <w:tcW w:w="881" w:type="dxa"/>
          </w:tcPr>
          <w:p w14:paraId="737963A4" w14:textId="77777777" w:rsidR="00436DAA" w:rsidRPr="00330234" w:rsidRDefault="00436DAA" w:rsidP="00C07873">
            <w:pPr>
              <w:pStyle w:val="TableParagraph"/>
              <w:widowControl/>
              <w:jc w:val="center"/>
              <w:rPr>
                <w:sz w:val="20"/>
                <w:szCs w:val="20"/>
              </w:rPr>
            </w:pPr>
          </w:p>
        </w:tc>
        <w:tc>
          <w:tcPr>
            <w:tcW w:w="896" w:type="dxa"/>
          </w:tcPr>
          <w:p w14:paraId="12F0708F" w14:textId="77777777" w:rsidR="00436DAA" w:rsidRPr="00330234" w:rsidRDefault="00436DAA" w:rsidP="00C07873">
            <w:pPr>
              <w:pStyle w:val="TableParagraph"/>
              <w:widowControl/>
              <w:jc w:val="center"/>
              <w:rPr>
                <w:sz w:val="20"/>
                <w:szCs w:val="20"/>
              </w:rPr>
            </w:pPr>
          </w:p>
        </w:tc>
        <w:tc>
          <w:tcPr>
            <w:tcW w:w="840" w:type="dxa"/>
          </w:tcPr>
          <w:p w14:paraId="2D1AD9AB" w14:textId="77777777" w:rsidR="00436DAA" w:rsidRPr="00330234" w:rsidRDefault="00436DAA" w:rsidP="00C07873">
            <w:pPr>
              <w:pStyle w:val="TableParagraph"/>
              <w:widowControl/>
              <w:jc w:val="center"/>
              <w:rPr>
                <w:sz w:val="20"/>
                <w:szCs w:val="20"/>
              </w:rPr>
            </w:pPr>
          </w:p>
        </w:tc>
        <w:tc>
          <w:tcPr>
            <w:tcW w:w="882" w:type="dxa"/>
          </w:tcPr>
          <w:p w14:paraId="7A1D460A" w14:textId="77777777" w:rsidR="00436DAA" w:rsidRPr="00330234" w:rsidRDefault="00436DAA" w:rsidP="00C07873">
            <w:pPr>
              <w:pStyle w:val="TableParagraph"/>
              <w:widowControl/>
              <w:jc w:val="center"/>
              <w:rPr>
                <w:sz w:val="20"/>
                <w:szCs w:val="20"/>
              </w:rPr>
            </w:pPr>
          </w:p>
        </w:tc>
      </w:tr>
      <w:tr w:rsidR="00436DAA" w:rsidRPr="00330234" w14:paraId="32BB8E26" w14:textId="77777777" w:rsidTr="00B428F3">
        <w:trPr>
          <w:trHeight w:val="20"/>
        </w:trPr>
        <w:tc>
          <w:tcPr>
            <w:tcW w:w="9066" w:type="dxa"/>
            <w:gridSpan w:val="11"/>
          </w:tcPr>
          <w:p w14:paraId="4EF1F11C" w14:textId="77777777" w:rsidR="00436DAA" w:rsidRPr="00330234" w:rsidRDefault="009B4B8E" w:rsidP="00C07873">
            <w:pPr>
              <w:pStyle w:val="TableParagraph"/>
              <w:widowControl/>
              <w:jc w:val="center"/>
              <w:rPr>
                <w:b/>
                <w:sz w:val="20"/>
                <w:szCs w:val="20"/>
              </w:rPr>
            </w:pPr>
            <w:r w:rsidRPr="00330234">
              <w:rPr>
                <w:b/>
                <w:sz w:val="20"/>
                <w:szCs w:val="20"/>
              </w:rPr>
              <w:t>ACR70</w:t>
            </w:r>
          </w:p>
        </w:tc>
      </w:tr>
      <w:tr w:rsidR="00B428F3" w:rsidRPr="00330234" w14:paraId="34767187" w14:textId="77777777" w:rsidTr="00B428F3">
        <w:trPr>
          <w:trHeight w:val="20"/>
        </w:trPr>
        <w:tc>
          <w:tcPr>
            <w:tcW w:w="625" w:type="dxa"/>
          </w:tcPr>
          <w:p w14:paraId="60490C83" w14:textId="77777777" w:rsidR="00436DAA" w:rsidRPr="00330234" w:rsidRDefault="009B4B8E" w:rsidP="00C07873">
            <w:pPr>
              <w:pStyle w:val="TableParagraph"/>
              <w:widowControl/>
              <w:jc w:val="center"/>
              <w:rPr>
                <w:sz w:val="20"/>
                <w:szCs w:val="20"/>
              </w:rPr>
            </w:pPr>
            <w:r w:rsidRPr="00330234">
              <w:rPr>
                <w:sz w:val="20"/>
                <w:szCs w:val="20"/>
              </w:rPr>
              <w:t>24</w:t>
            </w:r>
          </w:p>
        </w:tc>
        <w:tc>
          <w:tcPr>
            <w:tcW w:w="840" w:type="dxa"/>
          </w:tcPr>
          <w:p w14:paraId="6D71ED15" w14:textId="77777777" w:rsidR="00436DAA" w:rsidRPr="00330234" w:rsidRDefault="009B4B8E" w:rsidP="00C07873">
            <w:pPr>
              <w:pStyle w:val="TableParagraph"/>
              <w:widowControl/>
              <w:jc w:val="center"/>
              <w:rPr>
                <w:sz w:val="20"/>
                <w:szCs w:val="20"/>
              </w:rPr>
            </w:pPr>
            <w:r w:rsidRPr="00330234">
              <w:rPr>
                <w:sz w:val="20"/>
                <w:szCs w:val="20"/>
              </w:rPr>
              <w:t>28 %**</w:t>
            </w:r>
          </w:p>
        </w:tc>
        <w:tc>
          <w:tcPr>
            <w:tcW w:w="784" w:type="dxa"/>
          </w:tcPr>
          <w:p w14:paraId="46A12342" w14:textId="77777777" w:rsidR="00436DAA" w:rsidRPr="00330234" w:rsidRDefault="009B4B8E" w:rsidP="00C07873">
            <w:pPr>
              <w:pStyle w:val="TableParagraph"/>
              <w:widowControl/>
              <w:jc w:val="center"/>
              <w:rPr>
                <w:sz w:val="20"/>
                <w:szCs w:val="20"/>
              </w:rPr>
            </w:pPr>
            <w:r w:rsidRPr="00330234">
              <w:rPr>
                <w:sz w:val="20"/>
                <w:szCs w:val="20"/>
              </w:rPr>
              <w:t>15 %</w:t>
            </w:r>
          </w:p>
        </w:tc>
        <w:tc>
          <w:tcPr>
            <w:tcW w:w="854" w:type="dxa"/>
          </w:tcPr>
          <w:p w14:paraId="2ED272B8" w14:textId="77777777" w:rsidR="00436DAA" w:rsidRPr="00330234" w:rsidRDefault="009B4B8E" w:rsidP="00C07873">
            <w:pPr>
              <w:pStyle w:val="TableParagraph"/>
              <w:widowControl/>
              <w:jc w:val="center"/>
              <w:rPr>
                <w:sz w:val="20"/>
                <w:szCs w:val="20"/>
              </w:rPr>
            </w:pPr>
            <w:r w:rsidRPr="00330234">
              <w:rPr>
                <w:sz w:val="20"/>
                <w:szCs w:val="20"/>
              </w:rPr>
              <w:t>13 %***</w:t>
            </w:r>
          </w:p>
        </w:tc>
        <w:tc>
          <w:tcPr>
            <w:tcW w:w="798" w:type="dxa"/>
          </w:tcPr>
          <w:p w14:paraId="5A87CB38" w14:textId="77777777" w:rsidR="00436DAA" w:rsidRPr="00330234" w:rsidRDefault="009B4B8E" w:rsidP="00C07873">
            <w:pPr>
              <w:pStyle w:val="TableParagraph"/>
              <w:widowControl/>
              <w:jc w:val="center"/>
              <w:rPr>
                <w:sz w:val="20"/>
                <w:szCs w:val="20"/>
              </w:rPr>
            </w:pPr>
            <w:r w:rsidRPr="00330234">
              <w:rPr>
                <w:sz w:val="20"/>
                <w:szCs w:val="20"/>
              </w:rPr>
              <w:t>2 %</w:t>
            </w:r>
          </w:p>
        </w:tc>
        <w:tc>
          <w:tcPr>
            <w:tcW w:w="854" w:type="dxa"/>
          </w:tcPr>
          <w:p w14:paraId="268BFD09" w14:textId="77777777" w:rsidR="00436DAA" w:rsidRPr="00330234" w:rsidRDefault="009B4B8E" w:rsidP="00C07873">
            <w:pPr>
              <w:pStyle w:val="TableParagraph"/>
              <w:widowControl/>
              <w:jc w:val="center"/>
              <w:rPr>
                <w:sz w:val="20"/>
                <w:szCs w:val="20"/>
              </w:rPr>
            </w:pPr>
            <w:r w:rsidRPr="00330234">
              <w:rPr>
                <w:sz w:val="20"/>
                <w:szCs w:val="20"/>
              </w:rPr>
              <w:t>22 %***</w:t>
            </w:r>
          </w:p>
        </w:tc>
        <w:tc>
          <w:tcPr>
            <w:tcW w:w="812" w:type="dxa"/>
          </w:tcPr>
          <w:p w14:paraId="63770601" w14:textId="77777777" w:rsidR="00436DAA" w:rsidRPr="00330234" w:rsidRDefault="009B4B8E" w:rsidP="00C07873">
            <w:pPr>
              <w:pStyle w:val="TableParagraph"/>
              <w:widowControl/>
              <w:jc w:val="center"/>
              <w:rPr>
                <w:sz w:val="20"/>
                <w:szCs w:val="20"/>
              </w:rPr>
            </w:pPr>
            <w:r w:rsidRPr="00330234">
              <w:rPr>
                <w:sz w:val="20"/>
                <w:szCs w:val="20"/>
              </w:rPr>
              <w:t>2 %</w:t>
            </w:r>
          </w:p>
        </w:tc>
        <w:tc>
          <w:tcPr>
            <w:tcW w:w="881" w:type="dxa"/>
          </w:tcPr>
          <w:p w14:paraId="682E35FE" w14:textId="77777777" w:rsidR="00436DAA" w:rsidRPr="00330234" w:rsidRDefault="009B4B8E" w:rsidP="00C07873">
            <w:pPr>
              <w:pStyle w:val="TableParagraph"/>
              <w:widowControl/>
              <w:jc w:val="center"/>
              <w:rPr>
                <w:sz w:val="20"/>
                <w:szCs w:val="20"/>
              </w:rPr>
            </w:pPr>
            <w:r w:rsidRPr="00330234">
              <w:rPr>
                <w:sz w:val="20"/>
                <w:szCs w:val="20"/>
              </w:rPr>
              <w:t>21 %***</w:t>
            </w:r>
          </w:p>
        </w:tc>
        <w:tc>
          <w:tcPr>
            <w:tcW w:w="896" w:type="dxa"/>
          </w:tcPr>
          <w:p w14:paraId="4FDA451D" w14:textId="77777777" w:rsidR="00436DAA" w:rsidRPr="00330234" w:rsidRDefault="009B4B8E" w:rsidP="00C07873">
            <w:pPr>
              <w:pStyle w:val="TableParagraph"/>
              <w:widowControl/>
              <w:jc w:val="center"/>
              <w:rPr>
                <w:sz w:val="20"/>
                <w:szCs w:val="20"/>
              </w:rPr>
            </w:pPr>
            <w:r w:rsidRPr="00330234">
              <w:rPr>
                <w:sz w:val="20"/>
                <w:szCs w:val="20"/>
              </w:rPr>
              <w:t>3 %</w:t>
            </w:r>
          </w:p>
        </w:tc>
        <w:tc>
          <w:tcPr>
            <w:tcW w:w="840" w:type="dxa"/>
          </w:tcPr>
          <w:p w14:paraId="039A3C56" w14:textId="77777777" w:rsidR="00436DAA" w:rsidRPr="00330234" w:rsidRDefault="009B4B8E" w:rsidP="00C07873">
            <w:pPr>
              <w:pStyle w:val="TableParagraph"/>
              <w:widowControl/>
              <w:jc w:val="center"/>
              <w:rPr>
                <w:sz w:val="20"/>
                <w:szCs w:val="20"/>
              </w:rPr>
            </w:pPr>
            <w:r w:rsidRPr="00330234">
              <w:rPr>
                <w:sz w:val="20"/>
                <w:szCs w:val="20"/>
              </w:rPr>
              <w:t>12 %**</w:t>
            </w:r>
          </w:p>
        </w:tc>
        <w:tc>
          <w:tcPr>
            <w:tcW w:w="882" w:type="dxa"/>
          </w:tcPr>
          <w:p w14:paraId="4F0957B4" w14:textId="77777777" w:rsidR="00436DAA" w:rsidRPr="00330234" w:rsidRDefault="009B4B8E" w:rsidP="00C07873">
            <w:pPr>
              <w:pStyle w:val="TableParagraph"/>
              <w:widowControl/>
              <w:jc w:val="center"/>
              <w:rPr>
                <w:sz w:val="20"/>
                <w:szCs w:val="20"/>
              </w:rPr>
            </w:pPr>
            <w:r w:rsidRPr="00330234">
              <w:rPr>
                <w:sz w:val="20"/>
                <w:szCs w:val="20"/>
              </w:rPr>
              <w:t>1 %</w:t>
            </w:r>
          </w:p>
        </w:tc>
      </w:tr>
      <w:tr w:rsidR="00C07873" w:rsidRPr="00330234" w14:paraId="28B3CE4F" w14:textId="77777777" w:rsidTr="00B428F3">
        <w:trPr>
          <w:trHeight w:val="20"/>
        </w:trPr>
        <w:tc>
          <w:tcPr>
            <w:tcW w:w="625" w:type="dxa"/>
          </w:tcPr>
          <w:p w14:paraId="3EEE196A" w14:textId="77777777" w:rsidR="00436DAA" w:rsidRPr="00330234" w:rsidRDefault="009B4B8E" w:rsidP="00C07873">
            <w:pPr>
              <w:pStyle w:val="TableParagraph"/>
              <w:widowControl/>
              <w:jc w:val="center"/>
              <w:rPr>
                <w:sz w:val="20"/>
                <w:szCs w:val="20"/>
              </w:rPr>
            </w:pPr>
            <w:r w:rsidRPr="00330234">
              <w:rPr>
                <w:sz w:val="20"/>
                <w:szCs w:val="20"/>
              </w:rPr>
              <w:t>52</w:t>
            </w:r>
          </w:p>
        </w:tc>
        <w:tc>
          <w:tcPr>
            <w:tcW w:w="1624" w:type="dxa"/>
            <w:gridSpan w:val="2"/>
          </w:tcPr>
          <w:p w14:paraId="4F51DB63" w14:textId="77777777" w:rsidR="00436DAA" w:rsidRPr="00330234" w:rsidRDefault="00436DAA" w:rsidP="00C07873">
            <w:pPr>
              <w:pStyle w:val="TableParagraph"/>
              <w:widowControl/>
              <w:jc w:val="center"/>
              <w:rPr>
                <w:sz w:val="20"/>
                <w:szCs w:val="20"/>
              </w:rPr>
            </w:pPr>
          </w:p>
        </w:tc>
        <w:tc>
          <w:tcPr>
            <w:tcW w:w="854" w:type="dxa"/>
          </w:tcPr>
          <w:p w14:paraId="125A43AD" w14:textId="77777777" w:rsidR="00436DAA" w:rsidRPr="00330234" w:rsidRDefault="009B4B8E" w:rsidP="00C07873">
            <w:pPr>
              <w:pStyle w:val="TableParagraph"/>
              <w:widowControl/>
              <w:jc w:val="center"/>
              <w:rPr>
                <w:sz w:val="20"/>
                <w:szCs w:val="20"/>
              </w:rPr>
            </w:pPr>
            <w:r w:rsidRPr="00330234">
              <w:rPr>
                <w:sz w:val="20"/>
                <w:szCs w:val="20"/>
              </w:rPr>
              <w:t>20 %***</w:t>
            </w:r>
          </w:p>
        </w:tc>
        <w:tc>
          <w:tcPr>
            <w:tcW w:w="798" w:type="dxa"/>
          </w:tcPr>
          <w:p w14:paraId="2BE30E1A" w14:textId="77777777" w:rsidR="00436DAA" w:rsidRPr="00330234" w:rsidRDefault="009B4B8E" w:rsidP="00C07873">
            <w:pPr>
              <w:pStyle w:val="TableParagraph"/>
              <w:widowControl/>
              <w:jc w:val="center"/>
              <w:rPr>
                <w:sz w:val="20"/>
                <w:szCs w:val="20"/>
              </w:rPr>
            </w:pPr>
            <w:r w:rsidRPr="00330234">
              <w:rPr>
                <w:sz w:val="20"/>
                <w:szCs w:val="20"/>
              </w:rPr>
              <w:t>4 %</w:t>
            </w:r>
          </w:p>
        </w:tc>
        <w:tc>
          <w:tcPr>
            <w:tcW w:w="1666" w:type="dxa"/>
            <w:gridSpan w:val="2"/>
          </w:tcPr>
          <w:p w14:paraId="40A0D582" w14:textId="77777777" w:rsidR="00436DAA" w:rsidRPr="00330234" w:rsidRDefault="00436DAA" w:rsidP="00C07873">
            <w:pPr>
              <w:pStyle w:val="TableParagraph"/>
              <w:widowControl/>
              <w:jc w:val="center"/>
              <w:rPr>
                <w:sz w:val="20"/>
                <w:szCs w:val="20"/>
              </w:rPr>
            </w:pPr>
          </w:p>
        </w:tc>
        <w:tc>
          <w:tcPr>
            <w:tcW w:w="881" w:type="dxa"/>
          </w:tcPr>
          <w:p w14:paraId="752BC2CD" w14:textId="77777777" w:rsidR="00436DAA" w:rsidRPr="00330234" w:rsidRDefault="00436DAA" w:rsidP="00C07873">
            <w:pPr>
              <w:pStyle w:val="TableParagraph"/>
              <w:widowControl/>
              <w:jc w:val="center"/>
              <w:rPr>
                <w:sz w:val="20"/>
                <w:szCs w:val="20"/>
              </w:rPr>
            </w:pPr>
          </w:p>
        </w:tc>
        <w:tc>
          <w:tcPr>
            <w:tcW w:w="896" w:type="dxa"/>
          </w:tcPr>
          <w:p w14:paraId="2ADD25DD" w14:textId="77777777" w:rsidR="00436DAA" w:rsidRPr="00330234" w:rsidRDefault="00436DAA" w:rsidP="00C07873">
            <w:pPr>
              <w:pStyle w:val="TableParagraph"/>
              <w:widowControl/>
              <w:jc w:val="center"/>
              <w:rPr>
                <w:sz w:val="20"/>
                <w:szCs w:val="20"/>
              </w:rPr>
            </w:pPr>
          </w:p>
        </w:tc>
        <w:tc>
          <w:tcPr>
            <w:tcW w:w="840" w:type="dxa"/>
          </w:tcPr>
          <w:p w14:paraId="01025EA3" w14:textId="77777777" w:rsidR="00436DAA" w:rsidRPr="00330234" w:rsidRDefault="00436DAA" w:rsidP="00C07873">
            <w:pPr>
              <w:pStyle w:val="TableParagraph"/>
              <w:widowControl/>
              <w:jc w:val="center"/>
              <w:rPr>
                <w:sz w:val="20"/>
                <w:szCs w:val="20"/>
              </w:rPr>
            </w:pPr>
          </w:p>
        </w:tc>
        <w:tc>
          <w:tcPr>
            <w:tcW w:w="882" w:type="dxa"/>
          </w:tcPr>
          <w:p w14:paraId="52F55467" w14:textId="77777777" w:rsidR="00436DAA" w:rsidRPr="00330234" w:rsidRDefault="00436DAA" w:rsidP="00C07873">
            <w:pPr>
              <w:pStyle w:val="TableParagraph"/>
              <w:widowControl/>
              <w:jc w:val="center"/>
              <w:rPr>
                <w:sz w:val="20"/>
                <w:szCs w:val="20"/>
              </w:rPr>
            </w:pPr>
          </w:p>
        </w:tc>
      </w:tr>
    </w:tbl>
    <w:p w14:paraId="14FE784E" w14:textId="32A5FC2F" w:rsidR="00436DAA" w:rsidRPr="00330234" w:rsidRDefault="009B4B8E" w:rsidP="007D398F">
      <w:pPr>
        <w:widowControl/>
        <w:ind w:left="1134" w:hanging="1134"/>
        <w:rPr>
          <w:i/>
          <w:sz w:val="18"/>
          <w:szCs w:val="18"/>
        </w:rPr>
      </w:pPr>
      <w:r w:rsidRPr="00330234">
        <w:rPr>
          <w:i/>
          <w:sz w:val="18"/>
          <w:szCs w:val="18"/>
        </w:rPr>
        <w:t>TCZ</w:t>
      </w:r>
      <w:r w:rsidRPr="00330234">
        <w:rPr>
          <w:i/>
          <w:sz w:val="18"/>
          <w:szCs w:val="18"/>
        </w:rPr>
        <w:tab/>
      </w:r>
      <w:r w:rsidR="00C07873" w:rsidRPr="00330234">
        <w:rPr>
          <w:i/>
          <w:sz w:val="18"/>
          <w:szCs w:val="18"/>
        </w:rPr>
        <w:tab/>
      </w:r>
      <w:r w:rsidRPr="00330234">
        <w:rPr>
          <w:i/>
          <w:sz w:val="18"/>
          <w:szCs w:val="18"/>
        </w:rPr>
        <w:t>- Tocilizumab</w:t>
      </w:r>
    </w:p>
    <w:p w14:paraId="015A0661" w14:textId="33D7CE68" w:rsidR="00436DAA" w:rsidRPr="00330234" w:rsidRDefault="009B4B8E" w:rsidP="007D398F">
      <w:pPr>
        <w:widowControl/>
        <w:ind w:left="1134" w:hanging="1134"/>
        <w:rPr>
          <w:i/>
          <w:sz w:val="18"/>
          <w:szCs w:val="18"/>
        </w:rPr>
      </w:pPr>
      <w:r w:rsidRPr="00330234">
        <w:rPr>
          <w:i/>
          <w:sz w:val="18"/>
          <w:szCs w:val="18"/>
        </w:rPr>
        <w:t>MTX</w:t>
      </w:r>
      <w:r w:rsidRPr="00330234">
        <w:rPr>
          <w:i/>
          <w:sz w:val="18"/>
          <w:szCs w:val="18"/>
        </w:rPr>
        <w:tab/>
        <w:t>- Methotrexaat</w:t>
      </w:r>
    </w:p>
    <w:p w14:paraId="75B379FF" w14:textId="7B8983F5" w:rsidR="00436DAA" w:rsidRPr="00330234" w:rsidRDefault="009B4B8E" w:rsidP="007D398F">
      <w:pPr>
        <w:widowControl/>
        <w:ind w:left="1134" w:hanging="1134"/>
        <w:rPr>
          <w:i/>
          <w:sz w:val="18"/>
          <w:szCs w:val="18"/>
        </w:rPr>
      </w:pPr>
      <w:r w:rsidRPr="00330234">
        <w:rPr>
          <w:i/>
          <w:sz w:val="18"/>
          <w:szCs w:val="18"/>
        </w:rPr>
        <w:t>PBO</w:t>
      </w:r>
      <w:r w:rsidRPr="00330234">
        <w:rPr>
          <w:i/>
          <w:sz w:val="18"/>
          <w:szCs w:val="18"/>
        </w:rPr>
        <w:tab/>
        <w:t>- Placebo</w:t>
      </w:r>
    </w:p>
    <w:p w14:paraId="015C25C6" w14:textId="65984A75" w:rsidR="00436DAA" w:rsidRPr="00330234" w:rsidRDefault="009B4B8E" w:rsidP="007D398F">
      <w:pPr>
        <w:widowControl/>
        <w:ind w:left="1134" w:hanging="1134"/>
        <w:rPr>
          <w:i/>
          <w:sz w:val="18"/>
          <w:szCs w:val="18"/>
        </w:rPr>
      </w:pPr>
      <w:r w:rsidRPr="00330234">
        <w:rPr>
          <w:i/>
          <w:sz w:val="18"/>
          <w:szCs w:val="18"/>
        </w:rPr>
        <w:t>DMARD</w:t>
      </w:r>
      <w:r w:rsidRPr="00330234">
        <w:rPr>
          <w:i/>
          <w:sz w:val="18"/>
          <w:szCs w:val="18"/>
        </w:rPr>
        <w:tab/>
        <w:t>- Disease modifying anti-rheumatic drug</w:t>
      </w:r>
    </w:p>
    <w:p w14:paraId="4721DECB" w14:textId="64F446D3" w:rsidR="00436DAA" w:rsidRPr="00330234" w:rsidRDefault="009B4B8E" w:rsidP="007D398F">
      <w:pPr>
        <w:widowControl/>
        <w:ind w:left="1134" w:hanging="1134"/>
        <w:rPr>
          <w:i/>
          <w:sz w:val="18"/>
          <w:szCs w:val="18"/>
        </w:rPr>
      </w:pPr>
      <w:r w:rsidRPr="00330234">
        <w:rPr>
          <w:i/>
          <w:sz w:val="18"/>
          <w:szCs w:val="18"/>
        </w:rPr>
        <w:t>**</w:t>
      </w:r>
      <w:r w:rsidRPr="00330234">
        <w:rPr>
          <w:i/>
          <w:sz w:val="18"/>
          <w:szCs w:val="18"/>
        </w:rPr>
        <w:tab/>
        <w:t>- p&lt; 0,01, TCZ vs. PBO + MTX / DMARD</w:t>
      </w:r>
    </w:p>
    <w:p w14:paraId="796CDE9F" w14:textId="1E6D5F78" w:rsidR="00436DAA" w:rsidRPr="00330234" w:rsidRDefault="009B4B8E" w:rsidP="007D398F">
      <w:pPr>
        <w:widowControl/>
        <w:ind w:left="1134" w:hanging="1134"/>
        <w:rPr>
          <w:i/>
          <w:sz w:val="18"/>
          <w:szCs w:val="18"/>
        </w:rPr>
      </w:pPr>
      <w:r w:rsidRPr="00330234">
        <w:rPr>
          <w:i/>
          <w:sz w:val="18"/>
          <w:szCs w:val="18"/>
        </w:rPr>
        <w:t>***</w:t>
      </w:r>
      <w:r w:rsidRPr="00330234">
        <w:rPr>
          <w:i/>
          <w:sz w:val="18"/>
          <w:szCs w:val="18"/>
        </w:rPr>
        <w:tab/>
        <w:t>- p&lt; 0,0001, TCZ vs. PBO + MTX / DMARD</w:t>
      </w:r>
    </w:p>
    <w:p w14:paraId="60A56D00" w14:textId="77777777" w:rsidR="00436DAA" w:rsidRPr="00330234" w:rsidRDefault="00436DAA" w:rsidP="00BD109B">
      <w:pPr>
        <w:pStyle w:val="a3"/>
        <w:widowControl/>
        <w:ind w:left="0"/>
        <w:rPr>
          <w:i/>
        </w:rPr>
      </w:pPr>
    </w:p>
    <w:p w14:paraId="455380ED" w14:textId="77777777" w:rsidR="00436DAA" w:rsidRPr="00330234" w:rsidRDefault="009B4B8E" w:rsidP="00BD109B">
      <w:pPr>
        <w:widowControl/>
        <w:rPr>
          <w:i/>
        </w:rPr>
      </w:pPr>
      <w:r w:rsidRPr="00330234">
        <w:rPr>
          <w:i/>
        </w:rPr>
        <w:t>Belangrijke klinische respons</w:t>
      </w:r>
    </w:p>
    <w:p w14:paraId="2F85DB77" w14:textId="77777777" w:rsidR="00436DAA" w:rsidRPr="00330234" w:rsidRDefault="009B4B8E" w:rsidP="00BD109B">
      <w:pPr>
        <w:pStyle w:val="a3"/>
        <w:widowControl/>
        <w:ind w:left="0"/>
      </w:pPr>
      <w:r w:rsidRPr="00330234">
        <w:t>Na 2 jaar behandeling met tocilizumab plus MTX bereikte 14 % van de patiënten een belangrijke klinische respons (handhaving van een ACR70-respons gedurende 24 weken of langer).</w:t>
      </w:r>
    </w:p>
    <w:p w14:paraId="6A25BAB8" w14:textId="77777777" w:rsidR="00C07873" w:rsidRPr="00330234" w:rsidRDefault="00C07873" w:rsidP="00BD109B">
      <w:pPr>
        <w:pStyle w:val="a3"/>
        <w:widowControl/>
        <w:ind w:left="0"/>
      </w:pPr>
    </w:p>
    <w:p w14:paraId="3D413621" w14:textId="77777777" w:rsidR="00436DAA" w:rsidRPr="00330234" w:rsidRDefault="009B4B8E" w:rsidP="001B3E1E">
      <w:pPr>
        <w:keepNext/>
        <w:keepLines/>
        <w:widowControl/>
        <w:rPr>
          <w:i/>
        </w:rPr>
      </w:pPr>
      <w:r w:rsidRPr="00330234">
        <w:rPr>
          <w:i/>
        </w:rPr>
        <w:lastRenderedPageBreak/>
        <w:t>Radiografische respons</w:t>
      </w:r>
    </w:p>
    <w:p w14:paraId="09C657EC" w14:textId="77777777" w:rsidR="00436DAA" w:rsidRPr="00330234" w:rsidRDefault="009B4B8E" w:rsidP="001B3E1E">
      <w:pPr>
        <w:pStyle w:val="a3"/>
        <w:keepNext/>
        <w:keepLines/>
        <w:widowControl/>
        <w:ind w:left="0"/>
      </w:pPr>
      <w:r w:rsidRPr="00330234">
        <w:t xml:space="preserve">Tijdens studie II werd bij patiënten met onvoldoende respons op MTX de remming van de structurele gewrichtsschade bepaald middels radiografie en uitgedrukt als verandering in gemodificeerde </w:t>
      </w:r>
      <w:r w:rsidRPr="00330234">
        <w:rPr>
          <w:i/>
        </w:rPr>
        <w:t xml:space="preserve">Sharp Score </w:t>
      </w:r>
      <w:r w:rsidRPr="00330234">
        <w:t xml:space="preserve">en de bijbehorende componenten, de Erosiescore en </w:t>
      </w:r>
      <w:r w:rsidRPr="00330234">
        <w:rPr>
          <w:i/>
        </w:rPr>
        <w:t>Joint Space Narrowing Score</w:t>
      </w:r>
      <w:r w:rsidRPr="00330234">
        <w:t>. Remming van de structurele gewrichtsschade is aangetoond met significant minder radiografische progressie bij patiënten met tocilizumab vergeleken met de controlegroep (tabel 5).</w:t>
      </w:r>
    </w:p>
    <w:p w14:paraId="731F769A" w14:textId="77777777" w:rsidR="00C07873" w:rsidRPr="00330234" w:rsidRDefault="00C07873" w:rsidP="00BD109B">
      <w:pPr>
        <w:pStyle w:val="a3"/>
        <w:widowControl/>
        <w:ind w:left="0"/>
      </w:pPr>
    </w:p>
    <w:p w14:paraId="1927BA99" w14:textId="77777777" w:rsidR="00436DAA" w:rsidRPr="00330234" w:rsidRDefault="009B4B8E" w:rsidP="00BD109B">
      <w:pPr>
        <w:pStyle w:val="a3"/>
        <w:widowControl/>
        <w:ind w:left="0"/>
      </w:pPr>
      <w:r w:rsidRPr="00330234">
        <w:t xml:space="preserve">Tijdens de open-label-extensie van studie II bleef de remming van de progressie van structurele gewrichtsschade bij patiënten die met tocilizumab en MTX werden behandeld in het tweede jaar van behandeling gehandhaafd. De gemiddelde verandering ten opzichte van baseline op week 104 van de </w:t>
      </w:r>
      <w:r w:rsidRPr="00330234">
        <w:rPr>
          <w:i/>
        </w:rPr>
        <w:t>Total Sharp-Genant</w:t>
      </w:r>
      <w:r w:rsidRPr="00330234">
        <w:t>-score was significant lager bij patiënten die naar tocilizumab 8 mg/kg plus MTX waren gerandomiseerd (p&lt; 0,0001) dan bij patiënten gerandomiseerd naar placebo plus MTX.</w:t>
      </w:r>
    </w:p>
    <w:p w14:paraId="242E4C76" w14:textId="77777777" w:rsidR="00436DAA" w:rsidRPr="00330234" w:rsidRDefault="00436DAA" w:rsidP="00BD109B">
      <w:pPr>
        <w:pStyle w:val="a3"/>
        <w:widowControl/>
        <w:ind w:left="0"/>
      </w:pPr>
    </w:p>
    <w:p w14:paraId="1F380C48" w14:textId="4AF61C98" w:rsidR="00436DAA" w:rsidRPr="00330234" w:rsidRDefault="009B4B8E" w:rsidP="007D398F">
      <w:pPr>
        <w:widowControl/>
        <w:ind w:left="1134" w:hanging="1134"/>
        <w:rPr>
          <w:i/>
        </w:rPr>
      </w:pPr>
      <w:r w:rsidRPr="00330234">
        <w:rPr>
          <w:i/>
        </w:rPr>
        <w:t>Tabel 5.</w:t>
      </w:r>
      <w:r w:rsidR="007D398F" w:rsidRPr="00330234">
        <w:rPr>
          <w:i/>
        </w:rPr>
        <w:tab/>
      </w:r>
      <w:r w:rsidRPr="00330234">
        <w:rPr>
          <w:i/>
        </w:rPr>
        <w:t>Gemiddelde radiografische verandering in 52 weken in studie II</w:t>
      </w:r>
    </w:p>
    <w:p w14:paraId="443BEF96" w14:textId="77777777" w:rsidR="00436DAA" w:rsidRPr="00330234" w:rsidRDefault="00436DAA" w:rsidP="00033660">
      <w:pPr>
        <w:pStyle w:val="a3"/>
        <w:keepNext/>
        <w:keepLines/>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1"/>
        <w:gridCol w:w="3093"/>
        <w:gridCol w:w="2912"/>
      </w:tblGrid>
      <w:tr w:rsidR="00436DAA" w:rsidRPr="00330234" w14:paraId="67BDFB91" w14:textId="77777777" w:rsidTr="007D398F">
        <w:trPr>
          <w:trHeight w:val="20"/>
          <w:tblHeader/>
        </w:trPr>
        <w:tc>
          <w:tcPr>
            <w:tcW w:w="3061" w:type="dxa"/>
          </w:tcPr>
          <w:p w14:paraId="4A6327A1" w14:textId="77777777" w:rsidR="00436DAA" w:rsidRPr="00330234" w:rsidRDefault="00436DAA" w:rsidP="00033660">
            <w:pPr>
              <w:pStyle w:val="TableParagraph"/>
              <w:keepNext/>
              <w:keepLines/>
              <w:widowControl/>
              <w:jc w:val="center"/>
            </w:pPr>
          </w:p>
        </w:tc>
        <w:tc>
          <w:tcPr>
            <w:tcW w:w="3093" w:type="dxa"/>
          </w:tcPr>
          <w:p w14:paraId="58F43908" w14:textId="77777777" w:rsidR="00436DAA" w:rsidRPr="00330234" w:rsidRDefault="009B4B8E" w:rsidP="00033660">
            <w:pPr>
              <w:pStyle w:val="TableParagraph"/>
              <w:keepNext/>
              <w:keepLines/>
              <w:widowControl/>
              <w:jc w:val="center"/>
              <w:rPr>
                <w:b/>
              </w:rPr>
            </w:pPr>
            <w:r w:rsidRPr="00330234">
              <w:rPr>
                <w:b/>
              </w:rPr>
              <w:t>PBO + MTX</w:t>
            </w:r>
          </w:p>
          <w:p w14:paraId="5A0B41B8" w14:textId="77777777" w:rsidR="00C07873" w:rsidRPr="00330234" w:rsidRDefault="009B4B8E" w:rsidP="00033660">
            <w:pPr>
              <w:pStyle w:val="TableParagraph"/>
              <w:keepNext/>
              <w:keepLines/>
              <w:widowControl/>
              <w:jc w:val="center"/>
              <w:rPr>
                <w:b/>
              </w:rPr>
            </w:pPr>
            <w:r w:rsidRPr="00330234">
              <w:rPr>
                <w:b/>
              </w:rPr>
              <w:t>(+TCZ vanaf week 24)</w:t>
            </w:r>
          </w:p>
          <w:p w14:paraId="2C3CD72D" w14:textId="0F520EB7" w:rsidR="00436DAA" w:rsidRPr="00330234" w:rsidRDefault="009B4B8E" w:rsidP="00033660">
            <w:pPr>
              <w:pStyle w:val="TableParagraph"/>
              <w:keepNext/>
              <w:keepLines/>
              <w:widowControl/>
              <w:jc w:val="center"/>
              <w:rPr>
                <w:b/>
              </w:rPr>
            </w:pPr>
            <w:r w:rsidRPr="00330234">
              <w:rPr>
                <w:b/>
              </w:rPr>
              <w:t>N</w:t>
            </w:r>
            <w:r w:rsidR="00C07873" w:rsidRPr="00330234">
              <w:rPr>
                <w:b/>
              </w:rPr>
              <w:t> </w:t>
            </w:r>
            <w:r w:rsidRPr="00330234">
              <w:rPr>
                <w:b/>
              </w:rPr>
              <w:t>=</w:t>
            </w:r>
            <w:r w:rsidR="00C07873" w:rsidRPr="00330234">
              <w:rPr>
                <w:b/>
              </w:rPr>
              <w:t> </w:t>
            </w:r>
            <w:r w:rsidRPr="00330234">
              <w:rPr>
                <w:b/>
              </w:rPr>
              <w:t>393</w:t>
            </w:r>
          </w:p>
        </w:tc>
        <w:tc>
          <w:tcPr>
            <w:tcW w:w="2912" w:type="dxa"/>
          </w:tcPr>
          <w:p w14:paraId="23140E40" w14:textId="77777777" w:rsidR="00C07873" w:rsidRPr="00330234" w:rsidRDefault="009B4B8E" w:rsidP="00033660">
            <w:pPr>
              <w:pStyle w:val="TableParagraph"/>
              <w:keepNext/>
              <w:keepLines/>
              <w:widowControl/>
              <w:jc w:val="center"/>
              <w:rPr>
                <w:b/>
              </w:rPr>
            </w:pPr>
            <w:r w:rsidRPr="00330234">
              <w:rPr>
                <w:b/>
              </w:rPr>
              <w:t>TCZ 8 mg/kg + MTX</w:t>
            </w:r>
          </w:p>
          <w:p w14:paraId="3748D596" w14:textId="77777777" w:rsidR="007D398F" w:rsidRPr="00330234" w:rsidRDefault="007D398F" w:rsidP="00033660">
            <w:pPr>
              <w:pStyle w:val="TableParagraph"/>
              <w:keepNext/>
              <w:keepLines/>
              <w:widowControl/>
              <w:jc w:val="center"/>
              <w:rPr>
                <w:b/>
              </w:rPr>
            </w:pPr>
          </w:p>
          <w:p w14:paraId="3517A913" w14:textId="67FAC377" w:rsidR="00436DAA" w:rsidRPr="00330234" w:rsidRDefault="009B4B8E" w:rsidP="00033660">
            <w:pPr>
              <w:pStyle w:val="TableParagraph"/>
              <w:keepNext/>
              <w:keepLines/>
              <w:widowControl/>
              <w:jc w:val="center"/>
              <w:rPr>
                <w:b/>
              </w:rPr>
            </w:pPr>
            <w:r w:rsidRPr="00330234">
              <w:rPr>
                <w:b/>
              </w:rPr>
              <w:t>N</w:t>
            </w:r>
            <w:r w:rsidR="00C07873" w:rsidRPr="00330234">
              <w:rPr>
                <w:b/>
              </w:rPr>
              <w:t> </w:t>
            </w:r>
            <w:r w:rsidRPr="00330234">
              <w:rPr>
                <w:b/>
              </w:rPr>
              <w:t>=</w:t>
            </w:r>
            <w:r w:rsidR="00C07873" w:rsidRPr="00330234">
              <w:rPr>
                <w:b/>
              </w:rPr>
              <w:t> </w:t>
            </w:r>
            <w:r w:rsidRPr="00330234">
              <w:rPr>
                <w:b/>
              </w:rPr>
              <w:t>398</w:t>
            </w:r>
          </w:p>
        </w:tc>
      </w:tr>
      <w:tr w:rsidR="00436DAA" w:rsidRPr="00330234" w14:paraId="7AFF9CF8" w14:textId="77777777" w:rsidTr="007D398F">
        <w:trPr>
          <w:trHeight w:val="20"/>
        </w:trPr>
        <w:tc>
          <w:tcPr>
            <w:tcW w:w="3061" w:type="dxa"/>
          </w:tcPr>
          <w:p w14:paraId="16F2F02B" w14:textId="423DC528" w:rsidR="00436DAA" w:rsidRPr="00330234" w:rsidRDefault="009B4B8E" w:rsidP="00033660">
            <w:pPr>
              <w:pStyle w:val="TableParagraph"/>
              <w:keepNext/>
              <w:keepLines/>
              <w:widowControl/>
            </w:pPr>
            <w:r w:rsidRPr="00330234">
              <w:rPr>
                <w:i/>
              </w:rPr>
              <w:t>Totale Sharp-Genant</w:t>
            </w:r>
            <w:r w:rsidRPr="00330234">
              <w:t>-</w:t>
            </w:r>
            <w:r w:rsidR="00054A17" w:rsidRPr="00330234">
              <w:t xml:space="preserve"> </w:t>
            </w:r>
            <w:r w:rsidRPr="00330234">
              <w:t>score</w:t>
            </w:r>
          </w:p>
        </w:tc>
        <w:tc>
          <w:tcPr>
            <w:tcW w:w="3093" w:type="dxa"/>
          </w:tcPr>
          <w:p w14:paraId="00F45626" w14:textId="77777777" w:rsidR="00436DAA" w:rsidRPr="00330234" w:rsidRDefault="009B4B8E" w:rsidP="00033660">
            <w:pPr>
              <w:pStyle w:val="TableParagraph"/>
              <w:keepNext/>
              <w:keepLines/>
              <w:widowControl/>
              <w:jc w:val="center"/>
            </w:pPr>
            <w:r w:rsidRPr="00330234">
              <w:t>1,13</w:t>
            </w:r>
          </w:p>
        </w:tc>
        <w:tc>
          <w:tcPr>
            <w:tcW w:w="2912" w:type="dxa"/>
          </w:tcPr>
          <w:p w14:paraId="3899AFF2" w14:textId="77777777" w:rsidR="00436DAA" w:rsidRPr="00330234" w:rsidRDefault="009B4B8E" w:rsidP="00033660">
            <w:pPr>
              <w:pStyle w:val="TableParagraph"/>
              <w:keepNext/>
              <w:keepLines/>
              <w:widowControl/>
              <w:jc w:val="center"/>
            </w:pPr>
            <w:r w:rsidRPr="00330234">
              <w:t>0,29*</w:t>
            </w:r>
          </w:p>
        </w:tc>
      </w:tr>
      <w:tr w:rsidR="00436DAA" w:rsidRPr="00330234" w14:paraId="0CD582C4" w14:textId="77777777" w:rsidTr="007D398F">
        <w:trPr>
          <w:trHeight w:val="20"/>
        </w:trPr>
        <w:tc>
          <w:tcPr>
            <w:tcW w:w="3061" w:type="dxa"/>
          </w:tcPr>
          <w:p w14:paraId="3B35DB64" w14:textId="77777777" w:rsidR="00436DAA" w:rsidRPr="00330234" w:rsidRDefault="009B4B8E" w:rsidP="00033660">
            <w:pPr>
              <w:pStyle w:val="TableParagraph"/>
              <w:keepNext/>
              <w:keepLines/>
              <w:widowControl/>
            </w:pPr>
            <w:r w:rsidRPr="00330234">
              <w:t>Erosiescore</w:t>
            </w:r>
          </w:p>
        </w:tc>
        <w:tc>
          <w:tcPr>
            <w:tcW w:w="3093" w:type="dxa"/>
          </w:tcPr>
          <w:p w14:paraId="1C2E6A91" w14:textId="77777777" w:rsidR="00436DAA" w:rsidRPr="00330234" w:rsidRDefault="009B4B8E" w:rsidP="00033660">
            <w:pPr>
              <w:pStyle w:val="TableParagraph"/>
              <w:keepNext/>
              <w:keepLines/>
              <w:widowControl/>
              <w:jc w:val="center"/>
            </w:pPr>
            <w:r w:rsidRPr="00330234">
              <w:t>0,71</w:t>
            </w:r>
          </w:p>
        </w:tc>
        <w:tc>
          <w:tcPr>
            <w:tcW w:w="2912" w:type="dxa"/>
          </w:tcPr>
          <w:p w14:paraId="3BBAEAFB" w14:textId="77777777" w:rsidR="00436DAA" w:rsidRPr="00330234" w:rsidRDefault="009B4B8E" w:rsidP="00033660">
            <w:pPr>
              <w:pStyle w:val="TableParagraph"/>
              <w:keepNext/>
              <w:keepLines/>
              <w:widowControl/>
              <w:jc w:val="center"/>
            </w:pPr>
            <w:r w:rsidRPr="00330234">
              <w:t>0,17*</w:t>
            </w:r>
          </w:p>
        </w:tc>
      </w:tr>
      <w:tr w:rsidR="00436DAA" w:rsidRPr="00330234" w14:paraId="0FBDC484" w14:textId="77777777" w:rsidTr="007D398F">
        <w:trPr>
          <w:trHeight w:val="20"/>
        </w:trPr>
        <w:tc>
          <w:tcPr>
            <w:tcW w:w="3061" w:type="dxa"/>
          </w:tcPr>
          <w:p w14:paraId="76065C09" w14:textId="77777777" w:rsidR="00436DAA" w:rsidRPr="00330234" w:rsidRDefault="009B4B8E" w:rsidP="00033660">
            <w:pPr>
              <w:pStyle w:val="TableParagraph"/>
              <w:keepNext/>
              <w:keepLines/>
              <w:widowControl/>
            </w:pPr>
            <w:r w:rsidRPr="00330234">
              <w:t>JSN-score</w:t>
            </w:r>
          </w:p>
        </w:tc>
        <w:tc>
          <w:tcPr>
            <w:tcW w:w="3093" w:type="dxa"/>
          </w:tcPr>
          <w:p w14:paraId="6D05C65E" w14:textId="77777777" w:rsidR="00436DAA" w:rsidRPr="00330234" w:rsidRDefault="009B4B8E" w:rsidP="00033660">
            <w:pPr>
              <w:pStyle w:val="TableParagraph"/>
              <w:keepNext/>
              <w:keepLines/>
              <w:widowControl/>
              <w:jc w:val="center"/>
            </w:pPr>
            <w:r w:rsidRPr="00330234">
              <w:t>0,42</w:t>
            </w:r>
          </w:p>
        </w:tc>
        <w:tc>
          <w:tcPr>
            <w:tcW w:w="2912" w:type="dxa"/>
          </w:tcPr>
          <w:p w14:paraId="11980328" w14:textId="77777777" w:rsidR="00436DAA" w:rsidRPr="00330234" w:rsidRDefault="009B4B8E" w:rsidP="00033660">
            <w:pPr>
              <w:pStyle w:val="TableParagraph"/>
              <w:keepNext/>
              <w:keepLines/>
              <w:widowControl/>
              <w:jc w:val="center"/>
            </w:pPr>
            <w:r w:rsidRPr="00330234">
              <w:t>0,12**</w:t>
            </w:r>
          </w:p>
        </w:tc>
      </w:tr>
    </w:tbl>
    <w:p w14:paraId="3590014F" w14:textId="2356D8A2" w:rsidR="00901761" w:rsidRPr="00330234" w:rsidRDefault="009B4B8E" w:rsidP="007D398F">
      <w:pPr>
        <w:widowControl/>
        <w:ind w:left="1134" w:hanging="1134"/>
        <w:rPr>
          <w:rFonts w:eastAsia="SimSun"/>
          <w:i/>
          <w:sz w:val="18"/>
          <w:szCs w:val="18"/>
          <w:lang w:eastAsia="zh-CN"/>
        </w:rPr>
      </w:pPr>
      <w:r w:rsidRPr="00330234">
        <w:rPr>
          <w:i/>
          <w:sz w:val="18"/>
          <w:szCs w:val="18"/>
        </w:rPr>
        <w:t>PBO</w:t>
      </w:r>
      <w:r w:rsidRPr="00330234">
        <w:rPr>
          <w:i/>
          <w:sz w:val="18"/>
          <w:szCs w:val="18"/>
        </w:rPr>
        <w:tab/>
        <w:t>- Placebo</w:t>
      </w:r>
    </w:p>
    <w:p w14:paraId="7B78F0BC" w14:textId="55C180CA" w:rsidR="00901761" w:rsidRPr="00330234" w:rsidRDefault="009B4B8E" w:rsidP="007D398F">
      <w:pPr>
        <w:widowControl/>
        <w:ind w:left="1134" w:hanging="1134"/>
        <w:rPr>
          <w:rFonts w:eastAsia="SimSun"/>
          <w:i/>
          <w:sz w:val="18"/>
          <w:szCs w:val="18"/>
          <w:lang w:eastAsia="zh-CN"/>
        </w:rPr>
      </w:pPr>
      <w:r w:rsidRPr="00330234">
        <w:rPr>
          <w:i/>
          <w:sz w:val="18"/>
          <w:szCs w:val="18"/>
        </w:rPr>
        <w:t>MTX</w:t>
      </w:r>
      <w:r w:rsidRPr="00330234">
        <w:rPr>
          <w:i/>
          <w:sz w:val="18"/>
          <w:szCs w:val="18"/>
        </w:rPr>
        <w:tab/>
        <w:t>- Methotrexaat</w:t>
      </w:r>
    </w:p>
    <w:p w14:paraId="7E28AB28" w14:textId="7D27D08F" w:rsidR="00436DAA" w:rsidRPr="00330234" w:rsidRDefault="009B4B8E" w:rsidP="007D398F">
      <w:pPr>
        <w:widowControl/>
        <w:ind w:left="1134" w:hanging="1134"/>
        <w:rPr>
          <w:i/>
          <w:sz w:val="18"/>
          <w:szCs w:val="18"/>
        </w:rPr>
      </w:pPr>
      <w:r w:rsidRPr="00330234">
        <w:rPr>
          <w:i/>
          <w:sz w:val="18"/>
          <w:szCs w:val="18"/>
        </w:rPr>
        <w:t>TCZ</w:t>
      </w:r>
      <w:r w:rsidRPr="00330234">
        <w:rPr>
          <w:i/>
          <w:sz w:val="18"/>
          <w:szCs w:val="18"/>
        </w:rPr>
        <w:tab/>
        <w:t>- Tocilizumab</w:t>
      </w:r>
    </w:p>
    <w:p w14:paraId="793B0800" w14:textId="77777777" w:rsidR="00436DAA" w:rsidRPr="00330234" w:rsidRDefault="009B4B8E" w:rsidP="007D398F">
      <w:pPr>
        <w:widowControl/>
        <w:ind w:left="1134" w:hanging="1134"/>
        <w:rPr>
          <w:i/>
          <w:sz w:val="18"/>
          <w:szCs w:val="18"/>
        </w:rPr>
      </w:pPr>
      <w:r w:rsidRPr="00330234">
        <w:rPr>
          <w:i/>
          <w:sz w:val="18"/>
          <w:szCs w:val="18"/>
        </w:rPr>
        <w:t>JSN</w:t>
      </w:r>
      <w:r w:rsidRPr="00330234">
        <w:rPr>
          <w:i/>
          <w:sz w:val="18"/>
          <w:szCs w:val="18"/>
        </w:rPr>
        <w:tab/>
        <w:t>- Joint space narrowing</w:t>
      </w:r>
    </w:p>
    <w:p w14:paraId="68AEEC8C" w14:textId="77777777" w:rsidR="00436DAA" w:rsidRPr="00330234" w:rsidRDefault="009B4B8E" w:rsidP="007D398F">
      <w:pPr>
        <w:widowControl/>
        <w:ind w:left="1134" w:hanging="1134"/>
        <w:rPr>
          <w:i/>
          <w:sz w:val="18"/>
          <w:szCs w:val="18"/>
        </w:rPr>
      </w:pPr>
      <w:r w:rsidRPr="00330234">
        <w:rPr>
          <w:i/>
          <w:sz w:val="18"/>
          <w:szCs w:val="18"/>
        </w:rPr>
        <w:t>*</w:t>
      </w:r>
      <w:r w:rsidRPr="00330234">
        <w:rPr>
          <w:i/>
          <w:sz w:val="18"/>
          <w:szCs w:val="18"/>
        </w:rPr>
        <w:tab/>
        <w:t>- p≤ 0,0001, TCZ vs. Placebo + MTX</w:t>
      </w:r>
    </w:p>
    <w:p w14:paraId="19B59D24" w14:textId="77777777" w:rsidR="00436DAA" w:rsidRPr="00330234" w:rsidRDefault="009B4B8E" w:rsidP="007D398F">
      <w:pPr>
        <w:widowControl/>
        <w:ind w:left="1134" w:hanging="1134"/>
        <w:rPr>
          <w:i/>
          <w:sz w:val="18"/>
          <w:szCs w:val="18"/>
        </w:rPr>
      </w:pPr>
      <w:r w:rsidRPr="00330234">
        <w:rPr>
          <w:i/>
          <w:sz w:val="18"/>
          <w:szCs w:val="18"/>
        </w:rPr>
        <w:t>**</w:t>
      </w:r>
      <w:r w:rsidRPr="00330234">
        <w:rPr>
          <w:i/>
          <w:sz w:val="18"/>
          <w:szCs w:val="18"/>
        </w:rPr>
        <w:tab/>
        <w:t>- p&lt; 0,005, TCZ vs. Placebo + MTX</w:t>
      </w:r>
    </w:p>
    <w:p w14:paraId="55AC2AE8" w14:textId="77777777" w:rsidR="00054A17" w:rsidRPr="00330234" w:rsidRDefault="00054A17" w:rsidP="00BD109B">
      <w:pPr>
        <w:pStyle w:val="a3"/>
        <w:widowControl/>
        <w:ind w:left="0"/>
      </w:pPr>
    </w:p>
    <w:p w14:paraId="7AC9E8C1" w14:textId="78011E8E" w:rsidR="00436DAA" w:rsidRPr="00330234" w:rsidRDefault="009B4B8E" w:rsidP="00054A17">
      <w:pPr>
        <w:pStyle w:val="a3"/>
        <w:widowControl/>
        <w:ind w:left="0"/>
      </w:pPr>
      <w:r w:rsidRPr="00330234">
        <w:t xml:space="preserve">Na 1 jaar behandeling met tocilizumab plus MTX vertoonde 85% van de patiënten (n = 348) geen progressie van structurele gewrichtsschade, zoals gedefinieerd als een verandering van de </w:t>
      </w:r>
      <w:r w:rsidRPr="00330234">
        <w:rPr>
          <w:i/>
        </w:rPr>
        <w:t>Total Sharp</w:t>
      </w:r>
      <w:r w:rsidRPr="00330234">
        <w:t>- score van nul of minder, vergeleken met 67% van de met placebo plus MTX behandelde patiënten</w:t>
      </w:r>
      <w:r w:rsidR="00054A17" w:rsidRPr="00330234">
        <w:t xml:space="preserve"> </w:t>
      </w:r>
      <w:r w:rsidRPr="00330234">
        <w:t>(n</w:t>
      </w:r>
      <w:r w:rsidR="00054A17" w:rsidRPr="00330234">
        <w:t> </w:t>
      </w:r>
      <w:r w:rsidRPr="00330234">
        <w:t>=</w:t>
      </w:r>
      <w:r w:rsidR="00054A17" w:rsidRPr="00330234">
        <w:t> </w:t>
      </w:r>
      <w:r w:rsidRPr="00330234">
        <w:t>290) (p</w:t>
      </w:r>
      <w:r w:rsidR="00054A17" w:rsidRPr="00330234">
        <w:t xml:space="preserve">≤ </w:t>
      </w:r>
      <w:r w:rsidRPr="00330234">
        <w:t>0,001). Dit bleef gelijk na 2 jaar behandeling (83%; n = 353). Drieënnegentig procent (93%; n = 271) van de patiënten vertoonde geen progressie tussen week 52 en week 104.</w:t>
      </w:r>
    </w:p>
    <w:p w14:paraId="3EF72AAD" w14:textId="77777777" w:rsidR="00054A17" w:rsidRPr="00330234" w:rsidRDefault="00054A17" w:rsidP="00BD109B">
      <w:pPr>
        <w:pStyle w:val="a3"/>
        <w:widowControl/>
        <w:ind w:left="0"/>
      </w:pPr>
    </w:p>
    <w:p w14:paraId="2EF31D17" w14:textId="77777777" w:rsidR="00436DAA" w:rsidRPr="00330234" w:rsidRDefault="009B4B8E" w:rsidP="00BD109B">
      <w:pPr>
        <w:widowControl/>
        <w:rPr>
          <w:i/>
        </w:rPr>
      </w:pPr>
      <w:r w:rsidRPr="00330234">
        <w:rPr>
          <w:i/>
        </w:rPr>
        <w:t>Resultaten gerelateerd aan gezondheid en kwaliteit van leven</w:t>
      </w:r>
    </w:p>
    <w:p w14:paraId="5496133C" w14:textId="5AC1428F" w:rsidR="00436DAA" w:rsidRPr="00330234" w:rsidRDefault="009B4B8E" w:rsidP="007D398F">
      <w:pPr>
        <w:widowControl/>
      </w:pPr>
      <w:r w:rsidRPr="00330234">
        <w:t>Bij patiënten die met tocilizumab werden behandeld, werd een verbetering gemeld van alle door de patiënt gerapporteerde resultaten (</w:t>
      </w:r>
      <w:r w:rsidRPr="00330234">
        <w:rPr>
          <w:i/>
        </w:rPr>
        <w:t xml:space="preserve">Health Assessment Questionnaire Disability Index </w:t>
      </w:r>
      <w:r w:rsidRPr="00330234">
        <w:t xml:space="preserve">(HAQ-DI), </w:t>
      </w:r>
      <w:r w:rsidRPr="00330234">
        <w:rPr>
          <w:i/>
        </w:rPr>
        <w:t xml:space="preserve">Short Form-36 </w:t>
      </w:r>
      <w:r w:rsidRPr="00330234">
        <w:t xml:space="preserve">en </w:t>
      </w:r>
      <w:r w:rsidRPr="00330234">
        <w:rPr>
          <w:i/>
        </w:rPr>
        <w:t>Functional Assessment of Chronic Illness Therapy</w:t>
      </w:r>
      <w:r w:rsidRPr="00330234">
        <w:t>-vragenlijst.</w:t>
      </w:r>
      <w:r w:rsidR="007D398F" w:rsidRPr="00330234">
        <w:t xml:space="preserve"> </w:t>
      </w:r>
      <w:r w:rsidRPr="00330234">
        <w:t xml:space="preserve">Een statistisch significante verbetering van de HAQ-DI scores werd waargenomen bij patiënten met behandeld met </w:t>
      </w:r>
      <w:r w:rsidR="003C342D" w:rsidRPr="00330234">
        <w:t>tocilizumab</w:t>
      </w:r>
      <w:r w:rsidRPr="00330234">
        <w:t xml:space="preserve"> vergeleken met patiënten behandeld met DMARD</w:t>
      </w:r>
      <w:r w:rsidR="00753185" w:rsidRPr="00330234">
        <w:t>’</w:t>
      </w:r>
      <w:r w:rsidRPr="00330234">
        <w:t>s. Gedurende de open- label-periode van studie II bleef de verbetering van het lichamelijk functioneren tot wel 2 jaar gehandhaafd. Op week 52 was de gemiddelde verandering in HAQ-DI -0,58 in de groep met tocilizumab 8 mg/kg plus MTX versus -0,39 in de groep met placebo plus MTX. De gemiddelde verandering van HAQ-DI bleef op week 104 bij de groep met tocilizumab 8 mg/kg plus MTX (-0,61) gehandhaafd.</w:t>
      </w:r>
    </w:p>
    <w:p w14:paraId="1C6CD438" w14:textId="77777777" w:rsidR="00436DAA" w:rsidRPr="00330234" w:rsidRDefault="00436DAA" w:rsidP="00BD109B">
      <w:pPr>
        <w:pStyle w:val="a3"/>
        <w:widowControl/>
        <w:ind w:left="0"/>
      </w:pPr>
    </w:p>
    <w:p w14:paraId="16161FA5" w14:textId="77777777" w:rsidR="00436DAA" w:rsidRPr="00330234" w:rsidRDefault="009B4B8E" w:rsidP="00BD109B">
      <w:pPr>
        <w:widowControl/>
        <w:rPr>
          <w:i/>
        </w:rPr>
      </w:pPr>
      <w:r w:rsidRPr="00330234">
        <w:rPr>
          <w:i/>
        </w:rPr>
        <w:t>Hemoglobinespiegels</w:t>
      </w:r>
    </w:p>
    <w:p w14:paraId="69C8B25D" w14:textId="25D2658F" w:rsidR="00436DAA" w:rsidRPr="00330234" w:rsidRDefault="009B4B8E" w:rsidP="00BD109B">
      <w:pPr>
        <w:pStyle w:val="a3"/>
        <w:widowControl/>
        <w:ind w:left="0"/>
      </w:pPr>
      <w:r w:rsidRPr="00330234">
        <w:t>Op week 24 is een statistisch significante verbetering van de hemoglobinespiegels waargenomen bij de tocilizumabgroep vergeleken met de groep die met DMARD</w:t>
      </w:r>
      <w:r w:rsidR="00753185" w:rsidRPr="00330234">
        <w:t>’</w:t>
      </w:r>
      <w:r w:rsidRPr="00330234">
        <w:t>s is behandeld (p&lt; 0,0001). De gemiddelde hemoglobinespiegel was toegenomen op week 2 en bleef gehandhaafd binnen het normale bereik tot en met week 24.</w:t>
      </w:r>
    </w:p>
    <w:p w14:paraId="789D2DD1" w14:textId="77777777" w:rsidR="00054A17" w:rsidRPr="00330234" w:rsidRDefault="00054A17" w:rsidP="00BD109B">
      <w:pPr>
        <w:pStyle w:val="a3"/>
        <w:widowControl/>
        <w:ind w:left="0"/>
      </w:pPr>
    </w:p>
    <w:p w14:paraId="536F872E" w14:textId="77777777" w:rsidR="00436DAA" w:rsidRPr="00330234" w:rsidRDefault="009B4B8E" w:rsidP="00BD109B">
      <w:pPr>
        <w:widowControl/>
        <w:rPr>
          <w:i/>
        </w:rPr>
      </w:pPr>
      <w:r w:rsidRPr="00330234">
        <w:rPr>
          <w:i/>
        </w:rPr>
        <w:t>Tocilizumab versus adalimumab als monotherapie</w:t>
      </w:r>
    </w:p>
    <w:p w14:paraId="78A1D10A" w14:textId="305C29D6" w:rsidR="00436DAA" w:rsidRPr="00330234" w:rsidRDefault="009B4B8E" w:rsidP="00BD109B">
      <w:pPr>
        <w:pStyle w:val="a3"/>
        <w:widowControl/>
        <w:ind w:left="0"/>
      </w:pPr>
      <w:r w:rsidRPr="00330234">
        <w:t>Tijdens studie VI (WA19924), een 24 weken dubbelblinde studie die tocilizumab monotherapie vergeleek met adalimumab monotherapie, werden 326 patiënten geëvalueerd met RA die MTX niet verdroegen of voor wie voortzetting van de behandeling met MTX niet geschikt werd geacht (inclusief patiënten met een ontoereikende respons op MTX). Patiënten in de tocilizumab-arm kregen elke 4</w:t>
      </w:r>
      <w:r w:rsidR="003C4B56" w:rsidRPr="00330234">
        <w:t> </w:t>
      </w:r>
      <w:r w:rsidRPr="00330234">
        <w:t xml:space="preserve">weken (q4w) een intraveneuze (i.v.) infusie met tocilizumab (8 mg/kg) en elke 2 weken (q2w) een </w:t>
      </w:r>
      <w:r w:rsidRPr="00330234">
        <w:lastRenderedPageBreak/>
        <w:t>subcutane (s.c.) placebo-injectie. Patiënten in de adalimumab-arm kregen q2w een adalimumab s.c. injectie (40 mg) plus q4w een i.v. placebo-infusie.</w:t>
      </w:r>
    </w:p>
    <w:p w14:paraId="5EB1060B" w14:textId="77777777" w:rsidR="00054A17" w:rsidRPr="00330234" w:rsidRDefault="00054A17" w:rsidP="00BD109B">
      <w:pPr>
        <w:pStyle w:val="a3"/>
        <w:widowControl/>
        <w:ind w:left="0"/>
      </w:pPr>
    </w:p>
    <w:p w14:paraId="72DD6AF6" w14:textId="77777777" w:rsidR="00436DAA" w:rsidRPr="00330234" w:rsidRDefault="009B4B8E" w:rsidP="00BD109B">
      <w:pPr>
        <w:pStyle w:val="a3"/>
        <w:widowControl/>
        <w:ind w:left="0"/>
      </w:pPr>
      <w:r w:rsidRPr="00330234">
        <w:t>Er werd een statistisch significant superieur effect van de behandeling gezien, ten gunste van tocilizumab boven adalimumab, in het onderdrukken van de ziekteactiviteit ten opzichte van baseline tot week 24 voor zowel het primaire eindpunt van verandering in DAS28, als voor alle secundaire eindpunten (tabel 6).</w:t>
      </w:r>
    </w:p>
    <w:p w14:paraId="1AED59F6" w14:textId="77777777" w:rsidR="00054A17" w:rsidRPr="00330234" w:rsidRDefault="00054A17" w:rsidP="00BD109B">
      <w:pPr>
        <w:pStyle w:val="a3"/>
        <w:widowControl/>
        <w:ind w:left="0"/>
      </w:pPr>
    </w:p>
    <w:p w14:paraId="335D42CC" w14:textId="0ECBAAB0" w:rsidR="00436DAA" w:rsidRPr="00330234" w:rsidRDefault="009B4B8E" w:rsidP="007D398F">
      <w:pPr>
        <w:widowControl/>
        <w:ind w:left="1134" w:hanging="1134"/>
        <w:rPr>
          <w:i/>
        </w:rPr>
      </w:pPr>
      <w:r w:rsidRPr="00330234">
        <w:rPr>
          <w:i/>
        </w:rPr>
        <w:t>Tabel 6:</w:t>
      </w:r>
      <w:r w:rsidR="007D398F" w:rsidRPr="00330234">
        <w:rPr>
          <w:i/>
        </w:rPr>
        <w:tab/>
      </w:r>
      <w:r w:rsidRPr="00330234">
        <w:rPr>
          <w:i/>
        </w:rPr>
        <w:t>Werkzaamheidsresultaten voor studie VI (WA19924)</w:t>
      </w:r>
    </w:p>
    <w:p w14:paraId="1BD86773" w14:textId="77777777" w:rsidR="00436DAA" w:rsidRPr="00330234" w:rsidRDefault="00436DAA" w:rsidP="00033660">
      <w:pPr>
        <w:pStyle w:val="a3"/>
        <w:keepNext/>
        <w:keepLines/>
        <w:widowControl/>
        <w:ind w:left="0"/>
        <w:rPr>
          <w:i/>
        </w:rPr>
      </w:pPr>
    </w:p>
    <w:tbl>
      <w:tblPr>
        <w:tblW w:w="9066" w:type="dxa"/>
        <w:tblLayout w:type="fixed"/>
        <w:tblLook w:val="01E0" w:firstRow="1" w:lastRow="1" w:firstColumn="1" w:lastColumn="1" w:noHBand="0" w:noVBand="0"/>
      </w:tblPr>
      <w:tblGrid>
        <w:gridCol w:w="3798"/>
        <w:gridCol w:w="1980"/>
        <w:gridCol w:w="2070"/>
        <w:gridCol w:w="1218"/>
      </w:tblGrid>
      <w:tr w:rsidR="00054A17" w:rsidRPr="00330234" w14:paraId="6FA87036" w14:textId="77777777" w:rsidTr="001B3E1E">
        <w:trPr>
          <w:trHeight w:val="20"/>
          <w:tblHeader/>
        </w:trPr>
        <w:tc>
          <w:tcPr>
            <w:tcW w:w="3798" w:type="dxa"/>
            <w:tcBorders>
              <w:top w:val="single" w:sz="8" w:space="0" w:color="000000"/>
              <w:left w:val="single" w:sz="4" w:space="0" w:color="000000"/>
              <w:bottom w:val="single" w:sz="8" w:space="0" w:color="000000"/>
            </w:tcBorders>
            <w:vAlign w:val="bottom"/>
          </w:tcPr>
          <w:p w14:paraId="1ED041E2" w14:textId="0B44A4F4" w:rsidR="00054A17" w:rsidRPr="00330234" w:rsidRDefault="00054A17" w:rsidP="00033660">
            <w:pPr>
              <w:pStyle w:val="TableParagraph"/>
              <w:keepNext/>
              <w:keepLines/>
              <w:widowControl/>
              <w:jc w:val="center"/>
              <w:rPr>
                <w:b/>
                <w:sz w:val="20"/>
                <w:szCs w:val="20"/>
              </w:rPr>
            </w:pPr>
          </w:p>
        </w:tc>
        <w:tc>
          <w:tcPr>
            <w:tcW w:w="1980" w:type="dxa"/>
            <w:tcBorders>
              <w:top w:val="single" w:sz="8" w:space="0" w:color="000000"/>
              <w:left w:val="nil"/>
              <w:bottom w:val="single" w:sz="8" w:space="0" w:color="000000"/>
            </w:tcBorders>
            <w:vAlign w:val="bottom"/>
          </w:tcPr>
          <w:p w14:paraId="13A20E3A" w14:textId="77777777" w:rsidR="008E5A5D" w:rsidRDefault="00054A17" w:rsidP="00033660">
            <w:pPr>
              <w:pStyle w:val="TableParagraph"/>
              <w:keepNext/>
              <w:keepLines/>
              <w:widowControl/>
              <w:jc w:val="center"/>
              <w:rPr>
                <w:b/>
                <w:sz w:val="20"/>
                <w:szCs w:val="20"/>
              </w:rPr>
            </w:pPr>
            <w:r w:rsidRPr="00330234">
              <w:rPr>
                <w:b/>
                <w:sz w:val="20"/>
                <w:szCs w:val="20"/>
              </w:rPr>
              <w:t xml:space="preserve">ADA + placebo </w:t>
            </w:r>
          </w:p>
          <w:p w14:paraId="3295090B" w14:textId="3A7AC9F2" w:rsidR="00054A17" w:rsidRPr="00330234" w:rsidRDefault="00054A17" w:rsidP="00033660">
            <w:pPr>
              <w:pStyle w:val="TableParagraph"/>
              <w:keepNext/>
              <w:keepLines/>
              <w:widowControl/>
              <w:jc w:val="center"/>
              <w:rPr>
                <w:b/>
                <w:sz w:val="20"/>
                <w:szCs w:val="20"/>
              </w:rPr>
            </w:pPr>
            <w:r w:rsidRPr="00330234">
              <w:rPr>
                <w:b/>
                <w:sz w:val="20"/>
                <w:szCs w:val="20"/>
              </w:rPr>
              <w:t>(i.v.)</w:t>
            </w:r>
          </w:p>
          <w:p w14:paraId="58056A5D" w14:textId="4FF62FCF" w:rsidR="00054A17" w:rsidRPr="00330234" w:rsidRDefault="00054A17" w:rsidP="00033660">
            <w:pPr>
              <w:pStyle w:val="TableParagraph"/>
              <w:keepNext/>
              <w:keepLines/>
              <w:widowControl/>
              <w:jc w:val="center"/>
              <w:rPr>
                <w:b/>
                <w:sz w:val="20"/>
                <w:szCs w:val="20"/>
              </w:rPr>
            </w:pPr>
            <w:r w:rsidRPr="00330234">
              <w:rPr>
                <w:b/>
                <w:sz w:val="20"/>
                <w:szCs w:val="20"/>
              </w:rPr>
              <w:t>N = 162</w:t>
            </w:r>
          </w:p>
        </w:tc>
        <w:tc>
          <w:tcPr>
            <w:tcW w:w="2070" w:type="dxa"/>
            <w:tcBorders>
              <w:top w:val="single" w:sz="8" w:space="0" w:color="000000"/>
              <w:bottom w:val="single" w:sz="8" w:space="0" w:color="000000"/>
            </w:tcBorders>
            <w:vAlign w:val="bottom"/>
          </w:tcPr>
          <w:p w14:paraId="08B56908" w14:textId="77777777" w:rsidR="008E5A5D" w:rsidRDefault="00054A17" w:rsidP="00033660">
            <w:pPr>
              <w:pStyle w:val="TableParagraph"/>
              <w:keepNext/>
              <w:keepLines/>
              <w:widowControl/>
              <w:jc w:val="center"/>
              <w:rPr>
                <w:b/>
                <w:sz w:val="20"/>
                <w:szCs w:val="20"/>
              </w:rPr>
            </w:pPr>
            <w:r w:rsidRPr="00330234">
              <w:rPr>
                <w:b/>
                <w:sz w:val="20"/>
                <w:szCs w:val="20"/>
              </w:rPr>
              <w:t xml:space="preserve">TCZ + placebo </w:t>
            </w:r>
          </w:p>
          <w:p w14:paraId="1AEFF40C" w14:textId="079C0D43" w:rsidR="00054A17" w:rsidRPr="00330234" w:rsidRDefault="00054A17" w:rsidP="00033660">
            <w:pPr>
              <w:pStyle w:val="TableParagraph"/>
              <w:keepNext/>
              <w:keepLines/>
              <w:widowControl/>
              <w:jc w:val="center"/>
              <w:rPr>
                <w:b/>
                <w:sz w:val="20"/>
                <w:szCs w:val="20"/>
              </w:rPr>
            </w:pPr>
            <w:r w:rsidRPr="00330234">
              <w:rPr>
                <w:b/>
                <w:sz w:val="20"/>
                <w:szCs w:val="20"/>
              </w:rPr>
              <w:t>(s.c.)</w:t>
            </w:r>
          </w:p>
          <w:p w14:paraId="62CE457A" w14:textId="095EF52A" w:rsidR="00054A17" w:rsidRPr="00330234" w:rsidRDefault="00054A17" w:rsidP="00033660">
            <w:pPr>
              <w:pStyle w:val="TableParagraph"/>
              <w:keepNext/>
              <w:keepLines/>
              <w:widowControl/>
              <w:jc w:val="center"/>
              <w:rPr>
                <w:b/>
                <w:sz w:val="20"/>
                <w:szCs w:val="20"/>
              </w:rPr>
            </w:pPr>
            <w:r w:rsidRPr="00330234">
              <w:rPr>
                <w:b/>
                <w:sz w:val="20"/>
                <w:szCs w:val="20"/>
              </w:rPr>
              <w:t>N = 163</w:t>
            </w:r>
          </w:p>
        </w:tc>
        <w:tc>
          <w:tcPr>
            <w:tcW w:w="1218" w:type="dxa"/>
            <w:tcBorders>
              <w:top w:val="single" w:sz="8" w:space="0" w:color="000000"/>
              <w:bottom w:val="single" w:sz="8" w:space="0" w:color="000000"/>
              <w:right w:val="single" w:sz="8" w:space="0" w:color="000000"/>
            </w:tcBorders>
            <w:vAlign w:val="bottom"/>
          </w:tcPr>
          <w:p w14:paraId="35B80519" w14:textId="77777777" w:rsidR="00054A17" w:rsidRPr="00330234" w:rsidRDefault="00054A17" w:rsidP="00033660">
            <w:pPr>
              <w:pStyle w:val="TableParagraph"/>
              <w:keepNext/>
              <w:keepLines/>
              <w:widowControl/>
              <w:jc w:val="center"/>
              <w:rPr>
                <w:b/>
                <w:bCs/>
                <w:sz w:val="20"/>
                <w:szCs w:val="20"/>
              </w:rPr>
            </w:pPr>
            <w:r w:rsidRPr="00330234">
              <w:rPr>
                <w:b/>
                <w:bCs/>
                <w:sz w:val="20"/>
                <w:szCs w:val="20"/>
              </w:rPr>
              <w:t>p-waarde</w:t>
            </w:r>
            <w:r w:rsidRPr="00330234">
              <w:rPr>
                <w:b/>
                <w:bCs/>
                <w:sz w:val="20"/>
                <w:szCs w:val="20"/>
                <w:vertAlign w:val="superscript"/>
              </w:rPr>
              <w:t>(a)</w:t>
            </w:r>
          </w:p>
        </w:tc>
      </w:tr>
      <w:tr w:rsidR="00054A17" w:rsidRPr="00330234" w14:paraId="2971B223" w14:textId="77777777" w:rsidTr="00054A17">
        <w:trPr>
          <w:trHeight w:val="20"/>
        </w:trPr>
        <w:tc>
          <w:tcPr>
            <w:tcW w:w="9066" w:type="dxa"/>
            <w:gridSpan w:val="4"/>
            <w:tcBorders>
              <w:top w:val="single" w:sz="8" w:space="0" w:color="000000"/>
              <w:left w:val="single" w:sz="4" w:space="0" w:color="000000"/>
              <w:bottom w:val="single" w:sz="4" w:space="0" w:color="000000"/>
              <w:right w:val="single" w:sz="8" w:space="0" w:color="000000"/>
            </w:tcBorders>
          </w:tcPr>
          <w:p w14:paraId="2BE5C98B" w14:textId="77777777" w:rsidR="00054A17" w:rsidRPr="00330234" w:rsidRDefault="00054A17" w:rsidP="00033660">
            <w:pPr>
              <w:pStyle w:val="TableParagraph"/>
              <w:keepNext/>
              <w:keepLines/>
              <w:widowControl/>
              <w:rPr>
                <w:b/>
                <w:sz w:val="20"/>
                <w:szCs w:val="20"/>
              </w:rPr>
            </w:pPr>
            <w:r w:rsidRPr="00330234">
              <w:rPr>
                <w:b/>
                <w:sz w:val="20"/>
                <w:szCs w:val="20"/>
              </w:rPr>
              <w:t>Primair eindpunt – gemiddelde verandering ten opzichte van baseline op week 24</w:t>
            </w:r>
          </w:p>
        </w:tc>
      </w:tr>
      <w:tr w:rsidR="00054A17" w:rsidRPr="00330234" w14:paraId="6F61F51E" w14:textId="77777777" w:rsidTr="001B3E1E">
        <w:trPr>
          <w:trHeight w:val="20"/>
        </w:trPr>
        <w:tc>
          <w:tcPr>
            <w:tcW w:w="3798" w:type="dxa"/>
            <w:tcBorders>
              <w:top w:val="single" w:sz="4" w:space="0" w:color="000000"/>
              <w:left w:val="single" w:sz="4" w:space="0" w:color="000000"/>
            </w:tcBorders>
            <w:vAlign w:val="bottom"/>
          </w:tcPr>
          <w:p w14:paraId="09CBBDFD" w14:textId="77777777" w:rsidR="00054A17" w:rsidRPr="001B3E1E" w:rsidRDefault="00054A17" w:rsidP="00033660">
            <w:pPr>
              <w:pStyle w:val="TableParagraph"/>
              <w:keepNext/>
              <w:keepLines/>
              <w:widowControl/>
              <w:jc w:val="right"/>
              <w:rPr>
                <w:bCs/>
                <w:sz w:val="20"/>
                <w:szCs w:val="20"/>
              </w:rPr>
            </w:pPr>
            <w:r w:rsidRPr="001B3E1E">
              <w:rPr>
                <w:bCs/>
                <w:sz w:val="20"/>
                <w:szCs w:val="20"/>
              </w:rPr>
              <w:t>DAS28 (aangepast gemiddelde)</w:t>
            </w:r>
          </w:p>
        </w:tc>
        <w:tc>
          <w:tcPr>
            <w:tcW w:w="1980" w:type="dxa"/>
            <w:tcBorders>
              <w:top w:val="single" w:sz="4" w:space="0" w:color="000000"/>
            </w:tcBorders>
            <w:vAlign w:val="bottom"/>
          </w:tcPr>
          <w:p w14:paraId="68443B25" w14:textId="77777777" w:rsidR="00054A17" w:rsidRPr="001B3E1E" w:rsidRDefault="00054A17" w:rsidP="00033660">
            <w:pPr>
              <w:pStyle w:val="TableParagraph"/>
              <w:keepNext/>
              <w:keepLines/>
              <w:widowControl/>
              <w:jc w:val="center"/>
              <w:rPr>
                <w:bCs/>
                <w:sz w:val="20"/>
                <w:szCs w:val="20"/>
              </w:rPr>
            </w:pPr>
            <w:r w:rsidRPr="001B3E1E">
              <w:rPr>
                <w:bCs/>
                <w:sz w:val="20"/>
                <w:szCs w:val="20"/>
              </w:rPr>
              <w:t>-1,8</w:t>
            </w:r>
          </w:p>
        </w:tc>
        <w:tc>
          <w:tcPr>
            <w:tcW w:w="2070" w:type="dxa"/>
            <w:tcBorders>
              <w:top w:val="single" w:sz="4" w:space="0" w:color="000000"/>
            </w:tcBorders>
            <w:vAlign w:val="bottom"/>
          </w:tcPr>
          <w:p w14:paraId="1C9DE90A" w14:textId="77777777" w:rsidR="00054A17" w:rsidRPr="001B3E1E" w:rsidRDefault="00054A17" w:rsidP="00033660">
            <w:pPr>
              <w:pStyle w:val="TableParagraph"/>
              <w:keepNext/>
              <w:keepLines/>
              <w:widowControl/>
              <w:jc w:val="center"/>
              <w:rPr>
                <w:bCs/>
                <w:sz w:val="20"/>
                <w:szCs w:val="20"/>
              </w:rPr>
            </w:pPr>
            <w:r w:rsidRPr="001B3E1E">
              <w:rPr>
                <w:bCs/>
                <w:sz w:val="20"/>
                <w:szCs w:val="20"/>
              </w:rPr>
              <w:t>-3,3</w:t>
            </w:r>
          </w:p>
        </w:tc>
        <w:tc>
          <w:tcPr>
            <w:tcW w:w="1218" w:type="dxa"/>
            <w:tcBorders>
              <w:top w:val="single" w:sz="4" w:space="0" w:color="000000"/>
              <w:right w:val="single" w:sz="8" w:space="0" w:color="000000"/>
            </w:tcBorders>
            <w:vAlign w:val="bottom"/>
          </w:tcPr>
          <w:p w14:paraId="7101DC01" w14:textId="77777777" w:rsidR="00054A17" w:rsidRPr="00330234" w:rsidRDefault="00054A17" w:rsidP="00033660">
            <w:pPr>
              <w:pStyle w:val="TableParagraph"/>
              <w:keepNext/>
              <w:keepLines/>
              <w:widowControl/>
              <w:jc w:val="center"/>
              <w:rPr>
                <w:bCs/>
                <w:sz w:val="20"/>
                <w:szCs w:val="20"/>
              </w:rPr>
            </w:pPr>
          </w:p>
        </w:tc>
      </w:tr>
      <w:tr w:rsidR="00054A17" w:rsidRPr="00330234" w14:paraId="7F72385B" w14:textId="77777777" w:rsidTr="001B3E1E">
        <w:trPr>
          <w:trHeight w:val="20"/>
        </w:trPr>
        <w:tc>
          <w:tcPr>
            <w:tcW w:w="3798" w:type="dxa"/>
            <w:tcBorders>
              <w:left w:val="single" w:sz="4" w:space="0" w:color="000000"/>
              <w:bottom w:val="single" w:sz="4" w:space="0" w:color="000000"/>
            </w:tcBorders>
            <w:vAlign w:val="bottom"/>
          </w:tcPr>
          <w:p w14:paraId="1C056953" w14:textId="77777777" w:rsidR="00054A17" w:rsidRPr="001B3E1E" w:rsidRDefault="00054A17" w:rsidP="00033660">
            <w:pPr>
              <w:pStyle w:val="TableParagraph"/>
              <w:keepNext/>
              <w:keepLines/>
              <w:widowControl/>
              <w:jc w:val="right"/>
              <w:rPr>
                <w:bCs/>
                <w:sz w:val="20"/>
                <w:szCs w:val="20"/>
              </w:rPr>
            </w:pPr>
            <w:r w:rsidRPr="001B3E1E">
              <w:rPr>
                <w:bCs/>
                <w:sz w:val="20"/>
                <w:szCs w:val="20"/>
              </w:rPr>
              <w:t>Verschil in aangepast gemiddelde (95%-BI)</w:t>
            </w:r>
          </w:p>
        </w:tc>
        <w:tc>
          <w:tcPr>
            <w:tcW w:w="4050" w:type="dxa"/>
            <w:gridSpan w:val="2"/>
            <w:tcBorders>
              <w:bottom w:val="single" w:sz="4" w:space="0" w:color="000000"/>
            </w:tcBorders>
            <w:vAlign w:val="bottom"/>
          </w:tcPr>
          <w:p w14:paraId="16A65E83" w14:textId="77777777" w:rsidR="00054A17" w:rsidRPr="001B3E1E" w:rsidRDefault="00054A17" w:rsidP="00033660">
            <w:pPr>
              <w:pStyle w:val="TableParagraph"/>
              <w:keepNext/>
              <w:keepLines/>
              <w:widowControl/>
              <w:jc w:val="center"/>
              <w:rPr>
                <w:bCs/>
                <w:sz w:val="20"/>
                <w:szCs w:val="20"/>
              </w:rPr>
            </w:pPr>
            <w:r w:rsidRPr="001B3E1E">
              <w:rPr>
                <w:bCs/>
                <w:sz w:val="20"/>
                <w:szCs w:val="20"/>
              </w:rPr>
              <w:t>-1,5 (-1,8, -1,1)</w:t>
            </w:r>
          </w:p>
        </w:tc>
        <w:tc>
          <w:tcPr>
            <w:tcW w:w="1218" w:type="dxa"/>
            <w:tcBorders>
              <w:bottom w:val="single" w:sz="4" w:space="0" w:color="000000"/>
              <w:right w:val="single" w:sz="8" w:space="0" w:color="000000"/>
            </w:tcBorders>
            <w:vAlign w:val="bottom"/>
          </w:tcPr>
          <w:p w14:paraId="07847467" w14:textId="77777777" w:rsidR="00054A17" w:rsidRPr="001B3E1E" w:rsidRDefault="00054A17" w:rsidP="00033660">
            <w:pPr>
              <w:pStyle w:val="TableParagraph"/>
              <w:keepNext/>
              <w:keepLines/>
              <w:widowControl/>
              <w:jc w:val="center"/>
              <w:rPr>
                <w:bCs/>
                <w:sz w:val="20"/>
                <w:szCs w:val="20"/>
              </w:rPr>
            </w:pPr>
            <w:r w:rsidRPr="001B3E1E">
              <w:rPr>
                <w:bCs/>
                <w:sz w:val="20"/>
                <w:szCs w:val="20"/>
              </w:rPr>
              <w:t>&lt; 0,0001</w:t>
            </w:r>
          </w:p>
        </w:tc>
      </w:tr>
      <w:tr w:rsidR="00054A17" w:rsidRPr="00330234" w14:paraId="116408E4" w14:textId="77777777" w:rsidTr="00054A17">
        <w:trPr>
          <w:trHeight w:val="20"/>
        </w:trPr>
        <w:tc>
          <w:tcPr>
            <w:tcW w:w="9066" w:type="dxa"/>
            <w:gridSpan w:val="4"/>
            <w:tcBorders>
              <w:top w:val="single" w:sz="4" w:space="0" w:color="000000"/>
              <w:left w:val="single" w:sz="4" w:space="0" w:color="000000"/>
              <w:bottom w:val="single" w:sz="4" w:space="0" w:color="000000"/>
              <w:right w:val="single" w:sz="8" w:space="0" w:color="000000"/>
            </w:tcBorders>
          </w:tcPr>
          <w:p w14:paraId="5BE8E9F3" w14:textId="2AF9F11D" w:rsidR="00054A17" w:rsidRPr="00330234" w:rsidRDefault="00054A17" w:rsidP="00033660">
            <w:pPr>
              <w:pStyle w:val="TableParagraph"/>
              <w:keepNext/>
              <w:keepLines/>
              <w:widowControl/>
              <w:rPr>
                <w:b/>
                <w:sz w:val="20"/>
                <w:szCs w:val="20"/>
              </w:rPr>
            </w:pPr>
            <w:r w:rsidRPr="00330234">
              <w:rPr>
                <w:b/>
                <w:sz w:val="20"/>
                <w:szCs w:val="20"/>
              </w:rPr>
              <w:t xml:space="preserve">Secundaire eindpunten – percentage responderende patiënten op week 24 </w:t>
            </w:r>
            <w:r w:rsidRPr="00330234">
              <w:rPr>
                <w:b/>
                <w:sz w:val="20"/>
                <w:szCs w:val="20"/>
                <w:vertAlign w:val="superscript"/>
              </w:rPr>
              <w:t>(b)</w:t>
            </w:r>
          </w:p>
        </w:tc>
      </w:tr>
      <w:tr w:rsidR="00054A17" w:rsidRPr="00330234" w14:paraId="4FCF9E1C" w14:textId="77777777" w:rsidTr="001B3E1E">
        <w:trPr>
          <w:trHeight w:val="20"/>
        </w:trPr>
        <w:tc>
          <w:tcPr>
            <w:tcW w:w="3798" w:type="dxa"/>
            <w:tcBorders>
              <w:top w:val="single" w:sz="4" w:space="0" w:color="000000"/>
              <w:left w:val="single" w:sz="4" w:space="0" w:color="000000"/>
            </w:tcBorders>
          </w:tcPr>
          <w:p w14:paraId="45B5BEBC" w14:textId="77777777" w:rsidR="00054A17" w:rsidRPr="00330234" w:rsidRDefault="00054A17" w:rsidP="00033660">
            <w:pPr>
              <w:pStyle w:val="TableParagraph"/>
              <w:keepNext/>
              <w:keepLines/>
              <w:widowControl/>
              <w:jc w:val="right"/>
              <w:rPr>
                <w:sz w:val="20"/>
                <w:szCs w:val="20"/>
              </w:rPr>
            </w:pPr>
            <w:r w:rsidRPr="00330234">
              <w:rPr>
                <w:sz w:val="20"/>
                <w:szCs w:val="20"/>
              </w:rPr>
              <w:t>DAS28 &lt; 2,6, n (%)</w:t>
            </w:r>
          </w:p>
        </w:tc>
        <w:tc>
          <w:tcPr>
            <w:tcW w:w="1980" w:type="dxa"/>
            <w:tcBorders>
              <w:top w:val="single" w:sz="4" w:space="0" w:color="000000"/>
            </w:tcBorders>
          </w:tcPr>
          <w:p w14:paraId="68631D11" w14:textId="77777777" w:rsidR="00054A17" w:rsidRPr="00330234" w:rsidRDefault="00054A17" w:rsidP="00033660">
            <w:pPr>
              <w:pStyle w:val="TableParagraph"/>
              <w:keepNext/>
              <w:keepLines/>
              <w:widowControl/>
              <w:jc w:val="center"/>
              <w:rPr>
                <w:sz w:val="20"/>
                <w:szCs w:val="20"/>
              </w:rPr>
            </w:pPr>
            <w:r w:rsidRPr="00330234">
              <w:rPr>
                <w:sz w:val="20"/>
                <w:szCs w:val="20"/>
              </w:rPr>
              <w:t>17 (10,5)</w:t>
            </w:r>
          </w:p>
        </w:tc>
        <w:tc>
          <w:tcPr>
            <w:tcW w:w="2070" w:type="dxa"/>
            <w:tcBorders>
              <w:top w:val="single" w:sz="4" w:space="0" w:color="000000"/>
            </w:tcBorders>
          </w:tcPr>
          <w:p w14:paraId="3D5F0F29" w14:textId="77777777" w:rsidR="00054A17" w:rsidRPr="00330234" w:rsidRDefault="00054A17" w:rsidP="00033660">
            <w:pPr>
              <w:pStyle w:val="TableParagraph"/>
              <w:keepNext/>
              <w:keepLines/>
              <w:widowControl/>
              <w:jc w:val="center"/>
              <w:rPr>
                <w:sz w:val="20"/>
                <w:szCs w:val="20"/>
              </w:rPr>
            </w:pPr>
            <w:r w:rsidRPr="00330234">
              <w:rPr>
                <w:sz w:val="20"/>
                <w:szCs w:val="20"/>
              </w:rPr>
              <w:t>65 (39,9)</w:t>
            </w:r>
          </w:p>
        </w:tc>
        <w:tc>
          <w:tcPr>
            <w:tcW w:w="1218" w:type="dxa"/>
            <w:tcBorders>
              <w:top w:val="single" w:sz="4" w:space="0" w:color="000000"/>
              <w:right w:val="single" w:sz="8" w:space="0" w:color="000000"/>
            </w:tcBorders>
          </w:tcPr>
          <w:p w14:paraId="02D566A6" w14:textId="77777777" w:rsidR="00054A17" w:rsidRPr="00330234" w:rsidRDefault="00054A17" w:rsidP="00033660">
            <w:pPr>
              <w:pStyle w:val="TableParagraph"/>
              <w:keepNext/>
              <w:keepLines/>
              <w:widowControl/>
              <w:jc w:val="center"/>
              <w:rPr>
                <w:sz w:val="20"/>
                <w:szCs w:val="20"/>
              </w:rPr>
            </w:pPr>
            <w:r w:rsidRPr="00330234">
              <w:rPr>
                <w:sz w:val="20"/>
                <w:szCs w:val="20"/>
              </w:rPr>
              <w:t>&lt; 0,0001</w:t>
            </w:r>
          </w:p>
        </w:tc>
      </w:tr>
      <w:tr w:rsidR="00054A17" w:rsidRPr="00330234" w14:paraId="008B64E4" w14:textId="77777777" w:rsidTr="001B3E1E">
        <w:trPr>
          <w:trHeight w:val="20"/>
        </w:trPr>
        <w:tc>
          <w:tcPr>
            <w:tcW w:w="3798" w:type="dxa"/>
            <w:tcBorders>
              <w:left w:val="single" w:sz="4" w:space="0" w:color="000000"/>
            </w:tcBorders>
          </w:tcPr>
          <w:p w14:paraId="6AF16DAA" w14:textId="77777777" w:rsidR="00054A17" w:rsidRPr="00330234" w:rsidRDefault="00054A17" w:rsidP="00054A17">
            <w:pPr>
              <w:pStyle w:val="TableParagraph"/>
              <w:keepNext/>
              <w:keepLines/>
              <w:widowControl/>
              <w:jc w:val="right"/>
              <w:rPr>
                <w:sz w:val="20"/>
                <w:szCs w:val="20"/>
              </w:rPr>
            </w:pPr>
            <w:r w:rsidRPr="00330234">
              <w:rPr>
                <w:sz w:val="20"/>
                <w:szCs w:val="20"/>
              </w:rPr>
              <w:t>DAS28 ≤ 3,2, n (%)</w:t>
            </w:r>
          </w:p>
        </w:tc>
        <w:tc>
          <w:tcPr>
            <w:tcW w:w="1980" w:type="dxa"/>
          </w:tcPr>
          <w:p w14:paraId="4B090D44" w14:textId="77777777" w:rsidR="00054A17" w:rsidRPr="00330234" w:rsidRDefault="00054A17" w:rsidP="00054A17">
            <w:pPr>
              <w:pStyle w:val="TableParagraph"/>
              <w:keepNext/>
              <w:keepLines/>
              <w:widowControl/>
              <w:jc w:val="center"/>
              <w:rPr>
                <w:sz w:val="20"/>
                <w:szCs w:val="20"/>
              </w:rPr>
            </w:pPr>
            <w:r w:rsidRPr="00330234">
              <w:rPr>
                <w:sz w:val="20"/>
                <w:szCs w:val="20"/>
              </w:rPr>
              <w:t>32 (19,8)</w:t>
            </w:r>
          </w:p>
        </w:tc>
        <w:tc>
          <w:tcPr>
            <w:tcW w:w="2070" w:type="dxa"/>
          </w:tcPr>
          <w:p w14:paraId="354EC2F2" w14:textId="77777777" w:rsidR="00054A17" w:rsidRPr="00330234" w:rsidRDefault="00054A17" w:rsidP="00054A17">
            <w:pPr>
              <w:pStyle w:val="TableParagraph"/>
              <w:keepNext/>
              <w:keepLines/>
              <w:widowControl/>
              <w:jc w:val="center"/>
              <w:rPr>
                <w:sz w:val="20"/>
                <w:szCs w:val="20"/>
              </w:rPr>
            </w:pPr>
            <w:r w:rsidRPr="00330234">
              <w:rPr>
                <w:sz w:val="20"/>
                <w:szCs w:val="20"/>
              </w:rPr>
              <w:t>84 (51,5)</w:t>
            </w:r>
          </w:p>
        </w:tc>
        <w:tc>
          <w:tcPr>
            <w:tcW w:w="1218" w:type="dxa"/>
            <w:tcBorders>
              <w:right w:val="single" w:sz="8" w:space="0" w:color="000000"/>
            </w:tcBorders>
          </w:tcPr>
          <w:p w14:paraId="29997E34" w14:textId="77777777" w:rsidR="00054A17" w:rsidRPr="00330234" w:rsidRDefault="00054A17" w:rsidP="00054A17">
            <w:pPr>
              <w:pStyle w:val="TableParagraph"/>
              <w:keepNext/>
              <w:keepLines/>
              <w:widowControl/>
              <w:jc w:val="center"/>
              <w:rPr>
                <w:sz w:val="20"/>
                <w:szCs w:val="20"/>
              </w:rPr>
            </w:pPr>
            <w:r w:rsidRPr="00330234">
              <w:rPr>
                <w:sz w:val="20"/>
                <w:szCs w:val="20"/>
              </w:rPr>
              <w:t>&lt; 0,0001</w:t>
            </w:r>
          </w:p>
        </w:tc>
      </w:tr>
      <w:tr w:rsidR="00054A17" w:rsidRPr="00330234" w14:paraId="7C62D279" w14:textId="77777777" w:rsidTr="001B3E1E">
        <w:trPr>
          <w:trHeight w:val="20"/>
        </w:trPr>
        <w:tc>
          <w:tcPr>
            <w:tcW w:w="3798" w:type="dxa"/>
            <w:tcBorders>
              <w:left w:val="single" w:sz="4" w:space="0" w:color="000000"/>
            </w:tcBorders>
          </w:tcPr>
          <w:p w14:paraId="7EAA23B0" w14:textId="77777777" w:rsidR="00054A17" w:rsidRPr="00330234" w:rsidRDefault="00054A17" w:rsidP="00054A17">
            <w:pPr>
              <w:pStyle w:val="TableParagraph"/>
              <w:keepNext/>
              <w:keepLines/>
              <w:widowControl/>
              <w:jc w:val="right"/>
              <w:rPr>
                <w:sz w:val="20"/>
                <w:szCs w:val="20"/>
              </w:rPr>
            </w:pPr>
            <w:r w:rsidRPr="00330234">
              <w:rPr>
                <w:sz w:val="20"/>
                <w:szCs w:val="20"/>
              </w:rPr>
              <w:t>ACR20-respons, n (%)</w:t>
            </w:r>
          </w:p>
        </w:tc>
        <w:tc>
          <w:tcPr>
            <w:tcW w:w="1980" w:type="dxa"/>
          </w:tcPr>
          <w:p w14:paraId="6028253A" w14:textId="77777777" w:rsidR="00054A17" w:rsidRPr="00330234" w:rsidRDefault="00054A17" w:rsidP="00054A17">
            <w:pPr>
              <w:pStyle w:val="TableParagraph"/>
              <w:keepNext/>
              <w:keepLines/>
              <w:widowControl/>
              <w:jc w:val="center"/>
              <w:rPr>
                <w:sz w:val="20"/>
                <w:szCs w:val="20"/>
              </w:rPr>
            </w:pPr>
            <w:r w:rsidRPr="00330234">
              <w:rPr>
                <w:sz w:val="20"/>
                <w:szCs w:val="20"/>
              </w:rPr>
              <w:t>80 (49,4)</w:t>
            </w:r>
          </w:p>
        </w:tc>
        <w:tc>
          <w:tcPr>
            <w:tcW w:w="2070" w:type="dxa"/>
          </w:tcPr>
          <w:p w14:paraId="7F29050C" w14:textId="77777777" w:rsidR="00054A17" w:rsidRPr="00330234" w:rsidRDefault="00054A17" w:rsidP="00054A17">
            <w:pPr>
              <w:pStyle w:val="TableParagraph"/>
              <w:keepNext/>
              <w:keepLines/>
              <w:widowControl/>
              <w:jc w:val="center"/>
              <w:rPr>
                <w:sz w:val="20"/>
                <w:szCs w:val="20"/>
              </w:rPr>
            </w:pPr>
            <w:r w:rsidRPr="00330234">
              <w:rPr>
                <w:sz w:val="20"/>
                <w:szCs w:val="20"/>
              </w:rPr>
              <w:t>106 (65,0)</w:t>
            </w:r>
          </w:p>
        </w:tc>
        <w:tc>
          <w:tcPr>
            <w:tcW w:w="1218" w:type="dxa"/>
            <w:tcBorders>
              <w:right w:val="single" w:sz="8" w:space="0" w:color="000000"/>
            </w:tcBorders>
          </w:tcPr>
          <w:p w14:paraId="63B39B89" w14:textId="77777777" w:rsidR="00054A17" w:rsidRPr="00330234" w:rsidRDefault="00054A17" w:rsidP="00054A17">
            <w:pPr>
              <w:pStyle w:val="TableParagraph"/>
              <w:keepNext/>
              <w:keepLines/>
              <w:widowControl/>
              <w:jc w:val="center"/>
              <w:rPr>
                <w:sz w:val="20"/>
                <w:szCs w:val="20"/>
              </w:rPr>
            </w:pPr>
            <w:r w:rsidRPr="00330234">
              <w:rPr>
                <w:sz w:val="20"/>
                <w:szCs w:val="20"/>
              </w:rPr>
              <w:t>0,0038</w:t>
            </w:r>
          </w:p>
        </w:tc>
      </w:tr>
      <w:tr w:rsidR="00054A17" w:rsidRPr="00330234" w14:paraId="6DE1316E" w14:textId="77777777" w:rsidTr="001B3E1E">
        <w:trPr>
          <w:trHeight w:val="20"/>
        </w:trPr>
        <w:tc>
          <w:tcPr>
            <w:tcW w:w="3798" w:type="dxa"/>
            <w:tcBorders>
              <w:left w:val="single" w:sz="4" w:space="0" w:color="000000"/>
            </w:tcBorders>
          </w:tcPr>
          <w:p w14:paraId="763167E3" w14:textId="77777777" w:rsidR="00054A17" w:rsidRPr="00330234" w:rsidRDefault="00054A17" w:rsidP="00054A17">
            <w:pPr>
              <w:pStyle w:val="TableParagraph"/>
              <w:widowControl/>
              <w:jc w:val="right"/>
              <w:rPr>
                <w:sz w:val="20"/>
                <w:szCs w:val="20"/>
              </w:rPr>
            </w:pPr>
            <w:r w:rsidRPr="00330234">
              <w:rPr>
                <w:sz w:val="20"/>
                <w:szCs w:val="20"/>
              </w:rPr>
              <w:t>ACR50-respons, n (%)</w:t>
            </w:r>
          </w:p>
        </w:tc>
        <w:tc>
          <w:tcPr>
            <w:tcW w:w="1980" w:type="dxa"/>
          </w:tcPr>
          <w:p w14:paraId="606B5A16" w14:textId="77777777" w:rsidR="00054A17" w:rsidRPr="00330234" w:rsidRDefault="00054A17" w:rsidP="00054A17">
            <w:pPr>
              <w:pStyle w:val="TableParagraph"/>
              <w:widowControl/>
              <w:jc w:val="center"/>
              <w:rPr>
                <w:sz w:val="20"/>
                <w:szCs w:val="20"/>
              </w:rPr>
            </w:pPr>
            <w:r w:rsidRPr="00330234">
              <w:rPr>
                <w:sz w:val="20"/>
                <w:szCs w:val="20"/>
              </w:rPr>
              <w:t>45 (27,8)</w:t>
            </w:r>
          </w:p>
        </w:tc>
        <w:tc>
          <w:tcPr>
            <w:tcW w:w="2070" w:type="dxa"/>
          </w:tcPr>
          <w:p w14:paraId="116BEA1E" w14:textId="77777777" w:rsidR="00054A17" w:rsidRPr="00330234" w:rsidRDefault="00054A17" w:rsidP="00054A17">
            <w:pPr>
              <w:pStyle w:val="TableParagraph"/>
              <w:widowControl/>
              <w:jc w:val="center"/>
              <w:rPr>
                <w:sz w:val="20"/>
                <w:szCs w:val="20"/>
              </w:rPr>
            </w:pPr>
            <w:r w:rsidRPr="00330234">
              <w:rPr>
                <w:sz w:val="20"/>
                <w:szCs w:val="20"/>
              </w:rPr>
              <w:t>77 (47,2)</w:t>
            </w:r>
          </w:p>
        </w:tc>
        <w:tc>
          <w:tcPr>
            <w:tcW w:w="1218" w:type="dxa"/>
            <w:tcBorders>
              <w:right w:val="single" w:sz="8" w:space="0" w:color="000000"/>
            </w:tcBorders>
          </w:tcPr>
          <w:p w14:paraId="7401387E" w14:textId="77777777" w:rsidR="00054A17" w:rsidRPr="00330234" w:rsidRDefault="00054A17" w:rsidP="00054A17">
            <w:pPr>
              <w:pStyle w:val="TableParagraph"/>
              <w:widowControl/>
              <w:jc w:val="center"/>
              <w:rPr>
                <w:sz w:val="20"/>
                <w:szCs w:val="20"/>
              </w:rPr>
            </w:pPr>
            <w:r w:rsidRPr="00330234">
              <w:rPr>
                <w:sz w:val="20"/>
                <w:szCs w:val="20"/>
              </w:rPr>
              <w:t>0,0002</w:t>
            </w:r>
          </w:p>
        </w:tc>
      </w:tr>
      <w:tr w:rsidR="00054A17" w:rsidRPr="00330234" w14:paraId="1A0ADF74" w14:textId="77777777" w:rsidTr="001B3E1E">
        <w:trPr>
          <w:trHeight w:val="20"/>
        </w:trPr>
        <w:tc>
          <w:tcPr>
            <w:tcW w:w="3798" w:type="dxa"/>
            <w:tcBorders>
              <w:left w:val="single" w:sz="4" w:space="0" w:color="000000"/>
              <w:bottom w:val="single" w:sz="4" w:space="0" w:color="000000"/>
            </w:tcBorders>
          </w:tcPr>
          <w:p w14:paraId="73324C4F" w14:textId="77777777" w:rsidR="00054A17" w:rsidRPr="00330234" w:rsidRDefault="00054A17" w:rsidP="00054A17">
            <w:pPr>
              <w:pStyle w:val="TableParagraph"/>
              <w:widowControl/>
              <w:jc w:val="right"/>
              <w:rPr>
                <w:sz w:val="20"/>
                <w:szCs w:val="20"/>
              </w:rPr>
            </w:pPr>
            <w:r w:rsidRPr="00330234">
              <w:rPr>
                <w:sz w:val="20"/>
                <w:szCs w:val="20"/>
              </w:rPr>
              <w:t>ACR70-respons, n (%)</w:t>
            </w:r>
          </w:p>
        </w:tc>
        <w:tc>
          <w:tcPr>
            <w:tcW w:w="1980" w:type="dxa"/>
            <w:tcBorders>
              <w:bottom w:val="single" w:sz="4" w:space="0" w:color="000000"/>
            </w:tcBorders>
          </w:tcPr>
          <w:p w14:paraId="6BA65C92" w14:textId="77777777" w:rsidR="00054A17" w:rsidRPr="00330234" w:rsidRDefault="00054A17" w:rsidP="00054A17">
            <w:pPr>
              <w:pStyle w:val="TableParagraph"/>
              <w:widowControl/>
              <w:jc w:val="center"/>
              <w:rPr>
                <w:sz w:val="20"/>
                <w:szCs w:val="20"/>
              </w:rPr>
            </w:pPr>
            <w:r w:rsidRPr="00330234">
              <w:rPr>
                <w:sz w:val="20"/>
                <w:szCs w:val="20"/>
              </w:rPr>
              <w:t>29 (17,9)</w:t>
            </w:r>
          </w:p>
        </w:tc>
        <w:tc>
          <w:tcPr>
            <w:tcW w:w="2070" w:type="dxa"/>
            <w:tcBorders>
              <w:bottom w:val="single" w:sz="4" w:space="0" w:color="000000"/>
            </w:tcBorders>
          </w:tcPr>
          <w:p w14:paraId="683A4034" w14:textId="77777777" w:rsidR="00054A17" w:rsidRPr="00330234" w:rsidRDefault="00054A17" w:rsidP="00054A17">
            <w:pPr>
              <w:pStyle w:val="TableParagraph"/>
              <w:widowControl/>
              <w:jc w:val="center"/>
              <w:rPr>
                <w:sz w:val="20"/>
                <w:szCs w:val="20"/>
              </w:rPr>
            </w:pPr>
            <w:r w:rsidRPr="00330234">
              <w:rPr>
                <w:sz w:val="20"/>
                <w:szCs w:val="20"/>
              </w:rPr>
              <w:t>53 (32,5)</w:t>
            </w:r>
          </w:p>
        </w:tc>
        <w:tc>
          <w:tcPr>
            <w:tcW w:w="1218" w:type="dxa"/>
            <w:tcBorders>
              <w:bottom w:val="single" w:sz="4" w:space="0" w:color="000000"/>
              <w:right w:val="single" w:sz="8" w:space="0" w:color="000000"/>
            </w:tcBorders>
          </w:tcPr>
          <w:p w14:paraId="1DBDEBC6" w14:textId="77777777" w:rsidR="00054A17" w:rsidRPr="00330234" w:rsidRDefault="00054A17" w:rsidP="00054A17">
            <w:pPr>
              <w:pStyle w:val="TableParagraph"/>
              <w:widowControl/>
              <w:jc w:val="center"/>
              <w:rPr>
                <w:sz w:val="20"/>
                <w:szCs w:val="20"/>
              </w:rPr>
            </w:pPr>
            <w:r w:rsidRPr="00330234">
              <w:rPr>
                <w:sz w:val="20"/>
                <w:szCs w:val="20"/>
              </w:rPr>
              <w:t>0,0023</w:t>
            </w:r>
          </w:p>
        </w:tc>
      </w:tr>
    </w:tbl>
    <w:p w14:paraId="2E2B146C" w14:textId="31A8BE89" w:rsidR="00436DAA" w:rsidRPr="00330234" w:rsidRDefault="009B4B8E" w:rsidP="007D398F">
      <w:pPr>
        <w:widowControl/>
        <w:ind w:left="284" w:hanging="284"/>
        <w:rPr>
          <w:i/>
          <w:sz w:val="18"/>
          <w:szCs w:val="18"/>
        </w:rPr>
      </w:pPr>
      <w:r w:rsidRPr="00330234">
        <w:rPr>
          <w:i/>
          <w:sz w:val="18"/>
          <w:szCs w:val="18"/>
          <w:vertAlign w:val="superscript"/>
        </w:rPr>
        <w:t>a</w:t>
      </w:r>
      <w:r w:rsidR="007D398F" w:rsidRPr="00330234">
        <w:rPr>
          <w:i/>
          <w:sz w:val="18"/>
          <w:szCs w:val="18"/>
        </w:rPr>
        <w:tab/>
      </w:r>
      <w:r w:rsidRPr="00330234">
        <w:rPr>
          <w:i/>
          <w:sz w:val="18"/>
          <w:szCs w:val="18"/>
        </w:rPr>
        <w:t>p-waarde is aangepast voor locatie en ziekteduur van RA voor alle eindpunten en daarnaast de baseline-waarde voor alle continue eindpunten</w:t>
      </w:r>
    </w:p>
    <w:p w14:paraId="45BB3E50" w14:textId="1A4B5883" w:rsidR="00436DAA" w:rsidRPr="00330234" w:rsidRDefault="009B4B8E" w:rsidP="007D398F">
      <w:pPr>
        <w:widowControl/>
        <w:ind w:left="284" w:hanging="284"/>
        <w:rPr>
          <w:i/>
          <w:sz w:val="18"/>
          <w:szCs w:val="18"/>
        </w:rPr>
      </w:pPr>
      <w:r w:rsidRPr="00330234">
        <w:rPr>
          <w:i/>
          <w:sz w:val="18"/>
          <w:szCs w:val="18"/>
          <w:vertAlign w:val="superscript"/>
        </w:rPr>
        <w:t>b</w:t>
      </w:r>
      <w:r w:rsidR="007D398F" w:rsidRPr="00330234">
        <w:rPr>
          <w:i/>
          <w:sz w:val="18"/>
          <w:szCs w:val="18"/>
        </w:rPr>
        <w:tab/>
      </w:r>
      <w:r w:rsidRPr="00330234">
        <w:rPr>
          <w:i/>
          <w:sz w:val="18"/>
          <w:szCs w:val="18"/>
        </w:rPr>
        <w:t>‘Non-responder Imputation’ gebruikt voor ontbrekende gegevens. ‘Multiplicity’-gecontroleerd met gebruik van Bonferroni-Holm- procedure</w:t>
      </w:r>
    </w:p>
    <w:p w14:paraId="4E8C3A3C" w14:textId="77777777" w:rsidR="00054A17" w:rsidRPr="00330234" w:rsidRDefault="00054A17" w:rsidP="00BD109B">
      <w:pPr>
        <w:pStyle w:val="a3"/>
        <w:widowControl/>
        <w:ind w:left="0"/>
      </w:pPr>
    </w:p>
    <w:p w14:paraId="61C89B54" w14:textId="18F6C910" w:rsidR="00436DAA" w:rsidRPr="00330234" w:rsidRDefault="009B4B8E" w:rsidP="00BD109B">
      <w:pPr>
        <w:pStyle w:val="a3"/>
        <w:widowControl/>
        <w:ind w:left="0"/>
      </w:pPr>
      <w:r w:rsidRPr="00330234">
        <w:t>Het totale klinische bijwerkingenprofiel was vergelijkbaar tussen tocilizumab en adalimumab. Het percentage patiënten met ernstige bijwerkingen was in evenwicht tussen de behandelingsgroepen (tocilizumab 11,7% vs. adalimumab 9,9%). De soort bijwerkingen in de tocilizumab-arm kwam overeen met het bekende veiligheidsprofiel van tocilizumab en bijwerkingen werden gemeld met een vergelijkbare frequentie als in tabel 1. In de tocilizumab-arm werd een hogere incidentie van infecties en parasitaire aandoeningen gemeld (48% vs. 42%), met daarbij geen verschil in de incidentie van ernstige infecties (3,1%). Beide studiebehandelingen leidden tot eenzelfde patroon van veranderingen in de veiligheids-laboratoriumparameters (afname in aantal neutrofielen en trombocyten, toename in ALAT, ASAT en lipiden). Echter, de omvang van de verandering en de frequentie van duidelijke afwijkingen was hoger bij tocilizumab vergeleken met adalimumab. Vier (2,5%) patiënten in de tocilizumab-arm en twee (1,2%) patiënten in de adalimumab-arm hadden een afname in het aantal neutrofielen van CTC-graad 3 of 4. Elf (6,8%) patiënten in de tocilizumab-arm en vijf (3,1%) patiënten in de adalimumab-arm hadden verhoogde ALAT-waarden van CTC-graad 2 of hoger. De gemiddelde toename in LDL ten opzichte van baseline was 0,64 mmol/l (25 mg/dl) voor patiënten in de tocilizumab-arm en 0,19 mmol/l (7 mg/dl) voor patiënten in de adalimumab-arm. De veiligheid die gezien werd in de tocilizumab-arm kwam overeen met het bekende veiligheidsprofiel van tocilizumab en er werden geen nieuwe of onverwachte bijwerkingen gezien (zie tabel 1).</w:t>
      </w:r>
    </w:p>
    <w:p w14:paraId="0E512153" w14:textId="77777777" w:rsidR="00054A17" w:rsidRPr="00330234" w:rsidRDefault="00054A17" w:rsidP="00BD109B">
      <w:pPr>
        <w:pStyle w:val="a3"/>
        <w:widowControl/>
        <w:ind w:left="0"/>
      </w:pPr>
    </w:p>
    <w:p w14:paraId="67FBDD06" w14:textId="77777777" w:rsidR="00436DAA" w:rsidRPr="001B3E1E" w:rsidRDefault="009B4B8E" w:rsidP="00BD109B">
      <w:pPr>
        <w:pStyle w:val="a3"/>
        <w:widowControl/>
        <w:ind w:left="0"/>
        <w:rPr>
          <w:b/>
          <w:bCs/>
          <w:i/>
          <w:iCs/>
        </w:rPr>
      </w:pPr>
      <w:r w:rsidRPr="001B3E1E">
        <w:rPr>
          <w:b/>
          <w:bCs/>
          <w:i/>
          <w:iCs/>
        </w:rPr>
        <w:t>MTX-naïeve, vroege RA</w:t>
      </w:r>
    </w:p>
    <w:p w14:paraId="30864B1D" w14:textId="79AB0402" w:rsidR="00436DAA" w:rsidRPr="00330234" w:rsidRDefault="009B4B8E" w:rsidP="007D398F">
      <w:pPr>
        <w:pStyle w:val="a3"/>
        <w:widowControl/>
        <w:ind w:left="0"/>
      </w:pPr>
      <w:r w:rsidRPr="00330234">
        <w:t>Tijdens studie VII (WA 19926), een 2 jaar durende studie met de geplande primaire analyse in week 52, werden 1</w:t>
      </w:r>
      <w:r w:rsidR="003C342D" w:rsidRPr="00330234">
        <w:t>.</w:t>
      </w:r>
      <w:r w:rsidRPr="00330234">
        <w:t>162 MTX-naïeve volwassen patiënten geëvalueerd met matige tot ernstige, actieve vroege RA (gemiddelde ziekteduur ≤ 6 maanden). Ongeveer 20% van de patiënten werd voorafgaand behandeld met DMARD</w:t>
      </w:r>
      <w:r w:rsidR="00753185" w:rsidRPr="00330234">
        <w:t>’</w:t>
      </w:r>
      <w:r w:rsidRPr="00330234">
        <w:t>s anders dan MTX. Deze studie evalueerde gedurende 104 weken de werkzaamheid van intraveneuze tocilizumab van 4 of 8 mg/kg elke 4 weken/MTX-combinatietherapie, 8 mg/kg intraveneus tocilizumab als monotherapie en MTX-monotherapie in het verminderen van de klachten en symptomen en de progressiesnelheid van gewrichtsschade. Het primaire eindpunt was het percentage patiënten dat DAS28-remissie (DAS28 &lt; 2,6) behaalde in week 24. Een significant groter percentage van de patiënten in de groepen die behandeld werden met tocilizumab 8 mg/kg + MTX en tocilizumab-monotherapie bereikte het primaire eindpunt, in vergelijking met MTX-monotherapie.</w:t>
      </w:r>
      <w:r w:rsidR="007D398F" w:rsidRPr="00330234">
        <w:t xml:space="preserve"> </w:t>
      </w:r>
      <w:r w:rsidRPr="00330234">
        <w:t>Voor de belangrijkste secundaire eindpunten liet de groep die behandeld werd met tocilizumab</w:t>
      </w:r>
      <w:r w:rsidR="007D398F" w:rsidRPr="00330234">
        <w:t xml:space="preserve"> </w:t>
      </w:r>
      <w:r w:rsidRPr="00330234">
        <w:t>8</w:t>
      </w:r>
      <w:r w:rsidR="007D398F" w:rsidRPr="00330234">
        <w:t> </w:t>
      </w:r>
      <w:r w:rsidRPr="00330234">
        <w:t xml:space="preserve">mg/kg + MTX ook statistisch significante resultaten zien. In vergelijking met MTX-monotherapie werden numeriek hogere responsen waargenomen bij de groep die behandeld werd met tocilizumab </w:t>
      </w:r>
      <w:r w:rsidRPr="00330234">
        <w:lastRenderedPageBreak/>
        <w:t>8</w:t>
      </w:r>
      <w:r w:rsidR="00054A17" w:rsidRPr="00330234">
        <w:t> </w:t>
      </w:r>
      <w:r w:rsidRPr="00330234">
        <w:t>mg/kg monotherapie bij alle secundaire eindpunten, waaronder radiografische eindpunten. In deze studie werden de ACR-/EULAR-remissie (</w:t>
      </w:r>
      <w:r w:rsidRPr="00330234">
        <w:rPr>
          <w:i/>
        </w:rPr>
        <w:t xml:space="preserve">Boolean </w:t>
      </w:r>
      <w:r w:rsidRPr="00330234">
        <w:t xml:space="preserve">en </w:t>
      </w:r>
      <w:r w:rsidRPr="00330234">
        <w:rPr>
          <w:i/>
        </w:rPr>
        <w:t>Index</w:t>
      </w:r>
      <w:r w:rsidRPr="00330234">
        <w:t>) ook geanalyseerd als vooraf gespecificeerde verkennende eindpunten, waarbij hogere responsen werden waargenomen in de</w:t>
      </w:r>
      <w:r w:rsidR="007D398F" w:rsidRPr="00330234">
        <w:t xml:space="preserve"> </w:t>
      </w:r>
      <w:r w:rsidRPr="00330234">
        <w:t>groepen die behandeld werden met tocilizumab. De resultaten van onderzoek VII zijn weergegeven in tabel 7.</w:t>
      </w:r>
    </w:p>
    <w:p w14:paraId="4CB83619" w14:textId="77777777" w:rsidR="00054A17" w:rsidRPr="00330234" w:rsidRDefault="00054A17" w:rsidP="00BD109B">
      <w:pPr>
        <w:pStyle w:val="a3"/>
        <w:widowControl/>
        <w:ind w:left="0"/>
      </w:pPr>
    </w:p>
    <w:p w14:paraId="3142E54C" w14:textId="09F0020B" w:rsidR="00436DAA" w:rsidRPr="00330234" w:rsidRDefault="009B4B8E" w:rsidP="007D398F">
      <w:pPr>
        <w:widowControl/>
        <w:ind w:left="1134" w:hanging="1134"/>
        <w:rPr>
          <w:i/>
        </w:rPr>
      </w:pPr>
      <w:r w:rsidRPr="00330234">
        <w:rPr>
          <w:i/>
        </w:rPr>
        <w:t>Tabel 7:</w:t>
      </w:r>
      <w:r w:rsidR="007D398F" w:rsidRPr="00330234">
        <w:rPr>
          <w:i/>
        </w:rPr>
        <w:tab/>
      </w:r>
      <w:r w:rsidRPr="00330234">
        <w:rPr>
          <w:i/>
        </w:rPr>
        <w:t>Werkzaamheidsresultaten voor studie VII (WA19926) bij MTX-naïeve, vroege RA-patiënten</w:t>
      </w:r>
    </w:p>
    <w:p w14:paraId="6E63726B" w14:textId="77777777" w:rsidR="00436DAA" w:rsidRPr="00330234" w:rsidRDefault="00436DAA" w:rsidP="00054A17">
      <w:pPr>
        <w:pStyle w:val="a3"/>
        <w:keepNext/>
        <w:keepLines/>
        <w:widowControl/>
        <w:ind w:left="0"/>
        <w:rPr>
          <w:i/>
        </w:rPr>
      </w:pPr>
    </w:p>
    <w:tbl>
      <w:tblPr>
        <w:tblW w:w="9066" w:type="dxa"/>
        <w:tblLayout w:type="fixed"/>
        <w:tblCellMar>
          <w:left w:w="85" w:type="dxa"/>
          <w:right w:w="85" w:type="dxa"/>
        </w:tblCellMar>
        <w:tblLook w:val="01E0" w:firstRow="1" w:lastRow="1" w:firstColumn="1" w:lastColumn="1" w:noHBand="0" w:noVBand="0"/>
      </w:tblPr>
      <w:tblGrid>
        <w:gridCol w:w="1841"/>
        <w:gridCol w:w="11"/>
        <w:gridCol w:w="1867"/>
        <w:gridCol w:w="1442"/>
        <w:gridCol w:w="1469"/>
        <w:gridCol w:w="1414"/>
        <w:gridCol w:w="13"/>
        <w:gridCol w:w="1009"/>
      </w:tblGrid>
      <w:tr w:rsidR="00436DAA" w:rsidRPr="00330234" w14:paraId="3232EB10" w14:textId="77777777" w:rsidTr="00DD4C0C">
        <w:trPr>
          <w:trHeight w:val="20"/>
        </w:trPr>
        <w:tc>
          <w:tcPr>
            <w:tcW w:w="1841" w:type="dxa"/>
            <w:tcBorders>
              <w:top w:val="single" w:sz="8" w:space="0" w:color="000000"/>
              <w:left w:val="single" w:sz="4" w:space="0" w:color="000000"/>
              <w:bottom w:val="single" w:sz="8" w:space="0" w:color="000000"/>
            </w:tcBorders>
          </w:tcPr>
          <w:p w14:paraId="78295C98" w14:textId="77777777" w:rsidR="00436DAA" w:rsidRPr="00330234" w:rsidRDefault="00436DAA" w:rsidP="00033660">
            <w:pPr>
              <w:pStyle w:val="TableParagraph"/>
              <w:keepNext/>
              <w:keepLines/>
              <w:widowControl/>
              <w:jc w:val="center"/>
              <w:rPr>
                <w:sz w:val="20"/>
                <w:szCs w:val="20"/>
              </w:rPr>
            </w:pPr>
          </w:p>
        </w:tc>
        <w:tc>
          <w:tcPr>
            <w:tcW w:w="1878" w:type="dxa"/>
            <w:gridSpan w:val="2"/>
            <w:tcBorders>
              <w:top w:val="single" w:sz="8" w:space="0" w:color="000000"/>
              <w:bottom w:val="single" w:sz="8" w:space="0" w:color="000000"/>
              <w:right w:val="single" w:sz="4" w:space="0" w:color="auto"/>
            </w:tcBorders>
          </w:tcPr>
          <w:p w14:paraId="65D21872" w14:textId="77777777" w:rsidR="00436DAA" w:rsidRPr="00330234" w:rsidRDefault="00436DAA" w:rsidP="00033660">
            <w:pPr>
              <w:pStyle w:val="TableParagraph"/>
              <w:keepNext/>
              <w:keepLines/>
              <w:widowControl/>
              <w:jc w:val="center"/>
              <w:rPr>
                <w:sz w:val="20"/>
                <w:szCs w:val="20"/>
              </w:rPr>
            </w:pPr>
          </w:p>
        </w:tc>
        <w:tc>
          <w:tcPr>
            <w:tcW w:w="1442" w:type="dxa"/>
            <w:tcBorders>
              <w:top w:val="single" w:sz="4" w:space="0" w:color="auto"/>
              <w:left w:val="single" w:sz="4" w:space="0" w:color="auto"/>
              <w:bottom w:val="single" w:sz="4" w:space="0" w:color="auto"/>
              <w:right w:val="single" w:sz="4" w:space="0" w:color="auto"/>
            </w:tcBorders>
          </w:tcPr>
          <w:p w14:paraId="4800B68A" w14:textId="48A9F800" w:rsidR="00436DAA" w:rsidRPr="00330234" w:rsidRDefault="009B4B8E" w:rsidP="00033660">
            <w:pPr>
              <w:pStyle w:val="TableParagraph"/>
              <w:keepNext/>
              <w:keepLines/>
              <w:widowControl/>
              <w:jc w:val="center"/>
              <w:rPr>
                <w:b/>
                <w:sz w:val="20"/>
                <w:szCs w:val="20"/>
              </w:rPr>
            </w:pPr>
            <w:r w:rsidRPr="00330234">
              <w:rPr>
                <w:b/>
                <w:sz w:val="20"/>
                <w:szCs w:val="20"/>
              </w:rPr>
              <w:t>TCZ 8</w:t>
            </w:r>
            <w:r w:rsidR="00033660" w:rsidRPr="00330234">
              <w:rPr>
                <w:b/>
                <w:sz w:val="20"/>
                <w:szCs w:val="20"/>
              </w:rPr>
              <w:t> </w:t>
            </w:r>
            <w:r w:rsidRPr="00330234">
              <w:rPr>
                <w:b/>
                <w:sz w:val="20"/>
                <w:szCs w:val="20"/>
              </w:rPr>
              <w:t>mg/kg + MTX</w:t>
            </w:r>
          </w:p>
          <w:p w14:paraId="5E679FE7" w14:textId="77777777" w:rsidR="00436DAA" w:rsidRPr="00330234" w:rsidRDefault="009B4B8E" w:rsidP="00033660">
            <w:pPr>
              <w:pStyle w:val="TableParagraph"/>
              <w:keepNext/>
              <w:keepLines/>
              <w:widowControl/>
              <w:jc w:val="center"/>
              <w:rPr>
                <w:b/>
                <w:sz w:val="20"/>
                <w:szCs w:val="20"/>
              </w:rPr>
            </w:pPr>
            <w:r w:rsidRPr="00330234">
              <w:rPr>
                <w:b/>
                <w:sz w:val="20"/>
                <w:szCs w:val="20"/>
              </w:rPr>
              <w:t>N = 290</w:t>
            </w:r>
          </w:p>
        </w:tc>
        <w:tc>
          <w:tcPr>
            <w:tcW w:w="1469" w:type="dxa"/>
            <w:tcBorders>
              <w:top w:val="single" w:sz="4" w:space="0" w:color="auto"/>
              <w:left w:val="single" w:sz="4" w:space="0" w:color="auto"/>
              <w:bottom w:val="single" w:sz="4" w:space="0" w:color="auto"/>
              <w:right w:val="single" w:sz="4" w:space="0" w:color="auto"/>
            </w:tcBorders>
          </w:tcPr>
          <w:p w14:paraId="486E3D9B" w14:textId="77777777" w:rsidR="00436DAA" w:rsidRPr="00330234" w:rsidRDefault="009B4B8E" w:rsidP="00033660">
            <w:pPr>
              <w:pStyle w:val="TableParagraph"/>
              <w:keepNext/>
              <w:keepLines/>
              <w:widowControl/>
              <w:jc w:val="center"/>
              <w:rPr>
                <w:b/>
                <w:sz w:val="20"/>
                <w:szCs w:val="20"/>
              </w:rPr>
            </w:pPr>
            <w:r w:rsidRPr="00330234">
              <w:rPr>
                <w:b/>
                <w:sz w:val="20"/>
                <w:szCs w:val="20"/>
              </w:rPr>
              <w:t>TCZ 8 mg/kg + placebo</w:t>
            </w:r>
          </w:p>
          <w:p w14:paraId="483E313C" w14:textId="77777777" w:rsidR="00436DAA" w:rsidRPr="00330234" w:rsidRDefault="009B4B8E" w:rsidP="00033660">
            <w:pPr>
              <w:pStyle w:val="TableParagraph"/>
              <w:keepNext/>
              <w:keepLines/>
              <w:widowControl/>
              <w:jc w:val="center"/>
              <w:rPr>
                <w:b/>
                <w:sz w:val="20"/>
                <w:szCs w:val="20"/>
              </w:rPr>
            </w:pPr>
            <w:r w:rsidRPr="00330234">
              <w:rPr>
                <w:b/>
                <w:sz w:val="20"/>
                <w:szCs w:val="20"/>
              </w:rPr>
              <w:t>N = 292</w:t>
            </w:r>
          </w:p>
        </w:tc>
        <w:tc>
          <w:tcPr>
            <w:tcW w:w="1427" w:type="dxa"/>
            <w:gridSpan w:val="2"/>
            <w:tcBorders>
              <w:top w:val="single" w:sz="4" w:space="0" w:color="auto"/>
              <w:left w:val="single" w:sz="4" w:space="0" w:color="auto"/>
              <w:bottom w:val="single" w:sz="4" w:space="0" w:color="auto"/>
              <w:right w:val="single" w:sz="4" w:space="0" w:color="auto"/>
            </w:tcBorders>
          </w:tcPr>
          <w:p w14:paraId="14F3A10B" w14:textId="77777777" w:rsidR="00436DAA" w:rsidRPr="00330234" w:rsidRDefault="009B4B8E" w:rsidP="00033660">
            <w:pPr>
              <w:pStyle w:val="TableParagraph"/>
              <w:keepNext/>
              <w:keepLines/>
              <w:widowControl/>
              <w:jc w:val="center"/>
              <w:rPr>
                <w:b/>
                <w:sz w:val="20"/>
                <w:szCs w:val="20"/>
              </w:rPr>
            </w:pPr>
            <w:r w:rsidRPr="00330234">
              <w:rPr>
                <w:b/>
                <w:sz w:val="20"/>
                <w:szCs w:val="20"/>
              </w:rPr>
              <w:t>TCZ 4 mg/kg + MTX</w:t>
            </w:r>
          </w:p>
          <w:p w14:paraId="6175D918" w14:textId="77777777" w:rsidR="00436DAA" w:rsidRPr="00330234" w:rsidRDefault="009B4B8E" w:rsidP="00033660">
            <w:pPr>
              <w:pStyle w:val="TableParagraph"/>
              <w:keepNext/>
              <w:keepLines/>
              <w:widowControl/>
              <w:jc w:val="center"/>
              <w:rPr>
                <w:b/>
                <w:sz w:val="20"/>
                <w:szCs w:val="20"/>
              </w:rPr>
            </w:pPr>
            <w:r w:rsidRPr="00330234">
              <w:rPr>
                <w:b/>
                <w:sz w:val="20"/>
                <w:szCs w:val="20"/>
              </w:rPr>
              <w:t>N = 288</w:t>
            </w:r>
          </w:p>
        </w:tc>
        <w:tc>
          <w:tcPr>
            <w:tcW w:w="1009" w:type="dxa"/>
            <w:tcBorders>
              <w:top w:val="single" w:sz="4" w:space="0" w:color="auto"/>
              <w:left w:val="single" w:sz="4" w:space="0" w:color="auto"/>
              <w:bottom w:val="single" w:sz="4" w:space="0" w:color="auto"/>
              <w:right w:val="single" w:sz="4" w:space="0" w:color="auto"/>
            </w:tcBorders>
          </w:tcPr>
          <w:p w14:paraId="01164D1B" w14:textId="77777777" w:rsidR="00436DAA" w:rsidRPr="00330234" w:rsidRDefault="009B4B8E" w:rsidP="00033660">
            <w:pPr>
              <w:pStyle w:val="TableParagraph"/>
              <w:keepNext/>
              <w:keepLines/>
              <w:widowControl/>
              <w:jc w:val="center"/>
              <w:rPr>
                <w:b/>
                <w:sz w:val="20"/>
                <w:szCs w:val="20"/>
              </w:rPr>
            </w:pPr>
            <w:r w:rsidRPr="00330234">
              <w:rPr>
                <w:b/>
                <w:sz w:val="20"/>
                <w:szCs w:val="20"/>
              </w:rPr>
              <w:t>Placebo + MTX</w:t>
            </w:r>
          </w:p>
          <w:p w14:paraId="4F98C10D" w14:textId="77777777" w:rsidR="00436DAA" w:rsidRPr="00330234" w:rsidRDefault="009B4B8E" w:rsidP="00033660">
            <w:pPr>
              <w:pStyle w:val="TableParagraph"/>
              <w:keepNext/>
              <w:keepLines/>
              <w:widowControl/>
              <w:jc w:val="center"/>
              <w:rPr>
                <w:b/>
                <w:sz w:val="20"/>
                <w:szCs w:val="20"/>
              </w:rPr>
            </w:pPr>
            <w:r w:rsidRPr="00330234">
              <w:rPr>
                <w:b/>
                <w:sz w:val="20"/>
                <w:szCs w:val="20"/>
              </w:rPr>
              <w:t>N = 287</w:t>
            </w:r>
          </w:p>
        </w:tc>
      </w:tr>
      <w:tr w:rsidR="007D398F" w:rsidRPr="00330234" w14:paraId="035FD8BE" w14:textId="77777777" w:rsidTr="00A03838">
        <w:trPr>
          <w:trHeight w:val="20"/>
        </w:trPr>
        <w:tc>
          <w:tcPr>
            <w:tcW w:w="9066" w:type="dxa"/>
            <w:gridSpan w:val="8"/>
            <w:tcBorders>
              <w:top w:val="single" w:sz="8" w:space="0" w:color="000000"/>
              <w:left w:val="single" w:sz="4" w:space="0" w:color="000000"/>
              <w:bottom w:val="single" w:sz="4" w:space="0" w:color="000000"/>
              <w:right w:val="single" w:sz="8" w:space="0" w:color="000000"/>
            </w:tcBorders>
          </w:tcPr>
          <w:p w14:paraId="07E550F7" w14:textId="77777777" w:rsidR="007D398F" w:rsidRPr="00330234" w:rsidRDefault="007D398F" w:rsidP="00054A17">
            <w:pPr>
              <w:pStyle w:val="TableParagraph"/>
              <w:keepNext/>
              <w:keepLines/>
              <w:widowControl/>
              <w:rPr>
                <w:b/>
                <w:sz w:val="20"/>
                <w:szCs w:val="20"/>
              </w:rPr>
            </w:pPr>
            <w:r w:rsidRPr="00330234">
              <w:rPr>
                <w:b/>
                <w:sz w:val="20"/>
                <w:szCs w:val="20"/>
              </w:rPr>
              <w:t>Primair eindpunt</w:t>
            </w:r>
          </w:p>
        </w:tc>
      </w:tr>
      <w:tr w:rsidR="007D398F" w:rsidRPr="00330234" w14:paraId="51623985" w14:textId="77777777" w:rsidTr="00DD4C0C">
        <w:trPr>
          <w:trHeight w:val="20"/>
        </w:trPr>
        <w:tc>
          <w:tcPr>
            <w:tcW w:w="3719" w:type="dxa"/>
            <w:gridSpan w:val="3"/>
            <w:tcBorders>
              <w:top w:val="single" w:sz="4" w:space="0" w:color="000000"/>
              <w:left w:val="single" w:sz="4" w:space="0" w:color="000000"/>
              <w:right w:val="single" w:sz="8" w:space="0" w:color="000000"/>
            </w:tcBorders>
          </w:tcPr>
          <w:p w14:paraId="7D5C8169" w14:textId="585A7626" w:rsidR="007D398F" w:rsidRPr="00330234" w:rsidRDefault="007D398F" w:rsidP="00054A17">
            <w:pPr>
              <w:pStyle w:val="TableParagraph"/>
              <w:keepNext/>
              <w:keepLines/>
              <w:widowControl/>
              <w:rPr>
                <w:sz w:val="20"/>
                <w:szCs w:val="20"/>
              </w:rPr>
            </w:pPr>
            <w:r w:rsidRPr="00330234">
              <w:rPr>
                <w:sz w:val="20"/>
                <w:szCs w:val="20"/>
              </w:rPr>
              <w:t>DAS28-remissie</w:t>
            </w:r>
          </w:p>
        </w:tc>
        <w:tc>
          <w:tcPr>
            <w:tcW w:w="1442" w:type="dxa"/>
            <w:tcBorders>
              <w:top w:val="single" w:sz="4" w:space="0" w:color="000000"/>
              <w:right w:val="single" w:sz="8" w:space="0" w:color="000000"/>
            </w:tcBorders>
          </w:tcPr>
          <w:p w14:paraId="60DD99DF" w14:textId="77777777" w:rsidR="007D398F" w:rsidRPr="00330234" w:rsidRDefault="007D398F" w:rsidP="00054A17">
            <w:pPr>
              <w:pStyle w:val="TableParagraph"/>
              <w:keepNext/>
              <w:keepLines/>
              <w:widowControl/>
              <w:rPr>
                <w:sz w:val="20"/>
                <w:szCs w:val="20"/>
              </w:rPr>
            </w:pPr>
          </w:p>
        </w:tc>
        <w:tc>
          <w:tcPr>
            <w:tcW w:w="1469" w:type="dxa"/>
            <w:tcBorders>
              <w:top w:val="single" w:sz="4" w:space="0" w:color="000000"/>
              <w:right w:val="single" w:sz="8" w:space="0" w:color="000000"/>
            </w:tcBorders>
          </w:tcPr>
          <w:p w14:paraId="3064DC40" w14:textId="77777777" w:rsidR="007D398F" w:rsidRPr="00330234" w:rsidRDefault="007D398F" w:rsidP="00054A17">
            <w:pPr>
              <w:pStyle w:val="TableParagraph"/>
              <w:keepNext/>
              <w:keepLines/>
              <w:widowControl/>
              <w:rPr>
                <w:sz w:val="20"/>
                <w:szCs w:val="20"/>
              </w:rPr>
            </w:pPr>
          </w:p>
        </w:tc>
        <w:tc>
          <w:tcPr>
            <w:tcW w:w="1414" w:type="dxa"/>
            <w:tcBorders>
              <w:top w:val="single" w:sz="4" w:space="0" w:color="000000"/>
              <w:right w:val="single" w:sz="8" w:space="0" w:color="000000"/>
            </w:tcBorders>
          </w:tcPr>
          <w:p w14:paraId="0F6CB39B" w14:textId="77777777" w:rsidR="007D398F" w:rsidRPr="00330234" w:rsidRDefault="007D398F" w:rsidP="00054A17">
            <w:pPr>
              <w:pStyle w:val="TableParagraph"/>
              <w:keepNext/>
              <w:keepLines/>
              <w:widowControl/>
              <w:rPr>
                <w:sz w:val="20"/>
                <w:szCs w:val="20"/>
              </w:rPr>
            </w:pPr>
          </w:p>
        </w:tc>
        <w:tc>
          <w:tcPr>
            <w:tcW w:w="1022" w:type="dxa"/>
            <w:gridSpan w:val="2"/>
            <w:tcBorders>
              <w:top w:val="single" w:sz="4" w:space="0" w:color="000000"/>
              <w:right w:val="single" w:sz="8" w:space="0" w:color="000000"/>
            </w:tcBorders>
          </w:tcPr>
          <w:p w14:paraId="0D8C1083" w14:textId="1D1A2791" w:rsidR="007D398F" w:rsidRPr="00330234" w:rsidRDefault="007D398F" w:rsidP="00054A17">
            <w:pPr>
              <w:pStyle w:val="TableParagraph"/>
              <w:keepNext/>
              <w:keepLines/>
              <w:widowControl/>
              <w:rPr>
                <w:sz w:val="20"/>
                <w:szCs w:val="20"/>
              </w:rPr>
            </w:pPr>
          </w:p>
        </w:tc>
      </w:tr>
      <w:tr w:rsidR="00436DAA" w:rsidRPr="00330234" w14:paraId="1DA4DED0" w14:textId="77777777" w:rsidTr="00DD4C0C">
        <w:trPr>
          <w:trHeight w:val="20"/>
        </w:trPr>
        <w:tc>
          <w:tcPr>
            <w:tcW w:w="1841" w:type="dxa"/>
            <w:tcBorders>
              <w:top w:val="single" w:sz="4" w:space="0" w:color="auto"/>
              <w:left w:val="single" w:sz="4" w:space="0" w:color="auto"/>
              <w:bottom w:val="single" w:sz="4" w:space="0" w:color="auto"/>
              <w:right w:val="single" w:sz="4" w:space="0" w:color="auto"/>
            </w:tcBorders>
          </w:tcPr>
          <w:p w14:paraId="40458B8B" w14:textId="77777777" w:rsidR="00436DAA" w:rsidRPr="00330234" w:rsidRDefault="009B4B8E" w:rsidP="007D398F">
            <w:pPr>
              <w:pStyle w:val="TableParagraph"/>
              <w:keepNext/>
              <w:keepLines/>
              <w:widowControl/>
              <w:jc w:val="center"/>
              <w:rPr>
                <w:sz w:val="20"/>
                <w:szCs w:val="20"/>
              </w:rPr>
            </w:pPr>
            <w:r w:rsidRPr="00330234">
              <w:rPr>
                <w:sz w:val="20"/>
                <w:szCs w:val="20"/>
              </w:rPr>
              <w:t>Week 24</w:t>
            </w:r>
          </w:p>
        </w:tc>
        <w:tc>
          <w:tcPr>
            <w:tcW w:w="1878" w:type="dxa"/>
            <w:gridSpan w:val="2"/>
            <w:tcBorders>
              <w:top w:val="single" w:sz="4" w:space="0" w:color="auto"/>
              <w:left w:val="single" w:sz="4" w:space="0" w:color="auto"/>
              <w:bottom w:val="single" w:sz="4" w:space="0" w:color="auto"/>
              <w:right w:val="single" w:sz="4" w:space="0" w:color="auto"/>
            </w:tcBorders>
          </w:tcPr>
          <w:p w14:paraId="4707205F" w14:textId="77777777" w:rsidR="00436DAA" w:rsidRPr="00330234" w:rsidRDefault="009B4B8E" w:rsidP="007D398F">
            <w:pPr>
              <w:pStyle w:val="TableParagraph"/>
              <w:keepNext/>
              <w:keepLines/>
              <w:widowControl/>
              <w:jc w:val="center"/>
              <w:rPr>
                <w:sz w:val="20"/>
                <w:szCs w:val="20"/>
              </w:rPr>
            </w:pPr>
            <w:r w:rsidRPr="00330234">
              <w:rPr>
                <w:sz w:val="20"/>
                <w:szCs w:val="20"/>
              </w:rPr>
              <w:t>n (%)</w:t>
            </w:r>
          </w:p>
        </w:tc>
        <w:tc>
          <w:tcPr>
            <w:tcW w:w="1442" w:type="dxa"/>
            <w:tcBorders>
              <w:top w:val="single" w:sz="4" w:space="0" w:color="auto"/>
              <w:left w:val="single" w:sz="4" w:space="0" w:color="auto"/>
              <w:bottom w:val="single" w:sz="4" w:space="0" w:color="auto"/>
              <w:right w:val="single" w:sz="4" w:space="0" w:color="auto"/>
            </w:tcBorders>
          </w:tcPr>
          <w:p w14:paraId="7771C449" w14:textId="77777777" w:rsidR="00436DAA" w:rsidRPr="00330234" w:rsidRDefault="009B4B8E" w:rsidP="007D398F">
            <w:pPr>
              <w:pStyle w:val="TableParagraph"/>
              <w:keepNext/>
              <w:keepLines/>
              <w:widowControl/>
              <w:jc w:val="center"/>
              <w:rPr>
                <w:sz w:val="20"/>
                <w:szCs w:val="20"/>
              </w:rPr>
            </w:pPr>
            <w:r w:rsidRPr="00330234">
              <w:rPr>
                <w:sz w:val="20"/>
                <w:szCs w:val="20"/>
              </w:rPr>
              <w:t>130 (44,8)***</w:t>
            </w:r>
          </w:p>
        </w:tc>
        <w:tc>
          <w:tcPr>
            <w:tcW w:w="1469" w:type="dxa"/>
            <w:tcBorders>
              <w:top w:val="single" w:sz="4" w:space="0" w:color="auto"/>
              <w:left w:val="single" w:sz="4" w:space="0" w:color="auto"/>
              <w:bottom w:val="single" w:sz="4" w:space="0" w:color="auto"/>
              <w:right w:val="single" w:sz="4" w:space="0" w:color="auto"/>
            </w:tcBorders>
          </w:tcPr>
          <w:p w14:paraId="62841450" w14:textId="77777777" w:rsidR="00436DAA" w:rsidRPr="00330234" w:rsidRDefault="009B4B8E" w:rsidP="007D398F">
            <w:pPr>
              <w:pStyle w:val="TableParagraph"/>
              <w:keepNext/>
              <w:keepLines/>
              <w:widowControl/>
              <w:jc w:val="center"/>
              <w:rPr>
                <w:sz w:val="20"/>
                <w:szCs w:val="20"/>
              </w:rPr>
            </w:pPr>
            <w:r w:rsidRPr="00330234">
              <w:rPr>
                <w:sz w:val="20"/>
                <w:szCs w:val="20"/>
              </w:rPr>
              <w:t>113 (38,7)***</w:t>
            </w:r>
          </w:p>
        </w:tc>
        <w:tc>
          <w:tcPr>
            <w:tcW w:w="1427" w:type="dxa"/>
            <w:gridSpan w:val="2"/>
            <w:tcBorders>
              <w:top w:val="single" w:sz="4" w:space="0" w:color="auto"/>
              <w:left w:val="single" w:sz="4" w:space="0" w:color="auto"/>
              <w:bottom w:val="single" w:sz="4" w:space="0" w:color="auto"/>
              <w:right w:val="single" w:sz="4" w:space="0" w:color="auto"/>
            </w:tcBorders>
          </w:tcPr>
          <w:p w14:paraId="000C1B35" w14:textId="77777777" w:rsidR="00436DAA" w:rsidRPr="00330234" w:rsidRDefault="009B4B8E" w:rsidP="007D398F">
            <w:pPr>
              <w:pStyle w:val="TableParagraph"/>
              <w:keepNext/>
              <w:keepLines/>
              <w:widowControl/>
              <w:jc w:val="center"/>
              <w:rPr>
                <w:sz w:val="20"/>
                <w:szCs w:val="20"/>
              </w:rPr>
            </w:pPr>
            <w:r w:rsidRPr="00330234">
              <w:rPr>
                <w:sz w:val="20"/>
                <w:szCs w:val="20"/>
              </w:rPr>
              <w:t>92 (31,9)</w:t>
            </w:r>
          </w:p>
        </w:tc>
        <w:tc>
          <w:tcPr>
            <w:tcW w:w="1009" w:type="dxa"/>
            <w:tcBorders>
              <w:top w:val="single" w:sz="4" w:space="0" w:color="auto"/>
              <w:left w:val="single" w:sz="4" w:space="0" w:color="auto"/>
              <w:bottom w:val="single" w:sz="4" w:space="0" w:color="auto"/>
              <w:right w:val="single" w:sz="4" w:space="0" w:color="auto"/>
            </w:tcBorders>
          </w:tcPr>
          <w:p w14:paraId="6B7C6112" w14:textId="77777777" w:rsidR="00436DAA" w:rsidRPr="00330234" w:rsidRDefault="009B4B8E" w:rsidP="007D398F">
            <w:pPr>
              <w:pStyle w:val="TableParagraph"/>
              <w:keepNext/>
              <w:keepLines/>
              <w:widowControl/>
              <w:jc w:val="center"/>
              <w:rPr>
                <w:sz w:val="20"/>
                <w:szCs w:val="20"/>
              </w:rPr>
            </w:pPr>
            <w:r w:rsidRPr="00330234">
              <w:rPr>
                <w:sz w:val="20"/>
                <w:szCs w:val="20"/>
              </w:rPr>
              <w:t>43 (15,0)</w:t>
            </w:r>
          </w:p>
        </w:tc>
      </w:tr>
      <w:tr w:rsidR="007D398F" w:rsidRPr="00330234" w14:paraId="32433E7A" w14:textId="77777777" w:rsidTr="007D398F">
        <w:trPr>
          <w:trHeight w:val="20"/>
        </w:trPr>
        <w:tc>
          <w:tcPr>
            <w:tcW w:w="9066" w:type="dxa"/>
            <w:gridSpan w:val="8"/>
            <w:tcBorders>
              <w:top w:val="single" w:sz="4" w:space="0" w:color="auto"/>
              <w:left w:val="single" w:sz="4" w:space="0" w:color="000000"/>
              <w:bottom w:val="single" w:sz="4" w:space="0" w:color="000000"/>
              <w:right w:val="single" w:sz="8" w:space="0" w:color="000000"/>
            </w:tcBorders>
          </w:tcPr>
          <w:p w14:paraId="1DFA9C19" w14:textId="77777777" w:rsidR="007D398F" w:rsidRPr="00330234" w:rsidRDefault="007D398F" w:rsidP="00BD109B">
            <w:pPr>
              <w:pStyle w:val="TableParagraph"/>
              <w:widowControl/>
              <w:rPr>
                <w:b/>
                <w:sz w:val="20"/>
                <w:szCs w:val="20"/>
              </w:rPr>
            </w:pPr>
            <w:r w:rsidRPr="00330234">
              <w:rPr>
                <w:b/>
                <w:sz w:val="20"/>
                <w:szCs w:val="20"/>
              </w:rPr>
              <w:t>Belangrijke secondaire eindpunten</w:t>
            </w:r>
          </w:p>
        </w:tc>
      </w:tr>
      <w:tr w:rsidR="007D398F" w:rsidRPr="00330234" w14:paraId="4D0E31C9" w14:textId="77777777" w:rsidTr="00DD4C0C">
        <w:trPr>
          <w:trHeight w:val="20"/>
        </w:trPr>
        <w:tc>
          <w:tcPr>
            <w:tcW w:w="3719" w:type="dxa"/>
            <w:gridSpan w:val="3"/>
            <w:tcBorders>
              <w:top w:val="single" w:sz="4" w:space="0" w:color="000000"/>
              <w:left w:val="single" w:sz="4" w:space="0" w:color="000000"/>
              <w:bottom w:val="single" w:sz="4" w:space="0" w:color="auto"/>
              <w:right w:val="single" w:sz="8" w:space="0" w:color="000000"/>
            </w:tcBorders>
          </w:tcPr>
          <w:p w14:paraId="3787F328" w14:textId="12D89AEE" w:rsidR="007D398F" w:rsidRPr="00330234" w:rsidRDefault="007D398F" w:rsidP="00BD109B">
            <w:pPr>
              <w:pStyle w:val="TableParagraph"/>
              <w:widowControl/>
              <w:rPr>
                <w:sz w:val="20"/>
                <w:szCs w:val="20"/>
              </w:rPr>
            </w:pPr>
            <w:r w:rsidRPr="00330234">
              <w:rPr>
                <w:sz w:val="20"/>
                <w:szCs w:val="20"/>
              </w:rPr>
              <w:t>DAS28-remissie</w:t>
            </w:r>
          </w:p>
        </w:tc>
        <w:tc>
          <w:tcPr>
            <w:tcW w:w="1442" w:type="dxa"/>
            <w:tcBorders>
              <w:top w:val="single" w:sz="4" w:space="0" w:color="000000"/>
              <w:bottom w:val="single" w:sz="4" w:space="0" w:color="auto"/>
              <w:right w:val="single" w:sz="8" w:space="0" w:color="000000"/>
            </w:tcBorders>
          </w:tcPr>
          <w:p w14:paraId="758821B1" w14:textId="77777777" w:rsidR="007D398F" w:rsidRPr="00330234" w:rsidRDefault="007D398F" w:rsidP="00BD109B">
            <w:pPr>
              <w:pStyle w:val="TableParagraph"/>
              <w:widowControl/>
              <w:rPr>
                <w:sz w:val="20"/>
                <w:szCs w:val="20"/>
              </w:rPr>
            </w:pPr>
          </w:p>
        </w:tc>
        <w:tc>
          <w:tcPr>
            <w:tcW w:w="1469" w:type="dxa"/>
            <w:tcBorders>
              <w:top w:val="single" w:sz="4" w:space="0" w:color="000000"/>
              <w:bottom w:val="single" w:sz="4" w:space="0" w:color="auto"/>
              <w:right w:val="single" w:sz="8" w:space="0" w:color="000000"/>
            </w:tcBorders>
          </w:tcPr>
          <w:p w14:paraId="02816D2E" w14:textId="77777777" w:rsidR="007D398F" w:rsidRPr="00330234" w:rsidRDefault="007D398F" w:rsidP="00BD109B">
            <w:pPr>
              <w:pStyle w:val="TableParagraph"/>
              <w:widowControl/>
              <w:rPr>
                <w:sz w:val="20"/>
                <w:szCs w:val="20"/>
              </w:rPr>
            </w:pPr>
          </w:p>
        </w:tc>
        <w:tc>
          <w:tcPr>
            <w:tcW w:w="1414" w:type="dxa"/>
            <w:tcBorders>
              <w:top w:val="single" w:sz="4" w:space="0" w:color="000000"/>
              <w:bottom w:val="single" w:sz="4" w:space="0" w:color="auto"/>
              <w:right w:val="single" w:sz="8" w:space="0" w:color="000000"/>
            </w:tcBorders>
          </w:tcPr>
          <w:p w14:paraId="7B0ADA5A" w14:textId="77777777" w:rsidR="007D398F" w:rsidRPr="00330234" w:rsidRDefault="007D398F" w:rsidP="00BD109B">
            <w:pPr>
              <w:pStyle w:val="TableParagraph"/>
              <w:widowControl/>
              <w:rPr>
                <w:sz w:val="20"/>
                <w:szCs w:val="20"/>
              </w:rPr>
            </w:pPr>
          </w:p>
        </w:tc>
        <w:tc>
          <w:tcPr>
            <w:tcW w:w="1022" w:type="dxa"/>
            <w:gridSpan w:val="2"/>
            <w:tcBorders>
              <w:top w:val="single" w:sz="4" w:space="0" w:color="000000"/>
              <w:bottom w:val="single" w:sz="4" w:space="0" w:color="auto"/>
              <w:right w:val="single" w:sz="8" w:space="0" w:color="000000"/>
            </w:tcBorders>
          </w:tcPr>
          <w:p w14:paraId="1E94C9CB" w14:textId="66162809" w:rsidR="007D398F" w:rsidRPr="00330234" w:rsidRDefault="007D398F" w:rsidP="00BD109B">
            <w:pPr>
              <w:pStyle w:val="TableParagraph"/>
              <w:widowControl/>
              <w:rPr>
                <w:sz w:val="20"/>
                <w:szCs w:val="20"/>
              </w:rPr>
            </w:pPr>
          </w:p>
        </w:tc>
      </w:tr>
      <w:tr w:rsidR="00436DAA" w:rsidRPr="00330234" w14:paraId="58DC002A" w14:textId="77777777" w:rsidTr="00DD4C0C">
        <w:trPr>
          <w:trHeight w:val="20"/>
        </w:trPr>
        <w:tc>
          <w:tcPr>
            <w:tcW w:w="1841" w:type="dxa"/>
            <w:tcBorders>
              <w:top w:val="single" w:sz="4" w:space="0" w:color="auto"/>
              <w:left w:val="single" w:sz="4" w:space="0" w:color="auto"/>
              <w:bottom w:val="single" w:sz="4" w:space="0" w:color="auto"/>
              <w:right w:val="single" w:sz="4" w:space="0" w:color="auto"/>
            </w:tcBorders>
          </w:tcPr>
          <w:p w14:paraId="3498B8F9" w14:textId="77777777" w:rsidR="00436DAA" w:rsidRPr="00330234" w:rsidRDefault="009B4B8E" w:rsidP="007D398F">
            <w:pPr>
              <w:pStyle w:val="TableParagraph"/>
              <w:widowControl/>
              <w:jc w:val="center"/>
              <w:rPr>
                <w:sz w:val="20"/>
                <w:szCs w:val="20"/>
              </w:rPr>
            </w:pPr>
            <w:r w:rsidRPr="00330234">
              <w:rPr>
                <w:sz w:val="20"/>
                <w:szCs w:val="20"/>
              </w:rPr>
              <w:t>Week 52</w:t>
            </w:r>
          </w:p>
        </w:tc>
        <w:tc>
          <w:tcPr>
            <w:tcW w:w="1878" w:type="dxa"/>
            <w:gridSpan w:val="2"/>
            <w:tcBorders>
              <w:top w:val="single" w:sz="4" w:space="0" w:color="auto"/>
              <w:left w:val="single" w:sz="4" w:space="0" w:color="auto"/>
              <w:bottom w:val="single" w:sz="4" w:space="0" w:color="auto"/>
              <w:right w:val="single" w:sz="4" w:space="0" w:color="auto"/>
            </w:tcBorders>
          </w:tcPr>
          <w:p w14:paraId="61FCF0D6" w14:textId="77777777" w:rsidR="00436DAA" w:rsidRPr="00330234" w:rsidRDefault="009B4B8E" w:rsidP="007D398F">
            <w:pPr>
              <w:pStyle w:val="TableParagraph"/>
              <w:widowControl/>
              <w:jc w:val="center"/>
              <w:rPr>
                <w:sz w:val="20"/>
                <w:szCs w:val="20"/>
              </w:rPr>
            </w:pPr>
            <w:r w:rsidRPr="00330234">
              <w:rPr>
                <w:sz w:val="20"/>
                <w:szCs w:val="20"/>
              </w:rPr>
              <w:t>ACR, n (%)</w:t>
            </w:r>
          </w:p>
        </w:tc>
        <w:tc>
          <w:tcPr>
            <w:tcW w:w="1442" w:type="dxa"/>
            <w:tcBorders>
              <w:top w:val="single" w:sz="4" w:space="0" w:color="auto"/>
              <w:left w:val="single" w:sz="4" w:space="0" w:color="auto"/>
              <w:bottom w:val="single" w:sz="4" w:space="0" w:color="auto"/>
              <w:right w:val="single" w:sz="4" w:space="0" w:color="auto"/>
            </w:tcBorders>
          </w:tcPr>
          <w:p w14:paraId="3FB02D6A" w14:textId="77777777" w:rsidR="00436DAA" w:rsidRPr="00330234" w:rsidRDefault="009B4B8E" w:rsidP="007D398F">
            <w:pPr>
              <w:pStyle w:val="TableParagraph"/>
              <w:widowControl/>
              <w:jc w:val="center"/>
              <w:rPr>
                <w:sz w:val="20"/>
                <w:szCs w:val="20"/>
              </w:rPr>
            </w:pPr>
            <w:r w:rsidRPr="00330234">
              <w:rPr>
                <w:sz w:val="20"/>
                <w:szCs w:val="20"/>
              </w:rPr>
              <w:t>142 (49,0)***</w:t>
            </w:r>
          </w:p>
        </w:tc>
        <w:tc>
          <w:tcPr>
            <w:tcW w:w="1469" w:type="dxa"/>
            <w:tcBorders>
              <w:top w:val="single" w:sz="4" w:space="0" w:color="auto"/>
              <w:left w:val="single" w:sz="4" w:space="0" w:color="auto"/>
              <w:bottom w:val="single" w:sz="4" w:space="0" w:color="auto"/>
              <w:right w:val="single" w:sz="4" w:space="0" w:color="auto"/>
            </w:tcBorders>
          </w:tcPr>
          <w:p w14:paraId="64CB1605" w14:textId="77777777" w:rsidR="00436DAA" w:rsidRPr="00330234" w:rsidRDefault="009B4B8E" w:rsidP="007D398F">
            <w:pPr>
              <w:pStyle w:val="TableParagraph"/>
              <w:widowControl/>
              <w:jc w:val="center"/>
              <w:rPr>
                <w:sz w:val="20"/>
                <w:szCs w:val="20"/>
              </w:rPr>
            </w:pPr>
            <w:r w:rsidRPr="00330234">
              <w:rPr>
                <w:sz w:val="20"/>
                <w:szCs w:val="20"/>
              </w:rPr>
              <w:t>115 (39,4)</w:t>
            </w:r>
          </w:p>
        </w:tc>
        <w:tc>
          <w:tcPr>
            <w:tcW w:w="1427" w:type="dxa"/>
            <w:gridSpan w:val="2"/>
            <w:tcBorders>
              <w:top w:val="single" w:sz="4" w:space="0" w:color="auto"/>
              <w:left w:val="single" w:sz="4" w:space="0" w:color="auto"/>
              <w:bottom w:val="single" w:sz="4" w:space="0" w:color="auto"/>
              <w:right w:val="single" w:sz="4" w:space="0" w:color="auto"/>
            </w:tcBorders>
          </w:tcPr>
          <w:p w14:paraId="5E18A7D7" w14:textId="77777777" w:rsidR="00436DAA" w:rsidRPr="00330234" w:rsidRDefault="009B4B8E" w:rsidP="007D398F">
            <w:pPr>
              <w:pStyle w:val="TableParagraph"/>
              <w:widowControl/>
              <w:jc w:val="center"/>
              <w:rPr>
                <w:sz w:val="20"/>
                <w:szCs w:val="20"/>
              </w:rPr>
            </w:pPr>
            <w:r w:rsidRPr="00330234">
              <w:rPr>
                <w:sz w:val="20"/>
                <w:szCs w:val="20"/>
              </w:rPr>
              <w:t>98 (34,0)</w:t>
            </w:r>
          </w:p>
        </w:tc>
        <w:tc>
          <w:tcPr>
            <w:tcW w:w="1009" w:type="dxa"/>
            <w:tcBorders>
              <w:top w:val="single" w:sz="4" w:space="0" w:color="auto"/>
              <w:left w:val="single" w:sz="4" w:space="0" w:color="auto"/>
              <w:bottom w:val="single" w:sz="4" w:space="0" w:color="auto"/>
              <w:right w:val="single" w:sz="4" w:space="0" w:color="auto"/>
            </w:tcBorders>
          </w:tcPr>
          <w:p w14:paraId="72EBBDC4" w14:textId="77777777" w:rsidR="00436DAA" w:rsidRPr="00330234" w:rsidRDefault="009B4B8E" w:rsidP="007D398F">
            <w:pPr>
              <w:pStyle w:val="TableParagraph"/>
              <w:widowControl/>
              <w:jc w:val="center"/>
              <w:rPr>
                <w:sz w:val="20"/>
                <w:szCs w:val="20"/>
              </w:rPr>
            </w:pPr>
            <w:r w:rsidRPr="00330234">
              <w:rPr>
                <w:sz w:val="20"/>
                <w:szCs w:val="20"/>
              </w:rPr>
              <w:t>56 (19,5)</w:t>
            </w:r>
          </w:p>
        </w:tc>
      </w:tr>
      <w:tr w:rsidR="00436DAA" w:rsidRPr="00330234" w14:paraId="26FE343E" w14:textId="77777777" w:rsidTr="00DD4C0C">
        <w:trPr>
          <w:trHeight w:val="20"/>
        </w:trPr>
        <w:tc>
          <w:tcPr>
            <w:tcW w:w="1841" w:type="dxa"/>
            <w:tcBorders>
              <w:top w:val="single" w:sz="4" w:space="0" w:color="auto"/>
              <w:left w:val="single" w:sz="4" w:space="0" w:color="000000"/>
              <w:bottom w:val="single" w:sz="4" w:space="0" w:color="auto"/>
            </w:tcBorders>
          </w:tcPr>
          <w:p w14:paraId="4A3E9938" w14:textId="259A6236" w:rsidR="00436DAA" w:rsidRPr="00330234" w:rsidRDefault="00436DAA" w:rsidP="00033660">
            <w:pPr>
              <w:pStyle w:val="TableParagraph"/>
              <w:widowControl/>
              <w:jc w:val="right"/>
              <w:rPr>
                <w:sz w:val="20"/>
                <w:szCs w:val="20"/>
              </w:rPr>
            </w:pPr>
          </w:p>
        </w:tc>
        <w:tc>
          <w:tcPr>
            <w:tcW w:w="1878" w:type="dxa"/>
            <w:gridSpan w:val="2"/>
            <w:tcBorders>
              <w:top w:val="single" w:sz="4" w:space="0" w:color="auto"/>
              <w:bottom w:val="single" w:sz="4" w:space="0" w:color="auto"/>
              <w:right w:val="single" w:sz="4" w:space="0" w:color="auto"/>
            </w:tcBorders>
          </w:tcPr>
          <w:p w14:paraId="31EE7636" w14:textId="7D3CEE99" w:rsidR="00436DAA" w:rsidRPr="00330234" w:rsidRDefault="00436DAA" w:rsidP="007D398F">
            <w:pPr>
              <w:pStyle w:val="TableParagraph"/>
              <w:widowControl/>
              <w:jc w:val="center"/>
              <w:rPr>
                <w:sz w:val="20"/>
                <w:szCs w:val="20"/>
              </w:rPr>
            </w:pPr>
          </w:p>
        </w:tc>
        <w:tc>
          <w:tcPr>
            <w:tcW w:w="1442" w:type="dxa"/>
            <w:tcBorders>
              <w:top w:val="single" w:sz="4" w:space="0" w:color="auto"/>
              <w:left w:val="single" w:sz="4" w:space="0" w:color="auto"/>
              <w:bottom w:val="single" w:sz="4" w:space="0" w:color="auto"/>
              <w:right w:val="single" w:sz="4" w:space="0" w:color="auto"/>
            </w:tcBorders>
          </w:tcPr>
          <w:p w14:paraId="01557BDF" w14:textId="08BE07C6" w:rsidR="00436DAA" w:rsidRPr="00330234" w:rsidRDefault="00436DAA" w:rsidP="007D398F">
            <w:pPr>
              <w:pStyle w:val="TableParagraph"/>
              <w:widowControl/>
              <w:jc w:val="center"/>
              <w:rPr>
                <w:sz w:val="20"/>
                <w:szCs w:val="20"/>
              </w:rPr>
            </w:pPr>
          </w:p>
        </w:tc>
        <w:tc>
          <w:tcPr>
            <w:tcW w:w="1469" w:type="dxa"/>
            <w:tcBorders>
              <w:top w:val="single" w:sz="4" w:space="0" w:color="auto"/>
              <w:left w:val="single" w:sz="4" w:space="0" w:color="auto"/>
              <w:bottom w:val="single" w:sz="4" w:space="0" w:color="auto"/>
              <w:right w:val="single" w:sz="4" w:space="0" w:color="auto"/>
            </w:tcBorders>
          </w:tcPr>
          <w:p w14:paraId="60B7CB22" w14:textId="7E43C3DE" w:rsidR="00436DAA" w:rsidRPr="00330234" w:rsidRDefault="00436DAA" w:rsidP="007D398F">
            <w:pPr>
              <w:pStyle w:val="TableParagraph"/>
              <w:widowControl/>
              <w:jc w:val="center"/>
              <w:rPr>
                <w:sz w:val="20"/>
                <w:szCs w:val="20"/>
              </w:rPr>
            </w:pPr>
          </w:p>
        </w:tc>
        <w:tc>
          <w:tcPr>
            <w:tcW w:w="1427" w:type="dxa"/>
            <w:gridSpan w:val="2"/>
            <w:tcBorders>
              <w:top w:val="single" w:sz="4" w:space="0" w:color="auto"/>
              <w:left w:val="single" w:sz="4" w:space="0" w:color="auto"/>
              <w:bottom w:val="single" w:sz="4" w:space="0" w:color="auto"/>
              <w:right w:val="single" w:sz="4" w:space="0" w:color="auto"/>
            </w:tcBorders>
          </w:tcPr>
          <w:p w14:paraId="6AC5E749" w14:textId="4D923D3A" w:rsidR="00436DAA" w:rsidRPr="00330234" w:rsidRDefault="00436DAA" w:rsidP="007D398F">
            <w:pPr>
              <w:pStyle w:val="TableParagraph"/>
              <w:widowControl/>
              <w:jc w:val="center"/>
              <w:rPr>
                <w:sz w:val="20"/>
                <w:szCs w:val="20"/>
              </w:rPr>
            </w:pPr>
          </w:p>
        </w:tc>
        <w:tc>
          <w:tcPr>
            <w:tcW w:w="1009" w:type="dxa"/>
            <w:tcBorders>
              <w:top w:val="single" w:sz="4" w:space="0" w:color="auto"/>
              <w:left w:val="single" w:sz="4" w:space="0" w:color="auto"/>
              <w:bottom w:val="single" w:sz="4" w:space="0" w:color="auto"/>
              <w:right w:val="single" w:sz="4" w:space="0" w:color="auto"/>
            </w:tcBorders>
          </w:tcPr>
          <w:p w14:paraId="6BC606C2" w14:textId="2E38A156" w:rsidR="00436DAA" w:rsidRPr="00330234" w:rsidRDefault="00436DAA" w:rsidP="007D398F">
            <w:pPr>
              <w:pStyle w:val="TableParagraph"/>
              <w:widowControl/>
              <w:jc w:val="center"/>
              <w:rPr>
                <w:sz w:val="20"/>
                <w:szCs w:val="20"/>
              </w:rPr>
            </w:pPr>
          </w:p>
        </w:tc>
      </w:tr>
      <w:tr w:rsidR="00033660" w:rsidRPr="00330234" w14:paraId="70D3FB79" w14:textId="77777777" w:rsidTr="00DD4C0C">
        <w:trPr>
          <w:trHeight w:val="20"/>
        </w:trPr>
        <w:tc>
          <w:tcPr>
            <w:tcW w:w="1841" w:type="dxa"/>
            <w:tcBorders>
              <w:top w:val="single" w:sz="4" w:space="0" w:color="auto"/>
              <w:left w:val="single" w:sz="4" w:space="0" w:color="auto"/>
              <w:bottom w:val="single" w:sz="4" w:space="0" w:color="auto"/>
              <w:right w:val="single" w:sz="4" w:space="0" w:color="auto"/>
            </w:tcBorders>
          </w:tcPr>
          <w:p w14:paraId="71F4FD6A" w14:textId="447FD972" w:rsidR="00033660" w:rsidRPr="00330234" w:rsidRDefault="00033660" w:rsidP="007D398F">
            <w:pPr>
              <w:pStyle w:val="TableParagraph"/>
              <w:widowControl/>
              <w:jc w:val="center"/>
              <w:rPr>
                <w:sz w:val="20"/>
                <w:szCs w:val="20"/>
              </w:rPr>
            </w:pPr>
            <w:r w:rsidRPr="00330234">
              <w:rPr>
                <w:sz w:val="20"/>
                <w:szCs w:val="20"/>
              </w:rPr>
              <w:t>Week 24</w:t>
            </w:r>
          </w:p>
        </w:tc>
        <w:tc>
          <w:tcPr>
            <w:tcW w:w="1878" w:type="dxa"/>
            <w:gridSpan w:val="2"/>
            <w:tcBorders>
              <w:top w:val="single" w:sz="4" w:space="0" w:color="auto"/>
              <w:left w:val="single" w:sz="4" w:space="0" w:color="auto"/>
              <w:bottom w:val="single" w:sz="4" w:space="0" w:color="auto"/>
              <w:right w:val="single" w:sz="4" w:space="0" w:color="auto"/>
            </w:tcBorders>
          </w:tcPr>
          <w:p w14:paraId="5EAAAD96" w14:textId="77C5B4D1" w:rsidR="00033660" w:rsidRPr="00330234" w:rsidRDefault="00033660" w:rsidP="007D398F">
            <w:pPr>
              <w:pStyle w:val="TableParagraph"/>
              <w:widowControl/>
              <w:jc w:val="center"/>
              <w:rPr>
                <w:sz w:val="20"/>
                <w:szCs w:val="20"/>
              </w:rPr>
            </w:pPr>
            <w:r w:rsidRPr="00330234">
              <w:rPr>
                <w:sz w:val="20"/>
                <w:szCs w:val="20"/>
              </w:rPr>
              <w:t>ACR20, n (%)</w:t>
            </w:r>
          </w:p>
        </w:tc>
        <w:tc>
          <w:tcPr>
            <w:tcW w:w="1442" w:type="dxa"/>
            <w:tcBorders>
              <w:top w:val="single" w:sz="4" w:space="0" w:color="auto"/>
              <w:left w:val="single" w:sz="4" w:space="0" w:color="auto"/>
              <w:bottom w:val="single" w:sz="4" w:space="0" w:color="auto"/>
              <w:right w:val="single" w:sz="4" w:space="0" w:color="auto"/>
            </w:tcBorders>
          </w:tcPr>
          <w:p w14:paraId="54D24ADA" w14:textId="76B69DEC" w:rsidR="00033660" w:rsidRPr="00330234" w:rsidRDefault="00033660" w:rsidP="007D398F">
            <w:pPr>
              <w:pStyle w:val="TableParagraph"/>
              <w:widowControl/>
              <w:jc w:val="center"/>
              <w:rPr>
                <w:sz w:val="20"/>
                <w:szCs w:val="20"/>
              </w:rPr>
            </w:pPr>
            <w:r w:rsidRPr="00330234">
              <w:rPr>
                <w:sz w:val="20"/>
                <w:szCs w:val="20"/>
              </w:rPr>
              <w:t>216 (74,5)*</w:t>
            </w:r>
          </w:p>
        </w:tc>
        <w:tc>
          <w:tcPr>
            <w:tcW w:w="1469" w:type="dxa"/>
            <w:tcBorders>
              <w:top w:val="single" w:sz="4" w:space="0" w:color="auto"/>
              <w:left w:val="single" w:sz="4" w:space="0" w:color="auto"/>
              <w:bottom w:val="single" w:sz="4" w:space="0" w:color="auto"/>
              <w:right w:val="single" w:sz="4" w:space="0" w:color="auto"/>
            </w:tcBorders>
          </w:tcPr>
          <w:p w14:paraId="228E7499" w14:textId="56D56B6E" w:rsidR="00033660" w:rsidRPr="00330234" w:rsidRDefault="00033660" w:rsidP="007D398F">
            <w:pPr>
              <w:pStyle w:val="TableParagraph"/>
              <w:widowControl/>
              <w:jc w:val="center"/>
              <w:rPr>
                <w:sz w:val="20"/>
                <w:szCs w:val="20"/>
              </w:rPr>
            </w:pPr>
            <w:r w:rsidRPr="00330234">
              <w:rPr>
                <w:sz w:val="20"/>
                <w:szCs w:val="20"/>
              </w:rPr>
              <w:t>205 (70,2)</w:t>
            </w:r>
          </w:p>
        </w:tc>
        <w:tc>
          <w:tcPr>
            <w:tcW w:w="1427" w:type="dxa"/>
            <w:gridSpan w:val="2"/>
            <w:tcBorders>
              <w:top w:val="single" w:sz="4" w:space="0" w:color="auto"/>
              <w:left w:val="single" w:sz="4" w:space="0" w:color="auto"/>
              <w:bottom w:val="single" w:sz="4" w:space="0" w:color="auto"/>
              <w:right w:val="single" w:sz="4" w:space="0" w:color="auto"/>
            </w:tcBorders>
          </w:tcPr>
          <w:p w14:paraId="4E1BDE88" w14:textId="54874F2C" w:rsidR="00033660" w:rsidRPr="00330234" w:rsidRDefault="00033660" w:rsidP="007D398F">
            <w:pPr>
              <w:pStyle w:val="TableParagraph"/>
              <w:widowControl/>
              <w:jc w:val="center"/>
              <w:rPr>
                <w:sz w:val="20"/>
                <w:szCs w:val="20"/>
              </w:rPr>
            </w:pPr>
            <w:r w:rsidRPr="00330234">
              <w:rPr>
                <w:sz w:val="20"/>
                <w:szCs w:val="20"/>
              </w:rPr>
              <w:t>212 (73,6)</w:t>
            </w:r>
          </w:p>
        </w:tc>
        <w:tc>
          <w:tcPr>
            <w:tcW w:w="1009" w:type="dxa"/>
            <w:tcBorders>
              <w:top w:val="single" w:sz="4" w:space="0" w:color="auto"/>
              <w:left w:val="single" w:sz="4" w:space="0" w:color="auto"/>
              <w:bottom w:val="single" w:sz="4" w:space="0" w:color="auto"/>
              <w:right w:val="single" w:sz="4" w:space="0" w:color="auto"/>
            </w:tcBorders>
          </w:tcPr>
          <w:p w14:paraId="1E34F627" w14:textId="65F5409F" w:rsidR="00033660" w:rsidRPr="00330234" w:rsidRDefault="00033660" w:rsidP="007D398F">
            <w:pPr>
              <w:pStyle w:val="TableParagraph"/>
              <w:widowControl/>
              <w:jc w:val="center"/>
              <w:rPr>
                <w:sz w:val="20"/>
                <w:szCs w:val="20"/>
              </w:rPr>
            </w:pPr>
            <w:r w:rsidRPr="00330234">
              <w:rPr>
                <w:sz w:val="20"/>
                <w:szCs w:val="20"/>
              </w:rPr>
              <w:t>187 (65,2)</w:t>
            </w:r>
          </w:p>
        </w:tc>
      </w:tr>
      <w:tr w:rsidR="00436DAA" w:rsidRPr="00330234" w14:paraId="6D8E2583" w14:textId="77777777" w:rsidTr="00DD4C0C">
        <w:trPr>
          <w:trHeight w:val="20"/>
        </w:trPr>
        <w:tc>
          <w:tcPr>
            <w:tcW w:w="1841" w:type="dxa"/>
            <w:tcBorders>
              <w:top w:val="single" w:sz="4" w:space="0" w:color="auto"/>
              <w:left w:val="single" w:sz="4" w:space="0" w:color="auto"/>
              <w:bottom w:val="single" w:sz="4" w:space="0" w:color="auto"/>
              <w:right w:val="single" w:sz="4" w:space="0" w:color="auto"/>
            </w:tcBorders>
          </w:tcPr>
          <w:p w14:paraId="0126FA6E" w14:textId="77777777" w:rsidR="00436DAA" w:rsidRPr="00330234" w:rsidRDefault="00436DAA" w:rsidP="00033660">
            <w:pPr>
              <w:pStyle w:val="TableParagraph"/>
              <w:widowControl/>
              <w:jc w:val="right"/>
              <w:rPr>
                <w:sz w:val="20"/>
                <w:szCs w:val="20"/>
              </w:rPr>
            </w:pPr>
          </w:p>
        </w:tc>
        <w:tc>
          <w:tcPr>
            <w:tcW w:w="1878" w:type="dxa"/>
            <w:gridSpan w:val="2"/>
            <w:tcBorders>
              <w:top w:val="single" w:sz="4" w:space="0" w:color="auto"/>
              <w:left w:val="single" w:sz="4" w:space="0" w:color="auto"/>
              <w:bottom w:val="single" w:sz="4" w:space="0" w:color="auto"/>
              <w:right w:val="single" w:sz="4" w:space="0" w:color="auto"/>
            </w:tcBorders>
          </w:tcPr>
          <w:p w14:paraId="4F620183" w14:textId="77777777" w:rsidR="00436DAA" w:rsidRPr="00330234" w:rsidRDefault="009B4B8E" w:rsidP="007D398F">
            <w:pPr>
              <w:pStyle w:val="TableParagraph"/>
              <w:widowControl/>
              <w:jc w:val="center"/>
              <w:rPr>
                <w:sz w:val="20"/>
                <w:szCs w:val="20"/>
              </w:rPr>
            </w:pPr>
            <w:r w:rsidRPr="00330234">
              <w:rPr>
                <w:sz w:val="20"/>
                <w:szCs w:val="20"/>
              </w:rPr>
              <w:t>ACR50, n (%)</w:t>
            </w:r>
          </w:p>
        </w:tc>
        <w:tc>
          <w:tcPr>
            <w:tcW w:w="1442" w:type="dxa"/>
            <w:tcBorders>
              <w:top w:val="single" w:sz="4" w:space="0" w:color="auto"/>
              <w:left w:val="single" w:sz="4" w:space="0" w:color="auto"/>
              <w:bottom w:val="single" w:sz="4" w:space="0" w:color="auto"/>
              <w:right w:val="single" w:sz="4" w:space="0" w:color="auto"/>
            </w:tcBorders>
          </w:tcPr>
          <w:p w14:paraId="7DE0D73A" w14:textId="77777777" w:rsidR="00436DAA" w:rsidRPr="00330234" w:rsidRDefault="009B4B8E" w:rsidP="007D398F">
            <w:pPr>
              <w:pStyle w:val="TableParagraph"/>
              <w:widowControl/>
              <w:jc w:val="center"/>
              <w:rPr>
                <w:sz w:val="20"/>
                <w:szCs w:val="20"/>
              </w:rPr>
            </w:pPr>
            <w:r w:rsidRPr="00330234">
              <w:rPr>
                <w:sz w:val="20"/>
                <w:szCs w:val="20"/>
              </w:rPr>
              <w:t>165 (56,9)**</w:t>
            </w:r>
          </w:p>
        </w:tc>
        <w:tc>
          <w:tcPr>
            <w:tcW w:w="1469" w:type="dxa"/>
            <w:tcBorders>
              <w:top w:val="single" w:sz="4" w:space="0" w:color="auto"/>
              <w:left w:val="single" w:sz="4" w:space="0" w:color="auto"/>
              <w:bottom w:val="single" w:sz="4" w:space="0" w:color="auto"/>
              <w:right w:val="single" w:sz="4" w:space="0" w:color="auto"/>
            </w:tcBorders>
          </w:tcPr>
          <w:p w14:paraId="35ADD32B" w14:textId="77777777" w:rsidR="00436DAA" w:rsidRPr="00330234" w:rsidRDefault="009B4B8E" w:rsidP="007D398F">
            <w:pPr>
              <w:pStyle w:val="TableParagraph"/>
              <w:widowControl/>
              <w:jc w:val="center"/>
              <w:rPr>
                <w:sz w:val="20"/>
                <w:szCs w:val="20"/>
              </w:rPr>
            </w:pPr>
            <w:r w:rsidRPr="00330234">
              <w:rPr>
                <w:sz w:val="20"/>
                <w:szCs w:val="20"/>
              </w:rPr>
              <w:t>139 (47,6)</w:t>
            </w:r>
          </w:p>
        </w:tc>
        <w:tc>
          <w:tcPr>
            <w:tcW w:w="1427" w:type="dxa"/>
            <w:gridSpan w:val="2"/>
            <w:tcBorders>
              <w:top w:val="single" w:sz="4" w:space="0" w:color="auto"/>
              <w:left w:val="single" w:sz="4" w:space="0" w:color="auto"/>
              <w:bottom w:val="single" w:sz="4" w:space="0" w:color="auto"/>
              <w:right w:val="single" w:sz="4" w:space="0" w:color="auto"/>
            </w:tcBorders>
          </w:tcPr>
          <w:p w14:paraId="688ADF47" w14:textId="77777777" w:rsidR="00436DAA" w:rsidRPr="00330234" w:rsidRDefault="009B4B8E" w:rsidP="007D398F">
            <w:pPr>
              <w:pStyle w:val="TableParagraph"/>
              <w:widowControl/>
              <w:jc w:val="center"/>
              <w:rPr>
                <w:sz w:val="20"/>
                <w:szCs w:val="20"/>
              </w:rPr>
            </w:pPr>
            <w:r w:rsidRPr="00330234">
              <w:rPr>
                <w:sz w:val="20"/>
                <w:szCs w:val="20"/>
              </w:rPr>
              <w:t>138 (47,9)</w:t>
            </w:r>
          </w:p>
        </w:tc>
        <w:tc>
          <w:tcPr>
            <w:tcW w:w="1009" w:type="dxa"/>
            <w:tcBorders>
              <w:top w:val="single" w:sz="4" w:space="0" w:color="auto"/>
              <w:left w:val="single" w:sz="4" w:space="0" w:color="auto"/>
              <w:bottom w:val="single" w:sz="4" w:space="0" w:color="auto"/>
              <w:right w:val="single" w:sz="4" w:space="0" w:color="auto"/>
            </w:tcBorders>
          </w:tcPr>
          <w:p w14:paraId="32A48BA6" w14:textId="77777777" w:rsidR="00436DAA" w:rsidRPr="00330234" w:rsidRDefault="009B4B8E" w:rsidP="007D398F">
            <w:pPr>
              <w:pStyle w:val="TableParagraph"/>
              <w:widowControl/>
              <w:jc w:val="center"/>
              <w:rPr>
                <w:sz w:val="20"/>
                <w:szCs w:val="20"/>
              </w:rPr>
            </w:pPr>
            <w:r w:rsidRPr="00330234">
              <w:rPr>
                <w:sz w:val="20"/>
                <w:szCs w:val="20"/>
              </w:rPr>
              <w:t>124 (43,2)</w:t>
            </w:r>
          </w:p>
        </w:tc>
      </w:tr>
      <w:tr w:rsidR="00436DAA" w:rsidRPr="00330234" w14:paraId="604E3D9C" w14:textId="77777777" w:rsidTr="00DD4C0C">
        <w:trPr>
          <w:trHeight w:val="20"/>
        </w:trPr>
        <w:tc>
          <w:tcPr>
            <w:tcW w:w="1841" w:type="dxa"/>
            <w:tcBorders>
              <w:top w:val="single" w:sz="4" w:space="0" w:color="auto"/>
              <w:left w:val="single" w:sz="4" w:space="0" w:color="auto"/>
              <w:bottom w:val="single" w:sz="4" w:space="0" w:color="auto"/>
              <w:right w:val="single" w:sz="4" w:space="0" w:color="auto"/>
            </w:tcBorders>
          </w:tcPr>
          <w:p w14:paraId="0141F400" w14:textId="77777777" w:rsidR="00436DAA" w:rsidRPr="00330234" w:rsidRDefault="00436DAA" w:rsidP="00033660">
            <w:pPr>
              <w:pStyle w:val="TableParagraph"/>
              <w:widowControl/>
              <w:jc w:val="right"/>
              <w:rPr>
                <w:sz w:val="20"/>
                <w:szCs w:val="20"/>
              </w:rPr>
            </w:pPr>
          </w:p>
        </w:tc>
        <w:tc>
          <w:tcPr>
            <w:tcW w:w="1878" w:type="dxa"/>
            <w:gridSpan w:val="2"/>
            <w:tcBorders>
              <w:top w:val="single" w:sz="4" w:space="0" w:color="auto"/>
              <w:left w:val="single" w:sz="4" w:space="0" w:color="auto"/>
              <w:bottom w:val="single" w:sz="4" w:space="0" w:color="auto"/>
              <w:right w:val="single" w:sz="4" w:space="0" w:color="auto"/>
            </w:tcBorders>
          </w:tcPr>
          <w:p w14:paraId="5A3A5C92" w14:textId="77777777" w:rsidR="00436DAA" w:rsidRPr="00330234" w:rsidRDefault="009B4B8E" w:rsidP="007D398F">
            <w:pPr>
              <w:pStyle w:val="TableParagraph"/>
              <w:widowControl/>
              <w:jc w:val="center"/>
              <w:rPr>
                <w:sz w:val="20"/>
                <w:szCs w:val="20"/>
              </w:rPr>
            </w:pPr>
            <w:r w:rsidRPr="00330234">
              <w:rPr>
                <w:sz w:val="20"/>
                <w:szCs w:val="20"/>
              </w:rPr>
              <w:t>ACR70, n (%)</w:t>
            </w:r>
          </w:p>
        </w:tc>
        <w:tc>
          <w:tcPr>
            <w:tcW w:w="1442" w:type="dxa"/>
            <w:tcBorders>
              <w:top w:val="single" w:sz="4" w:space="0" w:color="auto"/>
              <w:left w:val="single" w:sz="4" w:space="0" w:color="auto"/>
              <w:bottom w:val="single" w:sz="4" w:space="0" w:color="auto"/>
              <w:right w:val="single" w:sz="4" w:space="0" w:color="auto"/>
            </w:tcBorders>
          </w:tcPr>
          <w:p w14:paraId="0BFE2C34" w14:textId="77777777" w:rsidR="00436DAA" w:rsidRPr="00330234" w:rsidRDefault="009B4B8E" w:rsidP="007D398F">
            <w:pPr>
              <w:pStyle w:val="TableParagraph"/>
              <w:widowControl/>
              <w:jc w:val="center"/>
              <w:rPr>
                <w:sz w:val="20"/>
                <w:szCs w:val="20"/>
              </w:rPr>
            </w:pPr>
            <w:r w:rsidRPr="00330234">
              <w:rPr>
                <w:sz w:val="20"/>
                <w:szCs w:val="20"/>
              </w:rPr>
              <w:t>112 (38,6)**</w:t>
            </w:r>
          </w:p>
        </w:tc>
        <w:tc>
          <w:tcPr>
            <w:tcW w:w="1469" w:type="dxa"/>
            <w:tcBorders>
              <w:top w:val="single" w:sz="4" w:space="0" w:color="auto"/>
              <w:left w:val="single" w:sz="4" w:space="0" w:color="auto"/>
              <w:bottom w:val="single" w:sz="4" w:space="0" w:color="auto"/>
              <w:right w:val="single" w:sz="4" w:space="0" w:color="auto"/>
            </w:tcBorders>
          </w:tcPr>
          <w:p w14:paraId="30F279B1" w14:textId="77777777" w:rsidR="00436DAA" w:rsidRPr="00330234" w:rsidRDefault="009B4B8E" w:rsidP="007D398F">
            <w:pPr>
              <w:pStyle w:val="TableParagraph"/>
              <w:widowControl/>
              <w:jc w:val="center"/>
              <w:rPr>
                <w:sz w:val="20"/>
                <w:szCs w:val="20"/>
              </w:rPr>
            </w:pPr>
            <w:r w:rsidRPr="00330234">
              <w:rPr>
                <w:sz w:val="20"/>
                <w:szCs w:val="20"/>
              </w:rPr>
              <w:t>88 (30,1)</w:t>
            </w:r>
          </w:p>
        </w:tc>
        <w:tc>
          <w:tcPr>
            <w:tcW w:w="1427" w:type="dxa"/>
            <w:gridSpan w:val="2"/>
            <w:tcBorders>
              <w:top w:val="single" w:sz="4" w:space="0" w:color="auto"/>
              <w:left w:val="single" w:sz="4" w:space="0" w:color="auto"/>
              <w:bottom w:val="single" w:sz="4" w:space="0" w:color="auto"/>
              <w:right w:val="single" w:sz="4" w:space="0" w:color="auto"/>
            </w:tcBorders>
          </w:tcPr>
          <w:p w14:paraId="61335AFC" w14:textId="77777777" w:rsidR="00436DAA" w:rsidRPr="00330234" w:rsidRDefault="009B4B8E" w:rsidP="007D398F">
            <w:pPr>
              <w:pStyle w:val="TableParagraph"/>
              <w:widowControl/>
              <w:jc w:val="center"/>
              <w:rPr>
                <w:sz w:val="20"/>
                <w:szCs w:val="20"/>
              </w:rPr>
            </w:pPr>
            <w:r w:rsidRPr="00330234">
              <w:rPr>
                <w:sz w:val="20"/>
                <w:szCs w:val="20"/>
              </w:rPr>
              <w:t>100 (34,7)</w:t>
            </w:r>
          </w:p>
        </w:tc>
        <w:tc>
          <w:tcPr>
            <w:tcW w:w="1009" w:type="dxa"/>
            <w:tcBorders>
              <w:top w:val="single" w:sz="4" w:space="0" w:color="auto"/>
              <w:left w:val="single" w:sz="4" w:space="0" w:color="auto"/>
              <w:bottom w:val="single" w:sz="4" w:space="0" w:color="auto"/>
              <w:right w:val="single" w:sz="4" w:space="0" w:color="auto"/>
            </w:tcBorders>
          </w:tcPr>
          <w:p w14:paraId="0A364DAB" w14:textId="77777777" w:rsidR="00436DAA" w:rsidRPr="00330234" w:rsidRDefault="009B4B8E" w:rsidP="007D398F">
            <w:pPr>
              <w:pStyle w:val="TableParagraph"/>
              <w:widowControl/>
              <w:jc w:val="center"/>
              <w:rPr>
                <w:sz w:val="20"/>
                <w:szCs w:val="20"/>
              </w:rPr>
            </w:pPr>
            <w:r w:rsidRPr="00330234">
              <w:rPr>
                <w:sz w:val="20"/>
                <w:szCs w:val="20"/>
              </w:rPr>
              <w:t>73 (25,4)</w:t>
            </w:r>
          </w:p>
        </w:tc>
      </w:tr>
      <w:tr w:rsidR="00436DAA" w:rsidRPr="00330234" w14:paraId="13409457" w14:textId="77777777" w:rsidTr="00DD4C0C">
        <w:trPr>
          <w:trHeight w:val="20"/>
        </w:trPr>
        <w:tc>
          <w:tcPr>
            <w:tcW w:w="1841" w:type="dxa"/>
            <w:tcBorders>
              <w:top w:val="single" w:sz="4" w:space="0" w:color="auto"/>
              <w:left w:val="single" w:sz="4" w:space="0" w:color="auto"/>
              <w:bottom w:val="single" w:sz="4" w:space="0" w:color="auto"/>
              <w:right w:val="single" w:sz="4" w:space="0" w:color="auto"/>
            </w:tcBorders>
          </w:tcPr>
          <w:p w14:paraId="349E751F" w14:textId="77777777" w:rsidR="00436DAA" w:rsidRPr="00330234" w:rsidRDefault="009B4B8E" w:rsidP="007D398F">
            <w:pPr>
              <w:pStyle w:val="TableParagraph"/>
              <w:widowControl/>
              <w:jc w:val="center"/>
              <w:rPr>
                <w:sz w:val="20"/>
                <w:szCs w:val="20"/>
              </w:rPr>
            </w:pPr>
            <w:r w:rsidRPr="00330234">
              <w:rPr>
                <w:sz w:val="20"/>
                <w:szCs w:val="20"/>
              </w:rPr>
              <w:t>Week 52</w:t>
            </w:r>
          </w:p>
        </w:tc>
        <w:tc>
          <w:tcPr>
            <w:tcW w:w="1878" w:type="dxa"/>
            <w:gridSpan w:val="2"/>
            <w:tcBorders>
              <w:top w:val="single" w:sz="4" w:space="0" w:color="auto"/>
              <w:left w:val="single" w:sz="4" w:space="0" w:color="auto"/>
              <w:bottom w:val="single" w:sz="4" w:space="0" w:color="auto"/>
              <w:right w:val="single" w:sz="4" w:space="0" w:color="auto"/>
            </w:tcBorders>
          </w:tcPr>
          <w:p w14:paraId="3DFFEBDF" w14:textId="77777777" w:rsidR="00436DAA" w:rsidRPr="00330234" w:rsidRDefault="009B4B8E" w:rsidP="007D398F">
            <w:pPr>
              <w:pStyle w:val="TableParagraph"/>
              <w:widowControl/>
              <w:jc w:val="center"/>
              <w:rPr>
                <w:sz w:val="20"/>
                <w:szCs w:val="20"/>
              </w:rPr>
            </w:pPr>
            <w:r w:rsidRPr="00330234">
              <w:rPr>
                <w:sz w:val="20"/>
                <w:szCs w:val="20"/>
              </w:rPr>
              <w:t>ACR20, n (%)</w:t>
            </w:r>
          </w:p>
        </w:tc>
        <w:tc>
          <w:tcPr>
            <w:tcW w:w="1442" w:type="dxa"/>
            <w:tcBorders>
              <w:top w:val="single" w:sz="4" w:space="0" w:color="auto"/>
              <w:left w:val="single" w:sz="4" w:space="0" w:color="auto"/>
              <w:bottom w:val="single" w:sz="4" w:space="0" w:color="auto"/>
              <w:right w:val="single" w:sz="4" w:space="0" w:color="auto"/>
            </w:tcBorders>
          </w:tcPr>
          <w:p w14:paraId="1E089A0A" w14:textId="77777777" w:rsidR="00436DAA" w:rsidRPr="00330234" w:rsidRDefault="009B4B8E" w:rsidP="007D398F">
            <w:pPr>
              <w:pStyle w:val="TableParagraph"/>
              <w:widowControl/>
              <w:jc w:val="center"/>
              <w:rPr>
                <w:sz w:val="20"/>
                <w:szCs w:val="20"/>
              </w:rPr>
            </w:pPr>
            <w:r w:rsidRPr="00330234">
              <w:rPr>
                <w:sz w:val="20"/>
                <w:szCs w:val="20"/>
              </w:rPr>
              <w:t>195 (67,2)*</w:t>
            </w:r>
          </w:p>
        </w:tc>
        <w:tc>
          <w:tcPr>
            <w:tcW w:w="1469" w:type="dxa"/>
            <w:tcBorders>
              <w:top w:val="single" w:sz="4" w:space="0" w:color="auto"/>
              <w:left w:val="single" w:sz="4" w:space="0" w:color="auto"/>
              <w:bottom w:val="single" w:sz="4" w:space="0" w:color="auto"/>
              <w:right w:val="single" w:sz="4" w:space="0" w:color="auto"/>
            </w:tcBorders>
          </w:tcPr>
          <w:p w14:paraId="4B0A24CF" w14:textId="77777777" w:rsidR="00436DAA" w:rsidRPr="00330234" w:rsidRDefault="009B4B8E" w:rsidP="007D398F">
            <w:pPr>
              <w:pStyle w:val="TableParagraph"/>
              <w:widowControl/>
              <w:jc w:val="center"/>
              <w:rPr>
                <w:sz w:val="20"/>
                <w:szCs w:val="20"/>
              </w:rPr>
            </w:pPr>
            <w:r w:rsidRPr="00330234">
              <w:rPr>
                <w:sz w:val="20"/>
                <w:szCs w:val="20"/>
              </w:rPr>
              <w:t>184 (63,0)</w:t>
            </w:r>
          </w:p>
        </w:tc>
        <w:tc>
          <w:tcPr>
            <w:tcW w:w="1427" w:type="dxa"/>
            <w:gridSpan w:val="2"/>
            <w:tcBorders>
              <w:top w:val="single" w:sz="4" w:space="0" w:color="auto"/>
              <w:left w:val="single" w:sz="4" w:space="0" w:color="auto"/>
              <w:bottom w:val="single" w:sz="4" w:space="0" w:color="auto"/>
              <w:right w:val="single" w:sz="4" w:space="0" w:color="auto"/>
            </w:tcBorders>
          </w:tcPr>
          <w:p w14:paraId="5F32F55C" w14:textId="77777777" w:rsidR="00436DAA" w:rsidRPr="00330234" w:rsidRDefault="009B4B8E" w:rsidP="007D398F">
            <w:pPr>
              <w:pStyle w:val="TableParagraph"/>
              <w:widowControl/>
              <w:jc w:val="center"/>
              <w:rPr>
                <w:sz w:val="20"/>
                <w:szCs w:val="20"/>
              </w:rPr>
            </w:pPr>
            <w:r w:rsidRPr="00330234">
              <w:rPr>
                <w:sz w:val="20"/>
                <w:szCs w:val="20"/>
              </w:rPr>
              <w:t>181 (62,8)</w:t>
            </w:r>
          </w:p>
        </w:tc>
        <w:tc>
          <w:tcPr>
            <w:tcW w:w="1009" w:type="dxa"/>
            <w:tcBorders>
              <w:top w:val="single" w:sz="4" w:space="0" w:color="auto"/>
              <w:left w:val="single" w:sz="4" w:space="0" w:color="auto"/>
              <w:bottom w:val="single" w:sz="4" w:space="0" w:color="auto"/>
              <w:right w:val="single" w:sz="4" w:space="0" w:color="auto"/>
            </w:tcBorders>
          </w:tcPr>
          <w:p w14:paraId="40FBB44C" w14:textId="77777777" w:rsidR="00436DAA" w:rsidRPr="00330234" w:rsidRDefault="009B4B8E" w:rsidP="007D398F">
            <w:pPr>
              <w:pStyle w:val="TableParagraph"/>
              <w:widowControl/>
              <w:jc w:val="center"/>
              <w:rPr>
                <w:sz w:val="20"/>
                <w:szCs w:val="20"/>
              </w:rPr>
            </w:pPr>
            <w:r w:rsidRPr="00330234">
              <w:rPr>
                <w:sz w:val="20"/>
                <w:szCs w:val="20"/>
              </w:rPr>
              <w:t>164 (57,1)</w:t>
            </w:r>
          </w:p>
        </w:tc>
      </w:tr>
      <w:tr w:rsidR="00436DAA" w:rsidRPr="00330234" w14:paraId="38250F00" w14:textId="77777777" w:rsidTr="00DD4C0C">
        <w:trPr>
          <w:trHeight w:val="20"/>
        </w:trPr>
        <w:tc>
          <w:tcPr>
            <w:tcW w:w="1841" w:type="dxa"/>
            <w:tcBorders>
              <w:top w:val="single" w:sz="4" w:space="0" w:color="auto"/>
              <w:left w:val="single" w:sz="4" w:space="0" w:color="auto"/>
              <w:bottom w:val="single" w:sz="4" w:space="0" w:color="auto"/>
              <w:right w:val="single" w:sz="4" w:space="0" w:color="auto"/>
            </w:tcBorders>
          </w:tcPr>
          <w:p w14:paraId="2F878115" w14:textId="77777777" w:rsidR="00436DAA" w:rsidRPr="00330234" w:rsidRDefault="00436DAA" w:rsidP="00033660">
            <w:pPr>
              <w:pStyle w:val="TableParagraph"/>
              <w:widowControl/>
              <w:jc w:val="right"/>
              <w:rPr>
                <w:sz w:val="20"/>
                <w:szCs w:val="20"/>
              </w:rPr>
            </w:pPr>
          </w:p>
        </w:tc>
        <w:tc>
          <w:tcPr>
            <w:tcW w:w="1878" w:type="dxa"/>
            <w:gridSpan w:val="2"/>
            <w:tcBorders>
              <w:top w:val="single" w:sz="4" w:space="0" w:color="auto"/>
              <w:left w:val="single" w:sz="4" w:space="0" w:color="auto"/>
              <w:bottom w:val="single" w:sz="4" w:space="0" w:color="auto"/>
              <w:right w:val="single" w:sz="4" w:space="0" w:color="auto"/>
            </w:tcBorders>
          </w:tcPr>
          <w:p w14:paraId="7C6FD44C" w14:textId="77777777" w:rsidR="00436DAA" w:rsidRPr="00330234" w:rsidRDefault="009B4B8E" w:rsidP="007D398F">
            <w:pPr>
              <w:pStyle w:val="TableParagraph"/>
              <w:widowControl/>
              <w:jc w:val="center"/>
              <w:rPr>
                <w:sz w:val="20"/>
                <w:szCs w:val="20"/>
              </w:rPr>
            </w:pPr>
            <w:r w:rsidRPr="00330234">
              <w:rPr>
                <w:sz w:val="20"/>
                <w:szCs w:val="20"/>
              </w:rPr>
              <w:t>ACR50, n (%)</w:t>
            </w:r>
          </w:p>
        </w:tc>
        <w:tc>
          <w:tcPr>
            <w:tcW w:w="1442" w:type="dxa"/>
            <w:tcBorders>
              <w:top w:val="single" w:sz="4" w:space="0" w:color="auto"/>
              <w:left w:val="single" w:sz="4" w:space="0" w:color="auto"/>
              <w:bottom w:val="single" w:sz="4" w:space="0" w:color="auto"/>
              <w:right w:val="single" w:sz="4" w:space="0" w:color="auto"/>
            </w:tcBorders>
          </w:tcPr>
          <w:p w14:paraId="6930675C" w14:textId="77777777" w:rsidR="00436DAA" w:rsidRPr="00330234" w:rsidRDefault="009B4B8E" w:rsidP="007D398F">
            <w:pPr>
              <w:pStyle w:val="TableParagraph"/>
              <w:widowControl/>
              <w:jc w:val="center"/>
              <w:rPr>
                <w:sz w:val="20"/>
                <w:szCs w:val="20"/>
              </w:rPr>
            </w:pPr>
            <w:r w:rsidRPr="00330234">
              <w:rPr>
                <w:sz w:val="20"/>
                <w:szCs w:val="20"/>
              </w:rPr>
              <w:t>162 (55,9)**</w:t>
            </w:r>
          </w:p>
        </w:tc>
        <w:tc>
          <w:tcPr>
            <w:tcW w:w="1469" w:type="dxa"/>
            <w:tcBorders>
              <w:top w:val="single" w:sz="4" w:space="0" w:color="auto"/>
              <w:left w:val="single" w:sz="4" w:space="0" w:color="auto"/>
              <w:bottom w:val="single" w:sz="4" w:space="0" w:color="auto"/>
              <w:right w:val="single" w:sz="4" w:space="0" w:color="auto"/>
            </w:tcBorders>
          </w:tcPr>
          <w:p w14:paraId="00FA2917" w14:textId="77777777" w:rsidR="00436DAA" w:rsidRPr="00330234" w:rsidRDefault="009B4B8E" w:rsidP="007D398F">
            <w:pPr>
              <w:pStyle w:val="TableParagraph"/>
              <w:widowControl/>
              <w:jc w:val="center"/>
              <w:rPr>
                <w:sz w:val="20"/>
                <w:szCs w:val="20"/>
              </w:rPr>
            </w:pPr>
            <w:r w:rsidRPr="00330234">
              <w:rPr>
                <w:sz w:val="20"/>
                <w:szCs w:val="20"/>
              </w:rPr>
              <w:t>144 (49,3)</w:t>
            </w:r>
          </w:p>
        </w:tc>
        <w:tc>
          <w:tcPr>
            <w:tcW w:w="1427" w:type="dxa"/>
            <w:gridSpan w:val="2"/>
            <w:tcBorders>
              <w:top w:val="single" w:sz="4" w:space="0" w:color="auto"/>
              <w:left w:val="single" w:sz="4" w:space="0" w:color="auto"/>
              <w:bottom w:val="single" w:sz="4" w:space="0" w:color="auto"/>
              <w:right w:val="single" w:sz="4" w:space="0" w:color="auto"/>
            </w:tcBorders>
          </w:tcPr>
          <w:p w14:paraId="180703B7" w14:textId="77777777" w:rsidR="00436DAA" w:rsidRPr="00330234" w:rsidRDefault="009B4B8E" w:rsidP="007D398F">
            <w:pPr>
              <w:pStyle w:val="TableParagraph"/>
              <w:widowControl/>
              <w:jc w:val="center"/>
              <w:rPr>
                <w:sz w:val="20"/>
                <w:szCs w:val="20"/>
              </w:rPr>
            </w:pPr>
            <w:r w:rsidRPr="00330234">
              <w:rPr>
                <w:sz w:val="20"/>
                <w:szCs w:val="20"/>
              </w:rPr>
              <w:t>151 (52,4)</w:t>
            </w:r>
          </w:p>
        </w:tc>
        <w:tc>
          <w:tcPr>
            <w:tcW w:w="1009" w:type="dxa"/>
            <w:tcBorders>
              <w:top w:val="single" w:sz="4" w:space="0" w:color="auto"/>
              <w:left w:val="single" w:sz="4" w:space="0" w:color="auto"/>
              <w:bottom w:val="single" w:sz="4" w:space="0" w:color="auto"/>
              <w:right w:val="single" w:sz="4" w:space="0" w:color="auto"/>
            </w:tcBorders>
          </w:tcPr>
          <w:p w14:paraId="60264B56" w14:textId="77777777" w:rsidR="00436DAA" w:rsidRPr="00330234" w:rsidRDefault="009B4B8E" w:rsidP="007D398F">
            <w:pPr>
              <w:pStyle w:val="TableParagraph"/>
              <w:widowControl/>
              <w:jc w:val="center"/>
              <w:rPr>
                <w:sz w:val="20"/>
                <w:szCs w:val="20"/>
              </w:rPr>
            </w:pPr>
            <w:r w:rsidRPr="00330234">
              <w:rPr>
                <w:sz w:val="20"/>
                <w:szCs w:val="20"/>
              </w:rPr>
              <w:t>117 (40,8)</w:t>
            </w:r>
          </w:p>
        </w:tc>
      </w:tr>
      <w:tr w:rsidR="00436DAA" w:rsidRPr="00330234" w14:paraId="4D97445C" w14:textId="77777777" w:rsidTr="00DD4C0C">
        <w:trPr>
          <w:trHeight w:val="20"/>
        </w:trPr>
        <w:tc>
          <w:tcPr>
            <w:tcW w:w="1841" w:type="dxa"/>
            <w:tcBorders>
              <w:top w:val="single" w:sz="4" w:space="0" w:color="auto"/>
              <w:left w:val="single" w:sz="4" w:space="0" w:color="auto"/>
              <w:bottom w:val="single" w:sz="4" w:space="0" w:color="auto"/>
              <w:right w:val="single" w:sz="4" w:space="0" w:color="auto"/>
            </w:tcBorders>
          </w:tcPr>
          <w:p w14:paraId="00BD529D" w14:textId="77777777" w:rsidR="00436DAA" w:rsidRPr="00330234" w:rsidRDefault="00436DAA" w:rsidP="00033660">
            <w:pPr>
              <w:pStyle w:val="TableParagraph"/>
              <w:widowControl/>
              <w:jc w:val="right"/>
              <w:rPr>
                <w:sz w:val="20"/>
                <w:szCs w:val="20"/>
              </w:rPr>
            </w:pPr>
          </w:p>
        </w:tc>
        <w:tc>
          <w:tcPr>
            <w:tcW w:w="1878" w:type="dxa"/>
            <w:gridSpan w:val="2"/>
            <w:tcBorders>
              <w:top w:val="single" w:sz="4" w:space="0" w:color="auto"/>
              <w:left w:val="single" w:sz="4" w:space="0" w:color="auto"/>
              <w:bottom w:val="single" w:sz="4" w:space="0" w:color="auto"/>
              <w:right w:val="single" w:sz="4" w:space="0" w:color="auto"/>
            </w:tcBorders>
          </w:tcPr>
          <w:p w14:paraId="7A16FBD1" w14:textId="77777777" w:rsidR="00436DAA" w:rsidRPr="00330234" w:rsidRDefault="009B4B8E" w:rsidP="007D398F">
            <w:pPr>
              <w:pStyle w:val="TableParagraph"/>
              <w:widowControl/>
              <w:jc w:val="center"/>
              <w:rPr>
                <w:sz w:val="20"/>
                <w:szCs w:val="20"/>
              </w:rPr>
            </w:pPr>
            <w:r w:rsidRPr="00330234">
              <w:rPr>
                <w:sz w:val="20"/>
                <w:szCs w:val="20"/>
              </w:rPr>
              <w:t>ACR70, n (%)</w:t>
            </w:r>
          </w:p>
        </w:tc>
        <w:tc>
          <w:tcPr>
            <w:tcW w:w="1442" w:type="dxa"/>
            <w:tcBorders>
              <w:top w:val="single" w:sz="4" w:space="0" w:color="auto"/>
              <w:left w:val="single" w:sz="4" w:space="0" w:color="auto"/>
              <w:bottom w:val="single" w:sz="4" w:space="0" w:color="auto"/>
              <w:right w:val="single" w:sz="4" w:space="0" w:color="auto"/>
            </w:tcBorders>
          </w:tcPr>
          <w:p w14:paraId="5EC77643" w14:textId="77777777" w:rsidR="00436DAA" w:rsidRPr="00330234" w:rsidRDefault="009B4B8E" w:rsidP="007D398F">
            <w:pPr>
              <w:pStyle w:val="TableParagraph"/>
              <w:widowControl/>
              <w:jc w:val="center"/>
              <w:rPr>
                <w:sz w:val="20"/>
                <w:szCs w:val="20"/>
              </w:rPr>
            </w:pPr>
            <w:r w:rsidRPr="00330234">
              <w:rPr>
                <w:sz w:val="20"/>
                <w:szCs w:val="20"/>
              </w:rPr>
              <w:t>125 (43,1)**</w:t>
            </w:r>
          </w:p>
        </w:tc>
        <w:tc>
          <w:tcPr>
            <w:tcW w:w="1469" w:type="dxa"/>
            <w:tcBorders>
              <w:top w:val="single" w:sz="4" w:space="0" w:color="auto"/>
              <w:left w:val="single" w:sz="4" w:space="0" w:color="auto"/>
              <w:bottom w:val="single" w:sz="4" w:space="0" w:color="auto"/>
              <w:right w:val="single" w:sz="4" w:space="0" w:color="auto"/>
            </w:tcBorders>
          </w:tcPr>
          <w:p w14:paraId="2510DEF4" w14:textId="77777777" w:rsidR="00436DAA" w:rsidRPr="00330234" w:rsidRDefault="009B4B8E" w:rsidP="007D398F">
            <w:pPr>
              <w:pStyle w:val="TableParagraph"/>
              <w:widowControl/>
              <w:jc w:val="center"/>
              <w:rPr>
                <w:sz w:val="20"/>
                <w:szCs w:val="20"/>
              </w:rPr>
            </w:pPr>
            <w:r w:rsidRPr="00330234">
              <w:rPr>
                <w:sz w:val="20"/>
                <w:szCs w:val="20"/>
              </w:rPr>
              <w:t>105 (36,0)</w:t>
            </w:r>
          </w:p>
        </w:tc>
        <w:tc>
          <w:tcPr>
            <w:tcW w:w="1427" w:type="dxa"/>
            <w:gridSpan w:val="2"/>
            <w:tcBorders>
              <w:top w:val="single" w:sz="4" w:space="0" w:color="auto"/>
              <w:left w:val="single" w:sz="4" w:space="0" w:color="auto"/>
              <w:bottom w:val="single" w:sz="4" w:space="0" w:color="auto"/>
              <w:right w:val="single" w:sz="4" w:space="0" w:color="auto"/>
            </w:tcBorders>
          </w:tcPr>
          <w:p w14:paraId="1345FEBA" w14:textId="77777777" w:rsidR="00436DAA" w:rsidRPr="00330234" w:rsidRDefault="009B4B8E" w:rsidP="007D398F">
            <w:pPr>
              <w:pStyle w:val="TableParagraph"/>
              <w:widowControl/>
              <w:jc w:val="center"/>
              <w:rPr>
                <w:sz w:val="20"/>
                <w:szCs w:val="20"/>
              </w:rPr>
            </w:pPr>
            <w:r w:rsidRPr="00330234">
              <w:rPr>
                <w:sz w:val="20"/>
                <w:szCs w:val="20"/>
              </w:rPr>
              <w:t>107 (37,2)</w:t>
            </w:r>
          </w:p>
        </w:tc>
        <w:tc>
          <w:tcPr>
            <w:tcW w:w="1009" w:type="dxa"/>
            <w:tcBorders>
              <w:top w:val="single" w:sz="4" w:space="0" w:color="auto"/>
              <w:left w:val="single" w:sz="4" w:space="0" w:color="auto"/>
              <w:bottom w:val="single" w:sz="4" w:space="0" w:color="auto"/>
              <w:right w:val="single" w:sz="4" w:space="0" w:color="auto"/>
            </w:tcBorders>
          </w:tcPr>
          <w:p w14:paraId="7F49CF01" w14:textId="77777777" w:rsidR="00436DAA" w:rsidRPr="00330234" w:rsidRDefault="009B4B8E" w:rsidP="007D398F">
            <w:pPr>
              <w:pStyle w:val="TableParagraph"/>
              <w:widowControl/>
              <w:jc w:val="center"/>
              <w:rPr>
                <w:sz w:val="20"/>
                <w:szCs w:val="20"/>
              </w:rPr>
            </w:pPr>
            <w:r w:rsidRPr="00330234">
              <w:rPr>
                <w:sz w:val="20"/>
                <w:szCs w:val="20"/>
              </w:rPr>
              <w:t>83 (28,9)</w:t>
            </w:r>
          </w:p>
        </w:tc>
      </w:tr>
      <w:tr w:rsidR="007D398F" w:rsidRPr="00330234" w14:paraId="3F21DDAA" w14:textId="77777777" w:rsidTr="00DD4C0C">
        <w:trPr>
          <w:trHeight w:val="20"/>
        </w:trPr>
        <w:tc>
          <w:tcPr>
            <w:tcW w:w="3719" w:type="dxa"/>
            <w:gridSpan w:val="3"/>
            <w:tcBorders>
              <w:top w:val="single" w:sz="4" w:space="0" w:color="auto"/>
              <w:left w:val="single" w:sz="4" w:space="0" w:color="000000"/>
              <w:bottom w:val="single" w:sz="4" w:space="0" w:color="auto"/>
              <w:right w:val="single" w:sz="4" w:space="0" w:color="000000"/>
            </w:tcBorders>
          </w:tcPr>
          <w:p w14:paraId="01F20E20" w14:textId="77777777" w:rsidR="007D398F" w:rsidRPr="00330234" w:rsidRDefault="007D398F" w:rsidP="00BD109B">
            <w:pPr>
              <w:pStyle w:val="TableParagraph"/>
              <w:widowControl/>
              <w:rPr>
                <w:sz w:val="20"/>
                <w:szCs w:val="20"/>
              </w:rPr>
            </w:pPr>
            <w:r w:rsidRPr="00330234">
              <w:rPr>
                <w:sz w:val="20"/>
                <w:szCs w:val="20"/>
              </w:rPr>
              <w:t>HAQ-DI (gecorrigeerde gemiddelde verandering t.o.v. baseline)</w:t>
            </w:r>
          </w:p>
        </w:tc>
        <w:tc>
          <w:tcPr>
            <w:tcW w:w="1442" w:type="dxa"/>
            <w:tcBorders>
              <w:top w:val="single" w:sz="4" w:space="0" w:color="auto"/>
              <w:left w:val="single" w:sz="4" w:space="0" w:color="000000"/>
              <w:bottom w:val="single" w:sz="4" w:space="0" w:color="auto"/>
              <w:right w:val="single" w:sz="4" w:space="0" w:color="000000"/>
            </w:tcBorders>
          </w:tcPr>
          <w:p w14:paraId="3E1486A4" w14:textId="77777777" w:rsidR="007D398F" w:rsidRPr="00330234" w:rsidRDefault="007D398F" w:rsidP="00BD109B">
            <w:pPr>
              <w:pStyle w:val="TableParagraph"/>
              <w:widowControl/>
              <w:rPr>
                <w:sz w:val="20"/>
                <w:szCs w:val="20"/>
              </w:rPr>
            </w:pPr>
          </w:p>
        </w:tc>
        <w:tc>
          <w:tcPr>
            <w:tcW w:w="1469" w:type="dxa"/>
            <w:tcBorders>
              <w:top w:val="single" w:sz="4" w:space="0" w:color="auto"/>
              <w:left w:val="single" w:sz="4" w:space="0" w:color="000000"/>
              <w:bottom w:val="single" w:sz="4" w:space="0" w:color="auto"/>
              <w:right w:val="single" w:sz="4" w:space="0" w:color="000000"/>
            </w:tcBorders>
          </w:tcPr>
          <w:p w14:paraId="347E1115" w14:textId="77777777" w:rsidR="007D398F" w:rsidRPr="00330234" w:rsidRDefault="007D398F" w:rsidP="00BD109B">
            <w:pPr>
              <w:pStyle w:val="TableParagraph"/>
              <w:widowControl/>
              <w:rPr>
                <w:sz w:val="20"/>
                <w:szCs w:val="20"/>
              </w:rPr>
            </w:pPr>
          </w:p>
        </w:tc>
        <w:tc>
          <w:tcPr>
            <w:tcW w:w="1414" w:type="dxa"/>
            <w:tcBorders>
              <w:top w:val="single" w:sz="4" w:space="0" w:color="auto"/>
              <w:left w:val="single" w:sz="4" w:space="0" w:color="000000"/>
              <w:bottom w:val="single" w:sz="4" w:space="0" w:color="auto"/>
              <w:right w:val="single" w:sz="4" w:space="0" w:color="000000"/>
            </w:tcBorders>
          </w:tcPr>
          <w:p w14:paraId="63621264" w14:textId="77777777" w:rsidR="007D398F" w:rsidRPr="00330234" w:rsidRDefault="007D398F" w:rsidP="00BD109B">
            <w:pPr>
              <w:pStyle w:val="TableParagraph"/>
              <w:widowControl/>
              <w:rPr>
                <w:sz w:val="20"/>
                <w:szCs w:val="20"/>
              </w:rPr>
            </w:pPr>
          </w:p>
        </w:tc>
        <w:tc>
          <w:tcPr>
            <w:tcW w:w="1022" w:type="dxa"/>
            <w:gridSpan w:val="2"/>
            <w:tcBorders>
              <w:top w:val="single" w:sz="4" w:space="0" w:color="auto"/>
              <w:left w:val="single" w:sz="4" w:space="0" w:color="000000"/>
              <w:bottom w:val="single" w:sz="4" w:space="0" w:color="auto"/>
              <w:right w:val="single" w:sz="4" w:space="0" w:color="000000"/>
            </w:tcBorders>
          </w:tcPr>
          <w:p w14:paraId="3F2665F2" w14:textId="1902227E" w:rsidR="007D398F" w:rsidRPr="00330234" w:rsidRDefault="007D398F" w:rsidP="00BD109B">
            <w:pPr>
              <w:pStyle w:val="TableParagraph"/>
              <w:widowControl/>
              <w:rPr>
                <w:sz w:val="20"/>
                <w:szCs w:val="20"/>
              </w:rPr>
            </w:pPr>
          </w:p>
        </w:tc>
      </w:tr>
      <w:tr w:rsidR="007D398F" w:rsidRPr="00330234" w14:paraId="3183734C" w14:textId="77777777" w:rsidTr="00DD4C0C">
        <w:trPr>
          <w:trHeight w:val="20"/>
        </w:trPr>
        <w:tc>
          <w:tcPr>
            <w:tcW w:w="1852" w:type="dxa"/>
            <w:gridSpan w:val="2"/>
            <w:tcBorders>
              <w:top w:val="single" w:sz="4" w:space="0" w:color="auto"/>
              <w:left w:val="single" w:sz="4" w:space="0" w:color="auto"/>
              <w:bottom w:val="single" w:sz="4" w:space="0" w:color="auto"/>
              <w:right w:val="single" w:sz="4" w:space="0" w:color="auto"/>
            </w:tcBorders>
          </w:tcPr>
          <w:p w14:paraId="3FA67EA9" w14:textId="77777777" w:rsidR="007D398F" w:rsidRPr="00330234" w:rsidRDefault="007D398F" w:rsidP="00033660">
            <w:pPr>
              <w:pStyle w:val="TableParagraph"/>
              <w:widowControl/>
              <w:jc w:val="center"/>
              <w:rPr>
                <w:sz w:val="20"/>
                <w:szCs w:val="20"/>
              </w:rPr>
            </w:pPr>
            <w:r w:rsidRPr="00330234">
              <w:rPr>
                <w:sz w:val="20"/>
                <w:szCs w:val="20"/>
              </w:rPr>
              <w:t>Week 52</w:t>
            </w:r>
          </w:p>
        </w:tc>
        <w:tc>
          <w:tcPr>
            <w:tcW w:w="1867" w:type="dxa"/>
            <w:tcBorders>
              <w:top w:val="single" w:sz="4" w:space="0" w:color="auto"/>
              <w:left w:val="single" w:sz="4" w:space="0" w:color="auto"/>
              <w:bottom w:val="single" w:sz="4" w:space="0" w:color="auto"/>
              <w:right w:val="single" w:sz="4" w:space="0" w:color="auto"/>
            </w:tcBorders>
          </w:tcPr>
          <w:p w14:paraId="11419A0D" w14:textId="26C07072" w:rsidR="007D398F" w:rsidRPr="00330234" w:rsidRDefault="007D398F" w:rsidP="007D398F">
            <w:pPr>
              <w:pStyle w:val="TableParagraph"/>
              <w:widowControl/>
              <w:jc w:val="center"/>
              <w:rPr>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CBFAFA7" w14:textId="77777777" w:rsidR="007D398F" w:rsidRPr="00330234" w:rsidRDefault="007D398F" w:rsidP="007D398F">
            <w:pPr>
              <w:pStyle w:val="TableParagraph"/>
              <w:widowControl/>
              <w:jc w:val="center"/>
              <w:rPr>
                <w:sz w:val="20"/>
                <w:szCs w:val="20"/>
              </w:rPr>
            </w:pPr>
            <w:r w:rsidRPr="00330234">
              <w:rPr>
                <w:sz w:val="20"/>
                <w:szCs w:val="20"/>
              </w:rPr>
              <w:t>-0,81*</w:t>
            </w:r>
          </w:p>
        </w:tc>
        <w:tc>
          <w:tcPr>
            <w:tcW w:w="1469" w:type="dxa"/>
            <w:tcBorders>
              <w:top w:val="single" w:sz="4" w:space="0" w:color="auto"/>
              <w:left w:val="single" w:sz="4" w:space="0" w:color="auto"/>
              <w:bottom w:val="single" w:sz="4" w:space="0" w:color="auto"/>
              <w:right w:val="single" w:sz="4" w:space="0" w:color="auto"/>
            </w:tcBorders>
          </w:tcPr>
          <w:p w14:paraId="00C265B9" w14:textId="77777777" w:rsidR="007D398F" w:rsidRPr="00330234" w:rsidRDefault="007D398F" w:rsidP="007D398F">
            <w:pPr>
              <w:pStyle w:val="TableParagraph"/>
              <w:widowControl/>
              <w:jc w:val="center"/>
              <w:rPr>
                <w:sz w:val="20"/>
                <w:szCs w:val="20"/>
              </w:rPr>
            </w:pPr>
            <w:r w:rsidRPr="00330234">
              <w:rPr>
                <w:sz w:val="20"/>
                <w:szCs w:val="20"/>
              </w:rPr>
              <w:t>-0,67</w:t>
            </w:r>
          </w:p>
        </w:tc>
        <w:tc>
          <w:tcPr>
            <w:tcW w:w="1427" w:type="dxa"/>
            <w:gridSpan w:val="2"/>
            <w:tcBorders>
              <w:top w:val="single" w:sz="4" w:space="0" w:color="auto"/>
              <w:left w:val="single" w:sz="4" w:space="0" w:color="auto"/>
              <w:bottom w:val="single" w:sz="4" w:space="0" w:color="auto"/>
              <w:right w:val="single" w:sz="4" w:space="0" w:color="auto"/>
            </w:tcBorders>
          </w:tcPr>
          <w:p w14:paraId="3CC52BB2" w14:textId="77777777" w:rsidR="007D398F" w:rsidRPr="00330234" w:rsidRDefault="007D398F" w:rsidP="007D398F">
            <w:pPr>
              <w:pStyle w:val="TableParagraph"/>
              <w:widowControl/>
              <w:jc w:val="center"/>
              <w:rPr>
                <w:sz w:val="20"/>
                <w:szCs w:val="20"/>
              </w:rPr>
            </w:pPr>
            <w:r w:rsidRPr="00330234">
              <w:rPr>
                <w:sz w:val="20"/>
                <w:szCs w:val="20"/>
              </w:rPr>
              <w:t>-0,75</w:t>
            </w:r>
          </w:p>
        </w:tc>
        <w:tc>
          <w:tcPr>
            <w:tcW w:w="1009" w:type="dxa"/>
            <w:tcBorders>
              <w:top w:val="single" w:sz="4" w:space="0" w:color="auto"/>
              <w:left w:val="single" w:sz="4" w:space="0" w:color="auto"/>
              <w:bottom w:val="single" w:sz="4" w:space="0" w:color="auto"/>
              <w:right w:val="single" w:sz="4" w:space="0" w:color="auto"/>
            </w:tcBorders>
          </w:tcPr>
          <w:p w14:paraId="732A1C0F" w14:textId="77777777" w:rsidR="007D398F" w:rsidRPr="00330234" w:rsidRDefault="007D398F" w:rsidP="007D398F">
            <w:pPr>
              <w:pStyle w:val="TableParagraph"/>
              <w:widowControl/>
              <w:jc w:val="center"/>
              <w:rPr>
                <w:sz w:val="20"/>
                <w:szCs w:val="20"/>
              </w:rPr>
            </w:pPr>
            <w:r w:rsidRPr="00330234">
              <w:rPr>
                <w:sz w:val="20"/>
                <w:szCs w:val="20"/>
              </w:rPr>
              <w:t>-0,64</w:t>
            </w:r>
          </w:p>
        </w:tc>
      </w:tr>
      <w:tr w:rsidR="007D398F" w:rsidRPr="00330234" w14:paraId="472C2C6F" w14:textId="77777777" w:rsidTr="007D398F">
        <w:trPr>
          <w:trHeight w:val="20"/>
        </w:trPr>
        <w:tc>
          <w:tcPr>
            <w:tcW w:w="9066" w:type="dxa"/>
            <w:gridSpan w:val="8"/>
            <w:tcBorders>
              <w:top w:val="single" w:sz="4" w:space="0" w:color="auto"/>
              <w:left w:val="single" w:sz="4" w:space="0" w:color="000000"/>
              <w:bottom w:val="single" w:sz="4" w:space="0" w:color="auto"/>
              <w:right w:val="single" w:sz="8" w:space="0" w:color="000000"/>
            </w:tcBorders>
          </w:tcPr>
          <w:p w14:paraId="41286EB7" w14:textId="77777777" w:rsidR="007D398F" w:rsidRPr="00330234" w:rsidRDefault="007D398F" w:rsidP="00BD109B">
            <w:pPr>
              <w:pStyle w:val="TableParagraph"/>
              <w:widowControl/>
              <w:rPr>
                <w:b/>
                <w:sz w:val="20"/>
                <w:szCs w:val="20"/>
              </w:rPr>
            </w:pPr>
            <w:r w:rsidRPr="00330234">
              <w:rPr>
                <w:b/>
                <w:sz w:val="20"/>
                <w:szCs w:val="20"/>
              </w:rPr>
              <w:t>Radiografische eindpunten (gemiddelde verandering t.o.v. baseline)</w:t>
            </w:r>
          </w:p>
        </w:tc>
      </w:tr>
      <w:tr w:rsidR="00436DAA" w:rsidRPr="00330234" w14:paraId="7938FA2C" w14:textId="77777777" w:rsidTr="00DD4C0C">
        <w:trPr>
          <w:trHeight w:val="20"/>
        </w:trPr>
        <w:tc>
          <w:tcPr>
            <w:tcW w:w="1841" w:type="dxa"/>
            <w:tcBorders>
              <w:top w:val="single" w:sz="4" w:space="0" w:color="auto"/>
              <w:left w:val="single" w:sz="4" w:space="0" w:color="auto"/>
              <w:bottom w:val="single" w:sz="4" w:space="0" w:color="auto"/>
              <w:right w:val="single" w:sz="4" w:space="0" w:color="auto"/>
            </w:tcBorders>
          </w:tcPr>
          <w:p w14:paraId="04B182E2" w14:textId="77777777" w:rsidR="00436DAA" w:rsidRPr="00330234" w:rsidRDefault="009B4B8E" w:rsidP="007D398F">
            <w:pPr>
              <w:pStyle w:val="TableParagraph"/>
              <w:widowControl/>
              <w:jc w:val="center"/>
              <w:rPr>
                <w:sz w:val="20"/>
                <w:szCs w:val="20"/>
              </w:rPr>
            </w:pPr>
            <w:r w:rsidRPr="00330234">
              <w:rPr>
                <w:sz w:val="20"/>
                <w:szCs w:val="20"/>
              </w:rPr>
              <w:t>Week 52</w:t>
            </w:r>
          </w:p>
        </w:tc>
        <w:tc>
          <w:tcPr>
            <w:tcW w:w="1878" w:type="dxa"/>
            <w:gridSpan w:val="2"/>
            <w:tcBorders>
              <w:top w:val="single" w:sz="4" w:space="0" w:color="auto"/>
              <w:left w:val="single" w:sz="4" w:space="0" w:color="auto"/>
              <w:bottom w:val="single" w:sz="4" w:space="0" w:color="auto"/>
              <w:right w:val="single" w:sz="4" w:space="0" w:color="auto"/>
            </w:tcBorders>
          </w:tcPr>
          <w:p w14:paraId="28F6C270" w14:textId="77777777" w:rsidR="00436DAA" w:rsidRPr="00330234" w:rsidRDefault="009B4B8E" w:rsidP="007D398F">
            <w:pPr>
              <w:pStyle w:val="TableParagraph"/>
              <w:widowControl/>
              <w:jc w:val="center"/>
              <w:rPr>
                <w:sz w:val="20"/>
                <w:szCs w:val="20"/>
              </w:rPr>
            </w:pPr>
            <w:r w:rsidRPr="00330234">
              <w:rPr>
                <w:sz w:val="20"/>
                <w:szCs w:val="20"/>
              </w:rPr>
              <w:t>mTSS</w:t>
            </w:r>
          </w:p>
        </w:tc>
        <w:tc>
          <w:tcPr>
            <w:tcW w:w="1442" w:type="dxa"/>
            <w:tcBorders>
              <w:top w:val="single" w:sz="4" w:space="0" w:color="auto"/>
              <w:left w:val="single" w:sz="4" w:space="0" w:color="auto"/>
              <w:bottom w:val="single" w:sz="4" w:space="0" w:color="auto"/>
              <w:right w:val="single" w:sz="4" w:space="0" w:color="auto"/>
            </w:tcBorders>
          </w:tcPr>
          <w:p w14:paraId="1D8E0E38" w14:textId="77777777" w:rsidR="00436DAA" w:rsidRPr="00330234" w:rsidRDefault="009B4B8E" w:rsidP="007D398F">
            <w:pPr>
              <w:pStyle w:val="TableParagraph"/>
              <w:widowControl/>
              <w:jc w:val="center"/>
              <w:rPr>
                <w:sz w:val="20"/>
                <w:szCs w:val="20"/>
              </w:rPr>
            </w:pPr>
            <w:r w:rsidRPr="00330234">
              <w:rPr>
                <w:sz w:val="20"/>
                <w:szCs w:val="20"/>
              </w:rPr>
              <w:t>0,08***</w:t>
            </w:r>
          </w:p>
        </w:tc>
        <w:tc>
          <w:tcPr>
            <w:tcW w:w="1469" w:type="dxa"/>
            <w:tcBorders>
              <w:top w:val="single" w:sz="4" w:space="0" w:color="auto"/>
              <w:left w:val="single" w:sz="4" w:space="0" w:color="auto"/>
              <w:bottom w:val="single" w:sz="4" w:space="0" w:color="auto"/>
              <w:right w:val="single" w:sz="4" w:space="0" w:color="auto"/>
            </w:tcBorders>
          </w:tcPr>
          <w:p w14:paraId="6DC4316A" w14:textId="77777777" w:rsidR="00436DAA" w:rsidRPr="00330234" w:rsidRDefault="009B4B8E" w:rsidP="007D398F">
            <w:pPr>
              <w:pStyle w:val="TableParagraph"/>
              <w:widowControl/>
              <w:jc w:val="center"/>
              <w:rPr>
                <w:sz w:val="20"/>
                <w:szCs w:val="20"/>
              </w:rPr>
            </w:pPr>
            <w:r w:rsidRPr="00330234">
              <w:rPr>
                <w:sz w:val="20"/>
                <w:szCs w:val="20"/>
              </w:rPr>
              <w:t>0,26</w:t>
            </w:r>
          </w:p>
        </w:tc>
        <w:tc>
          <w:tcPr>
            <w:tcW w:w="1427" w:type="dxa"/>
            <w:gridSpan w:val="2"/>
            <w:tcBorders>
              <w:top w:val="single" w:sz="4" w:space="0" w:color="auto"/>
              <w:left w:val="single" w:sz="4" w:space="0" w:color="auto"/>
              <w:bottom w:val="single" w:sz="4" w:space="0" w:color="auto"/>
              <w:right w:val="single" w:sz="4" w:space="0" w:color="auto"/>
            </w:tcBorders>
          </w:tcPr>
          <w:p w14:paraId="1AA89CC2" w14:textId="77777777" w:rsidR="00436DAA" w:rsidRPr="00330234" w:rsidRDefault="009B4B8E" w:rsidP="007D398F">
            <w:pPr>
              <w:pStyle w:val="TableParagraph"/>
              <w:widowControl/>
              <w:jc w:val="center"/>
              <w:rPr>
                <w:sz w:val="20"/>
                <w:szCs w:val="20"/>
              </w:rPr>
            </w:pPr>
            <w:r w:rsidRPr="00330234">
              <w:rPr>
                <w:sz w:val="20"/>
                <w:szCs w:val="20"/>
              </w:rPr>
              <w:t>0,42</w:t>
            </w:r>
          </w:p>
        </w:tc>
        <w:tc>
          <w:tcPr>
            <w:tcW w:w="1009" w:type="dxa"/>
            <w:tcBorders>
              <w:top w:val="single" w:sz="4" w:space="0" w:color="auto"/>
              <w:left w:val="single" w:sz="4" w:space="0" w:color="auto"/>
              <w:bottom w:val="single" w:sz="4" w:space="0" w:color="auto"/>
              <w:right w:val="single" w:sz="4" w:space="0" w:color="auto"/>
            </w:tcBorders>
          </w:tcPr>
          <w:p w14:paraId="51926BA8" w14:textId="77777777" w:rsidR="00436DAA" w:rsidRPr="00330234" w:rsidRDefault="009B4B8E" w:rsidP="007D398F">
            <w:pPr>
              <w:pStyle w:val="TableParagraph"/>
              <w:widowControl/>
              <w:jc w:val="center"/>
              <w:rPr>
                <w:sz w:val="20"/>
                <w:szCs w:val="20"/>
              </w:rPr>
            </w:pPr>
            <w:r w:rsidRPr="00330234">
              <w:rPr>
                <w:sz w:val="20"/>
                <w:szCs w:val="20"/>
              </w:rPr>
              <w:t>1,14</w:t>
            </w:r>
          </w:p>
        </w:tc>
      </w:tr>
      <w:tr w:rsidR="00436DAA" w:rsidRPr="00330234" w14:paraId="3F0941C5" w14:textId="77777777" w:rsidTr="00DD4C0C">
        <w:trPr>
          <w:trHeight w:val="20"/>
        </w:trPr>
        <w:tc>
          <w:tcPr>
            <w:tcW w:w="1841" w:type="dxa"/>
            <w:tcBorders>
              <w:top w:val="single" w:sz="4" w:space="0" w:color="auto"/>
              <w:left w:val="single" w:sz="4" w:space="0" w:color="auto"/>
              <w:bottom w:val="single" w:sz="4" w:space="0" w:color="auto"/>
              <w:right w:val="single" w:sz="4" w:space="0" w:color="auto"/>
            </w:tcBorders>
          </w:tcPr>
          <w:p w14:paraId="19E26AA4" w14:textId="77777777" w:rsidR="00436DAA" w:rsidRPr="00330234" w:rsidRDefault="00436DAA" w:rsidP="007D398F">
            <w:pPr>
              <w:pStyle w:val="TableParagraph"/>
              <w:widowControl/>
              <w:jc w:val="center"/>
              <w:rPr>
                <w:sz w:val="20"/>
                <w:szCs w:val="20"/>
              </w:rPr>
            </w:pPr>
          </w:p>
        </w:tc>
        <w:tc>
          <w:tcPr>
            <w:tcW w:w="1878" w:type="dxa"/>
            <w:gridSpan w:val="2"/>
            <w:tcBorders>
              <w:top w:val="single" w:sz="4" w:space="0" w:color="auto"/>
              <w:left w:val="single" w:sz="4" w:space="0" w:color="auto"/>
              <w:bottom w:val="single" w:sz="4" w:space="0" w:color="auto"/>
              <w:right w:val="single" w:sz="4" w:space="0" w:color="auto"/>
            </w:tcBorders>
          </w:tcPr>
          <w:p w14:paraId="1E21C469" w14:textId="77777777" w:rsidR="00436DAA" w:rsidRPr="00330234" w:rsidRDefault="009B4B8E" w:rsidP="007D398F">
            <w:pPr>
              <w:pStyle w:val="TableParagraph"/>
              <w:widowControl/>
              <w:jc w:val="center"/>
              <w:rPr>
                <w:sz w:val="20"/>
                <w:szCs w:val="20"/>
              </w:rPr>
            </w:pPr>
            <w:r w:rsidRPr="00330234">
              <w:rPr>
                <w:sz w:val="20"/>
                <w:szCs w:val="20"/>
              </w:rPr>
              <w:t>Erosion Score</w:t>
            </w:r>
          </w:p>
        </w:tc>
        <w:tc>
          <w:tcPr>
            <w:tcW w:w="1442" w:type="dxa"/>
            <w:tcBorders>
              <w:top w:val="single" w:sz="4" w:space="0" w:color="auto"/>
              <w:left w:val="single" w:sz="4" w:space="0" w:color="auto"/>
              <w:bottom w:val="single" w:sz="4" w:space="0" w:color="auto"/>
              <w:right w:val="single" w:sz="4" w:space="0" w:color="auto"/>
            </w:tcBorders>
          </w:tcPr>
          <w:p w14:paraId="1078B7C7" w14:textId="77777777" w:rsidR="00436DAA" w:rsidRPr="00330234" w:rsidRDefault="009B4B8E" w:rsidP="007D398F">
            <w:pPr>
              <w:pStyle w:val="TableParagraph"/>
              <w:widowControl/>
              <w:jc w:val="center"/>
              <w:rPr>
                <w:sz w:val="20"/>
                <w:szCs w:val="20"/>
              </w:rPr>
            </w:pPr>
            <w:r w:rsidRPr="00330234">
              <w:rPr>
                <w:sz w:val="20"/>
                <w:szCs w:val="20"/>
              </w:rPr>
              <w:t>0,05**</w:t>
            </w:r>
          </w:p>
        </w:tc>
        <w:tc>
          <w:tcPr>
            <w:tcW w:w="1469" w:type="dxa"/>
            <w:tcBorders>
              <w:top w:val="single" w:sz="4" w:space="0" w:color="auto"/>
              <w:left w:val="single" w:sz="4" w:space="0" w:color="auto"/>
              <w:bottom w:val="single" w:sz="4" w:space="0" w:color="auto"/>
              <w:right w:val="single" w:sz="4" w:space="0" w:color="auto"/>
            </w:tcBorders>
          </w:tcPr>
          <w:p w14:paraId="022F19A6" w14:textId="77777777" w:rsidR="00436DAA" w:rsidRPr="00330234" w:rsidRDefault="009B4B8E" w:rsidP="007D398F">
            <w:pPr>
              <w:pStyle w:val="TableParagraph"/>
              <w:widowControl/>
              <w:jc w:val="center"/>
              <w:rPr>
                <w:sz w:val="20"/>
                <w:szCs w:val="20"/>
              </w:rPr>
            </w:pPr>
            <w:r w:rsidRPr="00330234">
              <w:rPr>
                <w:sz w:val="20"/>
                <w:szCs w:val="20"/>
              </w:rPr>
              <w:t>0,15</w:t>
            </w:r>
          </w:p>
        </w:tc>
        <w:tc>
          <w:tcPr>
            <w:tcW w:w="1427" w:type="dxa"/>
            <w:gridSpan w:val="2"/>
            <w:tcBorders>
              <w:top w:val="single" w:sz="4" w:space="0" w:color="auto"/>
              <w:left w:val="single" w:sz="4" w:space="0" w:color="auto"/>
              <w:bottom w:val="single" w:sz="4" w:space="0" w:color="auto"/>
              <w:right w:val="single" w:sz="4" w:space="0" w:color="auto"/>
            </w:tcBorders>
          </w:tcPr>
          <w:p w14:paraId="63F7AC4D" w14:textId="77777777" w:rsidR="00436DAA" w:rsidRPr="00330234" w:rsidRDefault="009B4B8E" w:rsidP="007D398F">
            <w:pPr>
              <w:pStyle w:val="TableParagraph"/>
              <w:widowControl/>
              <w:jc w:val="center"/>
              <w:rPr>
                <w:sz w:val="20"/>
                <w:szCs w:val="20"/>
              </w:rPr>
            </w:pPr>
            <w:r w:rsidRPr="00330234">
              <w:rPr>
                <w:sz w:val="20"/>
                <w:szCs w:val="20"/>
              </w:rPr>
              <w:t>0,25</w:t>
            </w:r>
          </w:p>
        </w:tc>
        <w:tc>
          <w:tcPr>
            <w:tcW w:w="1009" w:type="dxa"/>
            <w:tcBorders>
              <w:top w:val="single" w:sz="4" w:space="0" w:color="auto"/>
              <w:left w:val="single" w:sz="4" w:space="0" w:color="auto"/>
              <w:bottom w:val="single" w:sz="4" w:space="0" w:color="auto"/>
              <w:right w:val="single" w:sz="4" w:space="0" w:color="auto"/>
            </w:tcBorders>
          </w:tcPr>
          <w:p w14:paraId="2F99EC41" w14:textId="77777777" w:rsidR="00436DAA" w:rsidRPr="00330234" w:rsidRDefault="009B4B8E" w:rsidP="007D398F">
            <w:pPr>
              <w:pStyle w:val="TableParagraph"/>
              <w:widowControl/>
              <w:jc w:val="center"/>
              <w:rPr>
                <w:sz w:val="20"/>
                <w:szCs w:val="20"/>
              </w:rPr>
            </w:pPr>
            <w:r w:rsidRPr="00330234">
              <w:rPr>
                <w:sz w:val="20"/>
                <w:szCs w:val="20"/>
              </w:rPr>
              <w:t>0,63</w:t>
            </w:r>
          </w:p>
        </w:tc>
      </w:tr>
      <w:tr w:rsidR="00436DAA" w:rsidRPr="00330234" w14:paraId="02016813" w14:textId="77777777" w:rsidTr="00DD4C0C">
        <w:trPr>
          <w:trHeight w:val="20"/>
        </w:trPr>
        <w:tc>
          <w:tcPr>
            <w:tcW w:w="1841" w:type="dxa"/>
            <w:tcBorders>
              <w:top w:val="single" w:sz="4" w:space="0" w:color="auto"/>
              <w:left w:val="single" w:sz="4" w:space="0" w:color="auto"/>
              <w:bottom w:val="single" w:sz="4" w:space="0" w:color="auto"/>
              <w:right w:val="single" w:sz="4" w:space="0" w:color="auto"/>
            </w:tcBorders>
          </w:tcPr>
          <w:p w14:paraId="612CF955" w14:textId="77777777" w:rsidR="00436DAA" w:rsidRPr="00330234" w:rsidRDefault="00436DAA" w:rsidP="007D398F">
            <w:pPr>
              <w:pStyle w:val="TableParagraph"/>
              <w:widowControl/>
              <w:jc w:val="center"/>
              <w:rPr>
                <w:sz w:val="20"/>
                <w:szCs w:val="20"/>
              </w:rPr>
            </w:pPr>
          </w:p>
        </w:tc>
        <w:tc>
          <w:tcPr>
            <w:tcW w:w="1878" w:type="dxa"/>
            <w:gridSpan w:val="2"/>
            <w:tcBorders>
              <w:top w:val="single" w:sz="4" w:space="0" w:color="auto"/>
              <w:left w:val="single" w:sz="4" w:space="0" w:color="auto"/>
              <w:bottom w:val="single" w:sz="4" w:space="0" w:color="auto"/>
              <w:right w:val="single" w:sz="4" w:space="0" w:color="auto"/>
            </w:tcBorders>
          </w:tcPr>
          <w:p w14:paraId="156618C2" w14:textId="77777777" w:rsidR="00436DAA" w:rsidRPr="00330234" w:rsidRDefault="009B4B8E" w:rsidP="007D398F">
            <w:pPr>
              <w:pStyle w:val="TableParagraph"/>
              <w:widowControl/>
              <w:jc w:val="center"/>
              <w:rPr>
                <w:sz w:val="20"/>
                <w:szCs w:val="20"/>
              </w:rPr>
            </w:pPr>
            <w:r w:rsidRPr="00330234">
              <w:rPr>
                <w:sz w:val="20"/>
                <w:szCs w:val="20"/>
              </w:rPr>
              <w:t>JSN</w:t>
            </w:r>
          </w:p>
        </w:tc>
        <w:tc>
          <w:tcPr>
            <w:tcW w:w="1442" w:type="dxa"/>
            <w:tcBorders>
              <w:top w:val="single" w:sz="4" w:space="0" w:color="auto"/>
              <w:left w:val="single" w:sz="4" w:space="0" w:color="auto"/>
              <w:bottom w:val="single" w:sz="4" w:space="0" w:color="auto"/>
              <w:right w:val="single" w:sz="4" w:space="0" w:color="auto"/>
            </w:tcBorders>
          </w:tcPr>
          <w:p w14:paraId="08D08D04" w14:textId="77777777" w:rsidR="00436DAA" w:rsidRPr="00330234" w:rsidRDefault="009B4B8E" w:rsidP="007D398F">
            <w:pPr>
              <w:pStyle w:val="TableParagraph"/>
              <w:widowControl/>
              <w:jc w:val="center"/>
              <w:rPr>
                <w:sz w:val="20"/>
                <w:szCs w:val="20"/>
              </w:rPr>
            </w:pPr>
            <w:r w:rsidRPr="00330234">
              <w:rPr>
                <w:sz w:val="20"/>
                <w:szCs w:val="20"/>
              </w:rPr>
              <w:t>0,03</w:t>
            </w:r>
          </w:p>
        </w:tc>
        <w:tc>
          <w:tcPr>
            <w:tcW w:w="1469" w:type="dxa"/>
            <w:tcBorders>
              <w:top w:val="single" w:sz="4" w:space="0" w:color="auto"/>
              <w:left w:val="single" w:sz="4" w:space="0" w:color="auto"/>
              <w:bottom w:val="single" w:sz="4" w:space="0" w:color="auto"/>
              <w:right w:val="single" w:sz="4" w:space="0" w:color="auto"/>
            </w:tcBorders>
          </w:tcPr>
          <w:p w14:paraId="43BE9151" w14:textId="77777777" w:rsidR="00436DAA" w:rsidRPr="00330234" w:rsidRDefault="009B4B8E" w:rsidP="007D398F">
            <w:pPr>
              <w:pStyle w:val="TableParagraph"/>
              <w:widowControl/>
              <w:jc w:val="center"/>
              <w:rPr>
                <w:sz w:val="20"/>
                <w:szCs w:val="20"/>
              </w:rPr>
            </w:pPr>
            <w:r w:rsidRPr="00330234">
              <w:rPr>
                <w:sz w:val="20"/>
                <w:szCs w:val="20"/>
              </w:rPr>
              <w:t>0,11</w:t>
            </w:r>
          </w:p>
        </w:tc>
        <w:tc>
          <w:tcPr>
            <w:tcW w:w="1427" w:type="dxa"/>
            <w:gridSpan w:val="2"/>
            <w:tcBorders>
              <w:top w:val="single" w:sz="4" w:space="0" w:color="auto"/>
              <w:left w:val="single" w:sz="4" w:space="0" w:color="auto"/>
              <w:bottom w:val="single" w:sz="4" w:space="0" w:color="auto"/>
              <w:right w:val="single" w:sz="4" w:space="0" w:color="auto"/>
            </w:tcBorders>
          </w:tcPr>
          <w:p w14:paraId="00D9B97B" w14:textId="77777777" w:rsidR="00436DAA" w:rsidRPr="00330234" w:rsidRDefault="009B4B8E" w:rsidP="007D398F">
            <w:pPr>
              <w:pStyle w:val="TableParagraph"/>
              <w:widowControl/>
              <w:jc w:val="center"/>
              <w:rPr>
                <w:sz w:val="20"/>
                <w:szCs w:val="20"/>
              </w:rPr>
            </w:pPr>
            <w:r w:rsidRPr="00330234">
              <w:rPr>
                <w:sz w:val="20"/>
                <w:szCs w:val="20"/>
              </w:rPr>
              <w:t>0,17</w:t>
            </w:r>
          </w:p>
        </w:tc>
        <w:tc>
          <w:tcPr>
            <w:tcW w:w="1009" w:type="dxa"/>
            <w:tcBorders>
              <w:top w:val="single" w:sz="4" w:space="0" w:color="auto"/>
              <w:left w:val="single" w:sz="4" w:space="0" w:color="auto"/>
              <w:bottom w:val="single" w:sz="4" w:space="0" w:color="auto"/>
              <w:right w:val="single" w:sz="4" w:space="0" w:color="auto"/>
            </w:tcBorders>
          </w:tcPr>
          <w:p w14:paraId="3BAD4A1F" w14:textId="77777777" w:rsidR="00436DAA" w:rsidRPr="00330234" w:rsidRDefault="009B4B8E" w:rsidP="007D398F">
            <w:pPr>
              <w:pStyle w:val="TableParagraph"/>
              <w:widowControl/>
              <w:jc w:val="center"/>
              <w:rPr>
                <w:sz w:val="20"/>
                <w:szCs w:val="20"/>
              </w:rPr>
            </w:pPr>
            <w:r w:rsidRPr="00330234">
              <w:rPr>
                <w:sz w:val="20"/>
                <w:szCs w:val="20"/>
              </w:rPr>
              <w:t>0,51</w:t>
            </w:r>
          </w:p>
        </w:tc>
      </w:tr>
      <w:tr w:rsidR="00436DAA" w:rsidRPr="00330234" w14:paraId="203AB182" w14:textId="77777777" w:rsidTr="00DD4C0C">
        <w:trPr>
          <w:trHeight w:val="20"/>
        </w:trPr>
        <w:tc>
          <w:tcPr>
            <w:tcW w:w="3719" w:type="dxa"/>
            <w:gridSpan w:val="3"/>
            <w:tcBorders>
              <w:top w:val="single" w:sz="4" w:space="0" w:color="auto"/>
              <w:left w:val="single" w:sz="4" w:space="0" w:color="auto"/>
              <w:bottom w:val="single" w:sz="4" w:space="0" w:color="auto"/>
              <w:right w:val="single" w:sz="4" w:space="0" w:color="auto"/>
            </w:tcBorders>
          </w:tcPr>
          <w:p w14:paraId="734C4055" w14:textId="291F03A1" w:rsidR="00436DAA" w:rsidRPr="00330234" w:rsidRDefault="009B4B8E" w:rsidP="00DD4C0C">
            <w:pPr>
              <w:pStyle w:val="TableParagraph"/>
              <w:widowControl/>
              <w:jc w:val="right"/>
              <w:rPr>
                <w:sz w:val="20"/>
                <w:szCs w:val="20"/>
              </w:rPr>
            </w:pPr>
            <w:r w:rsidRPr="00330234">
              <w:rPr>
                <w:sz w:val="20"/>
                <w:szCs w:val="20"/>
              </w:rPr>
              <w:t>Radiografische Non-Progressie n (%) (verandering</w:t>
            </w:r>
            <w:r w:rsidR="00033660" w:rsidRPr="00330234">
              <w:rPr>
                <w:sz w:val="20"/>
                <w:szCs w:val="20"/>
              </w:rPr>
              <w:t xml:space="preserve"> </w:t>
            </w:r>
            <w:r w:rsidRPr="00330234">
              <w:rPr>
                <w:sz w:val="20"/>
                <w:szCs w:val="20"/>
              </w:rPr>
              <w:t>t.o.v. baseline in mTSS of ≤0)</w:t>
            </w:r>
          </w:p>
        </w:tc>
        <w:tc>
          <w:tcPr>
            <w:tcW w:w="1442" w:type="dxa"/>
            <w:tcBorders>
              <w:top w:val="single" w:sz="4" w:space="0" w:color="auto"/>
              <w:left w:val="single" w:sz="4" w:space="0" w:color="auto"/>
              <w:bottom w:val="single" w:sz="4" w:space="0" w:color="auto"/>
              <w:right w:val="single" w:sz="4" w:space="0" w:color="auto"/>
            </w:tcBorders>
          </w:tcPr>
          <w:p w14:paraId="4F4CF43B" w14:textId="77777777" w:rsidR="00436DAA" w:rsidRPr="00330234" w:rsidRDefault="009B4B8E" w:rsidP="007D398F">
            <w:pPr>
              <w:pStyle w:val="TableParagraph"/>
              <w:widowControl/>
              <w:jc w:val="center"/>
              <w:rPr>
                <w:b/>
                <w:sz w:val="20"/>
                <w:szCs w:val="20"/>
              </w:rPr>
            </w:pPr>
            <w:r w:rsidRPr="00330234">
              <w:rPr>
                <w:sz w:val="20"/>
                <w:szCs w:val="20"/>
              </w:rPr>
              <w:t>226 (83)</w:t>
            </w:r>
            <w:r w:rsidRPr="00330234">
              <w:rPr>
                <w:b/>
                <w:sz w:val="20"/>
                <w:szCs w:val="20"/>
                <w:vertAlign w:val="superscript"/>
              </w:rPr>
              <w:t>‡</w:t>
            </w:r>
          </w:p>
        </w:tc>
        <w:tc>
          <w:tcPr>
            <w:tcW w:w="1469" w:type="dxa"/>
            <w:tcBorders>
              <w:top w:val="single" w:sz="4" w:space="0" w:color="auto"/>
              <w:left w:val="single" w:sz="4" w:space="0" w:color="auto"/>
              <w:bottom w:val="single" w:sz="4" w:space="0" w:color="auto"/>
              <w:right w:val="single" w:sz="4" w:space="0" w:color="auto"/>
            </w:tcBorders>
          </w:tcPr>
          <w:p w14:paraId="564253A0" w14:textId="77777777" w:rsidR="00436DAA" w:rsidRPr="00330234" w:rsidRDefault="009B4B8E" w:rsidP="007D398F">
            <w:pPr>
              <w:pStyle w:val="TableParagraph"/>
              <w:widowControl/>
              <w:jc w:val="center"/>
              <w:rPr>
                <w:b/>
                <w:sz w:val="20"/>
                <w:szCs w:val="20"/>
              </w:rPr>
            </w:pPr>
            <w:r w:rsidRPr="00330234">
              <w:rPr>
                <w:sz w:val="20"/>
                <w:szCs w:val="20"/>
              </w:rPr>
              <w:t>226 (82)</w:t>
            </w:r>
            <w:r w:rsidRPr="00330234">
              <w:rPr>
                <w:b/>
                <w:sz w:val="20"/>
                <w:szCs w:val="20"/>
                <w:vertAlign w:val="superscript"/>
              </w:rPr>
              <w:t>‡</w:t>
            </w:r>
          </w:p>
        </w:tc>
        <w:tc>
          <w:tcPr>
            <w:tcW w:w="1427" w:type="dxa"/>
            <w:gridSpan w:val="2"/>
            <w:tcBorders>
              <w:top w:val="single" w:sz="4" w:space="0" w:color="auto"/>
              <w:left w:val="single" w:sz="4" w:space="0" w:color="auto"/>
              <w:bottom w:val="single" w:sz="4" w:space="0" w:color="auto"/>
              <w:right w:val="single" w:sz="4" w:space="0" w:color="auto"/>
            </w:tcBorders>
          </w:tcPr>
          <w:p w14:paraId="498EF2F2" w14:textId="77777777" w:rsidR="00436DAA" w:rsidRPr="00330234" w:rsidRDefault="009B4B8E" w:rsidP="007D398F">
            <w:pPr>
              <w:pStyle w:val="TableParagraph"/>
              <w:widowControl/>
              <w:jc w:val="center"/>
              <w:rPr>
                <w:sz w:val="20"/>
                <w:szCs w:val="20"/>
              </w:rPr>
            </w:pPr>
            <w:r w:rsidRPr="00330234">
              <w:rPr>
                <w:sz w:val="20"/>
                <w:szCs w:val="20"/>
              </w:rPr>
              <w:t>211 (79)</w:t>
            </w:r>
          </w:p>
        </w:tc>
        <w:tc>
          <w:tcPr>
            <w:tcW w:w="1009" w:type="dxa"/>
            <w:tcBorders>
              <w:top w:val="single" w:sz="4" w:space="0" w:color="auto"/>
              <w:left w:val="single" w:sz="4" w:space="0" w:color="auto"/>
              <w:bottom w:val="single" w:sz="4" w:space="0" w:color="auto"/>
              <w:right w:val="single" w:sz="4" w:space="0" w:color="auto"/>
            </w:tcBorders>
          </w:tcPr>
          <w:p w14:paraId="0C0B153E" w14:textId="77777777" w:rsidR="00436DAA" w:rsidRPr="00330234" w:rsidRDefault="009B4B8E" w:rsidP="007D398F">
            <w:pPr>
              <w:pStyle w:val="TableParagraph"/>
              <w:widowControl/>
              <w:jc w:val="center"/>
              <w:rPr>
                <w:sz w:val="20"/>
                <w:szCs w:val="20"/>
              </w:rPr>
            </w:pPr>
            <w:r w:rsidRPr="00330234">
              <w:rPr>
                <w:sz w:val="20"/>
                <w:szCs w:val="20"/>
              </w:rPr>
              <w:t>194 (73)</w:t>
            </w:r>
          </w:p>
        </w:tc>
      </w:tr>
      <w:tr w:rsidR="007D398F" w:rsidRPr="00330234" w14:paraId="7F2BB8AE" w14:textId="77777777" w:rsidTr="007D398F">
        <w:trPr>
          <w:trHeight w:val="20"/>
        </w:trPr>
        <w:tc>
          <w:tcPr>
            <w:tcW w:w="9066" w:type="dxa"/>
            <w:gridSpan w:val="8"/>
            <w:tcBorders>
              <w:top w:val="single" w:sz="4" w:space="0" w:color="auto"/>
              <w:left w:val="single" w:sz="4" w:space="0" w:color="000000"/>
              <w:bottom w:val="single" w:sz="8" w:space="0" w:color="000000"/>
              <w:right w:val="single" w:sz="8" w:space="0" w:color="000000"/>
            </w:tcBorders>
          </w:tcPr>
          <w:p w14:paraId="722E8EDD" w14:textId="77777777" w:rsidR="007D398F" w:rsidRPr="00330234" w:rsidRDefault="007D398F" w:rsidP="00BD109B">
            <w:pPr>
              <w:pStyle w:val="TableParagraph"/>
              <w:widowControl/>
              <w:rPr>
                <w:b/>
                <w:sz w:val="20"/>
                <w:szCs w:val="20"/>
              </w:rPr>
            </w:pPr>
            <w:r w:rsidRPr="00330234">
              <w:rPr>
                <w:b/>
                <w:sz w:val="20"/>
                <w:szCs w:val="20"/>
              </w:rPr>
              <w:t>Verkennende eindpunten</w:t>
            </w:r>
          </w:p>
        </w:tc>
      </w:tr>
      <w:tr w:rsidR="00436DAA" w:rsidRPr="00330234" w14:paraId="52FB2709" w14:textId="77777777" w:rsidTr="00DD4C0C">
        <w:trPr>
          <w:trHeight w:val="20"/>
        </w:trPr>
        <w:tc>
          <w:tcPr>
            <w:tcW w:w="3719" w:type="dxa"/>
            <w:gridSpan w:val="3"/>
            <w:tcBorders>
              <w:top w:val="single" w:sz="4" w:space="0" w:color="auto"/>
              <w:left w:val="single" w:sz="4" w:space="0" w:color="auto"/>
              <w:bottom w:val="single" w:sz="4" w:space="0" w:color="auto"/>
              <w:right w:val="single" w:sz="4" w:space="0" w:color="auto"/>
            </w:tcBorders>
          </w:tcPr>
          <w:p w14:paraId="2D1295D8" w14:textId="4D0886D1" w:rsidR="00436DAA" w:rsidRPr="00330234" w:rsidRDefault="009B4B8E" w:rsidP="00DD4C0C">
            <w:pPr>
              <w:pStyle w:val="TableParagraph"/>
              <w:widowControl/>
              <w:jc w:val="right"/>
              <w:rPr>
                <w:sz w:val="20"/>
                <w:szCs w:val="20"/>
              </w:rPr>
            </w:pPr>
            <w:r w:rsidRPr="00330234">
              <w:rPr>
                <w:sz w:val="20"/>
                <w:szCs w:val="20"/>
              </w:rPr>
              <w:t>Week 24:</w:t>
            </w:r>
            <w:r w:rsidR="00DD4C0C" w:rsidRPr="00330234">
              <w:rPr>
                <w:sz w:val="20"/>
                <w:szCs w:val="20"/>
              </w:rPr>
              <w:t xml:space="preserve"> </w:t>
            </w:r>
            <w:r w:rsidRPr="00330234">
              <w:rPr>
                <w:sz w:val="20"/>
                <w:szCs w:val="20"/>
              </w:rPr>
              <w:t>ACR-/EULAR-</w:t>
            </w:r>
            <w:r w:rsidRPr="00330234">
              <w:rPr>
                <w:i/>
                <w:sz w:val="20"/>
                <w:szCs w:val="20"/>
              </w:rPr>
              <w:t>Boolean</w:t>
            </w:r>
            <w:r w:rsidRPr="00330234">
              <w:rPr>
                <w:sz w:val="20"/>
                <w:szCs w:val="20"/>
              </w:rPr>
              <w:t>-remissie, n (%)</w:t>
            </w:r>
          </w:p>
        </w:tc>
        <w:tc>
          <w:tcPr>
            <w:tcW w:w="1442" w:type="dxa"/>
            <w:tcBorders>
              <w:top w:val="single" w:sz="4" w:space="0" w:color="auto"/>
              <w:left w:val="single" w:sz="4" w:space="0" w:color="auto"/>
              <w:bottom w:val="single" w:sz="4" w:space="0" w:color="auto"/>
              <w:right w:val="single" w:sz="4" w:space="0" w:color="auto"/>
            </w:tcBorders>
          </w:tcPr>
          <w:p w14:paraId="7382CA81" w14:textId="77777777" w:rsidR="00436DAA" w:rsidRPr="00330234" w:rsidRDefault="009B4B8E" w:rsidP="00DD4C0C">
            <w:pPr>
              <w:pStyle w:val="TableParagraph"/>
              <w:widowControl/>
              <w:jc w:val="center"/>
              <w:rPr>
                <w:b/>
                <w:sz w:val="20"/>
                <w:szCs w:val="20"/>
              </w:rPr>
            </w:pPr>
            <w:r w:rsidRPr="00330234">
              <w:rPr>
                <w:sz w:val="20"/>
                <w:szCs w:val="20"/>
              </w:rPr>
              <w:t xml:space="preserve">47 (18,4) </w:t>
            </w:r>
            <w:r w:rsidRPr="00330234">
              <w:rPr>
                <w:b/>
                <w:sz w:val="20"/>
                <w:szCs w:val="20"/>
                <w:vertAlign w:val="superscript"/>
              </w:rPr>
              <w:t>‡</w:t>
            </w:r>
          </w:p>
        </w:tc>
        <w:tc>
          <w:tcPr>
            <w:tcW w:w="1469" w:type="dxa"/>
            <w:tcBorders>
              <w:top w:val="single" w:sz="4" w:space="0" w:color="auto"/>
              <w:left w:val="single" w:sz="4" w:space="0" w:color="auto"/>
              <w:bottom w:val="single" w:sz="4" w:space="0" w:color="auto"/>
              <w:right w:val="single" w:sz="4" w:space="0" w:color="auto"/>
            </w:tcBorders>
          </w:tcPr>
          <w:p w14:paraId="363F5B61" w14:textId="77777777" w:rsidR="00436DAA" w:rsidRPr="00330234" w:rsidRDefault="009B4B8E" w:rsidP="00DD4C0C">
            <w:pPr>
              <w:pStyle w:val="TableParagraph"/>
              <w:widowControl/>
              <w:jc w:val="center"/>
              <w:rPr>
                <w:sz w:val="20"/>
                <w:szCs w:val="20"/>
              </w:rPr>
            </w:pPr>
            <w:r w:rsidRPr="00330234">
              <w:rPr>
                <w:sz w:val="20"/>
                <w:szCs w:val="20"/>
              </w:rPr>
              <w:t>38 (14,2)</w:t>
            </w:r>
          </w:p>
        </w:tc>
        <w:tc>
          <w:tcPr>
            <w:tcW w:w="1427" w:type="dxa"/>
            <w:gridSpan w:val="2"/>
            <w:tcBorders>
              <w:top w:val="single" w:sz="4" w:space="0" w:color="auto"/>
              <w:left w:val="single" w:sz="4" w:space="0" w:color="auto"/>
              <w:bottom w:val="single" w:sz="4" w:space="0" w:color="auto"/>
              <w:right w:val="single" w:sz="4" w:space="0" w:color="auto"/>
            </w:tcBorders>
          </w:tcPr>
          <w:p w14:paraId="45BF50AA" w14:textId="77777777" w:rsidR="00436DAA" w:rsidRPr="00330234" w:rsidRDefault="009B4B8E" w:rsidP="00DD4C0C">
            <w:pPr>
              <w:pStyle w:val="TableParagraph"/>
              <w:widowControl/>
              <w:jc w:val="center"/>
              <w:rPr>
                <w:b/>
                <w:sz w:val="20"/>
                <w:szCs w:val="20"/>
              </w:rPr>
            </w:pPr>
            <w:r w:rsidRPr="00330234">
              <w:rPr>
                <w:sz w:val="20"/>
                <w:szCs w:val="20"/>
              </w:rPr>
              <w:t xml:space="preserve">43 (16,7) </w:t>
            </w:r>
            <w:r w:rsidRPr="00330234">
              <w:rPr>
                <w:b/>
                <w:sz w:val="20"/>
                <w:szCs w:val="20"/>
                <w:vertAlign w:val="superscript"/>
              </w:rPr>
              <w:t>‡</w:t>
            </w:r>
          </w:p>
        </w:tc>
        <w:tc>
          <w:tcPr>
            <w:tcW w:w="1009" w:type="dxa"/>
            <w:tcBorders>
              <w:top w:val="single" w:sz="4" w:space="0" w:color="auto"/>
              <w:left w:val="single" w:sz="4" w:space="0" w:color="auto"/>
              <w:bottom w:val="single" w:sz="4" w:space="0" w:color="auto"/>
              <w:right w:val="single" w:sz="4" w:space="0" w:color="auto"/>
            </w:tcBorders>
          </w:tcPr>
          <w:p w14:paraId="59DB73ED" w14:textId="77777777" w:rsidR="00436DAA" w:rsidRPr="00330234" w:rsidRDefault="009B4B8E" w:rsidP="00DD4C0C">
            <w:pPr>
              <w:pStyle w:val="TableParagraph"/>
              <w:widowControl/>
              <w:jc w:val="center"/>
              <w:rPr>
                <w:sz w:val="20"/>
                <w:szCs w:val="20"/>
              </w:rPr>
            </w:pPr>
            <w:r w:rsidRPr="00330234">
              <w:rPr>
                <w:sz w:val="20"/>
                <w:szCs w:val="20"/>
              </w:rPr>
              <w:t>25 (10,0)</w:t>
            </w:r>
          </w:p>
        </w:tc>
      </w:tr>
      <w:tr w:rsidR="00436DAA" w:rsidRPr="00330234" w14:paraId="3B51A802" w14:textId="77777777" w:rsidTr="00DD4C0C">
        <w:trPr>
          <w:trHeight w:val="20"/>
        </w:trPr>
        <w:tc>
          <w:tcPr>
            <w:tcW w:w="3719" w:type="dxa"/>
            <w:gridSpan w:val="3"/>
            <w:tcBorders>
              <w:top w:val="single" w:sz="4" w:space="0" w:color="auto"/>
              <w:left w:val="single" w:sz="4" w:space="0" w:color="auto"/>
              <w:bottom w:val="single" w:sz="4" w:space="0" w:color="auto"/>
              <w:right w:val="single" w:sz="4" w:space="0" w:color="auto"/>
            </w:tcBorders>
          </w:tcPr>
          <w:p w14:paraId="0815593E" w14:textId="77777777" w:rsidR="00436DAA" w:rsidRPr="00330234" w:rsidRDefault="009B4B8E" w:rsidP="00033660">
            <w:pPr>
              <w:pStyle w:val="TableParagraph"/>
              <w:widowControl/>
              <w:jc w:val="right"/>
              <w:rPr>
                <w:sz w:val="20"/>
                <w:szCs w:val="20"/>
              </w:rPr>
            </w:pPr>
            <w:r w:rsidRPr="00330234">
              <w:rPr>
                <w:sz w:val="20"/>
                <w:szCs w:val="20"/>
              </w:rPr>
              <w:t>ACR-/EULAR-</w:t>
            </w:r>
            <w:r w:rsidRPr="00330234">
              <w:rPr>
                <w:i/>
                <w:sz w:val="20"/>
                <w:szCs w:val="20"/>
              </w:rPr>
              <w:t>Index</w:t>
            </w:r>
            <w:r w:rsidRPr="00330234">
              <w:rPr>
                <w:sz w:val="20"/>
                <w:szCs w:val="20"/>
              </w:rPr>
              <w:t>-remissie, n (%)</w:t>
            </w:r>
          </w:p>
        </w:tc>
        <w:tc>
          <w:tcPr>
            <w:tcW w:w="1442" w:type="dxa"/>
            <w:tcBorders>
              <w:top w:val="single" w:sz="4" w:space="0" w:color="auto"/>
              <w:left w:val="single" w:sz="4" w:space="0" w:color="auto"/>
              <w:bottom w:val="single" w:sz="4" w:space="0" w:color="auto"/>
              <w:right w:val="single" w:sz="4" w:space="0" w:color="auto"/>
            </w:tcBorders>
          </w:tcPr>
          <w:p w14:paraId="360D5240" w14:textId="77777777" w:rsidR="00436DAA" w:rsidRPr="00330234" w:rsidRDefault="009B4B8E" w:rsidP="00DD4C0C">
            <w:pPr>
              <w:pStyle w:val="TableParagraph"/>
              <w:widowControl/>
              <w:jc w:val="center"/>
              <w:rPr>
                <w:b/>
                <w:sz w:val="20"/>
                <w:szCs w:val="20"/>
              </w:rPr>
            </w:pPr>
            <w:r w:rsidRPr="00330234">
              <w:rPr>
                <w:sz w:val="20"/>
                <w:szCs w:val="20"/>
              </w:rPr>
              <w:t xml:space="preserve">73 (28,5) </w:t>
            </w:r>
            <w:r w:rsidRPr="00330234">
              <w:rPr>
                <w:b/>
                <w:sz w:val="20"/>
                <w:szCs w:val="20"/>
                <w:vertAlign w:val="superscript"/>
              </w:rPr>
              <w:t>‡</w:t>
            </w:r>
          </w:p>
        </w:tc>
        <w:tc>
          <w:tcPr>
            <w:tcW w:w="1469" w:type="dxa"/>
            <w:tcBorders>
              <w:top w:val="single" w:sz="4" w:space="0" w:color="auto"/>
              <w:left w:val="single" w:sz="4" w:space="0" w:color="auto"/>
              <w:bottom w:val="single" w:sz="4" w:space="0" w:color="auto"/>
              <w:right w:val="single" w:sz="4" w:space="0" w:color="auto"/>
            </w:tcBorders>
          </w:tcPr>
          <w:p w14:paraId="381939F7" w14:textId="77777777" w:rsidR="00436DAA" w:rsidRPr="00330234" w:rsidRDefault="009B4B8E" w:rsidP="00DD4C0C">
            <w:pPr>
              <w:pStyle w:val="TableParagraph"/>
              <w:widowControl/>
              <w:jc w:val="center"/>
              <w:rPr>
                <w:sz w:val="20"/>
                <w:szCs w:val="20"/>
              </w:rPr>
            </w:pPr>
            <w:r w:rsidRPr="00330234">
              <w:rPr>
                <w:sz w:val="20"/>
                <w:szCs w:val="20"/>
              </w:rPr>
              <w:t>60 (22,6)</w:t>
            </w:r>
          </w:p>
        </w:tc>
        <w:tc>
          <w:tcPr>
            <w:tcW w:w="1427" w:type="dxa"/>
            <w:gridSpan w:val="2"/>
            <w:tcBorders>
              <w:top w:val="single" w:sz="4" w:space="0" w:color="auto"/>
              <w:left w:val="single" w:sz="4" w:space="0" w:color="auto"/>
              <w:bottom w:val="single" w:sz="4" w:space="0" w:color="auto"/>
              <w:right w:val="single" w:sz="4" w:space="0" w:color="auto"/>
            </w:tcBorders>
          </w:tcPr>
          <w:p w14:paraId="3AD194F8" w14:textId="77777777" w:rsidR="00436DAA" w:rsidRPr="00330234" w:rsidRDefault="009B4B8E" w:rsidP="00DD4C0C">
            <w:pPr>
              <w:pStyle w:val="TableParagraph"/>
              <w:widowControl/>
              <w:jc w:val="center"/>
              <w:rPr>
                <w:sz w:val="20"/>
                <w:szCs w:val="20"/>
              </w:rPr>
            </w:pPr>
            <w:r w:rsidRPr="00330234">
              <w:rPr>
                <w:sz w:val="20"/>
                <w:szCs w:val="20"/>
              </w:rPr>
              <w:t>58 (22,6)</w:t>
            </w:r>
          </w:p>
        </w:tc>
        <w:tc>
          <w:tcPr>
            <w:tcW w:w="1009" w:type="dxa"/>
            <w:tcBorders>
              <w:top w:val="single" w:sz="4" w:space="0" w:color="auto"/>
              <w:left w:val="single" w:sz="4" w:space="0" w:color="auto"/>
              <w:bottom w:val="single" w:sz="4" w:space="0" w:color="auto"/>
              <w:right w:val="single" w:sz="4" w:space="0" w:color="auto"/>
            </w:tcBorders>
          </w:tcPr>
          <w:p w14:paraId="154CB893" w14:textId="77777777" w:rsidR="00436DAA" w:rsidRPr="00330234" w:rsidRDefault="009B4B8E" w:rsidP="00DD4C0C">
            <w:pPr>
              <w:pStyle w:val="TableParagraph"/>
              <w:widowControl/>
              <w:jc w:val="center"/>
              <w:rPr>
                <w:sz w:val="20"/>
                <w:szCs w:val="20"/>
              </w:rPr>
            </w:pPr>
            <w:r w:rsidRPr="00330234">
              <w:rPr>
                <w:sz w:val="20"/>
                <w:szCs w:val="20"/>
              </w:rPr>
              <w:t>41 (16,4)</w:t>
            </w:r>
          </w:p>
        </w:tc>
      </w:tr>
      <w:tr w:rsidR="00436DAA" w:rsidRPr="00330234" w14:paraId="06293E97" w14:textId="77777777" w:rsidTr="00DD4C0C">
        <w:trPr>
          <w:trHeight w:val="20"/>
        </w:trPr>
        <w:tc>
          <w:tcPr>
            <w:tcW w:w="3719" w:type="dxa"/>
            <w:gridSpan w:val="3"/>
            <w:tcBorders>
              <w:top w:val="single" w:sz="4" w:space="0" w:color="auto"/>
              <w:left w:val="single" w:sz="4" w:space="0" w:color="auto"/>
              <w:bottom w:val="single" w:sz="4" w:space="0" w:color="auto"/>
              <w:right w:val="single" w:sz="4" w:space="0" w:color="auto"/>
            </w:tcBorders>
          </w:tcPr>
          <w:p w14:paraId="16C0A1B4" w14:textId="4981C283" w:rsidR="00436DAA" w:rsidRPr="00330234" w:rsidRDefault="009B4B8E" w:rsidP="00DD4C0C">
            <w:pPr>
              <w:pStyle w:val="TableParagraph"/>
              <w:widowControl/>
              <w:jc w:val="right"/>
              <w:rPr>
                <w:sz w:val="20"/>
                <w:szCs w:val="20"/>
              </w:rPr>
            </w:pPr>
            <w:r w:rsidRPr="00330234">
              <w:rPr>
                <w:sz w:val="20"/>
                <w:szCs w:val="20"/>
              </w:rPr>
              <w:t>Week 52:</w:t>
            </w:r>
            <w:r w:rsidR="00DD4C0C" w:rsidRPr="00330234">
              <w:rPr>
                <w:sz w:val="20"/>
                <w:szCs w:val="20"/>
              </w:rPr>
              <w:t xml:space="preserve"> </w:t>
            </w:r>
            <w:r w:rsidRPr="00330234">
              <w:rPr>
                <w:sz w:val="20"/>
                <w:szCs w:val="20"/>
              </w:rPr>
              <w:t>ACR-/EULAR-</w:t>
            </w:r>
            <w:r w:rsidRPr="00330234">
              <w:rPr>
                <w:i/>
                <w:sz w:val="20"/>
                <w:szCs w:val="20"/>
              </w:rPr>
              <w:t>Boolean</w:t>
            </w:r>
            <w:r w:rsidRPr="00330234">
              <w:rPr>
                <w:sz w:val="20"/>
                <w:szCs w:val="20"/>
              </w:rPr>
              <w:t>-remissie, n (%)</w:t>
            </w:r>
          </w:p>
        </w:tc>
        <w:tc>
          <w:tcPr>
            <w:tcW w:w="1442" w:type="dxa"/>
            <w:tcBorders>
              <w:top w:val="single" w:sz="4" w:space="0" w:color="auto"/>
              <w:left w:val="single" w:sz="4" w:space="0" w:color="auto"/>
              <w:bottom w:val="single" w:sz="4" w:space="0" w:color="auto"/>
              <w:right w:val="single" w:sz="4" w:space="0" w:color="auto"/>
            </w:tcBorders>
          </w:tcPr>
          <w:p w14:paraId="11D2FD73" w14:textId="77777777" w:rsidR="00436DAA" w:rsidRPr="00330234" w:rsidRDefault="009B4B8E" w:rsidP="00DD4C0C">
            <w:pPr>
              <w:pStyle w:val="TableParagraph"/>
              <w:widowControl/>
              <w:jc w:val="center"/>
              <w:rPr>
                <w:b/>
                <w:sz w:val="20"/>
                <w:szCs w:val="20"/>
              </w:rPr>
            </w:pPr>
            <w:r w:rsidRPr="00330234">
              <w:rPr>
                <w:sz w:val="20"/>
                <w:szCs w:val="20"/>
              </w:rPr>
              <w:t xml:space="preserve">59 (25,7) </w:t>
            </w:r>
            <w:r w:rsidRPr="00330234">
              <w:rPr>
                <w:b/>
                <w:sz w:val="20"/>
                <w:szCs w:val="20"/>
                <w:vertAlign w:val="superscript"/>
              </w:rPr>
              <w:t>‡</w:t>
            </w:r>
          </w:p>
        </w:tc>
        <w:tc>
          <w:tcPr>
            <w:tcW w:w="1469" w:type="dxa"/>
            <w:tcBorders>
              <w:top w:val="single" w:sz="4" w:space="0" w:color="auto"/>
              <w:left w:val="single" w:sz="4" w:space="0" w:color="auto"/>
              <w:bottom w:val="single" w:sz="4" w:space="0" w:color="auto"/>
              <w:right w:val="single" w:sz="4" w:space="0" w:color="auto"/>
            </w:tcBorders>
          </w:tcPr>
          <w:p w14:paraId="6DE4BBA5" w14:textId="77777777" w:rsidR="00436DAA" w:rsidRPr="00330234" w:rsidRDefault="009B4B8E" w:rsidP="00DD4C0C">
            <w:pPr>
              <w:pStyle w:val="TableParagraph"/>
              <w:widowControl/>
              <w:jc w:val="center"/>
              <w:rPr>
                <w:sz w:val="20"/>
                <w:szCs w:val="20"/>
              </w:rPr>
            </w:pPr>
            <w:r w:rsidRPr="00330234">
              <w:rPr>
                <w:sz w:val="20"/>
                <w:szCs w:val="20"/>
              </w:rPr>
              <w:t>43 (18,7)</w:t>
            </w:r>
          </w:p>
        </w:tc>
        <w:tc>
          <w:tcPr>
            <w:tcW w:w="1427" w:type="dxa"/>
            <w:gridSpan w:val="2"/>
            <w:tcBorders>
              <w:top w:val="single" w:sz="4" w:space="0" w:color="auto"/>
              <w:left w:val="single" w:sz="4" w:space="0" w:color="auto"/>
              <w:bottom w:val="single" w:sz="4" w:space="0" w:color="auto"/>
              <w:right w:val="single" w:sz="4" w:space="0" w:color="auto"/>
            </w:tcBorders>
          </w:tcPr>
          <w:p w14:paraId="39206F32" w14:textId="77777777" w:rsidR="00436DAA" w:rsidRPr="00330234" w:rsidRDefault="009B4B8E" w:rsidP="00DD4C0C">
            <w:pPr>
              <w:pStyle w:val="TableParagraph"/>
              <w:widowControl/>
              <w:jc w:val="center"/>
              <w:rPr>
                <w:sz w:val="20"/>
                <w:szCs w:val="20"/>
              </w:rPr>
            </w:pPr>
            <w:r w:rsidRPr="00330234">
              <w:rPr>
                <w:sz w:val="20"/>
                <w:szCs w:val="20"/>
              </w:rPr>
              <w:t>48 (21,1)</w:t>
            </w:r>
          </w:p>
        </w:tc>
        <w:tc>
          <w:tcPr>
            <w:tcW w:w="1009" w:type="dxa"/>
            <w:tcBorders>
              <w:top w:val="single" w:sz="4" w:space="0" w:color="auto"/>
              <w:left w:val="single" w:sz="4" w:space="0" w:color="auto"/>
              <w:bottom w:val="single" w:sz="4" w:space="0" w:color="auto"/>
              <w:right w:val="single" w:sz="4" w:space="0" w:color="auto"/>
            </w:tcBorders>
          </w:tcPr>
          <w:p w14:paraId="115BB486" w14:textId="77777777" w:rsidR="00436DAA" w:rsidRPr="00330234" w:rsidRDefault="009B4B8E" w:rsidP="00DD4C0C">
            <w:pPr>
              <w:pStyle w:val="TableParagraph"/>
              <w:widowControl/>
              <w:jc w:val="center"/>
              <w:rPr>
                <w:sz w:val="20"/>
                <w:szCs w:val="20"/>
              </w:rPr>
            </w:pPr>
            <w:r w:rsidRPr="00330234">
              <w:rPr>
                <w:sz w:val="20"/>
                <w:szCs w:val="20"/>
              </w:rPr>
              <w:t>34 (15,5)</w:t>
            </w:r>
          </w:p>
        </w:tc>
      </w:tr>
      <w:tr w:rsidR="00436DAA" w:rsidRPr="00330234" w14:paraId="53BDCE6D" w14:textId="77777777" w:rsidTr="00DD4C0C">
        <w:trPr>
          <w:trHeight w:val="20"/>
        </w:trPr>
        <w:tc>
          <w:tcPr>
            <w:tcW w:w="3719" w:type="dxa"/>
            <w:gridSpan w:val="3"/>
            <w:tcBorders>
              <w:top w:val="single" w:sz="4" w:space="0" w:color="auto"/>
              <w:left w:val="single" w:sz="4" w:space="0" w:color="auto"/>
              <w:bottom w:val="single" w:sz="4" w:space="0" w:color="auto"/>
              <w:right w:val="single" w:sz="4" w:space="0" w:color="auto"/>
            </w:tcBorders>
          </w:tcPr>
          <w:p w14:paraId="7752EC63" w14:textId="77777777" w:rsidR="00436DAA" w:rsidRPr="00330234" w:rsidRDefault="009B4B8E" w:rsidP="00033660">
            <w:pPr>
              <w:pStyle w:val="TableParagraph"/>
              <w:widowControl/>
              <w:jc w:val="right"/>
              <w:rPr>
                <w:sz w:val="20"/>
                <w:szCs w:val="20"/>
              </w:rPr>
            </w:pPr>
            <w:r w:rsidRPr="00330234">
              <w:rPr>
                <w:sz w:val="20"/>
                <w:szCs w:val="20"/>
              </w:rPr>
              <w:t>ACR-/EULAR-</w:t>
            </w:r>
            <w:r w:rsidRPr="00330234">
              <w:rPr>
                <w:i/>
                <w:sz w:val="20"/>
                <w:szCs w:val="20"/>
              </w:rPr>
              <w:t>Index</w:t>
            </w:r>
            <w:r w:rsidRPr="00330234">
              <w:rPr>
                <w:sz w:val="20"/>
                <w:szCs w:val="20"/>
              </w:rPr>
              <w:t>-remissie, n (%)</w:t>
            </w:r>
          </w:p>
        </w:tc>
        <w:tc>
          <w:tcPr>
            <w:tcW w:w="1442" w:type="dxa"/>
            <w:tcBorders>
              <w:top w:val="single" w:sz="4" w:space="0" w:color="auto"/>
              <w:left w:val="single" w:sz="4" w:space="0" w:color="auto"/>
              <w:bottom w:val="single" w:sz="4" w:space="0" w:color="auto"/>
              <w:right w:val="single" w:sz="4" w:space="0" w:color="auto"/>
            </w:tcBorders>
          </w:tcPr>
          <w:p w14:paraId="43438162" w14:textId="77777777" w:rsidR="00436DAA" w:rsidRPr="00330234" w:rsidRDefault="009B4B8E" w:rsidP="00DD4C0C">
            <w:pPr>
              <w:pStyle w:val="TableParagraph"/>
              <w:widowControl/>
              <w:jc w:val="center"/>
              <w:rPr>
                <w:b/>
                <w:sz w:val="20"/>
                <w:szCs w:val="20"/>
              </w:rPr>
            </w:pPr>
            <w:r w:rsidRPr="00330234">
              <w:rPr>
                <w:sz w:val="20"/>
                <w:szCs w:val="20"/>
              </w:rPr>
              <w:t xml:space="preserve">83 (36,1) </w:t>
            </w:r>
            <w:r w:rsidRPr="00330234">
              <w:rPr>
                <w:b/>
                <w:sz w:val="20"/>
                <w:szCs w:val="20"/>
                <w:vertAlign w:val="superscript"/>
              </w:rPr>
              <w:t>‡</w:t>
            </w:r>
          </w:p>
        </w:tc>
        <w:tc>
          <w:tcPr>
            <w:tcW w:w="1469" w:type="dxa"/>
            <w:tcBorders>
              <w:top w:val="single" w:sz="4" w:space="0" w:color="auto"/>
              <w:left w:val="single" w:sz="4" w:space="0" w:color="auto"/>
              <w:bottom w:val="single" w:sz="4" w:space="0" w:color="auto"/>
              <w:right w:val="single" w:sz="4" w:space="0" w:color="auto"/>
            </w:tcBorders>
          </w:tcPr>
          <w:p w14:paraId="0FC76A57" w14:textId="77777777" w:rsidR="00436DAA" w:rsidRPr="00330234" w:rsidRDefault="009B4B8E" w:rsidP="00DD4C0C">
            <w:pPr>
              <w:pStyle w:val="TableParagraph"/>
              <w:widowControl/>
              <w:jc w:val="center"/>
              <w:rPr>
                <w:sz w:val="20"/>
                <w:szCs w:val="20"/>
              </w:rPr>
            </w:pPr>
            <w:r w:rsidRPr="00330234">
              <w:rPr>
                <w:sz w:val="20"/>
                <w:szCs w:val="20"/>
              </w:rPr>
              <w:t>69 (30,0)</w:t>
            </w:r>
          </w:p>
        </w:tc>
        <w:tc>
          <w:tcPr>
            <w:tcW w:w="1427" w:type="dxa"/>
            <w:gridSpan w:val="2"/>
            <w:tcBorders>
              <w:top w:val="single" w:sz="4" w:space="0" w:color="auto"/>
              <w:left w:val="single" w:sz="4" w:space="0" w:color="auto"/>
              <w:bottom w:val="single" w:sz="4" w:space="0" w:color="auto"/>
              <w:right w:val="single" w:sz="4" w:space="0" w:color="auto"/>
            </w:tcBorders>
          </w:tcPr>
          <w:p w14:paraId="704747FF" w14:textId="77777777" w:rsidR="00436DAA" w:rsidRPr="00330234" w:rsidRDefault="009B4B8E" w:rsidP="00DD4C0C">
            <w:pPr>
              <w:pStyle w:val="TableParagraph"/>
              <w:widowControl/>
              <w:jc w:val="center"/>
              <w:rPr>
                <w:sz w:val="20"/>
                <w:szCs w:val="20"/>
              </w:rPr>
            </w:pPr>
            <w:r w:rsidRPr="00330234">
              <w:rPr>
                <w:sz w:val="20"/>
                <w:szCs w:val="20"/>
              </w:rPr>
              <w:t>66 (29,3)</w:t>
            </w:r>
          </w:p>
        </w:tc>
        <w:tc>
          <w:tcPr>
            <w:tcW w:w="1009" w:type="dxa"/>
            <w:tcBorders>
              <w:top w:val="single" w:sz="4" w:space="0" w:color="auto"/>
              <w:left w:val="single" w:sz="4" w:space="0" w:color="auto"/>
              <w:bottom w:val="single" w:sz="4" w:space="0" w:color="auto"/>
              <w:right w:val="single" w:sz="4" w:space="0" w:color="auto"/>
            </w:tcBorders>
          </w:tcPr>
          <w:p w14:paraId="79A1EAE8" w14:textId="77777777" w:rsidR="00436DAA" w:rsidRPr="00330234" w:rsidRDefault="009B4B8E" w:rsidP="00DD4C0C">
            <w:pPr>
              <w:pStyle w:val="TableParagraph"/>
              <w:widowControl/>
              <w:jc w:val="center"/>
              <w:rPr>
                <w:sz w:val="20"/>
                <w:szCs w:val="20"/>
              </w:rPr>
            </w:pPr>
            <w:r w:rsidRPr="00330234">
              <w:rPr>
                <w:sz w:val="20"/>
                <w:szCs w:val="20"/>
              </w:rPr>
              <w:t>49 (22,4)</w:t>
            </w:r>
          </w:p>
        </w:tc>
      </w:tr>
    </w:tbl>
    <w:p w14:paraId="33A50716" w14:textId="77777777" w:rsidR="00436DAA" w:rsidRPr="00330234" w:rsidRDefault="009B4B8E" w:rsidP="00DD4C0C">
      <w:pPr>
        <w:widowControl/>
        <w:ind w:left="1134" w:hanging="1134"/>
        <w:rPr>
          <w:i/>
          <w:sz w:val="18"/>
          <w:szCs w:val="18"/>
        </w:rPr>
      </w:pPr>
      <w:r w:rsidRPr="00330234">
        <w:rPr>
          <w:i/>
          <w:sz w:val="18"/>
          <w:szCs w:val="18"/>
        </w:rPr>
        <w:t>mTSS</w:t>
      </w:r>
      <w:r w:rsidRPr="00330234">
        <w:rPr>
          <w:i/>
          <w:sz w:val="18"/>
          <w:szCs w:val="18"/>
        </w:rPr>
        <w:tab/>
        <w:t>- modified Total Sharp Score</w:t>
      </w:r>
    </w:p>
    <w:p w14:paraId="5D0DA883" w14:textId="77777777" w:rsidR="00436DAA" w:rsidRPr="00330234" w:rsidRDefault="009B4B8E" w:rsidP="00DD4C0C">
      <w:pPr>
        <w:widowControl/>
        <w:ind w:left="1134" w:hanging="1134"/>
        <w:rPr>
          <w:i/>
          <w:sz w:val="18"/>
          <w:szCs w:val="18"/>
        </w:rPr>
      </w:pPr>
      <w:r w:rsidRPr="00330234">
        <w:rPr>
          <w:i/>
          <w:sz w:val="18"/>
          <w:szCs w:val="18"/>
        </w:rPr>
        <w:t>JSN</w:t>
      </w:r>
      <w:r w:rsidRPr="00330234">
        <w:rPr>
          <w:i/>
          <w:sz w:val="18"/>
          <w:szCs w:val="18"/>
        </w:rPr>
        <w:tab/>
        <w:t>- Joint space narrowing</w:t>
      </w:r>
    </w:p>
    <w:p w14:paraId="70069B67" w14:textId="77777777" w:rsidR="00436DAA" w:rsidRPr="00330234" w:rsidRDefault="009B4B8E" w:rsidP="00BD109B">
      <w:pPr>
        <w:widowControl/>
        <w:rPr>
          <w:sz w:val="18"/>
          <w:szCs w:val="18"/>
        </w:rPr>
      </w:pPr>
      <w:r w:rsidRPr="00330234">
        <w:rPr>
          <w:sz w:val="18"/>
          <w:szCs w:val="18"/>
        </w:rPr>
        <w:t>Alle werkzaamheidsvergelijkingen vs. Placebo + MTX. ***p≤0,0001; **p&lt; 0,001; *p&lt; 0,05;</w:t>
      </w:r>
    </w:p>
    <w:p w14:paraId="4884BB40" w14:textId="64792EE8" w:rsidR="00436DAA" w:rsidRPr="00330234" w:rsidRDefault="009B4B8E" w:rsidP="00DD4C0C">
      <w:pPr>
        <w:widowControl/>
        <w:ind w:left="284" w:hanging="284"/>
        <w:rPr>
          <w:sz w:val="18"/>
          <w:szCs w:val="18"/>
        </w:rPr>
      </w:pPr>
      <w:r w:rsidRPr="00330234">
        <w:rPr>
          <w:sz w:val="18"/>
          <w:szCs w:val="18"/>
        </w:rPr>
        <w:t>‡</w:t>
      </w:r>
      <w:r w:rsidR="00DD4C0C" w:rsidRPr="00330234">
        <w:rPr>
          <w:sz w:val="18"/>
          <w:szCs w:val="18"/>
        </w:rPr>
        <w:tab/>
      </w:r>
      <w:r w:rsidRPr="00330234">
        <w:rPr>
          <w:sz w:val="18"/>
          <w:szCs w:val="18"/>
        </w:rPr>
        <w:t>p-waarde &lt; 0,05 vs. Placebo + MTX, maar eindpunt was verkennend (niet opgenomen in de hiërarchie van statistische testen en werd daarom niet gecontroleerd op multipliciteit)</w:t>
      </w:r>
    </w:p>
    <w:p w14:paraId="27105168" w14:textId="77777777" w:rsidR="00436DAA" w:rsidRPr="00330234" w:rsidRDefault="00436DAA" w:rsidP="00BD109B">
      <w:pPr>
        <w:pStyle w:val="a3"/>
        <w:widowControl/>
        <w:ind w:left="0"/>
      </w:pPr>
    </w:p>
    <w:p w14:paraId="380FBD60" w14:textId="77777777" w:rsidR="00436DAA" w:rsidRPr="00330234" w:rsidRDefault="009B4B8E" w:rsidP="00BD109B">
      <w:pPr>
        <w:pStyle w:val="a3"/>
        <w:widowControl/>
        <w:ind w:left="0"/>
      </w:pPr>
      <w:r w:rsidRPr="00330234">
        <w:rPr>
          <w:u w:val="single"/>
        </w:rPr>
        <w:t>COVID-19</w:t>
      </w:r>
    </w:p>
    <w:p w14:paraId="2C9DBCA4" w14:textId="77777777" w:rsidR="00DD4C0C" w:rsidRPr="00330234" w:rsidRDefault="00DD4C0C" w:rsidP="00BD109B">
      <w:pPr>
        <w:widowControl/>
        <w:rPr>
          <w:i/>
        </w:rPr>
      </w:pPr>
    </w:p>
    <w:p w14:paraId="4EE0E75D" w14:textId="07ADABA0" w:rsidR="00436DAA" w:rsidRPr="001B3E1E" w:rsidRDefault="009B4B8E" w:rsidP="00BD109B">
      <w:pPr>
        <w:widowControl/>
        <w:rPr>
          <w:iCs/>
          <w:u w:val="single"/>
        </w:rPr>
      </w:pPr>
      <w:r w:rsidRPr="001B3E1E">
        <w:rPr>
          <w:iCs/>
          <w:u w:val="single"/>
        </w:rPr>
        <w:t>Klinische werkzaamheid</w:t>
      </w:r>
    </w:p>
    <w:p w14:paraId="2518AC4F" w14:textId="77777777" w:rsidR="00436DAA" w:rsidRPr="00330234" w:rsidRDefault="00436DAA" w:rsidP="00BD109B">
      <w:pPr>
        <w:pStyle w:val="a3"/>
        <w:widowControl/>
        <w:ind w:left="0"/>
        <w:rPr>
          <w:i/>
        </w:rPr>
      </w:pPr>
    </w:p>
    <w:p w14:paraId="3E971E27" w14:textId="77777777" w:rsidR="00436DAA" w:rsidRPr="00330234" w:rsidRDefault="009B4B8E" w:rsidP="00BD109B">
      <w:pPr>
        <w:widowControl/>
        <w:rPr>
          <w:b/>
        </w:rPr>
      </w:pPr>
      <w:r w:rsidRPr="00330234">
        <w:rPr>
          <w:b/>
        </w:rPr>
        <w:t>RECOVERY (</w:t>
      </w:r>
      <w:r w:rsidRPr="001B3E1E">
        <w:rPr>
          <w:b/>
        </w:rPr>
        <w:t>Randomised Evaluation of COVID-19 Therapy</w:t>
      </w:r>
      <w:r w:rsidRPr="00330234">
        <w:rPr>
          <w:b/>
        </w:rPr>
        <w:t>) – onderzoeksconsortium bij in het ziekenhuis opgenomen volwassen patiënten met de diagnose COVID-19</w:t>
      </w:r>
    </w:p>
    <w:p w14:paraId="4617C914" w14:textId="77777777" w:rsidR="00DD4C0C" w:rsidRPr="00330234" w:rsidRDefault="00DD4C0C" w:rsidP="00496122">
      <w:pPr>
        <w:pStyle w:val="a3"/>
        <w:widowControl/>
        <w:ind w:left="0"/>
      </w:pPr>
    </w:p>
    <w:p w14:paraId="5A49AA83" w14:textId="3A5ABD2A" w:rsidR="00436DAA" w:rsidRPr="00330234" w:rsidRDefault="009B4B8E" w:rsidP="00496122">
      <w:pPr>
        <w:pStyle w:val="a3"/>
        <w:widowControl/>
        <w:ind w:left="0"/>
      </w:pPr>
      <w:r w:rsidRPr="00330234">
        <w:t>RECOVERY was een groot, gerandomiseerd, gecontroleerd, open-label, multicenter platformonderzoek dat is uitgevoerd in het Verenigd Koninkrijk ter beoordeling van de werkzaamheid en veiligheid van mogelijke behandelingen bij in het ziekenhuis opgenomen volwassen patiënten met ernstige COVID-19. Alle geschikte patiënten kregen reguliere zorg en ondergingen een eerste</w:t>
      </w:r>
      <w:r w:rsidR="00496122" w:rsidRPr="00330234">
        <w:t xml:space="preserve"> </w:t>
      </w:r>
      <w:r w:rsidRPr="00330234">
        <w:t xml:space="preserve">(hoofd)randomisatie. Voor het onderzoek geschikte patiënten hadden een klinisch vermoede of door het laboratorium bevestigde SARS-CoV-2-infectie en er waren geen medische contra-indicaties voor </w:t>
      </w:r>
      <w:r w:rsidRPr="00330234">
        <w:lastRenderedPageBreak/>
        <w:t>een van de behandelingen. Patiënten met klinisch bewijs van progressieve COVID-19 (gedefinieerd als een zuurstofsaturatie van &lt; 92% bij kamerlucht of het krijgen van zuurstofbehandeling en een CRP</w:t>
      </w:r>
      <w:r w:rsidR="00496122" w:rsidRPr="00330234">
        <w:t xml:space="preserve"> </w:t>
      </w:r>
      <w:r w:rsidRPr="00330234">
        <w:t>≥ 75 mg/l) kwamen in aanmerking voor een tweede randomisatie voor het krijgen van intraveneus tocilizumab of alleen reguliere zorg.</w:t>
      </w:r>
    </w:p>
    <w:p w14:paraId="498DAA41" w14:textId="77777777" w:rsidR="00496122" w:rsidRPr="00330234" w:rsidRDefault="00496122" w:rsidP="00BD109B">
      <w:pPr>
        <w:pStyle w:val="a3"/>
        <w:widowControl/>
        <w:ind w:left="0"/>
      </w:pPr>
    </w:p>
    <w:p w14:paraId="571F5ABA" w14:textId="4228E053" w:rsidR="00436DAA" w:rsidRPr="00330234" w:rsidRDefault="009B4B8E" w:rsidP="00BD109B">
      <w:pPr>
        <w:pStyle w:val="a3"/>
        <w:widowControl/>
        <w:ind w:left="0"/>
      </w:pPr>
      <w:r w:rsidRPr="00330234">
        <w:t xml:space="preserve">Werkzaamheidsanalyses werden uitgevoerd bij de </w:t>
      </w:r>
      <w:r w:rsidRPr="00330234">
        <w:rPr>
          <w:i/>
        </w:rPr>
        <w:t xml:space="preserve">intention-to-treat </w:t>
      </w:r>
      <w:r w:rsidRPr="00330234">
        <w:t>(ITT)-populatie die bestond uit 4</w:t>
      </w:r>
      <w:r w:rsidR="003C342D" w:rsidRPr="00330234">
        <w:t>.</w:t>
      </w:r>
      <w:r w:rsidRPr="00330234">
        <w:t>116 patiënten die werden gerandomiseerd: 2</w:t>
      </w:r>
      <w:r w:rsidR="003C342D" w:rsidRPr="00330234">
        <w:t>.</w:t>
      </w:r>
      <w:r w:rsidRPr="00330234">
        <w:t>022 patiënten werden ingedeeld in de groep met tocilizumab + reguliere zorg en 2</w:t>
      </w:r>
      <w:r w:rsidR="003C342D" w:rsidRPr="00330234">
        <w:t>.</w:t>
      </w:r>
      <w:r w:rsidRPr="00330234">
        <w:t>094 patiënten in de groep met alleen reguliere zorg. De demografische gegevens en ziektekenmerken op baseline van de ITT-populatie waren goed in evenwicht tussen de behandelgroepen. De gemiddelde leeftijd van de deelnemers was 63,6 jaar (standaarddeviatie [SD] 13,6 jaar). De meerderheid van de patiënten was man (67%) en blank (76%). De mediane (variatiebreedte) CRP-spiegel was 143 mg/l (75-982).</w:t>
      </w:r>
    </w:p>
    <w:p w14:paraId="68E86410" w14:textId="77777777" w:rsidR="00436DAA" w:rsidRPr="00330234" w:rsidRDefault="00436DAA" w:rsidP="00BD109B">
      <w:pPr>
        <w:pStyle w:val="a3"/>
        <w:widowControl/>
        <w:ind w:left="0"/>
      </w:pPr>
    </w:p>
    <w:p w14:paraId="3653B97E" w14:textId="77777777" w:rsidR="00436DAA" w:rsidRPr="00330234" w:rsidRDefault="009B4B8E" w:rsidP="00BD109B">
      <w:pPr>
        <w:pStyle w:val="a3"/>
        <w:widowControl/>
        <w:ind w:left="0"/>
      </w:pPr>
      <w:r w:rsidRPr="00330234">
        <w:t xml:space="preserve">Op baseline gebruikte 0,2% (n = 9) van de patiënten geen aanvullende zuurstof, had 45% van de patiënten </w:t>
      </w:r>
      <w:r w:rsidRPr="00330234">
        <w:rPr>
          <w:i/>
        </w:rPr>
        <w:t>low-flow</w:t>
      </w:r>
      <w:r w:rsidRPr="00330234">
        <w:t xml:space="preserve">-zuurstof nodig, had 41% van de patiënten niet-invasieve beademing of </w:t>
      </w:r>
      <w:r w:rsidRPr="00330234">
        <w:rPr>
          <w:i/>
        </w:rPr>
        <w:t>high-flow</w:t>
      </w:r>
      <w:r w:rsidRPr="00330234">
        <w:t>- zuurstof nodig en had 14% van de patiënten invasieve mechanische beademing nodig; van 82% werd gemeld dat ze systemische corticosteroïden kregen (gedefinieerd als patiënten die behandeling met systemische corticosteroïden of voor of tijdens randomisatie begonnen). De meest voorkomende comorbiditeiten waren diabetes (28,4%), hartziekte (22,6%) en chronische longziekte (23,3%).</w:t>
      </w:r>
    </w:p>
    <w:p w14:paraId="0BCAE190" w14:textId="77777777" w:rsidR="00496122" w:rsidRPr="00330234" w:rsidRDefault="00496122" w:rsidP="00BD109B">
      <w:pPr>
        <w:pStyle w:val="a3"/>
        <w:widowControl/>
        <w:ind w:left="0"/>
      </w:pPr>
    </w:p>
    <w:p w14:paraId="44FFDE08" w14:textId="4C0A8E86" w:rsidR="00436DAA" w:rsidRPr="00330234" w:rsidRDefault="009B4B8E" w:rsidP="00BD109B">
      <w:pPr>
        <w:pStyle w:val="a3"/>
        <w:widowControl/>
        <w:ind w:left="0"/>
      </w:pPr>
      <w:r w:rsidRPr="00330234">
        <w:t xml:space="preserve">Het primaire eindpunt was tijd tot overlijden tot en met dag 28. De hazardratio waarmee de groep met tocilizumab </w:t>
      </w:r>
      <w:r w:rsidR="00CB0A60" w:rsidRPr="00330234">
        <w:rPr>
          <w:rFonts w:eastAsia="SimSun"/>
          <w:lang w:eastAsia="zh-CN"/>
        </w:rPr>
        <w:t>+</w:t>
      </w:r>
      <w:r w:rsidR="00CB0A60" w:rsidRPr="00330234">
        <w:t xml:space="preserve"> </w:t>
      </w:r>
      <w:r w:rsidRPr="00330234">
        <w:t xml:space="preserve">reguliere zorg werd vergeleken met de groep met alleen reguliere zorg was 0,85 (95%- BI: 0,76 tot 0,94), een statistisch significant resultaat (p </w:t>
      </w:r>
      <w:r w:rsidR="00CB0A60" w:rsidRPr="00330234">
        <w:rPr>
          <w:rFonts w:eastAsia="SimSun"/>
          <w:lang w:eastAsia="zh-CN"/>
        </w:rPr>
        <w:t>=</w:t>
      </w:r>
      <w:r w:rsidR="00CB0A60" w:rsidRPr="00330234">
        <w:t xml:space="preserve"> </w:t>
      </w:r>
      <w:r w:rsidRPr="00330234">
        <w:t>0,0028). De waarschijnlijkheid van overlijden tot dag 28 was naar schatting 30,7% en 34,9% voor respectievelijk de groep met tocilizumab en die met reguliere zorg. Het verschil in risico was naar schatting -4,1% (95%-BI: -7,0% tot -1,3%). Dit komt overeen met de primaire analyse. De hazardratio was in de vooraf gespecificeerde subgroep patiënten die op baseline systemische corticosteroïden kreeg 0,79 (95%-BI: 0,70 tot 0,89) en in de vooraf gespecificeerde subgroep die op baseline geen systemische corticosteroïden kreeg 1,16 (95%-BI: 0,91 tot 1,48).</w:t>
      </w:r>
    </w:p>
    <w:p w14:paraId="26F5A8C8" w14:textId="77777777" w:rsidR="00436DAA" w:rsidRPr="00330234" w:rsidRDefault="00436DAA" w:rsidP="00BD109B">
      <w:pPr>
        <w:pStyle w:val="a3"/>
        <w:widowControl/>
        <w:ind w:left="0"/>
      </w:pPr>
    </w:p>
    <w:p w14:paraId="3958CC42" w14:textId="77777777" w:rsidR="00436DAA" w:rsidRPr="00330234" w:rsidRDefault="009B4B8E" w:rsidP="00BD109B">
      <w:pPr>
        <w:pStyle w:val="a3"/>
        <w:widowControl/>
        <w:ind w:left="0"/>
      </w:pPr>
      <w:r w:rsidRPr="00330234">
        <w:t>De mediane tijd tot ontslag uit het ziekenhuis was 19 dagen in de groep met tocilizumab + reguliere zorg en &gt; 28 dagen in de groep met reguliere zorg (hazardratio [95%-BI] = 1,22 [1,12 tot 1,33]).</w:t>
      </w:r>
    </w:p>
    <w:p w14:paraId="1EA0E462" w14:textId="77777777" w:rsidR="00436DAA" w:rsidRPr="00330234" w:rsidRDefault="00436DAA" w:rsidP="00BD109B">
      <w:pPr>
        <w:pStyle w:val="a3"/>
        <w:widowControl/>
        <w:ind w:left="0"/>
      </w:pPr>
    </w:p>
    <w:p w14:paraId="1D66465D" w14:textId="77777777" w:rsidR="00436DAA" w:rsidRPr="00330234" w:rsidRDefault="009B4B8E" w:rsidP="00BD109B">
      <w:pPr>
        <w:pStyle w:val="a3"/>
        <w:widowControl/>
        <w:ind w:left="0"/>
      </w:pPr>
      <w:r w:rsidRPr="00330234">
        <w:t>Van de patiënten die geen invasieve mechanische beademing nodig hadden, was het percentage patiënten dat mechanische beademing nodig had of was overleden tot dag 28 35% (619/1754) in de groep met tocilizumab + reguliere zorg en 42% (754/1800) in de groep met alleen reguliere zorg (relatief risico [95%-BI] = 0,84 [0,77 tot 0,92], p &lt; 0,0001).</w:t>
      </w:r>
    </w:p>
    <w:p w14:paraId="77A6318D" w14:textId="77777777" w:rsidR="00436DAA" w:rsidRPr="00330234" w:rsidRDefault="00436DAA" w:rsidP="00BD109B">
      <w:pPr>
        <w:pStyle w:val="a3"/>
        <w:widowControl/>
        <w:ind w:left="0"/>
      </w:pPr>
    </w:p>
    <w:p w14:paraId="66D58E87" w14:textId="77777777" w:rsidR="00496122" w:rsidRPr="00330234" w:rsidRDefault="009B4B8E" w:rsidP="00BD109B">
      <w:pPr>
        <w:pStyle w:val="a3"/>
        <w:widowControl/>
        <w:ind w:left="0"/>
      </w:pPr>
      <w:r w:rsidRPr="00330234">
        <w:rPr>
          <w:u w:val="single"/>
        </w:rPr>
        <w:t>Pediatrische patiënten</w:t>
      </w:r>
    </w:p>
    <w:p w14:paraId="3DC7F146" w14:textId="784E1702" w:rsidR="00436DAA" w:rsidRPr="00330234" w:rsidRDefault="009B4B8E" w:rsidP="00BD109B">
      <w:pPr>
        <w:pStyle w:val="a3"/>
        <w:widowControl/>
        <w:ind w:left="0"/>
      </w:pPr>
      <w:r w:rsidRPr="00330234">
        <w:t>sJIA-patiënten</w:t>
      </w:r>
    </w:p>
    <w:p w14:paraId="3A7FD86E" w14:textId="77777777" w:rsidR="00436DAA" w:rsidRPr="00330234" w:rsidRDefault="009B4B8E" w:rsidP="00BD109B">
      <w:pPr>
        <w:widowControl/>
        <w:rPr>
          <w:i/>
        </w:rPr>
      </w:pPr>
      <w:r w:rsidRPr="00330234">
        <w:rPr>
          <w:i/>
        </w:rPr>
        <w:t>Klinische werkzaamheid</w:t>
      </w:r>
    </w:p>
    <w:p w14:paraId="559ED12C" w14:textId="43235B6A" w:rsidR="00436DAA" w:rsidRPr="00330234" w:rsidRDefault="009B4B8E" w:rsidP="00BD109B">
      <w:pPr>
        <w:pStyle w:val="a3"/>
        <w:widowControl/>
        <w:ind w:left="0"/>
      </w:pPr>
      <w:r w:rsidRPr="00330234">
        <w:t>De werkzaamheid van tocilizumab voor de behandeling van actieve sJIA is onderzocht in een 12-weekse gerandomiseerde dubbelblinde placebogecontroleerde twee-armige studie met parallelle groepen. In de studie opgenomen patiënten hadden een totale ziekteduur van ten minste 6 maanden en actieve ziekte, maar ondervonden geen acute ‘flare’ waarvoor corticosteroïden nodig waren in een dosis equivalent aan meer dan 0,5 mg/kg prednison. De werkzaamheid voor de behandeling van het macrofaagactivatiesyndroom is niet onderzocht.</w:t>
      </w:r>
    </w:p>
    <w:p w14:paraId="46D199B8" w14:textId="77777777" w:rsidR="00496122" w:rsidRPr="00330234" w:rsidRDefault="00496122" w:rsidP="00BD109B">
      <w:pPr>
        <w:pStyle w:val="a3"/>
        <w:widowControl/>
        <w:ind w:left="0"/>
      </w:pPr>
    </w:p>
    <w:p w14:paraId="637081BA" w14:textId="6CDBB2CA" w:rsidR="00436DAA" w:rsidRPr="00330234" w:rsidRDefault="009B4B8E" w:rsidP="00496122">
      <w:pPr>
        <w:pStyle w:val="a3"/>
        <w:widowControl/>
        <w:ind w:left="0"/>
      </w:pPr>
      <w:r w:rsidRPr="00330234">
        <w:t>Patiënten (behandeld met of zonder MTX) werden gerandomiseerd (tocilizumab:placebo = 2:1) naar één van twee behandelingsgroepen, 75 patiënten kregen elke twee weken een infusie met tocilizumab, van 8 mg/kg voor patiënten ≥ 30 kg of van 12 mg/kg voor patiënten &lt; 30 kg, en 37 patiënten waren aangewezen om elke twee weken een infusie met placebo te krijgen. Minderen van corticosteroïden was vanaf week zes toegestaan voor patiënten die een JIA ACR70-respons hadden bereikt. Na</w:t>
      </w:r>
      <w:r w:rsidR="00496122" w:rsidRPr="00330234">
        <w:t xml:space="preserve"> </w:t>
      </w:r>
      <w:r w:rsidRPr="00330234">
        <w:t>12</w:t>
      </w:r>
      <w:r w:rsidR="00496122" w:rsidRPr="00330234">
        <w:t> </w:t>
      </w:r>
      <w:r w:rsidRPr="00330234">
        <w:t>weken of bij overzetten vanwege erger worden van de ziekte, werden patiënten behandeld in de open label fase met een dosering passend bij het gewicht.</w:t>
      </w:r>
    </w:p>
    <w:p w14:paraId="6E2DA9AA" w14:textId="77777777" w:rsidR="00436DAA" w:rsidRPr="00330234" w:rsidRDefault="00436DAA" w:rsidP="00BD109B">
      <w:pPr>
        <w:pStyle w:val="a3"/>
        <w:widowControl/>
        <w:ind w:left="0"/>
      </w:pPr>
    </w:p>
    <w:p w14:paraId="68D2CA94" w14:textId="77777777" w:rsidR="00436DAA" w:rsidRPr="001B3E1E" w:rsidRDefault="009B4B8E" w:rsidP="00DD4C0C">
      <w:pPr>
        <w:pStyle w:val="a3"/>
        <w:keepNext/>
        <w:keepLines/>
        <w:widowControl/>
        <w:ind w:left="0"/>
        <w:rPr>
          <w:i/>
          <w:iCs/>
        </w:rPr>
      </w:pPr>
      <w:r w:rsidRPr="001B3E1E">
        <w:rPr>
          <w:i/>
          <w:iCs/>
        </w:rPr>
        <w:lastRenderedPageBreak/>
        <w:t>Klinische respons</w:t>
      </w:r>
    </w:p>
    <w:p w14:paraId="4EBD97A2" w14:textId="5EFC5F7F" w:rsidR="00436DAA" w:rsidRPr="00330234" w:rsidRDefault="009B4B8E" w:rsidP="001B3E1E">
      <w:pPr>
        <w:pStyle w:val="a3"/>
        <w:widowControl/>
        <w:ind w:left="0"/>
      </w:pPr>
      <w:r w:rsidRPr="00330234">
        <w:t>Het primaire eindpunt was het aandeel patiënten met ten minste 30% verbetering in de JIA ACR kernvariabelen (JIA ACR30-respons) op week 12 en afwezigheid van koorts (geen temperatuurmeting</w:t>
      </w:r>
      <w:r w:rsidR="00496122" w:rsidRPr="00330234">
        <w:t xml:space="preserve"> </w:t>
      </w:r>
      <w:r w:rsidRPr="00330234">
        <w:t>≥ 37,5°C in de voorafgaande 7 dagen). Vijfentachtig procent (64/75) van de met tocilizumab behandelde patiënten en 24,3% (9/37) van de met placebo behandelde patiënten bereikte dit eindpunt. Deze proporties waren zeer significant verschillend (p&lt; 0,0001).</w:t>
      </w:r>
    </w:p>
    <w:p w14:paraId="5A6EF94B" w14:textId="77777777" w:rsidR="00436DAA" w:rsidRPr="00330234" w:rsidRDefault="00436DAA" w:rsidP="00BD109B">
      <w:pPr>
        <w:pStyle w:val="a3"/>
        <w:widowControl/>
        <w:ind w:left="0"/>
      </w:pPr>
    </w:p>
    <w:p w14:paraId="6E5E8B1C" w14:textId="77777777" w:rsidR="00436DAA" w:rsidRPr="00330234" w:rsidRDefault="009B4B8E" w:rsidP="00BD109B">
      <w:pPr>
        <w:pStyle w:val="a3"/>
        <w:widowControl/>
        <w:ind w:left="0"/>
      </w:pPr>
      <w:r w:rsidRPr="00330234">
        <w:t>In tabel 8 wordt het percentage patiënten getoond dat JIA ACR30, -50, -70 en -90-respons bereikte.</w:t>
      </w:r>
    </w:p>
    <w:p w14:paraId="7AACE303" w14:textId="77777777" w:rsidR="00496122" w:rsidRPr="00330234" w:rsidRDefault="00496122" w:rsidP="00BD109B">
      <w:pPr>
        <w:pStyle w:val="a3"/>
        <w:widowControl/>
        <w:ind w:left="0"/>
      </w:pPr>
    </w:p>
    <w:p w14:paraId="3C0B9B59" w14:textId="2D841D04" w:rsidR="00436DAA" w:rsidRPr="00330234" w:rsidRDefault="009B4B8E" w:rsidP="00DD4C0C">
      <w:pPr>
        <w:keepNext/>
        <w:keepLines/>
        <w:widowControl/>
        <w:ind w:left="1134" w:hanging="1134"/>
        <w:rPr>
          <w:i/>
        </w:rPr>
      </w:pPr>
      <w:r w:rsidRPr="00330234">
        <w:rPr>
          <w:i/>
        </w:rPr>
        <w:t>Tabel 8.</w:t>
      </w:r>
      <w:r w:rsidR="00DD4C0C" w:rsidRPr="00330234">
        <w:rPr>
          <w:i/>
        </w:rPr>
        <w:tab/>
      </w:r>
      <w:r w:rsidRPr="00330234">
        <w:rPr>
          <w:i/>
        </w:rPr>
        <w:t>JIA ACR-respons op week 12 (% patiënten)</w:t>
      </w:r>
    </w:p>
    <w:p w14:paraId="245367A5" w14:textId="77777777" w:rsidR="00436DAA" w:rsidRPr="00330234" w:rsidRDefault="00436DAA" w:rsidP="00496122">
      <w:pPr>
        <w:pStyle w:val="a3"/>
        <w:keepNext/>
        <w:keepLines/>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6"/>
        <w:gridCol w:w="3020"/>
        <w:gridCol w:w="3000"/>
      </w:tblGrid>
      <w:tr w:rsidR="00436DAA" w:rsidRPr="00330234" w14:paraId="164356D4" w14:textId="77777777" w:rsidTr="00DD4C0C">
        <w:trPr>
          <w:trHeight w:val="20"/>
        </w:trPr>
        <w:tc>
          <w:tcPr>
            <w:tcW w:w="3046" w:type="dxa"/>
          </w:tcPr>
          <w:p w14:paraId="2EBBF544" w14:textId="77777777" w:rsidR="00436DAA" w:rsidRPr="00330234" w:rsidRDefault="009B4B8E" w:rsidP="00496122">
            <w:pPr>
              <w:pStyle w:val="TableParagraph"/>
              <w:keepNext/>
              <w:keepLines/>
              <w:widowControl/>
              <w:jc w:val="center"/>
              <w:rPr>
                <w:b/>
              </w:rPr>
            </w:pPr>
            <w:r w:rsidRPr="00330234">
              <w:rPr>
                <w:b/>
              </w:rPr>
              <w:t>Responspercentage</w:t>
            </w:r>
          </w:p>
        </w:tc>
        <w:tc>
          <w:tcPr>
            <w:tcW w:w="3020" w:type="dxa"/>
          </w:tcPr>
          <w:p w14:paraId="7BBD00C0" w14:textId="77777777" w:rsidR="00436DAA" w:rsidRPr="00330234" w:rsidRDefault="009B4B8E" w:rsidP="00496122">
            <w:pPr>
              <w:pStyle w:val="TableParagraph"/>
              <w:keepNext/>
              <w:keepLines/>
              <w:widowControl/>
              <w:jc w:val="center"/>
              <w:rPr>
                <w:b/>
              </w:rPr>
            </w:pPr>
            <w:r w:rsidRPr="00330234">
              <w:rPr>
                <w:b/>
              </w:rPr>
              <w:t>Tocilizumab</w:t>
            </w:r>
          </w:p>
          <w:p w14:paraId="1CD2B7CB" w14:textId="77777777" w:rsidR="00436DAA" w:rsidRPr="00330234" w:rsidRDefault="009B4B8E" w:rsidP="00496122">
            <w:pPr>
              <w:pStyle w:val="TableParagraph"/>
              <w:keepNext/>
              <w:keepLines/>
              <w:widowControl/>
              <w:jc w:val="center"/>
              <w:rPr>
                <w:b/>
              </w:rPr>
            </w:pPr>
            <w:r w:rsidRPr="00330234">
              <w:rPr>
                <w:b/>
              </w:rPr>
              <w:t>N = 75</w:t>
            </w:r>
          </w:p>
        </w:tc>
        <w:tc>
          <w:tcPr>
            <w:tcW w:w="3000" w:type="dxa"/>
          </w:tcPr>
          <w:p w14:paraId="5AE1ABE7" w14:textId="77777777" w:rsidR="00436DAA" w:rsidRPr="00330234" w:rsidRDefault="009B4B8E" w:rsidP="00496122">
            <w:pPr>
              <w:pStyle w:val="TableParagraph"/>
              <w:keepNext/>
              <w:keepLines/>
              <w:widowControl/>
              <w:jc w:val="center"/>
              <w:rPr>
                <w:b/>
              </w:rPr>
            </w:pPr>
            <w:r w:rsidRPr="00330234">
              <w:rPr>
                <w:b/>
              </w:rPr>
              <w:t>Placebo</w:t>
            </w:r>
          </w:p>
          <w:p w14:paraId="1E8CAFDC" w14:textId="77777777" w:rsidR="00436DAA" w:rsidRPr="00330234" w:rsidRDefault="009B4B8E" w:rsidP="00496122">
            <w:pPr>
              <w:pStyle w:val="TableParagraph"/>
              <w:keepNext/>
              <w:keepLines/>
              <w:widowControl/>
              <w:jc w:val="center"/>
              <w:rPr>
                <w:b/>
              </w:rPr>
            </w:pPr>
            <w:r w:rsidRPr="00330234">
              <w:rPr>
                <w:b/>
              </w:rPr>
              <w:t>N = 37</w:t>
            </w:r>
          </w:p>
        </w:tc>
      </w:tr>
      <w:tr w:rsidR="00436DAA" w:rsidRPr="00330234" w14:paraId="5BE78C6A" w14:textId="77777777" w:rsidTr="00DD4C0C">
        <w:trPr>
          <w:trHeight w:val="20"/>
        </w:trPr>
        <w:tc>
          <w:tcPr>
            <w:tcW w:w="3046" w:type="dxa"/>
          </w:tcPr>
          <w:p w14:paraId="3066B691" w14:textId="77777777" w:rsidR="00436DAA" w:rsidRPr="00330234" w:rsidRDefault="009B4B8E" w:rsidP="00BD109B">
            <w:pPr>
              <w:pStyle w:val="TableParagraph"/>
              <w:widowControl/>
            </w:pPr>
            <w:r w:rsidRPr="00330234">
              <w:t>JIA ACR30</w:t>
            </w:r>
          </w:p>
        </w:tc>
        <w:tc>
          <w:tcPr>
            <w:tcW w:w="3020" w:type="dxa"/>
          </w:tcPr>
          <w:p w14:paraId="6F76B150" w14:textId="77777777" w:rsidR="00436DAA" w:rsidRPr="00330234" w:rsidRDefault="009B4B8E" w:rsidP="00496122">
            <w:pPr>
              <w:pStyle w:val="TableParagraph"/>
              <w:widowControl/>
              <w:jc w:val="center"/>
            </w:pPr>
            <w:r w:rsidRPr="00330234">
              <w:t>90,7%</w:t>
            </w:r>
            <w:r w:rsidRPr="00330234">
              <w:rPr>
                <w:vertAlign w:val="superscript"/>
              </w:rPr>
              <w:t>1</w:t>
            </w:r>
          </w:p>
        </w:tc>
        <w:tc>
          <w:tcPr>
            <w:tcW w:w="3000" w:type="dxa"/>
          </w:tcPr>
          <w:p w14:paraId="377D45B2" w14:textId="77777777" w:rsidR="00436DAA" w:rsidRPr="00330234" w:rsidRDefault="009B4B8E" w:rsidP="00496122">
            <w:pPr>
              <w:pStyle w:val="TableParagraph"/>
              <w:widowControl/>
              <w:jc w:val="center"/>
            </w:pPr>
            <w:r w:rsidRPr="00330234">
              <w:t>24,3%</w:t>
            </w:r>
          </w:p>
        </w:tc>
      </w:tr>
      <w:tr w:rsidR="00436DAA" w:rsidRPr="00330234" w14:paraId="49FF6367" w14:textId="77777777" w:rsidTr="00DD4C0C">
        <w:trPr>
          <w:trHeight w:val="20"/>
        </w:trPr>
        <w:tc>
          <w:tcPr>
            <w:tcW w:w="3046" w:type="dxa"/>
          </w:tcPr>
          <w:p w14:paraId="5D0294AD" w14:textId="77777777" w:rsidR="00436DAA" w:rsidRPr="00330234" w:rsidRDefault="009B4B8E" w:rsidP="00BD109B">
            <w:pPr>
              <w:pStyle w:val="TableParagraph"/>
              <w:widowControl/>
            </w:pPr>
            <w:r w:rsidRPr="00330234">
              <w:t>JIA ACR50</w:t>
            </w:r>
          </w:p>
        </w:tc>
        <w:tc>
          <w:tcPr>
            <w:tcW w:w="3020" w:type="dxa"/>
          </w:tcPr>
          <w:p w14:paraId="470E8657" w14:textId="77777777" w:rsidR="00436DAA" w:rsidRPr="00330234" w:rsidRDefault="009B4B8E" w:rsidP="00496122">
            <w:pPr>
              <w:pStyle w:val="TableParagraph"/>
              <w:widowControl/>
              <w:jc w:val="center"/>
            </w:pPr>
            <w:r w:rsidRPr="00330234">
              <w:t>85,3%</w:t>
            </w:r>
            <w:r w:rsidRPr="00330234">
              <w:rPr>
                <w:vertAlign w:val="superscript"/>
              </w:rPr>
              <w:t>1</w:t>
            </w:r>
          </w:p>
        </w:tc>
        <w:tc>
          <w:tcPr>
            <w:tcW w:w="3000" w:type="dxa"/>
          </w:tcPr>
          <w:p w14:paraId="13449B1D" w14:textId="77777777" w:rsidR="00436DAA" w:rsidRPr="00330234" w:rsidRDefault="009B4B8E" w:rsidP="00496122">
            <w:pPr>
              <w:pStyle w:val="TableParagraph"/>
              <w:widowControl/>
              <w:jc w:val="center"/>
            </w:pPr>
            <w:r w:rsidRPr="00330234">
              <w:t>10,8%</w:t>
            </w:r>
          </w:p>
        </w:tc>
      </w:tr>
      <w:tr w:rsidR="00436DAA" w:rsidRPr="00330234" w14:paraId="57AA0A79" w14:textId="77777777" w:rsidTr="00DD4C0C">
        <w:trPr>
          <w:trHeight w:val="20"/>
        </w:trPr>
        <w:tc>
          <w:tcPr>
            <w:tcW w:w="3046" w:type="dxa"/>
          </w:tcPr>
          <w:p w14:paraId="65954546" w14:textId="77777777" w:rsidR="00436DAA" w:rsidRPr="00330234" w:rsidRDefault="009B4B8E" w:rsidP="00BD109B">
            <w:pPr>
              <w:pStyle w:val="TableParagraph"/>
              <w:widowControl/>
            </w:pPr>
            <w:r w:rsidRPr="00330234">
              <w:t>JIA ACR70</w:t>
            </w:r>
          </w:p>
        </w:tc>
        <w:tc>
          <w:tcPr>
            <w:tcW w:w="3020" w:type="dxa"/>
          </w:tcPr>
          <w:p w14:paraId="2A8F8CFC" w14:textId="77777777" w:rsidR="00436DAA" w:rsidRPr="00330234" w:rsidRDefault="009B4B8E" w:rsidP="00496122">
            <w:pPr>
              <w:pStyle w:val="TableParagraph"/>
              <w:widowControl/>
              <w:jc w:val="center"/>
            </w:pPr>
            <w:r w:rsidRPr="00330234">
              <w:t>70,7%</w:t>
            </w:r>
            <w:r w:rsidRPr="00330234">
              <w:rPr>
                <w:vertAlign w:val="superscript"/>
              </w:rPr>
              <w:t>1</w:t>
            </w:r>
          </w:p>
        </w:tc>
        <w:tc>
          <w:tcPr>
            <w:tcW w:w="3000" w:type="dxa"/>
          </w:tcPr>
          <w:p w14:paraId="6020715E" w14:textId="77777777" w:rsidR="00436DAA" w:rsidRPr="00330234" w:rsidRDefault="009B4B8E" w:rsidP="00496122">
            <w:pPr>
              <w:pStyle w:val="TableParagraph"/>
              <w:widowControl/>
              <w:jc w:val="center"/>
            </w:pPr>
            <w:r w:rsidRPr="00330234">
              <w:t>8,1%</w:t>
            </w:r>
          </w:p>
        </w:tc>
      </w:tr>
      <w:tr w:rsidR="00436DAA" w:rsidRPr="00330234" w14:paraId="161D12AC" w14:textId="77777777" w:rsidTr="00DD4C0C">
        <w:trPr>
          <w:trHeight w:val="20"/>
        </w:trPr>
        <w:tc>
          <w:tcPr>
            <w:tcW w:w="3046" w:type="dxa"/>
          </w:tcPr>
          <w:p w14:paraId="3160B04E" w14:textId="77777777" w:rsidR="00436DAA" w:rsidRPr="00330234" w:rsidRDefault="009B4B8E" w:rsidP="00BD109B">
            <w:pPr>
              <w:pStyle w:val="TableParagraph"/>
              <w:widowControl/>
            </w:pPr>
            <w:r w:rsidRPr="00330234">
              <w:t>JIA ACR90</w:t>
            </w:r>
          </w:p>
        </w:tc>
        <w:tc>
          <w:tcPr>
            <w:tcW w:w="3020" w:type="dxa"/>
          </w:tcPr>
          <w:p w14:paraId="65586CD6" w14:textId="77777777" w:rsidR="00436DAA" w:rsidRPr="00330234" w:rsidRDefault="009B4B8E" w:rsidP="00496122">
            <w:pPr>
              <w:pStyle w:val="TableParagraph"/>
              <w:widowControl/>
              <w:jc w:val="center"/>
            </w:pPr>
            <w:r w:rsidRPr="00330234">
              <w:t>37,3%</w:t>
            </w:r>
            <w:r w:rsidRPr="00330234">
              <w:rPr>
                <w:vertAlign w:val="superscript"/>
              </w:rPr>
              <w:t>1</w:t>
            </w:r>
          </w:p>
        </w:tc>
        <w:tc>
          <w:tcPr>
            <w:tcW w:w="3000" w:type="dxa"/>
          </w:tcPr>
          <w:p w14:paraId="0C54390B" w14:textId="77777777" w:rsidR="00436DAA" w:rsidRPr="00330234" w:rsidRDefault="009B4B8E" w:rsidP="00496122">
            <w:pPr>
              <w:pStyle w:val="TableParagraph"/>
              <w:widowControl/>
              <w:jc w:val="center"/>
            </w:pPr>
            <w:r w:rsidRPr="00330234">
              <w:t>5,4%</w:t>
            </w:r>
          </w:p>
        </w:tc>
      </w:tr>
    </w:tbl>
    <w:p w14:paraId="74620262" w14:textId="3144DDB0" w:rsidR="00436DAA" w:rsidRPr="00330234" w:rsidRDefault="009B4B8E" w:rsidP="00DD4C0C">
      <w:pPr>
        <w:widowControl/>
        <w:ind w:left="284" w:hanging="284"/>
        <w:rPr>
          <w:i/>
          <w:sz w:val="18"/>
          <w:szCs w:val="18"/>
        </w:rPr>
      </w:pPr>
      <w:r w:rsidRPr="00330234">
        <w:rPr>
          <w:sz w:val="18"/>
          <w:szCs w:val="18"/>
          <w:vertAlign w:val="superscript"/>
        </w:rPr>
        <w:t>1</w:t>
      </w:r>
      <w:r w:rsidR="00DD4C0C" w:rsidRPr="00330234">
        <w:rPr>
          <w:sz w:val="18"/>
          <w:szCs w:val="18"/>
        </w:rPr>
        <w:tab/>
      </w:r>
      <w:r w:rsidRPr="00330234">
        <w:rPr>
          <w:i/>
          <w:sz w:val="18"/>
          <w:szCs w:val="18"/>
        </w:rPr>
        <w:t>p&lt; 0,0001, tocilizumab vs. placebo</w:t>
      </w:r>
    </w:p>
    <w:p w14:paraId="6F0268C1" w14:textId="77777777" w:rsidR="00436DAA" w:rsidRPr="00330234" w:rsidRDefault="00436DAA" w:rsidP="00BD109B">
      <w:pPr>
        <w:pStyle w:val="a3"/>
        <w:widowControl/>
        <w:ind w:left="0"/>
        <w:rPr>
          <w:i/>
        </w:rPr>
      </w:pPr>
    </w:p>
    <w:p w14:paraId="4A799765" w14:textId="77777777" w:rsidR="00436DAA" w:rsidRPr="00330234" w:rsidRDefault="009B4B8E" w:rsidP="00BD109B">
      <w:pPr>
        <w:widowControl/>
        <w:rPr>
          <w:i/>
        </w:rPr>
      </w:pPr>
      <w:r w:rsidRPr="00330234">
        <w:rPr>
          <w:i/>
        </w:rPr>
        <w:t>Systemische effecten</w:t>
      </w:r>
    </w:p>
    <w:p w14:paraId="35B1CB18" w14:textId="77777777" w:rsidR="00436DAA" w:rsidRPr="00330234" w:rsidRDefault="009B4B8E" w:rsidP="00BD109B">
      <w:pPr>
        <w:pStyle w:val="a3"/>
        <w:widowControl/>
        <w:ind w:left="0"/>
      </w:pPr>
      <w:r w:rsidRPr="00330234">
        <w:t>Van de met tocilizumab behandelde patiënten had 85% koorts vanwege sJIA op baseline en was vrij van koorts (geen temperatuurmeting ≥ 37,5°C in de voorafgaande 14 dagen) op week 12 tegen 21% van de placebopatiënten (p&lt; 0,0001).</w:t>
      </w:r>
    </w:p>
    <w:p w14:paraId="79FF9F53" w14:textId="77777777" w:rsidR="00496122" w:rsidRPr="00330234" w:rsidRDefault="00496122" w:rsidP="00BD109B">
      <w:pPr>
        <w:pStyle w:val="a3"/>
        <w:widowControl/>
        <w:ind w:left="0"/>
      </w:pPr>
    </w:p>
    <w:p w14:paraId="00C9238D" w14:textId="5A34DCA7" w:rsidR="00436DAA" w:rsidRPr="00330234" w:rsidRDefault="009B4B8E" w:rsidP="00BD109B">
      <w:pPr>
        <w:pStyle w:val="a3"/>
        <w:widowControl/>
        <w:ind w:left="0"/>
      </w:pPr>
      <w:r w:rsidRPr="00330234">
        <w:t>De gecorrigeerde gemiddelde verandering in pijn (VAS) na 12 weken behandeling met tocilizumab was een vermindering van 41 punten op een schaal van 0-100 vergeleken met een vermindering van 1</w:t>
      </w:r>
      <w:r w:rsidR="00496122" w:rsidRPr="00330234">
        <w:t> </w:t>
      </w:r>
      <w:r w:rsidRPr="00330234">
        <w:t>voor placebopatiënten (p&lt; 0,0001).</w:t>
      </w:r>
    </w:p>
    <w:p w14:paraId="3F6584CE" w14:textId="77777777" w:rsidR="00436DAA" w:rsidRPr="00330234" w:rsidRDefault="00436DAA" w:rsidP="00BD109B">
      <w:pPr>
        <w:pStyle w:val="a3"/>
        <w:widowControl/>
        <w:ind w:left="0"/>
      </w:pPr>
    </w:p>
    <w:p w14:paraId="34A4AF99" w14:textId="77777777" w:rsidR="00436DAA" w:rsidRPr="00330234" w:rsidRDefault="009B4B8E" w:rsidP="00BD109B">
      <w:pPr>
        <w:widowControl/>
        <w:rPr>
          <w:i/>
        </w:rPr>
      </w:pPr>
      <w:r w:rsidRPr="00330234">
        <w:rPr>
          <w:i/>
        </w:rPr>
        <w:t>Minderen van corticosteroïden</w:t>
      </w:r>
    </w:p>
    <w:p w14:paraId="2CF160F1" w14:textId="77777777" w:rsidR="00436DAA" w:rsidRPr="00330234" w:rsidRDefault="009B4B8E" w:rsidP="00BD109B">
      <w:pPr>
        <w:pStyle w:val="a3"/>
        <w:widowControl/>
        <w:ind w:left="0"/>
      </w:pPr>
      <w:r w:rsidRPr="00330234">
        <w:t>Patiënten die een JIA ACR70-respons bereikten mochten de dosis corticosteroïden verminderen. Zeventien (24%) van de met tocilizumab behandelde patiënten tegen 1 (3%) van de met placebo behandelde patiënten konden hun dosis corticosteroïden met ten minste 20% verminderen zonder vervolgens tot week 12 een JIA ACR30-‘flare’ of systemische symptomen te krijgen (p=0,028). Het minderen van corticosteroïden duurde voort, waarbij 44 patiënten geen orale corticosteroïden meer namen op week 44 met handhaving van de JIA ACR-respons.</w:t>
      </w:r>
    </w:p>
    <w:p w14:paraId="4320C7A8" w14:textId="77777777" w:rsidR="00436DAA" w:rsidRPr="00330234" w:rsidRDefault="00436DAA" w:rsidP="00BD109B">
      <w:pPr>
        <w:pStyle w:val="a3"/>
        <w:widowControl/>
        <w:ind w:left="0"/>
      </w:pPr>
    </w:p>
    <w:p w14:paraId="5B984428" w14:textId="77777777" w:rsidR="00436DAA" w:rsidRPr="00330234" w:rsidRDefault="009B4B8E" w:rsidP="00BD109B">
      <w:pPr>
        <w:widowControl/>
        <w:rPr>
          <w:i/>
        </w:rPr>
      </w:pPr>
      <w:r w:rsidRPr="00330234">
        <w:rPr>
          <w:i/>
        </w:rPr>
        <w:t>Resultaten gerelateerd aan gezondheid en kwaliteit van leven</w:t>
      </w:r>
    </w:p>
    <w:p w14:paraId="7B7BA159" w14:textId="77777777" w:rsidR="00436DAA" w:rsidRPr="00330234" w:rsidRDefault="009B4B8E" w:rsidP="00BD109B">
      <w:pPr>
        <w:pStyle w:val="a3"/>
        <w:widowControl/>
        <w:ind w:left="0"/>
      </w:pPr>
      <w:r w:rsidRPr="00330234">
        <w:t>Op week 12 was het aandeel met tocilizumab behandelde patiënten dat een minimale klinisch belangrijke verbetering liet zien op de Childhood Health Assessment Questionnaire – Disability Index (gedefinieerd als een vermindering van de individuele totaalscore van ≥ 0,13) significant hoger dan dat bij met placebo behandelde patiënten, 77% versus 19% (p&lt; 0,0001).</w:t>
      </w:r>
    </w:p>
    <w:p w14:paraId="50E9C5F9" w14:textId="77777777" w:rsidR="00436DAA" w:rsidRPr="00330234" w:rsidRDefault="00436DAA" w:rsidP="00BD109B">
      <w:pPr>
        <w:pStyle w:val="a3"/>
        <w:widowControl/>
        <w:ind w:left="0"/>
      </w:pPr>
    </w:p>
    <w:p w14:paraId="335CB800" w14:textId="77777777" w:rsidR="00436DAA" w:rsidRPr="00330234" w:rsidRDefault="009B4B8E" w:rsidP="00BD109B">
      <w:pPr>
        <w:widowControl/>
        <w:rPr>
          <w:i/>
        </w:rPr>
      </w:pPr>
      <w:r w:rsidRPr="00330234">
        <w:rPr>
          <w:i/>
        </w:rPr>
        <w:t>Laboratoriumparameters</w:t>
      </w:r>
    </w:p>
    <w:p w14:paraId="6584845B" w14:textId="5DA4A68F" w:rsidR="00436DAA" w:rsidRPr="00330234" w:rsidRDefault="009B4B8E" w:rsidP="00496122">
      <w:pPr>
        <w:pStyle w:val="a3"/>
        <w:widowControl/>
        <w:ind w:left="0"/>
      </w:pPr>
      <w:r w:rsidRPr="00330234">
        <w:t>Vijftig van de vijfenzeventig (67%) met tocilizumab behandelde patiënten had een hemoglobine</w:t>
      </w:r>
      <w:r w:rsidR="00496122" w:rsidRPr="00330234">
        <w:t xml:space="preserve"> </w:t>
      </w:r>
      <w:r w:rsidRPr="00330234">
        <w:t>&lt;</w:t>
      </w:r>
      <w:r w:rsidR="00496122" w:rsidRPr="00330234">
        <w:t> </w:t>
      </w:r>
      <w:r w:rsidRPr="00330234">
        <w:t>LLN op baseline. Veertig (80%) van deze patiënten had een stijging van hemoglobine tot binnen het normale bereik op week 12, vergeleken met 2 van de 29 (7%) van de met placebo behandelde patiënten met hemoglobine &lt; LLN op baseline (p&lt; 0,0001).</w:t>
      </w:r>
    </w:p>
    <w:p w14:paraId="17AD2AC5" w14:textId="77777777" w:rsidR="00436DAA" w:rsidRPr="00330234" w:rsidRDefault="00436DAA" w:rsidP="00BD109B">
      <w:pPr>
        <w:widowControl/>
      </w:pPr>
    </w:p>
    <w:p w14:paraId="6A3FC782" w14:textId="77777777" w:rsidR="00436DAA" w:rsidRPr="00330234" w:rsidRDefault="009B4B8E" w:rsidP="00BD109B">
      <w:pPr>
        <w:widowControl/>
        <w:rPr>
          <w:i/>
        </w:rPr>
      </w:pPr>
      <w:r w:rsidRPr="00330234">
        <w:rPr>
          <w:i/>
        </w:rPr>
        <w:t>pJIA-patiënten</w:t>
      </w:r>
    </w:p>
    <w:p w14:paraId="2BD5AA7B" w14:textId="77777777" w:rsidR="00436DAA" w:rsidRPr="001B3E1E" w:rsidRDefault="009B4B8E" w:rsidP="00BD109B">
      <w:pPr>
        <w:pStyle w:val="a3"/>
        <w:widowControl/>
        <w:ind w:left="0"/>
        <w:rPr>
          <w:i/>
          <w:iCs/>
        </w:rPr>
      </w:pPr>
      <w:r w:rsidRPr="001B3E1E">
        <w:rPr>
          <w:i/>
          <w:iCs/>
        </w:rPr>
        <w:t>Klinische werkzaamheid</w:t>
      </w:r>
    </w:p>
    <w:p w14:paraId="3EFA0BDF" w14:textId="4A13A93F" w:rsidR="00436DAA" w:rsidRPr="00330234" w:rsidRDefault="009B4B8E" w:rsidP="00BD109B">
      <w:pPr>
        <w:pStyle w:val="a3"/>
        <w:widowControl/>
        <w:ind w:left="0"/>
      </w:pPr>
      <w:r w:rsidRPr="00330234">
        <w:t>De werkzaamheid van tocilizumab werd beoordeeld in de driedelige WA19977-studie, inclusief een open-label-extensie bij kinderen met actieve pJIA. Deel I bestond uit een 16 weken durende actieve tocilizumab voorbehandeling (n = 188) gevolgd door deel II, een 24 weken durende gerandomiseerde, dubbelblinde, placebogecontroleerde stopperiode (n = 163), gevolgd door deel III, een 64 weken durende open-label-periode. In aanmerking komende patiënten van ≥ 30 kg kregen in deel I elke 4</w:t>
      </w:r>
      <w:r w:rsidR="00496122" w:rsidRPr="00330234">
        <w:t> </w:t>
      </w:r>
      <w:r w:rsidRPr="00330234">
        <w:t>weken 8 mg/kg tocilizumab i.v. (totaal 4 doseringen). Patiënten van &lt; 30 kg werden 1:1</w:t>
      </w:r>
      <w:r w:rsidR="00496122" w:rsidRPr="00330234">
        <w:t> </w:t>
      </w:r>
      <w:r w:rsidRPr="00330234">
        <w:t xml:space="preserve">gerandomiseerd om elke 4 weken ofwel 8 mg/kg of 10 mg/kg tocilizumab i.v. te ontvangen (totaal </w:t>
      </w:r>
      <w:r w:rsidRPr="00330234">
        <w:lastRenderedPageBreak/>
        <w:t>4 doseringen). Patiënten die deel I van de studie afrondden en, vergeleken met de baselinewaarde, op zijn minst een JIA ACR30-respons behaalden op week 16, kwamen in aanmerking voor de geblindeerde stopperiode (deel II) van het onderzoek. In deel II werden patiënten gerandomiseerd naar tocilizumab (met dezelfde dosis die ze kregen in deel I) of placebo in een verhouding van 1:1, gestratificeerd naar gelijktijdig MTX-gebruik en gelijktijdig gebruik van corticosteroïden. Elke patiënt bleef in deel II van de studie tot week 40 of tot de patiënt voldeed aan de JIA ACR30-criteria voor ‘flare’ (ten opzichte van week 16) en in aanmerking kwam om te stoppen met de tocilizumab- behandeling (zelfde dosis als ontvangen in deel I).</w:t>
      </w:r>
    </w:p>
    <w:p w14:paraId="0718D13C" w14:textId="77777777" w:rsidR="00496122" w:rsidRPr="00330234" w:rsidRDefault="00496122" w:rsidP="00BD109B">
      <w:pPr>
        <w:pStyle w:val="a3"/>
        <w:widowControl/>
        <w:ind w:left="0"/>
      </w:pPr>
    </w:p>
    <w:p w14:paraId="19A64607" w14:textId="77777777" w:rsidR="00436DAA" w:rsidRPr="001B3E1E" w:rsidRDefault="009B4B8E" w:rsidP="00496122">
      <w:pPr>
        <w:pStyle w:val="a3"/>
        <w:keepNext/>
        <w:keepLines/>
        <w:widowControl/>
        <w:ind w:left="0"/>
        <w:rPr>
          <w:i/>
          <w:iCs/>
        </w:rPr>
      </w:pPr>
      <w:r w:rsidRPr="001B3E1E">
        <w:rPr>
          <w:i/>
          <w:iCs/>
        </w:rPr>
        <w:t>Klinische respons</w:t>
      </w:r>
    </w:p>
    <w:p w14:paraId="1AD9301F" w14:textId="77777777" w:rsidR="00436DAA" w:rsidRPr="00330234" w:rsidRDefault="009B4B8E" w:rsidP="00496122">
      <w:pPr>
        <w:pStyle w:val="a3"/>
        <w:keepNext/>
        <w:keepLines/>
        <w:widowControl/>
        <w:ind w:left="0"/>
      </w:pPr>
      <w:r w:rsidRPr="00330234">
        <w:t>Het primaire eindpunt was het aandeel patiënten met een JIA ACR30-‘flare’ op week 40, vergeleken met week 16. Achtenveertig procent (48,1%, 39/81) van de met placebo behandelde patiënten kreeg een ‘flare’ vergeleken met 25,6% (21/82) van de met tocilizumab behandelde patiënten. Deze proporties waren statistisch significant verschillend (p=0,0024).</w:t>
      </w:r>
    </w:p>
    <w:p w14:paraId="1917C3DF" w14:textId="77777777" w:rsidR="00436DAA" w:rsidRPr="00330234" w:rsidRDefault="00436DAA" w:rsidP="00BD109B">
      <w:pPr>
        <w:pStyle w:val="a3"/>
        <w:widowControl/>
        <w:ind w:left="0"/>
      </w:pPr>
    </w:p>
    <w:p w14:paraId="3FC1F4BD" w14:textId="77777777" w:rsidR="00436DAA" w:rsidRPr="00330234" w:rsidRDefault="009B4B8E" w:rsidP="00BD109B">
      <w:pPr>
        <w:pStyle w:val="a3"/>
        <w:widowControl/>
        <w:ind w:left="0"/>
      </w:pPr>
      <w:r w:rsidRPr="00330234">
        <w:t>Aan het eind van deel I waren de JIA ACR30, -50, -70 en -90-responses respectievelijk 89,4%, 83,0%, 62,2% en 26,1%.</w:t>
      </w:r>
    </w:p>
    <w:p w14:paraId="7ED6466D" w14:textId="77777777" w:rsidR="00496122" w:rsidRPr="00330234" w:rsidRDefault="00496122" w:rsidP="00BD109B">
      <w:pPr>
        <w:pStyle w:val="a3"/>
        <w:widowControl/>
        <w:ind w:left="0"/>
      </w:pPr>
    </w:p>
    <w:p w14:paraId="0ED6CF61" w14:textId="77777777" w:rsidR="00436DAA" w:rsidRPr="00330234" w:rsidRDefault="009B4B8E" w:rsidP="00BD109B">
      <w:pPr>
        <w:pStyle w:val="a3"/>
        <w:widowControl/>
        <w:ind w:left="0"/>
      </w:pPr>
      <w:r w:rsidRPr="00330234">
        <w:t>Het percentage patiënten dat tijdens de stopfase (deel II) een JIA ACR30, -50 en -70-respons bereikten op week 40 ten opzichte van de baselinewaarde wordt weergegeven in tabel 9. In deze statistische analyse werden patiënten die een ‘flare’ hadden (en overstapten op TCZ) tijdens deel II of die stopten geclassificeerd als non-responders. Een additionele analyse van de JIA ACR-respons, de gegevens op week 40 in beschouwing nemend, ongeacht de ‘flare’-status, toonde aan dat 95,1% van de patiënten die continue TCZ-behandeling hadden gekregen, een JIA ACR30 of hoger bereikten op week 40.</w:t>
      </w:r>
    </w:p>
    <w:p w14:paraId="61DE721C" w14:textId="77777777" w:rsidR="00436DAA" w:rsidRPr="00330234" w:rsidRDefault="00436DAA" w:rsidP="00BD109B">
      <w:pPr>
        <w:pStyle w:val="a3"/>
        <w:widowControl/>
        <w:ind w:left="0"/>
      </w:pPr>
    </w:p>
    <w:p w14:paraId="2DCC8D04" w14:textId="6B0A7277" w:rsidR="00436DAA" w:rsidRPr="00330234" w:rsidRDefault="009B4B8E" w:rsidP="00DD4C0C">
      <w:pPr>
        <w:keepNext/>
        <w:keepLines/>
        <w:widowControl/>
        <w:ind w:left="1134" w:hanging="1134"/>
        <w:rPr>
          <w:i/>
        </w:rPr>
      </w:pPr>
      <w:r w:rsidRPr="00330234">
        <w:rPr>
          <w:i/>
        </w:rPr>
        <w:t>Tabel 9.</w:t>
      </w:r>
      <w:r w:rsidR="00DD4C0C" w:rsidRPr="00330234">
        <w:rPr>
          <w:i/>
        </w:rPr>
        <w:tab/>
      </w:r>
      <w:r w:rsidRPr="00330234">
        <w:rPr>
          <w:i/>
        </w:rPr>
        <w:t>JIA ACR-responspercentages op week 40 ten opzichte van baseline (percentage patiënten)</w:t>
      </w:r>
    </w:p>
    <w:p w14:paraId="1B4A9B10" w14:textId="77777777" w:rsidR="00436DAA" w:rsidRPr="00330234" w:rsidRDefault="00436DAA" w:rsidP="00BD109B">
      <w:pPr>
        <w:pStyle w:val="a3"/>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2976"/>
        <w:gridCol w:w="2834"/>
      </w:tblGrid>
      <w:tr w:rsidR="00436DAA" w:rsidRPr="00330234" w14:paraId="121E6DF6" w14:textId="77777777" w:rsidTr="00496122">
        <w:trPr>
          <w:trHeight w:val="20"/>
        </w:trPr>
        <w:tc>
          <w:tcPr>
            <w:tcW w:w="3256" w:type="dxa"/>
          </w:tcPr>
          <w:p w14:paraId="182B68AA" w14:textId="77777777" w:rsidR="00436DAA" w:rsidRPr="00330234" w:rsidRDefault="009B4B8E" w:rsidP="00BD109B">
            <w:pPr>
              <w:pStyle w:val="TableParagraph"/>
              <w:widowControl/>
              <w:rPr>
                <w:b/>
              </w:rPr>
            </w:pPr>
            <w:r w:rsidRPr="00330234">
              <w:rPr>
                <w:b/>
              </w:rPr>
              <w:t>Responspercentage</w:t>
            </w:r>
          </w:p>
        </w:tc>
        <w:tc>
          <w:tcPr>
            <w:tcW w:w="2976" w:type="dxa"/>
          </w:tcPr>
          <w:p w14:paraId="545B0FE8" w14:textId="77777777" w:rsidR="00436DAA" w:rsidRPr="00330234" w:rsidRDefault="009B4B8E" w:rsidP="00BD109B">
            <w:pPr>
              <w:pStyle w:val="TableParagraph"/>
              <w:widowControl/>
            </w:pPr>
            <w:r w:rsidRPr="00330234">
              <w:t>Tocilizumab</w:t>
            </w:r>
          </w:p>
          <w:p w14:paraId="447E226E" w14:textId="77777777" w:rsidR="00436DAA" w:rsidRPr="00330234" w:rsidRDefault="009B4B8E" w:rsidP="00BD109B">
            <w:pPr>
              <w:pStyle w:val="TableParagraph"/>
              <w:widowControl/>
            </w:pPr>
            <w:r w:rsidRPr="00330234">
              <w:t>N = 82</w:t>
            </w:r>
          </w:p>
        </w:tc>
        <w:tc>
          <w:tcPr>
            <w:tcW w:w="2834" w:type="dxa"/>
          </w:tcPr>
          <w:p w14:paraId="6B8E9845" w14:textId="77777777" w:rsidR="00306EFC" w:rsidRPr="00330234" w:rsidRDefault="009B4B8E" w:rsidP="00BD109B">
            <w:pPr>
              <w:pStyle w:val="TableParagraph"/>
              <w:widowControl/>
              <w:rPr>
                <w:rFonts w:eastAsia="SimSun"/>
                <w:lang w:eastAsia="zh-CN"/>
              </w:rPr>
            </w:pPr>
            <w:r w:rsidRPr="00330234">
              <w:t>Placebo</w:t>
            </w:r>
          </w:p>
          <w:p w14:paraId="35FBA60F" w14:textId="4C0A8F3C" w:rsidR="00436DAA" w:rsidRPr="00330234" w:rsidRDefault="009B4B8E" w:rsidP="00BD109B">
            <w:pPr>
              <w:pStyle w:val="TableParagraph"/>
              <w:widowControl/>
            </w:pPr>
            <w:r w:rsidRPr="00330234">
              <w:t>N = 81</w:t>
            </w:r>
          </w:p>
        </w:tc>
      </w:tr>
      <w:tr w:rsidR="00436DAA" w:rsidRPr="00330234" w14:paraId="72E047F3" w14:textId="77777777" w:rsidTr="00496122">
        <w:trPr>
          <w:trHeight w:val="20"/>
        </w:trPr>
        <w:tc>
          <w:tcPr>
            <w:tcW w:w="3256" w:type="dxa"/>
          </w:tcPr>
          <w:p w14:paraId="346D280C" w14:textId="77777777" w:rsidR="00436DAA" w:rsidRPr="00330234" w:rsidRDefault="009B4B8E" w:rsidP="00BD109B">
            <w:pPr>
              <w:pStyle w:val="TableParagraph"/>
              <w:widowControl/>
            </w:pPr>
            <w:r w:rsidRPr="00330234">
              <w:t>ACR30</w:t>
            </w:r>
          </w:p>
        </w:tc>
        <w:tc>
          <w:tcPr>
            <w:tcW w:w="2976" w:type="dxa"/>
          </w:tcPr>
          <w:p w14:paraId="5AA6183E" w14:textId="77777777" w:rsidR="00436DAA" w:rsidRPr="00330234" w:rsidRDefault="009B4B8E" w:rsidP="00BD109B">
            <w:pPr>
              <w:pStyle w:val="TableParagraph"/>
              <w:widowControl/>
            </w:pPr>
            <w:r w:rsidRPr="00330234">
              <w:t>74,4%*</w:t>
            </w:r>
          </w:p>
        </w:tc>
        <w:tc>
          <w:tcPr>
            <w:tcW w:w="2834" w:type="dxa"/>
          </w:tcPr>
          <w:p w14:paraId="30FCF218" w14:textId="77777777" w:rsidR="00436DAA" w:rsidRPr="00330234" w:rsidRDefault="009B4B8E" w:rsidP="00BD109B">
            <w:pPr>
              <w:pStyle w:val="TableParagraph"/>
              <w:widowControl/>
            </w:pPr>
            <w:r w:rsidRPr="00330234">
              <w:t>54,3%*</w:t>
            </w:r>
          </w:p>
        </w:tc>
      </w:tr>
      <w:tr w:rsidR="00436DAA" w:rsidRPr="00330234" w14:paraId="3F9C77DC" w14:textId="77777777" w:rsidTr="00496122">
        <w:trPr>
          <w:trHeight w:val="20"/>
        </w:trPr>
        <w:tc>
          <w:tcPr>
            <w:tcW w:w="3256" w:type="dxa"/>
          </w:tcPr>
          <w:p w14:paraId="21352F30" w14:textId="77777777" w:rsidR="00436DAA" w:rsidRPr="00330234" w:rsidRDefault="009B4B8E" w:rsidP="00BD109B">
            <w:pPr>
              <w:pStyle w:val="TableParagraph"/>
              <w:widowControl/>
            </w:pPr>
            <w:r w:rsidRPr="00330234">
              <w:t>ACR50</w:t>
            </w:r>
          </w:p>
        </w:tc>
        <w:tc>
          <w:tcPr>
            <w:tcW w:w="2976" w:type="dxa"/>
          </w:tcPr>
          <w:p w14:paraId="10600C4C" w14:textId="77777777" w:rsidR="00436DAA" w:rsidRPr="00330234" w:rsidRDefault="009B4B8E" w:rsidP="00BD109B">
            <w:pPr>
              <w:pStyle w:val="TableParagraph"/>
              <w:widowControl/>
            </w:pPr>
            <w:r w:rsidRPr="00330234">
              <w:t>73,2%*</w:t>
            </w:r>
          </w:p>
        </w:tc>
        <w:tc>
          <w:tcPr>
            <w:tcW w:w="2834" w:type="dxa"/>
          </w:tcPr>
          <w:p w14:paraId="4FC47A81" w14:textId="77777777" w:rsidR="00436DAA" w:rsidRPr="00330234" w:rsidRDefault="009B4B8E" w:rsidP="00BD109B">
            <w:pPr>
              <w:pStyle w:val="TableParagraph"/>
              <w:widowControl/>
            </w:pPr>
            <w:r w:rsidRPr="00330234">
              <w:t>51,9%*</w:t>
            </w:r>
          </w:p>
        </w:tc>
      </w:tr>
      <w:tr w:rsidR="00436DAA" w:rsidRPr="00330234" w14:paraId="494167FB" w14:textId="77777777" w:rsidTr="00496122">
        <w:trPr>
          <w:trHeight w:val="20"/>
        </w:trPr>
        <w:tc>
          <w:tcPr>
            <w:tcW w:w="3256" w:type="dxa"/>
          </w:tcPr>
          <w:p w14:paraId="70AF1A52" w14:textId="77777777" w:rsidR="00436DAA" w:rsidRPr="00330234" w:rsidRDefault="009B4B8E" w:rsidP="00BD109B">
            <w:pPr>
              <w:pStyle w:val="TableParagraph"/>
              <w:widowControl/>
            </w:pPr>
            <w:r w:rsidRPr="00330234">
              <w:t>ACR70</w:t>
            </w:r>
          </w:p>
        </w:tc>
        <w:tc>
          <w:tcPr>
            <w:tcW w:w="2976" w:type="dxa"/>
          </w:tcPr>
          <w:p w14:paraId="0891AF1B" w14:textId="77777777" w:rsidR="00436DAA" w:rsidRPr="00330234" w:rsidRDefault="009B4B8E" w:rsidP="00BD109B">
            <w:pPr>
              <w:pStyle w:val="TableParagraph"/>
              <w:widowControl/>
            </w:pPr>
            <w:r w:rsidRPr="00330234">
              <w:t>64,6%*</w:t>
            </w:r>
          </w:p>
        </w:tc>
        <w:tc>
          <w:tcPr>
            <w:tcW w:w="2834" w:type="dxa"/>
          </w:tcPr>
          <w:p w14:paraId="57F76743" w14:textId="77777777" w:rsidR="00436DAA" w:rsidRPr="00330234" w:rsidRDefault="009B4B8E" w:rsidP="00BD109B">
            <w:pPr>
              <w:pStyle w:val="TableParagraph"/>
              <w:widowControl/>
            </w:pPr>
            <w:r w:rsidRPr="00330234">
              <w:t>42,0%*</w:t>
            </w:r>
          </w:p>
        </w:tc>
      </w:tr>
    </w:tbl>
    <w:p w14:paraId="6D3EDE93" w14:textId="533071D7" w:rsidR="00436DAA" w:rsidRPr="00330234" w:rsidRDefault="009B4B8E" w:rsidP="00DD4C0C">
      <w:pPr>
        <w:widowControl/>
        <w:ind w:left="284" w:hanging="284"/>
        <w:rPr>
          <w:i/>
          <w:sz w:val="18"/>
          <w:szCs w:val="18"/>
        </w:rPr>
      </w:pPr>
      <w:r w:rsidRPr="00330234">
        <w:rPr>
          <w:i/>
          <w:sz w:val="18"/>
          <w:szCs w:val="18"/>
        </w:rPr>
        <w:t>*</w:t>
      </w:r>
      <w:r w:rsidR="00DD4C0C" w:rsidRPr="00330234">
        <w:rPr>
          <w:i/>
          <w:sz w:val="18"/>
          <w:szCs w:val="18"/>
        </w:rPr>
        <w:tab/>
      </w:r>
      <w:r w:rsidRPr="00330234">
        <w:rPr>
          <w:i/>
          <w:sz w:val="18"/>
          <w:szCs w:val="18"/>
        </w:rPr>
        <w:t>p&lt; 0,01; tocilizuma</w:t>
      </w:r>
      <w:r w:rsidRPr="00330234">
        <w:rPr>
          <w:sz w:val="18"/>
          <w:szCs w:val="18"/>
        </w:rPr>
        <w:t xml:space="preserve">b </w:t>
      </w:r>
      <w:r w:rsidRPr="00330234">
        <w:rPr>
          <w:i/>
          <w:sz w:val="18"/>
          <w:szCs w:val="18"/>
        </w:rPr>
        <w:t>vs. placebo</w:t>
      </w:r>
    </w:p>
    <w:p w14:paraId="1FED97CE" w14:textId="77777777" w:rsidR="00436DAA" w:rsidRPr="00330234" w:rsidRDefault="00436DAA" w:rsidP="00BD109B">
      <w:pPr>
        <w:pStyle w:val="a3"/>
        <w:widowControl/>
        <w:ind w:left="0"/>
        <w:rPr>
          <w:i/>
        </w:rPr>
      </w:pPr>
    </w:p>
    <w:p w14:paraId="78E56A9C" w14:textId="6DDCCD14" w:rsidR="00436DAA" w:rsidRPr="00330234" w:rsidRDefault="009B4B8E" w:rsidP="00BD109B">
      <w:pPr>
        <w:pStyle w:val="a3"/>
        <w:widowControl/>
        <w:ind w:left="0"/>
      </w:pPr>
      <w:r w:rsidRPr="00330234">
        <w:t xml:space="preserve">Het aantal actieve gewrichten was significant verminderd ten opzichte van de baselinewaarde bij patiënten die tocilizumab kregen vergeleken met placebo (gecorrigeerde gemiddelde verandering van </w:t>
      </w:r>
      <w:r w:rsidR="00B55BA7" w:rsidRPr="00330234">
        <w:noBreakHyphen/>
      </w:r>
      <w:r w:rsidRPr="00330234">
        <w:t>14,3 versus -11,4; p=0,0435). De algehele beoordeling van de ziekteactiviteit door de arts, zoals gemeten op een schaal van 0-100 mm, toonde een grotere afname van ziekteactiviteit voor tocilizumab vergeleken met placebo (gecorrigeerde gemiddelde verandering van -45,2 mm versus -35,2 mm; p=0,0031).</w:t>
      </w:r>
    </w:p>
    <w:p w14:paraId="10833D34" w14:textId="77777777" w:rsidR="00496122" w:rsidRPr="00330234" w:rsidRDefault="00496122" w:rsidP="00BD109B">
      <w:pPr>
        <w:pStyle w:val="a3"/>
        <w:widowControl/>
        <w:ind w:left="0"/>
      </w:pPr>
    </w:p>
    <w:p w14:paraId="40748CC6" w14:textId="4E5791DA" w:rsidR="00436DAA" w:rsidRPr="00330234" w:rsidRDefault="009B4B8E" w:rsidP="00BD109B">
      <w:pPr>
        <w:pStyle w:val="a3"/>
        <w:widowControl/>
        <w:ind w:left="0"/>
      </w:pPr>
      <w:r w:rsidRPr="00330234">
        <w:t>De gecorrigeerde gemiddelde verandering in pijn-VAS na 40 weken behandeling met tocilizumab was 32,4 mm op een schaal van 0-100 mm vergeleken met een vermindering van 22,3 mm voor placebopatiënten (statistisch zeer significant; p=0,0076).</w:t>
      </w:r>
    </w:p>
    <w:p w14:paraId="5249569B" w14:textId="77777777" w:rsidR="00436DAA" w:rsidRPr="00330234" w:rsidRDefault="00436DAA" w:rsidP="00BD109B">
      <w:pPr>
        <w:pStyle w:val="a3"/>
        <w:widowControl/>
        <w:ind w:left="0"/>
      </w:pPr>
    </w:p>
    <w:p w14:paraId="628C4782" w14:textId="77777777" w:rsidR="00436DAA" w:rsidRPr="00330234" w:rsidRDefault="009B4B8E" w:rsidP="00BD109B">
      <w:pPr>
        <w:pStyle w:val="a3"/>
        <w:widowControl/>
        <w:ind w:left="0"/>
      </w:pPr>
      <w:r w:rsidRPr="00330234">
        <w:t>De ACR-responspercentages waren numeriek lager voor patiënten die eerder met een biologisch geneesmiddel waren behandeld, zoals weergegeven in onderstaande tabel 10.</w:t>
      </w:r>
    </w:p>
    <w:p w14:paraId="597A1CA6" w14:textId="77777777" w:rsidR="00496122" w:rsidRPr="00330234" w:rsidRDefault="00496122" w:rsidP="00BD109B">
      <w:pPr>
        <w:pStyle w:val="a3"/>
        <w:widowControl/>
        <w:ind w:left="0"/>
      </w:pPr>
    </w:p>
    <w:p w14:paraId="3AA01FD7" w14:textId="0940894E" w:rsidR="00436DAA" w:rsidRPr="00330234" w:rsidRDefault="009B4B8E" w:rsidP="00DD4C0C">
      <w:pPr>
        <w:keepNext/>
        <w:keepLines/>
        <w:widowControl/>
        <w:ind w:left="1134" w:hanging="1134"/>
        <w:rPr>
          <w:i/>
        </w:rPr>
      </w:pPr>
      <w:r w:rsidRPr="00330234">
        <w:rPr>
          <w:i/>
        </w:rPr>
        <w:t>Tabel 10.</w:t>
      </w:r>
      <w:r w:rsidR="00DD4C0C" w:rsidRPr="00330234">
        <w:rPr>
          <w:i/>
        </w:rPr>
        <w:tab/>
      </w:r>
      <w:r w:rsidRPr="00330234">
        <w:rPr>
          <w:i/>
        </w:rPr>
        <w:t>Aantal en percentage patiënten met een JIA ACR30-‘flare’ en percentage patiënten met JIA ACR30, -50, -70 en -90-respons op week 40, ingedeeld naar eerder gebruik van een biologisch geneesmiddel (ITT-populatie – studie deel II)</w:t>
      </w:r>
    </w:p>
    <w:p w14:paraId="2BF25E3D" w14:textId="77777777" w:rsidR="00436DAA" w:rsidRPr="00330234" w:rsidRDefault="00436DAA" w:rsidP="00BD109B">
      <w:pPr>
        <w:pStyle w:val="a3"/>
        <w:widowControl/>
        <w:ind w:left="0"/>
        <w:rPr>
          <w:i/>
        </w:rPr>
      </w:pPr>
    </w:p>
    <w:tbl>
      <w:tblPr>
        <w:tblW w:w="9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3"/>
        <w:gridCol w:w="1470"/>
        <w:gridCol w:w="1427"/>
        <w:gridCol w:w="1470"/>
        <w:gridCol w:w="1402"/>
      </w:tblGrid>
      <w:tr w:rsidR="00436DAA" w:rsidRPr="00330234" w14:paraId="7E815805" w14:textId="77777777" w:rsidTr="00F62061">
        <w:trPr>
          <w:trHeight w:val="20"/>
          <w:tblHeader/>
        </w:trPr>
        <w:tc>
          <w:tcPr>
            <w:tcW w:w="3383" w:type="dxa"/>
          </w:tcPr>
          <w:p w14:paraId="0C16098E" w14:textId="77777777" w:rsidR="00436DAA" w:rsidRPr="00330234" w:rsidRDefault="00436DAA" w:rsidP="00BD109B">
            <w:pPr>
              <w:pStyle w:val="TableParagraph"/>
              <w:widowControl/>
            </w:pPr>
          </w:p>
        </w:tc>
        <w:tc>
          <w:tcPr>
            <w:tcW w:w="2897" w:type="dxa"/>
            <w:gridSpan w:val="2"/>
          </w:tcPr>
          <w:p w14:paraId="44793353" w14:textId="77777777" w:rsidR="00436DAA" w:rsidRPr="00330234" w:rsidRDefault="009B4B8E" w:rsidP="00496122">
            <w:pPr>
              <w:pStyle w:val="TableParagraph"/>
              <w:widowControl/>
              <w:jc w:val="center"/>
              <w:rPr>
                <w:b/>
              </w:rPr>
            </w:pPr>
            <w:r w:rsidRPr="00330234">
              <w:rPr>
                <w:b/>
              </w:rPr>
              <w:t>Placebo</w:t>
            </w:r>
          </w:p>
        </w:tc>
        <w:tc>
          <w:tcPr>
            <w:tcW w:w="2872" w:type="dxa"/>
            <w:gridSpan w:val="2"/>
          </w:tcPr>
          <w:p w14:paraId="78B2CD77" w14:textId="77777777" w:rsidR="00436DAA" w:rsidRPr="00330234" w:rsidRDefault="009B4B8E" w:rsidP="00496122">
            <w:pPr>
              <w:pStyle w:val="TableParagraph"/>
              <w:widowControl/>
              <w:jc w:val="center"/>
              <w:rPr>
                <w:b/>
              </w:rPr>
            </w:pPr>
            <w:r w:rsidRPr="00330234">
              <w:rPr>
                <w:b/>
              </w:rPr>
              <w:t>Alle TCZ</w:t>
            </w:r>
          </w:p>
        </w:tc>
      </w:tr>
      <w:tr w:rsidR="00436DAA" w:rsidRPr="00330234" w14:paraId="7FCCE2E9" w14:textId="77777777" w:rsidTr="00F62061">
        <w:trPr>
          <w:trHeight w:val="20"/>
          <w:tblHeader/>
        </w:trPr>
        <w:tc>
          <w:tcPr>
            <w:tcW w:w="3383" w:type="dxa"/>
          </w:tcPr>
          <w:p w14:paraId="431AB984" w14:textId="77777777" w:rsidR="00436DAA" w:rsidRPr="00330234" w:rsidRDefault="009B4B8E" w:rsidP="00BD109B">
            <w:pPr>
              <w:pStyle w:val="TableParagraph"/>
              <w:widowControl/>
              <w:rPr>
                <w:b/>
              </w:rPr>
            </w:pPr>
            <w:r w:rsidRPr="00330234">
              <w:rPr>
                <w:b/>
              </w:rPr>
              <w:t>Gebruik biologisch geneesmiddel</w:t>
            </w:r>
          </w:p>
        </w:tc>
        <w:tc>
          <w:tcPr>
            <w:tcW w:w="1470" w:type="dxa"/>
          </w:tcPr>
          <w:p w14:paraId="734BE6F9" w14:textId="77777777" w:rsidR="00436DAA" w:rsidRPr="00330234" w:rsidRDefault="009B4B8E" w:rsidP="00496122">
            <w:pPr>
              <w:pStyle w:val="TableParagraph"/>
              <w:widowControl/>
              <w:jc w:val="center"/>
              <w:rPr>
                <w:b/>
              </w:rPr>
            </w:pPr>
            <w:r w:rsidRPr="00330234">
              <w:rPr>
                <w:b/>
              </w:rPr>
              <w:t xml:space="preserve">Ja (N </w:t>
            </w:r>
            <w:r w:rsidRPr="00330234">
              <w:t xml:space="preserve">= </w:t>
            </w:r>
            <w:r w:rsidRPr="00330234">
              <w:rPr>
                <w:b/>
              </w:rPr>
              <w:t>23)</w:t>
            </w:r>
          </w:p>
        </w:tc>
        <w:tc>
          <w:tcPr>
            <w:tcW w:w="1427" w:type="dxa"/>
          </w:tcPr>
          <w:p w14:paraId="41E8DF7C" w14:textId="77777777" w:rsidR="00436DAA" w:rsidRPr="00330234" w:rsidRDefault="009B4B8E" w:rsidP="00496122">
            <w:pPr>
              <w:pStyle w:val="TableParagraph"/>
              <w:widowControl/>
              <w:jc w:val="center"/>
              <w:rPr>
                <w:b/>
              </w:rPr>
            </w:pPr>
            <w:r w:rsidRPr="00330234">
              <w:rPr>
                <w:b/>
              </w:rPr>
              <w:t xml:space="preserve">Nee (N </w:t>
            </w:r>
            <w:r w:rsidRPr="00330234">
              <w:t xml:space="preserve">= </w:t>
            </w:r>
            <w:r w:rsidRPr="00330234">
              <w:rPr>
                <w:b/>
              </w:rPr>
              <w:t>58)</w:t>
            </w:r>
          </w:p>
        </w:tc>
        <w:tc>
          <w:tcPr>
            <w:tcW w:w="1470" w:type="dxa"/>
          </w:tcPr>
          <w:p w14:paraId="1DD269CC" w14:textId="77777777" w:rsidR="00436DAA" w:rsidRPr="00330234" w:rsidRDefault="009B4B8E" w:rsidP="00496122">
            <w:pPr>
              <w:pStyle w:val="TableParagraph"/>
              <w:widowControl/>
              <w:jc w:val="center"/>
              <w:rPr>
                <w:b/>
              </w:rPr>
            </w:pPr>
            <w:r w:rsidRPr="00330234">
              <w:rPr>
                <w:b/>
              </w:rPr>
              <w:t xml:space="preserve">Ja (N </w:t>
            </w:r>
            <w:r w:rsidRPr="00330234">
              <w:t xml:space="preserve">= </w:t>
            </w:r>
            <w:r w:rsidRPr="00330234">
              <w:rPr>
                <w:b/>
              </w:rPr>
              <w:t>27)</w:t>
            </w:r>
          </w:p>
        </w:tc>
        <w:tc>
          <w:tcPr>
            <w:tcW w:w="1402" w:type="dxa"/>
          </w:tcPr>
          <w:p w14:paraId="2C31711B" w14:textId="77777777" w:rsidR="00436DAA" w:rsidRPr="00330234" w:rsidRDefault="009B4B8E" w:rsidP="00496122">
            <w:pPr>
              <w:pStyle w:val="TableParagraph"/>
              <w:widowControl/>
              <w:jc w:val="center"/>
              <w:rPr>
                <w:b/>
              </w:rPr>
            </w:pPr>
            <w:r w:rsidRPr="00330234">
              <w:rPr>
                <w:b/>
              </w:rPr>
              <w:t xml:space="preserve">Nee (N </w:t>
            </w:r>
            <w:r w:rsidRPr="00330234">
              <w:t xml:space="preserve">= </w:t>
            </w:r>
            <w:r w:rsidRPr="00330234">
              <w:rPr>
                <w:b/>
              </w:rPr>
              <w:t>55)</w:t>
            </w:r>
          </w:p>
        </w:tc>
      </w:tr>
      <w:tr w:rsidR="00436DAA" w:rsidRPr="00330234" w14:paraId="10824A3A" w14:textId="77777777" w:rsidTr="003C4B56">
        <w:trPr>
          <w:cantSplit/>
          <w:trHeight w:val="20"/>
        </w:trPr>
        <w:tc>
          <w:tcPr>
            <w:tcW w:w="3383" w:type="dxa"/>
          </w:tcPr>
          <w:p w14:paraId="7229F722" w14:textId="77777777" w:rsidR="00436DAA" w:rsidRPr="00330234" w:rsidRDefault="009B4B8E" w:rsidP="00BD109B">
            <w:pPr>
              <w:pStyle w:val="TableParagraph"/>
              <w:widowControl/>
            </w:pPr>
            <w:r w:rsidRPr="00330234">
              <w:t>JIA ACR30-‘flare’</w:t>
            </w:r>
          </w:p>
        </w:tc>
        <w:tc>
          <w:tcPr>
            <w:tcW w:w="1470" w:type="dxa"/>
          </w:tcPr>
          <w:p w14:paraId="4EFAC22C" w14:textId="77777777" w:rsidR="00436DAA" w:rsidRPr="00330234" w:rsidRDefault="009B4B8E" w:rsidP="00496122">
            <w:pPr>
              <w:pStyle w:val="TableParagraph"/>
              <w:widowControl/>
              <w:jc w:val="center"/>
            </w:pPr>
            <w:r w:rsidRPr="00330234">
              <w:t>18 (78,3)</w:t>
            </w:r>
          </w:p>
        </w:tc>
        <w:tc>
          <w:tcPr>
            <w:tcW w:w="1427" w:type="dxa"/>
          </w:tcPr>
          <w:p w14:paraId="04F7DE57" w14:textId="77777777" w:rsidR="00436DAA" w:rsidRPr="00330234" w:rsidRDefault="009B4B8E" w:rsidP="00496122">
            <w:pPr>
              <w:pStyle w:val="TableParagraph"/>
              <w:widowControl/>
              <w:jc w:val="center"/>
            </w:pPr>
            <w:r w:rsidRPr="00330234">
              <w:t>21 (36,2)</w:t>
            </w:r>
          </w:p>
        </w:tc>
        <w:tc>
          <w:tcPr>
            <w:tcW w:w="1470" w:type="dxa"/>
          </w:tcPr>
          <w:p w14:paraId="3419669B" w14:textId="77777777" w:rsidR="00436DAA" w:rsidRPr="00330234" w:rsidRDefault="009B4B8E" w:rsidP="00496122">
            <w:pPr>
              <w:pStyle w:val="TableParagraph"/>
              <w:widowControl/>
              <w:jc w:val="center"/>
            </w:pPr>
            <w:r w:rsidRPr="00330234">
              <w:t>12 (44,4)</w:t>
            </w:r>
          </w:p>
        </w:tc>
        <w:tc>
          <w:tcPr>
            <w:tcW w:w="1402" w:type="dxa"/>
          </w:tcPr>
          <w:p w14:paraId="4D820839" w14:textId="77777777" w:rsidR="00436DAA" w:rsidRPr="00330234" w:rsidRDefault="009B4B8E" w:rsidP="00496122">
            <w:pPr>
              <w:pStyle w:val="TableParagraph"/>
              <w:widowControl/>
              <w:jc w:val="center"/>
            </w:pPr>
            <w:r w:rsidRPr="00330234">
              <w:t>9 (16,4)</w:t>
            </w:r>
          </w:p>
        </w:tc>
      </w:tr>
      <w:tr w:rsidR="00436DAA" w:rsidRPr="00330234" w14:paraId="08D6076E" w14:textId="77777777" w:rsidTr="003C4B56">
        <w:trPr>
          <w:cantSplit/>
          <w:trHeight w:val="20"/>
        </w:trPr>
        <w:tc>
          <w:tcPr>
            <w:tcW w:w="3383" w:type="dxa"/>
          </w:tcPr>
          <w:p w14:paraId="71664C8A" w14:textId="77777777" w:rsidR="00436DAA" w:rsidRPr="00330234" w:rsidRDefault="009B4B8E" w:rsidP="00BD109B">
            <w:pPr>
              <w:pStyle w:val="TableParagraph"/>
              <w:widowControl/>
            </w:pPr>
            <w:r w:rsidRPr="00330234">
              <w:t>JIA ACR30-respons</w:t>
            </w:r>
          </w:p>
        </w:tc>
        <w:tc>
          <w:tcPr>
            <w:tcW w:w="1470" w:type="dxa"/>
          </w:tcPr>
          <w:p w14:paraId="7C93302F" w14:textId="77777777" w:rsidR="00436DAA" w:rsidRPr="00330234" w:rsidRDefault="009B4B8E" w:rsidP="00496122">
            <w:pPr>
              <w:pStyle w:val="TableParagraph"/>
              <w:widowControl/>
              <w:jc w:val="center"/>
            </w:pPr>
            <w:r w:rsidRPr="00330234">
              <w:t>6 (26,1)</w:t>
            </w:r>
          </w:p>
        </w:tc>
        <w:tc>
          <w:tcPr>
            <w:tcW w:w="1427" w:type="dxa"/>
          </w:tcPr>
          <w:p w14:paraId="35AC6433" w14:textId="77777777" w:rsidR="00436DAA" w:rsidRPr="00330234" w:rsidRDefault="009B4B8E" w:rsidP="00496122">
            <w:pPr>
              <w:pStyle w:val="TableParagraph"/>
              <w:widowControl/>
              <w:jc w:val="center"/>
            </w:pPr>
            <w:r w:rsidRPr="00330234">
              <w:t>38 (65,5)</w:t>
            </w:r>
          </w:p>
        </w:tc>
        <w:tc>
          <w:tcPr>
            <w:tcW w:w="1470" w:type="dxa"/>
          </w:tcPr>
          <w:p w14:paraId="318CCC60" w14:textId="77777777" w:rsidR="00436DAA" w:rsidRPr="00330234" w:rsidRDefault="009B4B8E" w:rsidP="00496122">
            <w:pPr>
              <w:pStyle w:val="TableParagraph"/>
              <w:widowControl/>
              <w:jc w:val="center"/>
            </w:pPr>
            <w:r w:rsidRPr="00330234">
              <w:t>15 (55,6)</w:t>
            </w:r>
          </w:p>
        </w:tc>
        <w:tc>
          <w:tcPr>
            <w:tcW w:w="1402" w:type="dxa"/>
          </w:tcPr>
          <w:p w14:paraId="01893C2C" w14:textId="77777777" w:rsidR="00436DAA" w:rsidRPr="00330234" w:rsidRDefault="009B4B8E" w:rsidP="00496122">
            <w:pPr>
              <w:pStyle w:val="TableParagraph"/>
              <w:widowControl/>
              <w:jc w:val="center"/>
            </w:pPr>
            <w:r w:rsidRPr="00330234">
              <w:t>46 (83,6)</w:t>
            </w:r>
          </w:p>
        </w:tc>
      </w:tr>
      <w:tr w:rsidR="00436DAA" w:rsidRPr="00330234" w14:paraId="0154E9CE" w14:textId="77777777" w:rsidTr="003C4B56">
        <w:trPr>
          <w:cantSplit/>
          <w:trHeight w:val="20"/>
        </w:trPr>
        <w:tc>
          <w:tcPr>
            <w:tcW w:w="3383" w:type="dxa"/>
          </w:tcPr>
          <w:p w14:paraId="15E7B738" w14:textId="77777777" w:rsidR="00436DAA" w:rsidRPr="00330234" w:rsidRDefault="009B4B8E" w:rsidP="00BD109B">
            <w:pPr>
              <w:pStyle w:val="TableParagraph"/>
              <w:widowControl/>
            </w:pPr>
            <w:r w:rsidRPr="00330234">
              <w:lastRenderedPageBreak/>
              <w:t>JIA ACR50-respons</w:t>
            </w:r>
          </w:p>
        </w:tc>
        <w:tc>
          <w:tcPr>
            <w:tcW w:w="1470" w:type="dxa"/>
          </w:tcPr>
          <w:p w14:paraId="756C9D6B" w14:textId="77777777" w:rsidR="00436DAA" w:rsidRPr="00330234" w:rsidRDefault="009B4B8E" w:rsidP="00496122">
            <w:pPr>
              <w:pStyle w:val="TableParagraph"/>
              <w:widowControl/>
              <w:jc w:val="center"/>
            </w:pPr>
            <w:r w:rsidRPr="00330234">
              <w:t>5 (21,7)</w:t>
            </w:r>
          </w:p>
        </w:tc>
        <w:tc>
          <w:tcPr>
            <w:tcW w:w="1427" w:type="dxa"/>
          </w:tcPr>
          <w:p w14:paraId="62E011A9" w14:textId="77777777" w:rsidR="00436DAA" w:rsidRPr="00330234" w:rsidRDefault="009B4B8E" w:rsidP="00496122">
            <w:pPr>
              <w:pStyle w:val="TableParagraph"/>
              <w:widowControl/>
              <w:jc w:val="center"/>
            </w:pPr>
            <w:r w:rsidRPr="00330234">
              <w:t>37 (63,8)</w:t>
            </w:r>
          </w:p>
        </w:tc>
        <w:tc>
          <w:tcPr>
            <w:tcW w:w="1470" w:type="dxa"/>
          </w:tcPr>
          <w:p w14:paraId="49126553" w14:textId="77777777" w:rsidR="00436DAA" w:rsidRPr="00330234" w:rsidRDefault="009B4B8E" w:rsidP="00496122">
            <w:pPr>
              <w:pStyle w:val="TableParagraph"/>
              <w:widowControl/>
              <w:jc w:val="center"/>
            </w:pPr>
            <w:r w:rsidRPr="00330234">
              <w:t>14 (51,9)</w:t>
            </w:r>
          </w:p>
        </w:tc>
        <w:tc>
          <w:tcPr>
            <w:tcW w:w="1402" w:type="dxa"/>
          </w:tcPr>
          <w:p w14:paraId="61C5EE54" w14:textId="77777777" w:rsidR="00436DAA" w:rsidRPr="00330234" w:rsidRDefault="009B4B8E" w:rsidP="00496122">
            <w:pPr>
              <w:pStyle w:val="TableParagraph"/>
              <w:widowControl/>
              <w:jc w:val="center"/>
            </w:pPr>
            <w:r w:rsidRPr="00330234">
              <w:t>46 (83,6)</w:t>
            </w:r>
          </w:p>
        </w:tc>
      </w:tr>
      <w:tr w:rsidR="00436DAA" w:rsidRPr="00330234" w14:paraId="518C854C" w14:textId="77777777" w:rsidTr="003C4B56">
        <w:trPr>
          <w:cantSplit/>
          <w:trHeight w:val="20"/>
        </w:trPr>
        <w:tc>
          <w:tcPr>
            <w:tcW w:w="3383" w:type="dxa"/>
          </w:tcPr>
          <w:p w14:paraId="319A3CC8" w14:textId="77777777" w:rsidR="00436DAA" w:rsidRPr="00330234" w:rsidRDefault="009B4B8E" w:rsidP="00BD109B">
            <w:pPr>
              <w:pStyle w:val="TableParagraph"/>
              <w:widowControl/>
            </w:pPr>
            <w:r w:rsidRPr="00330234">
              <w:t>JIA ACR70-respons</w:t>
            </w:r>
          </w:p>
        </w:tc>
        <w:tc>
          <w:tcPr>
            <w:tcW w:w="1470" w:type="dxa"/>
          </w:tcPr>
          <w:p w14:paraId="051AA04C" w14:textId="77777777" w:rsidR="00436DAA" w:rsidRPr="00330234" w:rsidRDefault="009B4B8E" w:rsidP="00496122">
            <w:pPr>
              <w:pStyle w:val="TableParagraph"/>
              <w:widowControl/>
              <w:jc w:val="center"/>
            </w:pPr>
            <w:r w:rsidRPr="00330234">
              <w:t>2 (8,7)</w:t>
            </w:r>
          </w:p>
        </w:tc>
        <w:tc>
          <w:tcPr>
            <w:tcW w:w="1427" w:type="dxa"/>
          </w:tcPr>
          <w:p w14:paraId="69844834" w14:textId="77777777" w:rsidR="00436DAA" w:rsidRPr="00330234" w:rsidRDefault="009B4B8E" w:rsidP="00496122">
            <w:pPr>
              <w:pStyle w:val="TableParagraph"/>
              <w:widowControl/>
              <w:jc w:val="center"/>
            </w:pPr>
            <w:r w:rsidRPr="00330234">
              <w:t>32 (55,2)</w:t>
            </w:r>
          </w:p>
        </w:tc>
        <w:tc>
          <w:tcPr>
            <w:tcW w:w="1470" w:type="dxa"/>
          </w:tcPr>
          <w:p w14:paraId="12D2EB1E" w14:textId="77777777" w:rsidR="00436DAA" w:rsidRPr="00330234" w:rsidRDefault="009B4B8E" w:rsidP="00496122">
            <w:pPr>
              <w:pStyle w:val="TableParagraph"/>
              <w:widowControl/>
              <w:jc w:val="center"/>
            </w:pPr>
            <w:r w:rsidRPr="00330234">
              <w:t>13 (48,1)</w:t>
            </w:r>
          </w:p>
        </w:tc>
        <w:tc>
          <w:tcPr>
            <w:tcW w:w="1402" w:type="dxa"/>
          </w:tcPr>
          <w:p w14:paraId="40928F34" w14:textId="77777777" w:rsidR="00436DAA" w:rsidRPr="00330234" w:rsidRDefault="009B4B8E" w:rsidP="00496122">
            <w:pPr>
              <w:pStyle w:val="TableParagraph"/>
              <w:widowControl/>
              <w:jc w:val="center"/>
            </w:pPr>
            <w:r w:rsidRPr="00330234">
              <w:t>40 (72,7)</w:t>
            </w:r>
          </w:p>
        </w:tc>
      </w:tr>
      <w:tr w:rsidR="00436DAA" w:rsidRPr="00330234" w14:paraId="700F0361" w14:textId="77777777" w:rsidTr="003C4B56">
        <w:trPr>
          <w:cantSplit/>
          <w:trHeight w:val="20"/>
        </w:trPr>
        <w:tc>
          <w:tcPr>
            <w:tcW w:w="3383" w:type="dxa"/>
          </w:tcPr>
          <w:p w14:paraId="16E2926C" w14:textId="77777777" w:rsidR="00436DAA" w:rsidRPr="00330234" w:rsidRDefault="009B4B8E" w:rsidP="00BD109B">
            <w:pPr>
              <w:pStyle w:val="TableParagraph"/>
              <w:widowControl/>
            </w:pPr>
            <w:r w:rsidRPr="00330234">
              <w:t>JIA ACR90-respons</w:t>
            </w:r>
          </w:p>
        </w:tc>
        <w:tc>
          <w:tcPr>
            <w:tcW w:w="1470" w:type="dxa"/>
          </w:tcPr>
          <w:p w14:paraId="0D17FC99" w14:textId="77777777" w:rsidR="00436DAA" w:rsidRPr="00330234" w:rsidRDefault="009B4B8E" w:rsidP="00496122">
            <w:pPr>
              <w:pStyle w:val="TableParagraph"/>
              <w:widowControl/>
              <w:jc w:val="center"/>
            </w:pPr>
            <w:r w:rsidRPr="00330234">
              <w:t>2 (8,7)</w:t>
            </w:r>
          </w:p>
        </w:tc>
        <w:tc>
          <w:tcPr>
            <w:tcW w:w="1427" w:type="dxa"/>
          </w:tcPr>
          <w:p w14:paraId="6C42385F" w14:textId="77777777" w:rsidR="00436DAA" w:rsidRPr="00330234" w:rsidRDefault="009B4B8E" w:rsidP="00496122">
            <w:pPr>
              <w:pStyle w:val="TableParagraph"/>
              <w:widowControl/>
              <w:jc w:val="center"/>
            </w:pPr>
            <w:r w:rsidRPr="00330234">
              <w:t>17 (29,3)</w:t>
            </w:r>
          </w:p>
        </w:tc>
        <w:tc>
          <w:tcPr>
            <w:tcW w:w="1470" w:type="dxa"/>
          </w:tcPr>
          <w:p w14:paraId="43797698" w14:textId="77777777" w:rsidR="00436DAA" w:rsidRPr="00330234" w:rsidRDefault="009B4B8E" w:rsidP="00496122">
            <w:pPr>
              <w:pStyle w:val="TableParagraph"/>
              <w:widowControl/>
              <w:jc w:val="center"/>
            </w:pPr>
            <w:r w:rsidRPr="00330234">
              <w:t>5 (18,5)</w:t>
            </w:r>
          </w:p>
        </w:tc>
        <w:tc>
          <w:tcPr>
            <w:tcW w:w="1402" w:type="dxa"/>
          </w:tcPr>
          <w:p w14:paraId="25C77638" w14:textId="77777777" w:rsidR="00436DAA" w:rsidRPr="00330234" w:rsidRDefault="009B4B8E" w:rsidP="00496122">
            <w:pPr>
              <w:pStyle w:val="TableParagraph"/>
              <w:widowControl/>
              <w:jc w:val="center"/>
            </w:pPr>
            <w:r w:rsidRPr="00330234">
              <w:t>32 (58,2)</w:t>
            </w:r>
          </w:p>
        </w:tc>
      </w:tr>
    </w:tbl>
    <w:p w14:paraId="5DCF2106" w14:textId="77777777" w:rsidR="00496122" w:rsidRPr="00330234" w:rsidRDefault="00496122" w:rsidP="00BD109B">
      <w:pPr>
        <w:pStyle w:val="a3"/>
        <w:widowControl/>
        <w:ind w:left="0"/>
      </w:pPr>
    </w:p>
    <w:p w14:paraId="0B01938E" w14:textId="3CA9EBFD" w:rsidR="00436DAA" w:rsidRPr="00330234" w:rsidRDefault="009B4B8E" w:rsidP="00BD109B">
      <w:pPr>
        <w:pStyle w:val="a3"/>
        <w:widowControl/>
        <w:ind w:left="0"/>
      </w:pPr>
      <w:r w:rsidRPr="00330234">
        <w:t>Patiënten gerandomiseerd naar tocilizumab hadden minder ACR30-‘flares’ en over alle categorieën een hogere ACR-respons vergeleken met patiënten die placebo kregen, ongeacht of zij een voorgeschiedenis hadden van eerder gebruik van een biologisch geneesmiddel.</w:t>
      </w:r>
    </w:p>
    <w:p w14:paraId="2F0B1224" w14:textId="77777777" w:rsidR="00496122" w:rsidRPr="00330234" w:rsidRDefault="00496122" w:rsidP="00BD109B">
      <w:pPr>
        <w:pStyle w:val="a3"/>
        <w:widowControl/>
        <w:ind w:left="0"/>
      </w:pPr>
    </w:p>
    <w:p w14:paraId="5686770A" w14:textId="77777777" w:rsidR="00436DAA" w:rsidRPr="00330234" w:rsidRDefault="009B4B8E" w:rsidP="00496122">
      <w:pPr>
        <w:pStyle w:val="a3"/>
        <w:keepNext/>
        <w:keepLines/>
        <w:widowControl/>
        <w:ind w:left="0"/>
      </w:pPr>
      <w:r w:rsidRPr="00330234">
        <w:rPr>
          <w:u w:val="single"/>
        </w:rPr>
        <w:t>CRS</w:t>
      </w:r>
    </w:p>
    <w:p w14:paraId="7F91AD45" w14:textId="233F56C2" w:rsidR="00436DAA" w:rsidRPr="00330234" w:rsidRDefault="009B4B8E" w:rsidP="001B3E1E">
      <w:pPr>
        <w:pStyle w:val="a3"/>
        <w:widowControl/>
        <w:ind w:left="0"/>
      </w:pPr>
      <w:r w:rsidRPr="00330234">
        <w:t xml:space="preserve">De werkzaamheid van </w:t>
      </w:r>
      <w:r w:rsidR="003C342D" w:rsidRPr="00330234">
        <w:t>tocilizumab</w:t>
      </w:r>
      <w:r w:rsidRPr="00330234">
        <w:t xml:space="preserve"> bij de behandeling van CRS is beoordeeld in een retrospectieve analyse van gegevens uit klinische onderzoeken met CAR-T-cel therapieën (tisagenlecleucel en axicabtagene ciloleucel) voor hematologische maligniteiten. Patiënten die evalueerbaar waren werden behandeld met 8 mg/kg tocilizumab (12 mg/kg bij patiënten die minder dan 30 kg wogen) met of zonder additionele hoge doseringen van corticosteroïden voor ernstige of levensbedreigende CRS. Alleen de eerste episode van CRS werd meegenomen in de analyse. De werkzaamheidspopulatie voor de cohort met tisagenlecleucel bevatte 28 mannen en 23 vrouwen (in totaal 51 patiënten) met een mediane leeftijd van 17 jaar (bereik: 3-68 jaar). De mediane tijd tussen start van CRS tot de eerste dosis tocilizumab was 3 dagen (bereik: 0-18 dagen). Herstel van CRS werd gedefinieerd als het afwezig zijn van koorts en geen gebruik van bloeddrukverhogende middelen voor ten minste 24 uur. Patiënten werden gezien als responders als de CRS herstelde binnen 14 dagen na de eerste dosis tocilizumab, indien niet meer dan 2 doses </w:t>
      </w:r>
      <w:r w:rsidR="00955A68" w:rsidRPr="00330234">
        <w:t>tocilizumab</w:t>
      </w:r>
      <w:r w:rsidRPr="00330234">
        <w:t xml:space="preserve"> nodig waren en er geen andere middelen dan </w:t>
      </w:r>
      <w:r w:rsidR="00955A68" w:rsidRPr="00330234">
        <w:t>tocilizumab</w:t>
      </w:r>
      <w:r w:rsidRPr="00330234">
        <w:t xml:space="preserve"> en corticosteroïden werden gebruikt voor de behandeling. Negenendertig patiënten (76,5%, BI: 62,5%-87,2%) bereikten een respons. In een onafhankelijke cohort van 15 patiënten (bereik: 9-75 jaar oud) met door axicabtagene ciloleucel-geïnduceerde CRS reageerden 53%.</w:t>
      </w:r>
    </w:p>
    <w:p w14:paraId="572C49DB" w14:textId="77777777" w:rsidR="00496122" w:rsidRPr="00330234" w:rsidRDefault="00496122" w:rsidP="001B3E1E">
      <w:pPr>
        <w:pStyle w:val="a3"/>
        <w:widowControl/>
        <w:ind w:left="0"/>
      </w:pPr>
    </w:p>
    <w:p w14:paraId="12B12CD3" w14:textId="4FF01D94" w:rsidR="00436DAA" w:rsidRPr="00330234" w:rsidRDefault="009B4B8E" w:rsidP="00BD109B">
      <w:pPr>
        <w:pStyle w:val="a3"/>
        <w:widowControl/>
        <w:ind w:left="0"/>
      </w:pPr>
      <w:r w:rsidRPr="00330234">
        <w:t xml:space="preserve">Het Europees Geneesmiddelenbureau heeft besloten af te zien van de verplichting voor de fabrikant om de resultaten in te dienen van onderzoek met </w:t>
      </w:r>
      <w:r w:rsidR="00955A68" w:rsidRPr="00330234">
        <w:t>tocilizumab</w:t>
      </w:r>
      <w:r w:rsidRPr="00330234">
        <w:t xml:space="preserve"> in alle subgroepen van pediatrische patiënten bij de behandeling van CRS geïnduceerd door CAR-T-cel therapie.</w:t>
      </w:r>
    </w:p>
    <w:p w14:paraId="32115EC3" w14:textId="77777777" w:rsidR="00436DAA" w:rsidRPr="00330234" w:rsidRDefault="00436DAA" w:rsidP="00BD109B">
      <w:pPr>
        <w:pStyle w:val="a3"/>
        <w:widowControl/>
        <w:ind w:left="0"/>
      </w:pPr>
    </w:p>
    <w:p w14:paraId="5F6D3CF3" w14:textId="77777777" w:rsidR="00436DAA" w:rsidRPr="00330234" w:rsidRDefault="009B4B8E" w:rsidP="00BD109B">
      <w:pPr>
        <w:pStyle w:val="a3"/>
        <w:widowControl/>
        <w:ind w:left="0"/>
      </w:pPr>
      <w:r w:rsidRPr="00330234">
        <w:rPr>
          <w:u w:val="single"/>
        </w:rPr>
        <w:t>COVID-19</w:t>
      </w:r>
    </w:p>
    <w:p w14:paraId="7CC81582" w14:textId="49AB8D15" w:rsidR="00436DAA" w:rsidRPr="00330234" w:rsidRDefault="009B4B8E" w:rsidP="00BD109B">
      <w:pPr>
        <w:pStyle w:val="a3"/>
        <w:widowControl/>
        <w:ind w:left="0"/>
      </w:pPr>
      <w:r w:rsidRPr="00330234">
        <w:t xml:space="preserve">Het Europees Geneesmiddelenbureau heeft besloten tot uitstel van de verplichting voor de fabrikant om de resultaten in te dienen van onderzoek met </w:t>
      </w:r>
      <w:r w:rsidR="00955A68" w:rsidRPr="00330234">
        <w:t>tocilizumab</w:t>
      </w:r>
      <w:r w:rsidRPr="00330234">
        <w:t xml:space="preserve"> in een of meerdere subgroepen van pediatrische patiënten met COVID-19.</w:t>
      </w:r>
    </w:p>
    <w:p w14:paraId="5BF0AB0A" w14:textId="77777777" w:rsidR="00496122" w:rsidRPr="00330234" w:rsidRDefault="00496122" w:rsidP="00BD109B">
      <w:pPr>
        <w:pStyle w:val="a3"/>
        <w:widowControl/>
        <w:ind w:left="0"/>
      </w:pPr>
    </w:p>
    <w:p w14:paraId="22FF22B5" w14:textId="57E0BED4" w:rsidR="00436DAA" w:rsidRPr="00330234" w:rsidRDefault="005328BF" w:rsidP="00BD109B">
      <w:pPr>
        <w:pStyle w:val="2"/>
      </w:pPr>
      <w:r w:rsidRPr="00330234">
        <w:t>5.2</w:t>
      </w:r>
      <w:r w:rsidRPr="00330234">
        <w:tab/>
      </w:r>
      <w:r w:rsidR="009B4B8E" w:rsidRPr="00330234">
        <w:t>Farmacokinetische eigenschappen</w:t>
      </w:r>
    </w:p>
    <w:p w14:paraId="068C4B6E" w14:textId="77777777" w:rsidR="00496122" w:rsidRPr="00330234" w:rsidRDefault="00496122" w:rsidP="00BD109B">
      <w:pPr>
        <w:pStyle w:val="a3"/>
        <w:widowControl/>
        <w:ind w:left="0"/>
      </w:pPr>
    </w:p>
    <w:p w14:paraId="30E34A87" w14:textId="3ADE8B21" w:rsidR="00436DAA" w:rsidRPr="00330234" w:rsidRDefault="009B4B8E" w:rsidP="00BD109B">
      <w:pPr>
        <w:pStyle w:val="a3"/>
        <w:widowControl/>
        <w:ind w:left="0"/>
      </w:pPr>
      <w:r w:rsidRPr="00330234">
        <w:rPr>
          <w:u w:val="single"/>
        </w:rPr>
        <w:t>Intraveneus gebruik</w:t>
      </w:r>
    </w:p>
    <w:p w14:paraId="1AAEEF8B" w14:textId="77777777" w:rsidR="00436DAA" w:rsidRPr="00330234" w:rsidRDefault="00436DAA" w:rsidP="00BD109B">
      <w:pPr>
        <w:pStyle w:val="a3"/>
        <w:widowControl/>
        <w:ind w:left="0"/>
      </w:pPr>
    </w:p>
    <w:p w14:paraId="44285A73" w14:textId="77777777" w:rsidR="00436DAA" w:rsidRPr="00330234" w:rsidRDefault="009B4B8E" w:rsidP="00BD109B">
      <w:pPr>
        <w:pStyle w:val="a3"/>
        <w:widowControl/>
        <w:ind w:left="0"/>
      </w:pPr>
      <w:r w:rsidRPr="00330234">
        <w:rPr>
          <w:u w:val="single"/>
        </w:rPr>
        <w:t>RA-</w:t>
      </w:r>
      <w:r w:rsidRPr="001B3E1E">
        <w:rPr>
          <w:u w:val="single"/>
        </w:rPr>
        <w:t>patiënten</w:t>
      </w:r>
    </w:p>
    <w:p w14:paraId="5B22B508" w14:textId="28BBC0CC" w:rsidR="00436DAA" w:rsidRPr="00330234" w:rsidRDefault="009B4B8E" w:rsidP="00BD109B">
      <w:pPr>
        <w:pStyle w:val="a3"/>
        <w:widowControl/>
        <w:ind w:left="0"/>
      </w:pPr>
      <w:r w:rsidRPr="00330234">
        <w:t>De farmacokinetiek van tocilizumab is bepaald middels een farmacokinetische populatieanalyse van een database met 3</w:t>
      </w:r>
      <w:r w:rsidR="00955A68" w:rsidRPr="00330234">
        <w:t>.</w:t>
      </w:r>
      <w:r w:rsidRPr="00330234">
        <w:t>552 RA-patiënten die elke vier weken tocilizumab 4 of 8 mg/kg infusie, gedurende 1 uur, kregen toegediend en behandeld werden gedurende een periode van 24 weken of RA-patiënten die elke week of om de week 162 mg tocilizumab subcutaan toegediend kregen gedurende een periode van 24 weken.</w:t>
      </w:r>
    </w:p>
    <w:p w14:paraId="77992073" w14:textId="77777777" w:rsidR="00496122" w:rsidRPr="00330234" w:rsidRDefault="00496122" w:rsidP="00BD109B">
      <w:pPr>
        <w:pStyle w:val="a3"/>
        <w:widowControl/>
        <w:ind w:left="0"/>
      </w:pPr>
    </w:p>
    <w:p w14:paraId="422E590B" w14:textId="1B1ABC3F" w:rsidR="00436DAA" w:rsidRPr="00330234" w:rsidRDefault="009B4B8E" w:rsidP="00496122">
      <w:pPr>
        <w:pStyle w:val="a3"/>
        <w:widowControl/>
        <w:ind w:left="0"/>
      </w:pPr>
      <w:r w:rsidRPr="00330234">
        <w:t>De volgende parameters (voorspelde gemiddelde ± SD) zijn geschat voor een dosis van 8 mg/kg tocilizumab elke vier weken: steady-state oppervlakte onder de curve (AUC) = 38</w:t>
      </w:r>
      <w:r w:rsidR="00955A68" w:rsidRPr="00330234">
        <w:t>.</w:t>
      </w:r>
      <w:r w:rsidRPr="00330234">
        <w:t>000 ± 13</w:t>
      </w:r>
      <w:r w:rsidR="00955A68" w:rsidRPr="00330234">
        <w:t>.</w:t>
      </w:r>
      <w:r w:rsidRPr="00330234">
        <w:t>000 uur mcg•uur/ml, dalconcentratie (C</w:t>
      </w:r>
      <w:r w:rsidRPr="00330234">
        <w:rPr>
          <w:vertAlign w:val="subscript"/>
        </w:rPr>
        <w:t>min</w:t>
      </w:r>
      <w:r w:rsidRPr="00330234">
        <w:t>) = 15,9 ± 13,1 mcg/ml en maximale concentratie (C</w:t>
      </w:r>
      <w:r w:rsidRPr="00330234">
        <w:rPr>
          <w:vertAlign w:val="subscript"/>
        </w:rPr>
        <w:t>max</w:t>
      </w:r>
      <w:r w:rsidRPr="00330234">
        <w:t>) =</w:t>
      </w:r>
      <w:r w:rsidR="00496122" w:rsidRPr="00330234">
        <w:t xml:space="preserve"> </w:t>
      </w:r>
      <w:r w:rsidRPr="00330234">
        <w:t>182</w:t>
      </w:r>
      <w:r w:rsidR="00496122" w:rsidRPr="00330234">
        <w:t> </w:t>
      </w:r>
      <w:r w:rsidRPr="00330234">
        <w:t>±</w:t>
      </w:r>
      <w:r w:rsidR="00496122" w:rsidRPr="00330234">
        <w:t> </w:t>
      </w:r>
      <w:r w:rsidRPr="00330234">
        <w:t>50,4 mcg/ml en de accumulatieratio</w:t>
      </w:r>
      <w:r w:rsidR="00753185" w:rsidRPr="00330234">
        <w:t>’</w:t>
      </w:r>
      <w:r w:rsidRPr="00330234">
        <w:t>s voor de AUC en C</w:t>
      </w:r>
      <w:r w:rsidRPr="00330234">
        <w:rPr>
          <w:vertAlign w:val="subscript"/>
        </w:rPr>
        <w:t>max</w:t>
      </w:r>
      <w:r w:rsidRPr="00330234">
        <w:t xml:space="preserve"> waren klein, respectievelijk 1,32</w:t>
      </w:r>
      <w:r w:rsidR="00496122" w:rsidRPr="00330234">
        <w:t> </w:t>
      </w:r>
      <w:r w:rsidRPr="00330234">
        <w:t>en 1,09. De accumulatieratio voor de C</w:t>
      </w:r>
      <w:r w:rsidRPr="00330234">
        <w:rPr>
          <w:vertAlign w:val="subscript"/>
        </w:rPr>
        <w:t>min</w:t>
      </w:r>
      <w:r w:rsidRPr="00330234">
        <w:t xml:space="preserve"> was groter (2,49). Dit werd verwacht op basis van de niet- lineaire klaring bij lagere concentraties. Steady-state werd bereikt na de eerste toediening voor C</w:t>
      </w:r>
      <w:r w:rsidRPr="00330234">
        <w:rPr>
          <w:vertAlign w:val="subscript"/>
        </w:rPr>
        <w:t>max</w:t>
      </w:r>
      <w:r w:rsidRPr="00330234">
        <w:t xml:space="preserve"> en na 8 en 20 weken voor respectievelijk AUC en C</w:t>
      </w:r>
      <w:r w:rsidRPr="00330234">
        <w:rPr>
          <w:vertAlign w:val="subscript"/>
        </w:rPr>
        <w:t>min</w:t>
      </w:r>
      <w:r w:rsidRPr="00330234">
        <w:t>. De AUC, C</w:t>
      </w:r>
      <w:r w:rsidRPr="00330234">
        <w:rPr>
          <w:vertAlign w:val="subscript"/>
        </w:rPr>
        <w:t>min</w:t>
      </w:r>
      <w:r w:rsidRPr="00330234">
        <w:t xml:space="preserve"> en C</w:t>
      </w:r>
      <w:r w:rsidRPr="00330234">
        <w:rPr>
          <w:vertAlign w:val="subscript"/>
        </w:rPr>
        <w:t>max</w:t>
      </w:r>
      <w:r w:rsidRPr="00330234">
        <w:t xml:space="preserve"> voor tocilizumab namen toe bij een toename in het lichaamsgewicht. Bij een lichaamsgewicht van ≥ 100 kg waren de voorspelde gemiddelden (± SD) van AUC, C</w:t>
      </w:r>
      <w:r w:rsidRPr="00330234">
        <w:rPr>
          <w:vertAlign w:val="subscript"/>
        </w:rPr>
        <w:t>min</w:t>
      </w:r>
      <w:r w:rsidRPr="00330234">
        <w:t xml:space="preserve"> en C</w:t>
      </w:r>
      <w:r w:rsidRPr="00330234">
        <w:rPr>
          <w:vertAlign w:val="subscript"/>
        </w:rPr>
        <w:t>max</w:t>
      </w:r>
      <w:r w:rsidRPr="00330234">
        <w:t xml:space="preserve"> bij steady-state voor tocilizumab respectievelijk 50</w:t>
      </w:r>
      <w:r w:rsidR="00955A68" w:rsidRPr="00330234">
        <w:t>.</w:t>
      </w:r>
      <w:r w:rsidRPr="00330234">
        <w:t>000 ± 16</w:t>
      </w:r>
      <w:r w:rsidR="00955A68" w:rsidRPr="00330234">
        <w:t>.</w:t>
      </w:r>
      <w:r w:rsidRPr="00330234">
        <w:t xml:space="preserve">800 mcg•uur/ml, 24,4 ± 17,5 mcg/ml, en 226 ± 50,3 mcg/ml, wat hoger is </w:t>
      </w:r>
      <w:r w:rsidRPr="00330234">
        <w:lastRenderedPageBreak/>
        <w:t>dan de gemiddelde blootstellingwaarden voor de hierboven vermelde patiëntenpopulatie (d.w.z. alle lichaamsgewichten). De dosisresponscurve voor tocilizumab vlakt af bij een hogere blootstelling, resulterend in een kleinere toename in de werkzaamheid voor elke stijging van de tocilizumabconcentratie zodat een klinisch belangrijke toename in de werkzaamheid niet werd bewezen bij patiënten die met &gt; 800 mg tocilizumab werden behandeld. Daarom worden doses tocilizumab hoger dan 800 mg per infusie niet aanbevolen (zie rubriek 4.2).</w:t>
      </w:r>
    </w:p>
    <w:p w14:paraId="1DF8EB91" w14:textId="77777777" w:rsidR="00496122" w:rsidRPr="00330234" w:rsidRDefault="00496122" w:rsidP="00496122">
      <w:pPr>
        <w:pStyle w:val="a3"/>
        <w:widowControl/>
        <w:ind w:left="0"/>
      </w:pPr>
    </w:p>
    <w:p w14:paraId="071ADF67" w14:textId="77777777" w:rsidR="00436DAA" w:rsidRPr="00330234" w:rsidRDefault="009B4B8E" w:rsidP="00BD109B">
      <w:pPr>
        <w:pStyle w:val="a3"/>
        <w:widowControl/>
        <w:ind w:left="0"/>
      </w:pPr>
      <w:r w:rsidRPr="00330234">
        <w:rPr>
          <w:u w:val="single"/>
        </w:rPr>
        <w:t>COVID-19-patiënten</w:t>
      </w:r>
    </w:p>
    <w:p w14:paraId="2CF9352E" w14:textId="04608293" w:rsidR="00436DAA" w:rsidRPr="00330234" w:rsidRDefault="009B4B8E" w:rsidP="00BD109B">
      <w:pPr>
        <w:pStyle w:val="a3"/>
        <w:widowControl/>
        <w:ind w:left="0"/>
      </w:pPr>
      <w:r w:rsidRPr="00330234">
        <w:t>De farmacokinetiek van tocilizumab is bepaald met behulp van een farmacokinetische populatieanalyse van een database die bestond uit 380 volwassen COVID-19–patiënten in onderzoek WA42380 (COVACTA) en onderzoek CA42481 (MARIPOSA) die behandeld werden met één infusie tocilizumab 8 mg/kg of twee infusies met een interval van ten minste 8 uur. De volgende parameters (voorspelde gemiddelde ± SD) zijn geschat voor een dosis tocilizumab 8 mg/kg: oppervlakte onder de curve gedurende 28 dagen (AUC</w:t>
      </w:r>
      <w:r w:rsidRPr="00330234">
        <w:rPr>
          <w:vertAlign w:val="subscript"/>
        </w:rPr>
        <w:t>0-28</w:t>
      </w:r>
      <w:r w:rsidRPr="00330234">
        <w:t>) = 18.312 (5</w:t>
      </w:r>
      <w:r w:rsidR="00955A68" w:rsidRPr="00330234">
        <w:t>.</w:t>
      </w:r>
      <w:r w:rsidRPr="00330234">
        <w:t>184) uur•µg/ml, concentratie op dag 28 (C</w:t>
      </w:r>
      <w:r w:rsidRPr="00330234">
        <w:rPr>
          <w:vertAlign w:val="subscript"/>
        </w:rPr>
        <w:t>dag28</w:t>
      </w:r>
      <w:r w:rsidRPr="00330234">
        <w:t>) = 0,934 (1,93) µg/ml en maximale concentratie (C</w:t>
      </w:r>
      <w:r w:rsidRPr="00330234">
        <w:rPr>
          <w:vertAlign w:val="subscript"/>
        </w:rPr>
        <w:t>max</w:t>
      </w:r>
      <w:r w:rsidRPr="00330234">
        <w:t>) = 154 (34,9) µg/ml. De AUC</w:t>
      </w:r>
      <w:r w:rsidRPr="00330234">
        <w:rPr>
          <w:vertAlign w:val="subscript"/>
        </w:rPr>
        <w:t>0-28</w:t>
      </w:r>
      <w:r w:rsidRPr="00330234">
        <w:t>, C</w:t>
      </w:r>
      <w:r w:rsidRPr="00330234">
        <w:rPr>
          <w:vertAlign w:val="subscript"/>
        </w:rPr>
        <w:t>dag28</w:t>
      </w:r>
      <w:r w:rsidRPr="00330234">
        <w:t xml:space="preserve"> en C</w:t>
      </w:r>
      <w:r w:rsidRPr="00330234">
        <w:rPr>
          <w:vertAlign w:val="subscript"/>
        </w:rPr>
        <w:t>max</w:t>
      </w:r>
      <w:r w:rsidRPr="00330234">
        <w:t xml:space="preserve"> na twee doses tocilizumab 8 mg/kg met een interval van 8 uur zijn ook geschat (voorspelde gemiddelde ± SD): respectievelijk 42.240 (11.520) uur•µg/ml en 8,94 (8,5) µg/ml en 296 (64,7) µg/ml.</w:t>
      </w:r>
    </w:p>
    <w:p w14:paraId="35652804" w14:textId="77777777" w:rsidR="00496122" w:rsidRPr="00330234" w:rsidRDefault="00496122" w:rsidP="00BD109B">
      <w:pPr>
        <w:pStyle w:val="a3"/>
        <w:widowControl/>
        <w:ind w:left="0"/>
      </w:pPr>
    </w:p>
    <w:p w14:paraId="6F79F97A" w14:textId="77777777" w:rsidR="00436DAA" w:rsidRPr="00330234" w:rsidRDefault="009B4B8E" w:rsidP="00BD109B">
      <w:pPr>
        <w:pStyle w:val="a3"/>
        <w:widowControl/>
        <w:ind w:left="0"/>
      </w:pPr>
      <w:r w:rsidRPr="00330234">
        <w:rPr>
          <w:u w:val="single"/>
        </w:rPr>
        <w:t>Distributie</w:t>
      </w:r>
    </w:p>
    <w:p w14:paraId="3564C05F" w14:textId="77777777" w:rsidR="00436DAA" w:rsidRPr="00330234" w:rsidRDefault="009B4B8E" w:rsidP="00BD109B">
      <w:pPr>
        <w:pStyle w:val="a3"/>
        <w:widowControl/>
        <w:ind w:left="0"/>
      </w:pPr>
      <w:r w:rsidRPr="00330234">
        <w:t>Bij RA-patiënten was het centrale verdelingsvolume 3,72 l, het perifere verdelingsvolume was 3,35 l, resulterend in een steady-state verdelingsvolume van 7,07 l.</w:t>
      </w:r>
    </w:p>
    <w:p w14:paraId="5CEAECFE" w14:textId="77777777" w:rsidR="00496122" w:rsidRPr="00330234" w:rsidRDefault="00496122" w:rsidP="00BD109B">
      <w:pPr>
        <w:pStyle w:val="a3"/>
        <w:widowControl/>
        <w:ind w:left="0"/>
      </w:pPr>
    </w:p>
    <w:p w14:paraId="7534CA82" w14:textId="77777777" w:rsidR="00436DAA" w:rsidRPr="00330234" w:rsidRDefault="009B4B8E" w:rsidP="00BD109B">
      <w:pPr>
        <w:pStyle w:val="a3"/>
        <w:widowControl/>
        <w:ind w:left="0"/>
      </w:pPr>
      <w:r w:rsidRPr="00330234">
        <w:t>Bij volwassen patiënten met COVID-19 was het centrale verdelingsvolume 4,52 l, het perifere verdelingsvolume was 4,23 l, resulterend in een verdelingsvolume van 8,75 l.</w:t>
      </w:r>
    </w:p>
    <w:p w14:paraId="047FB243" w14:textId="77777777" w:rsidR="00436DAA" w:rsidRPr="00330234" w:rsidRDefault="00436DAA" w:rsidP="00BD109B">
      <w:pPr>
        <w:widowControl/>
      </w:pPr>
    </w:p>
    <w:p w14:paraId="7E41F0CF" w14:textId="77777777" w:rsidR="00436DAA" w:rsidRPr="00330234" w:rsidRDefault="009B4B8E" w:rsidP="00BD109B">
      <w:pPr>
        <w:pStyle w:val="a3"/>
        <w:widowControl/>
        <w:ind w:left="0"/>
      </w:pPr>
      <w:r w:rsidRPr="00330234">
        <w:rPr>
          <w:u w:val="single"/>
        </w:rPr>
        <w:t>Eliminatie</w:t>
      </w:r>
    </w:p>
    <w:p w14:paraId="63B09805" w14:textId="0A306D51" w:rsidR="00436DAA" w:rsidRPr="00330234" w:rsidRDefault="009B4B8E" w:rsidP="001031F9">
      <w:pPr>
        <w:pStyle w:val="a3"/>
        <w:widowControl/>
        <w:ind w:left="0"/>
      </w:pPr>
      <w:r w:rsidRPr="00330234">
        <w:t>Na intraveneuze toediening ondergaat tocilizumab een duale eliminatie vanuit de circulatie, één na een lineaire klaring en één na een concentratieafhankelijke niet-lineaire klaring. Bij RA-patiënten was de lineaire klaring 9,5 ml/uur. Bij volwassen patiënten met COVID-19 was de lineaire klaring</w:t>
      </w:r>
      <w:r w:rsidR="001031F9" w:rsidRPr="00330234">
        <w:t xml:space="preserve"> </w:t>
      </w:r>
      <w:r w:rsidRPr="00330234">
        <w:t>17,6</w:t>
      </w:r>
      <w:r w:rsidR="001031F9" w:rsidRPr="00330234">
        <w:t> </w:t>
      </w:r>
      <w:r w:rsidRPr="00330234">
        <w:t xml:space="preserve">ml/uur bij patiënten die volgens de schaalverdeling in categorie 3 vallen (OS 3, patiënten die aanvullende zuurstof nodig hebben), 22,5 ml/uur bij patiënten met op baseline OS 4 (patiënten die </w:t>
      </w:r>
      <w:r w:rsidRPr="00330234">
        <w:rPr>
          <w:i/>
        </w:rPr>
        <w:t>high-flow</w:t>
      </w:r>
      <w:r w:rsidRPr="00330234">
        <w:t>-zuurstof of niet-invasieve beademing nodig hebben), 29 ml/uur bij patiënten met op baseline OS 5 (patiënten die mechanische beademing nodig hebben) en 35,4 ml/uur bij patiënten met op baseline OS 6 (patiënten die extracorporele membraanoxygenatie [ECMO] of mechanische beademing en aanvullende orgaanondersteuning nodig hebben). De concentratieafhankelijke niet-lineaire klaring speelt een belangrijke rol bij lagere tocilizumabconcentraties. Zodra de niet-lineaire klaringsroute verzadigd is, bij hogere concentraties tocilizumab, verloopt de klaring voornamelijk lineair.</w:t>
      </w:r>
    </w:p>
    <w:p w14:paraId="08C4F2DA" w14:textId="77777777" w:rsidR="00436DAA" w:rsidRPr="00330234" w:rsidRDefault="00436DAA" w:rsidP="00BD109B">
      <w:pPr>
        <w:pStyle w:val="a3"/>
        <w:widowControl/>
        <w:ind w:left="0"/>
      </w:pPr>
    </w:p>
    <w:p w14:paraId="06A5526A" w14:textId="77777777" w:rsidR="00436DAA" w:rsidRPr="00330234" w:rsidRDefault="009B4B8E" w:rsidP="00BD109B">
      <w:pPr>
        <w:pStyle w:val="a3"/>
        <w:widowControl/>
        <w:ind w:left="0"/>
      </w:pPr>
      <w:r w:rsidRPr="00330234">
        <w:t>Bij RA-patiënten was de t</w:t>
      </w:r>
      <w:r w:rsidRPr="00330234">
        <w:rPr>
          <w:vertAlign w:val="subscript"/>
        </w:rPr>
        <w:t>1/2</w:t>
      </w:r>
      <w:r w:rsidRPr="00330234">
        <w:t xml:space="preserve"> van tocilizumab concentratieafhankelijk. In steady-state na een dosering van 8 mg/kg elke 4 weken nam de effectieve t</w:t>
      </w:r>
      <w:r w:rsidRPr="00330234">
        <w:rPr>
          <w:vertAlign w:val="subscript"/>
        </w:rPr>
        <w:t>1/2</w:t>
      </w:r>
      <w:r w:rsidRPr="00330234">
        <w:t xml:space="preserve"> bij afnemende concentraties binnen het doseringsinterval af van 18 dagen naar 6 dagen.</w:t>
      </w:r>
    </w:p>
    <w:p w14:paraId="3632C5B2" w14:textId="77777777" w:rsidR="001031F9" w:rsidRPr="00330234" w:rsidRDefault="001031F9" w:rsidP="00BD109B">
      <w:pPr>
        <w:pStyle w:val="a3"/>
        <w:widowControl/>
        <w:ind w:left="0"/>
      </w:pPr>
    </w:p>
    <w:p w14:paraId="0F576F59" w14:textId="77777777" w:rsidR="00436DAA" w:rsidRPr="00330234" w:rsidRDefault="009B4B8E" w:rsidP="00BD109B">
      <w:pPr>
        <w:pStyle w:val="a3"/>
        <w:widowControl/>
        <w:ind w:left="0"/>
      </w:pPr>
      <w:r w:rsidRPr="00330234">
        <w:t xml:space="preserve">Bij COVID-19-patiënten lagen de serumconcentraties na gemiddeld 35 dagen onder de </w:t>
      </w:r>
      <w:r w:rsidRPr="00330234">
        <w:rPr>
          <w:i/>
        </w:rPr>
        <w:t xml:space="preserve">limit of quantification </w:t>
      </w:r>
      <w:r w:rsidRPr="00330234">
        <w:t>na één intraveneuze infusie van tocilizumab 8 mg/kg.</w:t>
      </w:r>
    </w:p>
    <w:p w14:paraId="28575DB5" w14:textId="77777777" w:rsidR="00436DAA" w:rsidRPr="00330234" w:rsidRDefault="00436DAA" w:rsidP="00BD109B">
      <w:pPr>
        <w:pStyle w:val="a3"/>
        <w:widowControl/>
        <w:ind w:left="0"/>
      </w:pPr>
    </w:p>
    <w:p w14:paraId="3AB2C152" w14:textId="77777777" w:rsidR="00436DAA" w:rsidRPr="00330234" w:rsidRDefault="009B4B8E" w:rsidP="00BD109B">
      <w:pPr>
        <w:pStyle w:val="a3"/>
        <w:widowControl/>
        <w:ind w:left="0"/>
      </w:pPr>
      <w:r w:rsidRPr="00330234">
        <w:rPr>
          <w:u w:val="single"/>
        </w:rPr>
        <w:t>Lineariteit</w:t>
      </w:r>
    </w:p>
    <w:p w14:paraId="76AF3516" w14:textId="58351DFC" w:rsidR="00436DAA" w:rsidRPr="00330234" w:rsidRDefault="009B4B8E" w:rsidP="00BD109B">
      <w:pPr>
        <w:pStyle w:val="a3"/>
        <w:widowControl/>
        <w:ind w:left="0"/>
      </w:pPr>
      <w:r w:rsidRPr="00330234">
        <w:t>Farmacokinetische parameters van tocilizumab veranderden niet met de loop van tijd. Een meer dan dosisproportionele stijging van de AUC en C</w:t>
      </w:r>
      <w:r w:rsidRPr="00330234">
        <w:rPr>
          <w:vertAlign w:val="subscript"/>
        </w:rPr>
        <w:t>min</w:t>
      </w:r>
      <w:r w:rsidRPr="00330234">
        <w:t xml:space="preserve"> werd waargenomen bij doses van 4 mg/kg en 8</w:t>
      </w:r>
      <w:r w:rsidR="001031F9" w:rsidRPr="00330234">
        <w:t> </w:t>
      </w:r>
      <w:r w:rsidRPr="00330234">
        <w:t>mg/kg elke 4 weken. De C</w:t>
      </w:r>
      <w:r w:rsidRPr="00330234">
        <w:rPr>
          <w:vertAlign w:val="subscript"/>
        </w:rPr>
        <w:t>max</w:t>
      </w:r>
      <w:r w:rsidRPr="00330234">
        <w:t xml:space="preserve"> nam dosisproportioneel toe. In steady-state waren de voorspelde AUC en C</w:t>
      </w:r>
      <w:r w:rsidRPr="00330234">
        <w:rPr>
          <w:vertAlign w:val="subscript"/>
        </w:rPr>
        <w:t>min</w:t>
      </w:r>
      <w:r w:rsidRPr="00330234">
        <w:t xml:space="preserve"> respectievelijk 3,2 en 30 keer hoger bij 8 mg/kg vergeleken met 4 mg/kg.</w:t>
      </w:r>
    </w:p>
    <w:p w14:paraId="3A948614" w14:textId="77777777" w:rsidR="00436DAA" w:rsidRPr="00330234" w:rsidRDefault="00436DAA" w:rsidP="00BD109B">
      <w:pPr>
        <w:pStyle w:val="a3"/>
        <w:widowControl/>
        <w:ind w:left="0"/>
      </w:pPr>
    </w:p>
    <w:p w14:paraId="6EE8751F" w14:textId="77777777" w:rsidR="00436DAA" w:rsidRPr="00330234" w:rsidRDefault="009B4B8E" w:rsidP="00BD109B">
      <w:pPr>
        <w:pStyle w:val="a3"/>
        <w:widowControl/>
        <w:ind w:left="0"/>
      </w:pPr>
      <w:r w:rsidRPr="00330234">
        <w:rPr>
          <w:u w:val="single"/>
        </w:rPr>
        <w:t>Speciale populaties</w:t>
      </w:r>
    </w:p>
    <w:p w14:paraId="66E20784" w14:textId="77777777" w:rsidR="00436DAA" w:rsidRPr="00330234" w:rsidRDefault="009B4B8E" w:rsidP="00BD109B">
      <w:pPr>
        <w:pStyle w:val="a3"/>
        <w:widowControl/>
        <w:ind w:left="0"/>
      </w:pPr>
      <w:r w:rsidRPr="00330234">
        <w:rPr>
          <w:i/>
        </w:rPr>
        <w:t xml:space="preserve">Verminderde nierfunctie: </w:t>
      </w:r>
      <w:r w:rsidRPr="00330234">
        <w:t>Er is geen formeel onderzoek uitgevoerd naar de effecten van nierinsufficiëntie op de farmacokinetiek van tocilizumab. De meeste patiënten in de farmacokinetische populatieanalyse hadden een normale nierfunctie of een licht verminderde nierfunctie. Een licht verminderde nierfunctie (creatinineklaring op basis van Cockroft-Gault &lt; 80 ml/min en ≥ 50 ml/min) had geen invloed op de farmacokinetiek van tocilizumab.</w:t>
      </w:r>
    </w:p>
    <w:p w14:paraId="1E7B8C83" w14:textId="77777777" w:rsidR="001031F9" w:rsidRPr="00330234" w:rsidRDefault="001031F9" w:rsidP="00BD109B">
      <w:pPr>
        <w:pStyle w:val="a3"/>
        <w:widowControl/>
        <w:ind w:left="0"/>
      </w:pPr>
    </w:p>
    <w:p w14:paraId="08474A78" w14:textId="77777777" w:rsidR="00436DAA" w:rsidRPr="00330234" w:rsidRDefault="009B4B8E" w:rsidP="00BD109B">
      <w:pPr>
        <w:pStyle w:val="a3"/>
        <w:widowControl/>
        <w:ind w:left="0"/>
      </w:pPr>
      <w:r w:rsidRPr="00330234">
        <w:rPr>
          <w:i/>
        </w:rPr>
        <w:t xml:space="preserve">Verminderde leverfunctie: </w:t>
      </w:r>
      <w:r w:rsidRPr="00330234">
        <w:t>Er is geen formeel onderzoek uitgevoerd naar de effecten van verminderde leverfunctie op de farmacokinetiek van tocilizumab.</w:t>
      </w:r>
    </w:p>
    <w:p w14:paraId="608BF403" w14:textId="77777777" w:rsidR="001031F9" w:rsidRPr="00330234" w:rsidRDefault="001031F9" w:rsidP="00BD109B">
      <w:pPr>
        <w:pStyle w:val="a3"/>
        <w:widowControl/>
        <w:ind w:left="0"/>
      </w:pPr>
    </w:p>
    <w:p w14:paraId="32008635" w14:textId="77777777" w:rsidR="00436DAA" w:rsidRPr="00330234" w:rsidRDefault="009B4B8E" w:rsidP="00BD109B">
      <w:pPr>
        <w:pStyle w:val="a3"/>
        <w:widowControl/>
        <w:ind w:left="0"/>
      </w:pPr>
      <w:r w:rsidRPr="00330234">
        <w:rPr>
          <w:i/>
        </w:rPr>
        <w:t xml:space="preserve">Leeftijd, geslacht en etniciteit: </w:t>
      </w:r>
      <w:r w:rsidRPr="00330234">
        <w:t>Farmacokinetische populatieanalyses bij RA-patiënten en COVID-19 patiënten hebben aangetoond dat de farmacokinetiek van tocilizumab niet wordt beïnvloed door leeftijd, geslacht of etnische achtergrond.</w:t>
      </w:r>
    </w:p>
    <w:p w14:paraId="592963F6" w14:textId="77777777" w:rsidR="00436DAA" w:rsidRPr="00330234" w:rsidRDefault="00436DAA" w:rsidP="00BD109B">
      <w:pPr>
        <w:pStyle w:val="a3"/>
        <w:widowControl/>
        <w:ind w:left="0"/>
      </w:pPr>
    </w:p>
    <w:p w14:paraId="23ECC3DD" w14:textId="77777777" w:rsidR="00436DAA" w:rsidRPr="00330234" w:rsidRDefault="009B4B8E" w:rsidP="00BD109B">
      <w:pPr>
        <w:pStyle w:val="a3"/>
        <w:widowControl/>
        <w:ind w:left="0"/>
      </w:pPr>
      <w:r w:rsidRPr="00330234">
        <w:t>Resultaten van de farmacokinetische populatieanalyse voor COVID-19-patiënten bevestigden dat lichaamsgewicht en ziekte-ernst beide covarianten zijn met een waarneembare invloed op de lineaire klaring van tocilizumab.</w:t>
      </w:r>
    </w:p>
    <w:p w14:paraId="17DD4EE8" w14:textId="77777777" w:rsidR="001031F9" w:rsidRPr="00330234" w:rsidRDefault="001031F9" w:rsidP="00BD109B">
      <w:pPr>
        <w:pStyle w:val="a3"/>
        <w:widowControl/>
        <w:ind w:left="0"/>
      </w:pPr>
    </w:p>
    <w:p w14:paraId="4D22B38D" w14:textId="77777777" w:rsidR="00436DAA" w:rsidRPr="00330234" w:rsidRDefault="009B4B8E" w:rsidP="00BD109B">
      <w:pPr>
        <w:widowControl/>
      </w:pPr>
      <w:r w:rsidRPr="00330234">
        <w:rPr>
          <w:i/>
        </w:rPr>
        <w:t>sJIA-patiënten</w:t>
      </w:r>
      <w:r w:rsidRPr="00330234">
        <w:t>:</w:t>
      </w:r>
    </w:p>
    <w:p w14:paraId="3CBB953C" w14:textId="5550420F" w:rsidR="00436DAA" w:rsidRPr="00330234" w:rsidRDefault="009B4B8E" w:rsidP="00C01A27">
      <w:pPr>
        <w:pStyle w:val="a3"/>
        <w:widowControl/>
        <w:ind w:left="0"/>
      </w:pPr>
      <w:r w:rsidRPr="00330234">
        <w:t>De farmacokinetiek van tocilizumab is bepaald met behulp van een farmacokinetische populatieanalyse van een database die bestond uit 140 sJIA-patiënten behandeld met 8 mg/kg intraveneus elke 2 weken (patiënten met een lichaamsgewicht ≥ 30 kg), 12 mg/kg intraveneus elke 2</w:t>
      </w:r>
      <w:r w:rsidR="001031F9" w:rsidRPr="00330234">
        <w:t> </w:t>
      </w:r>
      <w:r w:rsidRPr="00330234">
        <w:t>weken (patiënten met een lichaamsgewicht &lt; 30 kg), 162 mg subcutaan elke week (patiënten met</w:t>
      </w:r>
      <w:r w:rsidR="0084130A" w:rsidRPr="00330234">
        <w:t xml:space="preserve"> </w:t>
      </w:r>
      <w:r w:rsidRPr="00330234">
        <w:t>een lichaamsgewicht ≥ 30 kg), of 162 mg subcutaan elke 10 dagen of elke 2 weken (patiënten met een lichaamsgewicht &lt; 30 kg).</w:t>
      </w:r>
    </w:p>
    <w:p w14:paraId="5C80AE13" w14:textId="77777777" w:rsidR="001031F9" w:rsidRPr="00330234" w:rsidRDefault="001031F9" w:rsidP="00BD109B">
      <w:pPr>
        <w:pStyle w:val="a3"/>
        <w:widowControl/>
        <w:ind w:left="0"/>
      </w:pPr>
    </w:p>
    <w:p w14:paraId="07DFB009" w14:textId="482A4591" w:rsidR="00436DAA" w:rsidRPr="00330234" w:rsidRDefault="009B4B8E" w:rsidP="00DD4C0C">
      <w:pPr>
        <w:keepNext/>
        <w:keepLines/>
        <w:widowControl/>
        <w:ind w:left="1134" w:hanging="1134"/>
        <w:rPr>
          <w:i/>
        </w:rPr>
      </w:pPr>
      <w:r w:rsidRPr="00330234">
        <w:rPr>
          <w:i/>
        </w:rPr>
        <w:t>Tabel 11</w:t>
      </w:r>
      <w:r w:rsidR="00DD4C0C" w:rsidRPr="00330234">
        <w:rPr>
          <w:i/>
        </w:rPr>
        <w:tab/>
      </w:r>
      <w:r w:rsidRPr="00330234">
        <w:rPr>
          <w:i/>
        </w:rPr>
        <w:t>Voorspelde gemiddelde ± SD farmacokinetische (PK)-parameters bij steady-state na i.v. toediening bij sJIA</w:t>
      </w:r>
    </w:p>
    <w:p w14:paraId="2B710810" w14:textId="77777777" w:rsidR="00436DAA" w:rsidRPr="00330234" w:rsidRDefault="00436DAA" w:rsidP="00BD109B">
      <w:pPr>
        <w:pStyle w:val="a3"/>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2904"/>
        <w:gridCol w:w="2904"/>
      </w:tblGrid>
      <w:tr w:rsidR="00436DAA" w:rsidRPr="00330234" w14:paraId="55828859" w14:textId="77777777" w:rsidTr="001B3E1E">
        <w:trPr>
          <w:trHeight w:val="20"/>
        </w:trPr>
        <w:tc>
          <w:tcPr>
            <w:tcW w:w="3258" w:type="dxa"/>
          </w:tcPr>
          <w:p w14:paraId="2A4F0988" w14:textId="030314B7" w:rsidR="00436DAA" w:rsidRPr="00330234" w:rsidRDefault="00955A68" w:rsidP="001031F9">
            <w:pPr>
              <w:pStyle w:val="TableParagraph"/>
              <w:widowControl/>
              <w:jc w:val="center"/>
              <w:rPr>
                <w:b/>
              </w:rPr>
            </w:pPr>
            <w:r w:rsidRPr="00330234">
              <w:rPr>
                <w:b/>
              </w:rPr>
              <w:t xml:space="preserve">Tocilizumab </w:t>
            </w:r>
            <w:r w:rsidR="009B4B8E" w:rsidRPr="00330234">
              <w:rPr>
                <w:b/>
              </w:rPr>
              <w:t>PK-parameter</w:t>
            </w:r>
          </w:p>
        </w:tc>
        <w:tc>
          <w:tcPr>
            <w:tcW w:w="2904" w:type="dxa"/>
          </w:tcPr>
          <w:p w14:paraId="352D7754" w14:textId="77777777" w:rsidR="00436DAA" w:rsidRPr="00330234" w:rsidRDefault="009B4B8E" w:rsidP="001031F9">
            <w:pPr>
              <w:pStyle w:val="TableParagraph"/>
              <w:widowControl/>
              <w:jc w:val="center"/>
              <w:rPr>
                <w:b/>
              </w:rPr>
            </w:pPr>
            <w:r w:rsidRPr="00330234">
              <w:rPr>
                <w:b/>
              </w:rPr>
              <w:t>8 mg/kg Q2W ≥ 30 kg</w:t>
            </w:r>
          </w:p>
        </w:tc>
        <w:tc>
          <w:tcPr>
            <w:tcW w:w="2904" w:type="dxa"/>
          </w:tcPr>
          <w:p w14:paraId="2C47B1F3" w14:textId="77777777" w:rsidR="00436DAA" w:rsidRPr="00330234" w:rsidRDefault="009B4B8E" w:rsidP="001031F9">
            <w:pPr>
              <w:pStyle w:val="TableParagraph"/>
              <w:widowControl/>
              <w:jc w:val="center"/>
              <w:rPr>
                <w:b/>
              </w:rPr>
            </w:pPr>
            <w:r w:rsidRPr="00330234">
              <w:rPr>
                <w:b/>
              </w:rPr>
              <w:t>12 mg/kg Q2W &lt; 30 kg</w:t>
            </w:r>
          </w:p>
        </w:tc>
      </w:tr>
      <w:tr w:rsidR="00436DAA" w:rsidRPr="00330234" w14:paraId="738D6C04" w14:textId="77777777" w:rsidTr="001B3E1E">
        <w:trPr>
          <w:trHeight w:val="20"/>
        </w:trPr>
        <w:tc>
          <w:tcPr>
            <w:tcW w:w="3258" w:type="dxa"/>
          </w:tcPr>
          <w:p w14:paraId="0BB5ACB4" w14:textId="77777777" w:rsidR="00436DAA" w:rsidRPr="00330234" w:rsidRDefault="009B4B8E" w:rsidP="00BD109B">
            <w:pPr>
              <w:pStyle w:val="TableParagraph"/>
              <w:widowControl/>
            </w:pPr>
            <w:r w:rsidRPr="00330234">
              <w:t>C</w:t>
            </w:r>
            <w:r w:rsidRPr="00330234">
              <w:rPr>
                <w:vertAlign w:val="subscript"/>
              </w:rPr>
              <w:t>max</w:t>
            </w:r>
            <w:r w:rsidRPr="00330234">
              <w:t xml:space="preserve"> (µg/ml)</w:t>
            </w:r>
          </w:p>
        </w:tc>
        <w:tc>
          <w:tcPr>
            <w:tcW w:w="2904" w:type="dxa"/>
          </w:tcPr>
          <w:p w14:paraId="53AF3E38" w14:textId="77777777" w:rsidR="00436DAA" w:rsidRPr="00330234" w:rsidRDefault="009B4B8E" w:rsidP="001031F9">
            <w:pPr>
              <w:pStyle w:val="TableParagraph"/>
              <w:widowControl/>
              <w:jc w:val="center"/>
            </w:pPr>
            <w:r w:rsidRPr="00330234">
              <w:t>256 ± 60,8</w:t>
            </w:r>
          </w:p>
        </w:tc>
        <w:tc>
          <w:tcPr>
            <w:tcW w:w="2904" w:type="dxa"/>
          </w:tcPr>
          <w:p w14:paraId="04F2D977" w14:textId="1B02C325" w:rsidR="00436DAA" w:rsidRPr="00330234" w:rsidRDefault="009B4B8E" w:rsidP="001031F9">
            <w:pPr>
              <w:pStyle w:val="TableParagraph"/>
              <w:widowControl/>
              <w:jc w:val="center"/>
            </w:pPr>
            <w:r w:rsidRPr="00330234">
              <w:t xml:space="preserve">274 </w:t>
            </w:r>
            <w:r w:rsidR="001031F9" w:rsidRPr="00330234">
              <w:t xml:space="preserve">± </w:t>
            </w:r>
            <w:r w:rsidRPr="00330234">
              <w:t>63,8</w:t>
            </w:r>
          </w:p>
        </w:tc>
      </w:tr>
      <w:tr w:rsidR="00436DAA" w:rsidRPr="00330234" w14:paraId="40D8BBD6" w14:textId="77777777" w:rsidTr="001B3E1E">
        <w:trPr>
          <w:trHeight w:val="20"/>
        </w:trPr>
        <w:tc>
          <w:tcPr>
            <w:tcW w:w="3258" w:type="dxa"/>
          </w:tcPr>
          <w:p w14:paraId="1375C1BA" w14:textId="77777777" w:rsidR="00436DAA" w:rsidRPr="00330234" w:rsidRDefault="009B4B8E" w:rsidP="00BD109B">
            <w:pPr>
              <w:pStyle w:val="TableParagraph"/>
              <w:widowControl/>
            </w:pPr>
            <w:r w:rsidRPr="00330234">
              <w:t>C</w:t>
            </w:r>
            <w:r w:rsidRPr="00330234">
              <w:rPr>
                <w:vertAlign w:val="subscript"/>
              </w:rPr>
              <w:t>dal</w:t>
            </w:r>
            <w:r w:rsidRPr="00330234">
              <w:t xml:space="preserve"> (µg/ml)</w:t>
            </w:r>
          </w:p>
        </w:tc>
        <w:tc>
          <w:tcPr>
            <w:tcW w:w="2904" w:type="dxa"/>
          </w:tcPr>
          <w:p w14:paraId="2795C22E" w14:textId="77777777" w:rsidR="00436DAA" w:rsidRPr="00330234" w:rsidRDefault="009B4B8E" w:rsidP="001031F9">
            <w:pPr>
              <w:pStyle w:val="TableParagraph"/>
              <w:widowControl/>
              <w:jc w:val="center"/>
            </w:pPr>
            <w:r w:rsidRPr="00330234">
              <w:t>69,7 ± 29,1</w:t>
            </w:r>
          </w:p>
        </w:tc>
        <w:tc>
          <w:tcPr>
            <w:tcW w:w="2904" w:type="dxa"/>
          </w:tcPr>
          <w:p w14:paraId="37472EBC" w14:textId="7B26B574" w:rsidR="00436DAA" w:rsidRPr="00330234" w:rsidRDefault="009B4B8E" w:rsidP="001031F9">
            <w:pPr>
              <w:pStyle w:val="TableParagraph"/>
              <w:widowControl/>
              <w:jc w:val="center"/>
            </w:pPr>
            <w:r w:rsidRPr="00330234">
              <w:t xml:space="preserve">68,4 </w:t>
            </w:r>
            <w:r w:rsidR="001031F9" w:rsidRPr="00330234">
              <w:t>±</w:t>
            </w:r>
            <w:r w:rsidRPr="00330234">
              <w:t xml:space="preserve"> 30,0</w:t>
            </w:r>
          </w:p>
        </w:tc>
      </w:tr>
      <w:tr w:rsidR="00436DAA" w:rsidRPr="00330234" w14:paraId="08549ECD" w14:textId="77777777" w:rsidTr="001B3E1E">
        <w:trPr>
          <w:trHeight w:val="20"/>
        </w:trPr>
        <w:tc>
          <w:tcPr>
            <w:tcW w:w="3258" w:type="dxa"/>
          </w:tcPr>
          <w:p w14:paraId="55AADCE7" w14:textId="77777777" w:rsidR="00436DAA" w:rsidRPr="00330234" w:rsidRDefault="009B4B8E" w:rsidP="00BD109B">
            <w:pPr>
              <w:pStyle w:val="TableParagraph"/>
              <w:widowControl/>
            </w:pPr>
            <w:r w:rsidRPr="00330234">
              <w:t>C</w:t>
            </w:r>
            <w:r w:rsidRPr="00330234">
              <w:rPr>
                <w:vertAlign w:val="subscript"/>
              </w:rPr>
              <w:t>gemiddelde</w:t>
            </w:r>
            <w:r w:rsidRPr="00330234">
              <w:t xml:space="preserve"> (µg/ml)</w:t>
            </w:r>
          </w:p>
        </w:tc>
        <w:tc>
          <w:tcPr>
            <w:tcW w:w="2904" w:type="dxa"/>
          </w:tcPr>
          <w:p w14:paraId="16E973CB" w14:textId="77777777" w:rsidR="00436DAA" w:rsidRPr="00330234" w:rsidRDefault="009B4B8E" w:rsidP="001031F9">
            <w:pPr>
              <w:pStyle w:val="TableParagraph"/>
              <w:widowControl/>
              <w:jc w:val="center"/>
            </w:pPr>
            <w:r w:rsidRPr="00330234">
              <w:t>119 ± 36,0</w:t>
            </w:r>
          </w:p>
        </w:tc>
        <w:tc>
          <w:tcPr>
            <w:tcW w:w="2904" w:type="dxa"/>
          </w:tcPr>
          <w:p w14:paraId="150BFF7A" w14:textId="456A5319" w:rsidR="00436DAA" w:rsidRPr="00330234" w:rsidRDefault="009B4B8E" w:rsidP="001031F9">
            <w:pPr>
              <w:pStyle w:val="TableParagraph"/>
              <w:widowControl/>
              <w:jc w:val="center"/>
            </w:pPr>
            <w:r w:rsidRPr="00330234">
              <w:t xml:space="preserve">123 </w:t>
            </w:r>
            <w:r w:rsidR="001031F9" w:rsidRPr="00330234">
              <w:t>±</w:t>
            </w:r>
            <w:r w:rsidRPr="00330234">
              <w:t xml:space="preserve"> 36,0</w:t>
            </w:r>
          </w:p>
        </w:tc>
      </w:tr>
      <w:tr w:rsidR="00436DAA" w:rsidRPr="00330234" w14:paraId="7A2DA297" w14:textId="77777777" w:rsidTr="001B3E1E">
        <w:trPr>
          <w:trHeight w:val="20"/>
        </w:trPr>
        <w:tc>
          <w:tcPr>
            <w:tcW w:w="3258" w:type="dxa"/>
          </w:tcPr>
          <w:p w14:paraId="72F8C7DC" w14:textId="77777777" w:rsidR="00436DAA" w:rsidRPr="00330234" w:rsidRDefault="009B4B8E" w:rsidP="00BD109B">
            <w:pPr>
              <w:pStyle w:val="TableParagraph"/>
              <w:widowControl/>
            </w:pPr>
            <w:r w:rsidRPr="00330234">
              <w:t>Accumulatie C</w:t>
            </w:r>
            <w:r w:rsidRPr="00330234">
              <w:rPr>
                <w:vertAlign w:val="subscript"/>
              </w:rPr>
              <w:t>max</w:t>
            </w:r>
          </w:p>
        </w:tc>
        <w:tc>
          <w:tcPr>
            <w:tcW w:w="2904" w:type="dxa"/>
          </w:tcPr>
          <w:p w14:paraId="4D184A2B" w14:textId="77777777" w:rsidR="00436DAA" w:rsidRPr="00330234" w:rsidRDefault="009B4B8E" w:rsidP="001031F9">
            <w:pPr>
              <w:pStyle w:val="TableParagraph"/>
              <w:widowControl/>
              <w:jc w:val="center"/>
            </w:pPr>
            <w:r w:rsidRPr="00330234">
              <w:t>1,42</w:t>
            </w:r>
          </w:p>
        </w:tc>
        <w:tc>
          <w:tcPr>
            <w:tcW w:w="2904" w:type="dxa"/>
          </w:tcPr>
          <w:p w14:paraId="37E22837" w14:textId="77777777" w:rsidR="00436DAA" w:rsidRPr="00330234" w:rsidRDefault="009B4B8E" w:rsidP="001031F9">
            <w:pPr>
              <w:pStyle w:val="TableParagraph"/>
              <w:widowControl/>
              <w:jc w:val="center"/>
            </w:pPr>
            <w:r w:rsidRPr="00330234">
              <w:t>1,37</w:t>
            </w:r>
          </w:p>
        </w:tc>
      </w:tr>
      <w:tr w:rsidR="00436DAA" w:rsidRPr="00330234" w14:paraId="31A6D1B0" w14:textId="77777777" w:rsidTr="001B3E1E">
        <w:trPr>
          <w:trHeight w:val="20"/>
        </w:trPr>
        <w:tc>
          <w:tcPr>
            <w:tcW w:w="3258" w:type="dxa"/>
          </w:tcPr>
          <w:p w14:paraId="43C3682D" w14:textId="77777777" w:rsidR="00436DAA" w:rsidRPr="00330234" w:rsidRDefault="009B4B8E" w:rsidP="00BD109B">
            <w:pPr>
              <w:pStyle w:val="TableParagraph"/>
              <w:widowControl/>
            </w:pPr>
            <w:r w:rsidRPr="00330234">
              <w:t>Accumulatie C</w:t>
            </w:r>
            <w:r w:rsidRPr="00330234">
              <w:rPr>
                <w:vertAlign w:val="subscript"/>
              </w:rPr>
              <w:t>dal</w:t>
            </w:r>
          </w:p>
        </w:tc>
        <w:tc>
          <w:tcPr>
            <w:tcW w:w="2904" w:type="dxa"/>
          </w:tcPr>
          <w:p w14:paraId="3A8060C9" w14:textId="77777777" w:rsidR="00436DAA" w:rsidRPr="00330234" w:rsidRDefault="009B4B8E" w:rsidP="001031F9">
            <w:pPr>
              <w:pStyle w:val="TableParagraph"/>
              <w:widowControl/>
              <w:jc w:val="center"/>
            </w:pPr>
            <w:r w:rsidRPr="00330234">
              <w:t>3,20</w:t>
            </w:r>
          </w:p>
        </w:tc>
        <w:tc>
          <w:tcPr>
            <w:tcW w:w="2904" w:type="dxa"/>
          </w:tcPr>
          <w:p w14:paraId="6A0DE213" w14:textId="77777777" w:rsidR="00436DAA" w:rsidRPr="00330234" w:rsidRDefault="009B4B8E" w:rsidP="001031F9">
            <w:pPr>
              <w:pStyle w:val="TableParagraph"/>
              <w:widowControl/>
              <w:jc w:val="center"/>
            </w:pPr>
            <w:r w:rsidRPr="00330234">
              <w:t>3,41</w:t>
            </w:r>
          </w:p>
        </w:tc>
      </w:tr>
      <w:tr w:rsidR="00436DAA" w:rsidRPr="00330234" w14:paraId="42196E2B" w14:textId="77777777" w:rsidTr="001B3E1E">
        <w:trPr>
          <w:trHeight w:val="20"/>
        </w:trPr>
        <w:tc>
          <w:tcPr>
            <w:tcW w:w="3258" w:type="dxa"/>
          </w:tcPr>
          <w:p w14:paraId="67C71E28" w14:textId="77777777" w:rsidR="00436DAA" w:rsidRPr="00330234" w:rsidRDefault="009B4B8E" w:rsidP="00BD109B">
            <w:pPr>
              <w:pStyle w:val="TableParagraph"/>
              <w:widowControl/>
            </w:pPr>
            <w:r w:rsidRPr="00330234">
              <w:t>Accumulatie C</w:t>
            </w:r>
            <w:r w:rsidRPr="00330234">
              <w:rPr>
                <w:vertAlign w:val="subscript"/>
              </w:rPr>
              <w:t>gemiddelde</w:t>
            </w:r>
            <w:r w:rsidRPr="00330234">
              <w:t xml:space="preserve"> of AUC</w:t>
            </w:r>
            <w:r w:rsidRPr="00330234">
              <w:rPr>
                <w:vertAlign w:val="subscript"/>
              </w:rPr>
              <w:t>τ</w:t>
            </w:r>
            <w:r w:rsidRPr="00330234">
              <w:t>*</w:t>
            </w:r>
          </w:p>
        </w:tc>
        <w:tc>
          <w:tcPr>
            <w:tcW w:w="2904" w:type="dxa"/>
          </w:tcPr>
          <w:p w14:paraId="5CDCE0D6" w14:textId="77777777" w:rsidR="00436DAA" w:rsidRPr="00330234" w:rsidRDefault="009B4B8E" w:rsidP="001031F9">
            <w:pPr>
              <w:pStyle w:val="TableParagraph"/>
              <w:widowControl/>
              <w:jc w:val="center"/>
            </w:pPr>
            <w:r w:rsidRPr="00330234">
              <w:t>2,01</w:t>
            </w:r>
          </w:p>
        </w:tc>
        <w:tc>
          <w:tcPr>
            <w:tcW w:w="2904" w:type="dxa"/>
          </w:tcPr>
          <w:p w14:paraId="20AA58B2" w14:textId="77777777" w:rsidR="00436DAA" w:rsidRPr="00330234" w:rsidRDefault="009B4B8E" w:rsidP="001031F9">
            <w:pPr>
              <w:pStyle w:val="TableParagraph"/>
              <w:widowControl/>
              <w:jc w:val="center"/>
            </w:pPr>
            <w:r w:rsidRPr="00330234">
              <w:t>1,95</w:t>
            </w:r>
          </w:p>
        </w:tc>
      </w:tr>
    </w:tbl>
    <w:p w14:paraId="64A448BA" w14:textId="73EBB20D" w:rsidR="00436DAA" w:rsidRPr="00330234" w:rsidRDefault="009B4B8E" w:rsidP="00DD4C0C">
      <w:pPr>
        <w:widowControl/>
        <w:ind w:left="284" w:hanging="284"/>
        <w:rPr>
          <w:sz w:val="18"/>
          <w:szCs w:val="18"/>
        </w:rPr>
      </w:pPr>
      <w:r w:rsidRPr="00330234">
        <w:rPr>
          <w:sz w:val="18"/>
          <w:szCs w:val="18"/>
        </w:rPr>
        <w:t>*</w:t>
      </w:r>
      <w:r w:rsidR="00DD4C0C" w:rsidRPr="00330234">
        <w:rPr>
          <w:sz w:val="18"/>
          <w:szCs w:val="18"/>
        </w:rPr>
        <w:tab/>
      </w:r>
      <w:r w:rsidRPr="00330234">
        <w:rPr>
          <w:sz w:val="18"/>
          <w:szCs w:val="18"/>
        </w:rPr>
        <w:t>τ = 2 weken voor i.v. regimes</w:t>
      </w:r>
    </w:p>
    <w:p w14:paraId="0D86F0FF" w14:textId="77777777" w:rsidR="00436DAA" w:rsidRPr="00330234" w:rsidRDefault="00436DAA" w:rsidP="00BD109B">
      <w:pPr>
        <w:pStyle w:val="a3"/>
        <w:widowControl/>
        <w:ind w:left="0"/>
      </w:pPr>
    </w:p>
    <w:p w14:paraId="0CD82FEC" w14:textId="67DA48B7" w:rsidR="00436DAA" w:rsidRPr="00330234" w:rsidRDefault="009B4B8E" w:rsidP="00BD109B">
      <w:pPr>
        <w:pStyle w:val="a3"/>
        <w:widowControl/>
        <w:ind w:left="0"/>
      </w:pPr>
      <w:r w:rsidRPr="00330234">
        <w:t>Na intraveneuze toediening werd bij week 8 ongeveer 90% steady-state bereikt voor zowel het 12</w:t>
      </w:r>
      <w:r w:rsidR="001031F9" w:rsidRPr="00330234">
        <w:t> </w:t>
      </w:r>
      <w:r w:rsidRPr="00330234">
        <w:t>mg/kg (patiënten met een lichaamsgewicht &lt; 30 kg) als het 8 mg/kg Q2W (patiënten met een lichaamsgewicht ≥ 30 kg) regime.</w:t>
      </w:r>
    </w:p>
    <w:p w14:paraId="5CB31692" w14:textId="77777777" w:rsidR="00436DAA" w:rsidRPr="00330234" w:rsidRDefault="00436DAA" w:rsidP="00BD109B">
      <w:pPr>
        <w:pStyle w:val="a3"/>
        <w:widowControl/>
        <w:ind w:left="0"/>
      </w:pPr>
    </w:p>
    <w:p w14:paraId="5D75D4D3" w14:textId="77777777" w:rsidR="00436DAA" w:rsidRPr="00330234" w:rsidRDefault="009B4B8E" w:rsidP="00BD109B">
      <w:pPr>
        <w:pStyle w:val="a3"/>
        <w:widowControl/>
        <w:ind w:left="0"/>
      </w:pPr>
      <w:r w:rsidRPr="00330234">
        <w:t>Bij sJIA-patiënten was het centrale verdelingsvolume 1,87 l en het perifere verdelingsvolume 2,14 l, wat resulteerde in een steady-state verdelingsvolume van 4,01 l. De lineaire klaring, geschat als parameter bij de farmacokinetische populatieanalyse, was 5,7 ml/uur.</w:t>
      </w:r>
    </w:p>
    <w:p w14:paraId="0C72912D" w14:textId="77777777" w:rsidR="00436DAA" w:rsidRPr="00330234" w:rsidRDefault="00436DAA" w:rsidP="00BD109B">
      <w:pPr>
        <w:pStyle w:val="a3"/>
        <w:widowControl/>
        <w:ind w:left="0"/>
      </w:pPr>
    </w:p>
    <w:p w14:paraId="22381BC1" w14:textId="77777777" w:rsidR="00436DAA" w:rsidRPr="00330234" w:rsidRDefault="009B4B8E" w:rsidP="00BD109B">
      <w:pPr>
        <w:pStyle w:val="a3"/>
        <w:widowControl/>
        <w:ind w:left="0"/>
      </w:pPr>
      <w:r w:rsidRPr="00330234">
        <w:t>De halfwaardetijd van tocilizumab bij sJIA-patiënten is tot 16 dagen voor de twee lichaamsgewicht- categorieën (8 mg/kg voor lichaamsgewicht ≥ 30 kg of 12 mg/kg voor lichaamsgewicht &lt; 30 kg) op week 12.</w:t>
      </w:r>
    </w:p>
    <w:p w14:paraId="5EE7F798" w14:textId="77777777" w:rsidR="001031F9" w:rsidRPr="00330234" w:rsidRDefault="001031F9" w:rsidP="00BD109B">
      <w:pPr>
        <w:pStyle w:val="a3"/>
        <w:widowControl/>
        <w:ind w:left="0"/>
      </w:pPr>
    </w:p>
    <w:p w14:paraId="5D8D7BA0" w14:textId="77777777" w:rsidR="00436DAA" w:rsidRPr="00330234" w:rsidRDefault="009B4B8E" w:rsidP="00BD109B">
      <w:pPr>
        <w:widowControl/>
      </w:pPr>
      <w:r w:rsidRPr="00330234">
        <w:rPr>
          <w:i/>
        </w:rPr>
        <w:t>pJIA-patiënten</w:t>
      </w:r>
      <w:r w:rsidRPr="00330234">
        <w:t>:</w:t>
      </w:r>
    </w:p>
    <w:p w14:paraId="1E0AD569" w14:textId="29BA9435" w:rsidR="00436DAA" w:rsidRPr="00330234" w:rsidRDefault="009B4B8E" w:rsidP="001031F9">
      <w:pPr>
        <w:pStyle w:val="a3"/>
        <w:widowControl/>
        <w:ind w:left="0"/>
      </w:pPr>
      <w:r w:rsidRPr="00330234">
        <w:t>De farmacokinetiek van tocilizumab bij pJIA-patiënten werd bepaald met behulp van een farmacokinetische populatieanalyse die bestond uit 237 patiënten behandeld met 8 mg/kg intraveneus elke 4 weken (patiënten met een lichaamsgewicht ≥ 30 kg), 10 mg/kg intraveneus elke 4 weken (patiënten met een lichaamsgewicht &lt; 30 kg), 162 mg subcutaan elke 2 weken (patiënten met een lichaamsgewicht ≥ 30 kg), of 162 mg subcutaan elke 3 weken (patiënten met een lichaamsgewicht</w:t>
      </w:r>
      <w:r w:rsidR="001031F9" w:rsidRPr="00330234">
        <w:t xml:space="preserve"> </w:t>
      </w:r>
      <w:r w:rsidRPr="00330234">
        <w:t>&lt;</w:t>
      </w:r>
      <w:r w:rsidR="001031F9" w:rsidRPr="00330234">
        <w:t> </w:t>
      </w:r>
      <w:r w:rsidRPr="00330234">
        <w:t>30 kg).</w:t>
      </w:r>
    </w:p>
    <w:p w14:paraId="20A9DFD5" w14:textId="77777777" w:rsidR="00436DAA" w:rsidRPr="00330234" w:rsidRDefault="00436DAA" w:rsidP="00BD109B">
      <w:pPr>
        <w:pStyle w:val="a3"/>
        <w:widowControl/>
        <w:ind w:left="0"/>
      </w:pPr>
    </w:p>
    <w:p w14:paraId="2FFCBB2F" w14:textId="4C25C17F" w:rsidR="00436DAA" w:rsidRPr="00330234" w:rsidRDefault="009B4B8E" w:rsidP="00DD4C0C">
      <w:pPr>
        <w:keepNext/>
        <w:keepLines/>
        <w:widowControl/>
        <w:ind w:left="1134" w:hanging="1134"/>
        <w:rPr>
          <w:i/>
        </w:rPr>
      </w:pPr>
      <w:r w:rsidRPr="00330234">
        <w:rPr>
          <w:i/>
        </w:rPr>
        <w:t>Tabel 12</w:t>
      </w:r>
      <w:r w:rsidR="00DD4C0C" w:rsidRPr="00330234">
        <w:rPr>
          <w:i/>
        </w:rPr>
        <w:tab/>
      </w:r>
      <w:r w:rsidRPr="00330234">
        <w:rPr>
          <w:i/>
        </w:rPr>
        <w:t>Voorspelde gemiddelde ± SD PK-parameters bij steady-state na i.v. toediening bij pJIA</w:t>
      </w:r>
    </w:p>
    <w:p w14:paraId="0DA5B486" w14:textId="77777777" w:rsidR="00436DAA" w:rsidRPr="00330234" w:rsidRDefault="00436DAA" w:rsidP="00DD4C0C">
      <w:pPr>
        <w:pStyle w:val="a3"/>
        <w:keepNext/>
        <w:keepLines/>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2904"/>
        <w:gridCol w:w="2904"/>
      </w:tblGrid>
      <w:tr w:rsidR="00436DAA" w:rsidRPr="00330234" w14:paraId="05F8F722" w14:textId="77777777" w:rsidTr="001B3E1E">
        <w:trPr>
          <w:trHeight w:val="20"/>
        </w:trPr>
        <w:tc>
          <w:tcPr>
            <w:tcW w:w="3258" w:type="dxa"/>
          </w:tcPr>
          <w:p w14:paraId="290B1FDE" w14:textId="283E6D19" w:rsidR="00436DAA" w:rsidRPr="00330234" w:rsidRDefault="00955A68" w:rsidP="00DD4C0C">
            <w:pPr>
              <w:pStyle w:val="TableParagraph"/>
              <w:keepNext/>
              <w:keepLines/>
              <w:widowControl/>
              <w:rPr>
                <w:b/>
              </w:rPr>
            </w:pPr>
            <w:r w:rsidRPr="00330234">
              <w:rPr>
                <w:b/>
              </w:rPr>
              <w:t xml:space="preserve">Tocilizumab </w:t>
            </w:r>
            <w:r w:rsidR="009B4B8E" w:rsidRPr="00330234">
              <w:rPr>
                <w:b/>
              </w:rPr>
              <w:t>PK-parameter</w:t>
            </w:r>
          </w:p>
        </w:tc>
        <w:tc>
          <w:tcPr>
            <w:tcW w:w="2904" w:type="dxa"/>
          </w:tcPr>
          <w:p w14:paraId="2AD2616A" w14:textId="77777777" w:rsidR="00436DAA" w:rsidRPr="00330234" w:rsidRDefault="009B4B8E" w:rsidP="00DD4C0C">
            <w:pPr>
              <w:pStyle w:val="TableParagraph"/>
              <w:keepNext/>
              <w:keepLines/>
              <w:widowControl/>
              <w:jc w:val="center"/>
              <w:rPr>
                <w:b/>
              </w:rPr>
            </w:pPr>
            <w:r w:rsidRPr="00330234">
              <w:rPr>
                <w:b/>
              </w:rPr>
              <w:t>8 mg/kg Q4W ≥ 30 kg</w:t>
            </w:r>
          </w:p>
        </w:tc>
        <w:tc>
          <w:tcPr>
            <w:tcW w:w="2904" w:type="dxa"/>
          </w:tcPr>
          <w:p w14:paraId="63EFEA36" w14:textId="77777777" w:rsidR="00436DAA" w:rsidRPr="00330234" w:rsidRDefault="009B4B8E" w:rsidP="00DD4C0C">
            <w:pPr>
              <w:pStyle w:val="TableParagraph"/>
              <w:keepNext/>
              <w:keepLines/>
              <w:widowControl/>
              <w:jc w:val="center"/>
              <w:rPr>
                <w:b/>
              </w:rPr>
            </w:pPr>
            <w:r w:rsidRPr="00330234">
              <w:rPr>
                <w:b/>
              </w:rPr>
              <w:t>10 mg/kg Q4W &lt; 30 kg</w:t>
            </w:r>
          </w:p>
        </w:tc>
      </w:tr>
      <w:tr w:rsidR="00436DAA" w:rsidRPr="00330234" w14:paraId="10705D4D" w14:textId="77777777" w:rsidTr="001B3E1E">
        <w:trPr>
          <w:trHeight w:val="20"/>
        </w:trPr>
        <w:tc>
          <w:tcPr>
            <w:tcW w:w="3258" w:type="dxa"/>
          </w:tcPr>
          <w:p w14:paraId="3B2D7AD7" w14:textId="77777777" w:rsidR="00436DAA" w:rsidRPr="00330234" w:rsidRDefault="009B4B8E" w:rsidP="00DD4C0C">
            <w:pPr>
              <w:pStyle w:val="TableParagraph"/>
              <w:keepNext/>
              <w:keepLines/>
              <w:widowControl/>
            </w:pPr>
            <w:r w:rsidRPr="00330234">
              <w:t>C</w:t>
            </w:r>
            <w:r w:rsidRPr="00330234">
              <w:rPr>
                <w:vertAlign w:val="subscript"/>
              </w:rPr>
              <w:t>max</w:t>
            </w:r>
            <w:r w:rsidRPr="00330234">
              <w:t xml:space="preserve"> (µg/ml)</w:t>
            </w:r>
          </w:p>
        </w:tc>
        <w:tc>
          <w:tcPr>
            <w:tcW w:w="2904" w:type="dxa"/>
          </w:tcPr>
          <w:p w14:paraId="5ACE5961" w14:textId="77777777" w:rsidR="00436DAA" w:rsidRPr="00330234" w:rsidRDefault="009B4B8E" w:rsidP="00DD4C0C">
            <w:pPr>
              <w:pStyle w:val="TableParagraph"/>
              <w:keepNext/>
              <w:keepLines/>
              <w:widowControl/>
              <w:jc w:val="center"/>
            </w:pPr>
            <w:r w:rsidRPr="00330234">
              <w:t>183 ± 42,3</w:t>
            </w:r>
          </w:p>
        </w:tc>
        <w:tc>
          <w:tcPr>
            <w:tcW w:w="2904" w:type="dxa"/>
          </w:tcPr>
          <w:p w14:paraId="3947BED2" w14:textId="3182E7A6" w:rsidR="00436DAA" w:rsidRPr="00330234" w:rsidRDefault="009B4B8E" w:rsidP="00DD4C0C">
            <w:pPr>
              <w:pStyle w:val="TableParagraph"/>
              <w:keepNext/>
              <w:keepLines/>
              <w:widowControl/>
              <w:jc w:val="center"/>
            </w:pPr>
            <w:r w:rsidRPr="00330234">
              <w:t xml:space="preserve">168 </w:t>
            </w:r>
            <w:r w:rsidR="001031F9" w:rsidRPr="00330234">
              <w:t>±</w:t>
            </w:r>
            <w:r w:rsidRPr="00330234">
              <w:t xml:space="preserve"> 24,8</w:t>
            </w:r>
          </w:p>
        </w:tc>
      </w:tr>
      <w:tr w:rsidR="00436DAA" w:rsidRPr="00330234" w14:paraId="357B951A" w14:textId="77777777" w:rsidTr="001B3E1E">
        <w:trPr>
          <w:trHeight w:val="20"/>
        </w:trPr>
        <w:tc>
          <w:tcPr>
            <w:tcW w:w="3258" w:type="dxa"/>
          </w:tcPr>
          <w:p w14:paraId="41B812BD" w14:textId="77777777" w:rsidR="00436DAA" w:rsidRPr="00330234" w:rsidRDefault="009B4B8E" w:rsidP="00BD109B">
            <w:pPr>
              <w:pStyle w:val="TableParagraph"/>
              <w:widowControl/>
            </w:pPr>
            <w:r w:rsidRPr="00330234">
              <w:t>C</w:t>
            </w:r>
            <w:r w:rsidRPr="00330234">
              <w:rPr>
                <w:vertAlign w:val="subscript"/>
              </w:rPr>
              <w:t>dal</w:t>
            </w:r>
            <w:r w:rsidRPr="00330234">
              <w:t xml:space="preserve"> (µg/ml)</w:t>
            </w:r>
          </w:p>
        </w:tc>
        <w:tc>
          <w:tcPr>
            <w:tcW w:w="2904" w:type="dxa"/>
          </w:tcPr>
          <w:p w14:paraId="4DB3A63D" w14:textId="77777777" w:rsidR="00436DAA" w:rsidRPr="00330234" w:rsidRDefault="009B4B8E" w:rsidP="001031F9">
            <w:pPr>
              <w:pStyle w:val="TableParagraph"/>
              <w:widowControl/>
              <w:jc w:val="center"/>
            </w:pPr>
            <w:r w:rsidRPr="00330234">
              <w:t>6,55 ± 7,93</w:t>
            </w:r>
          </w:p>
        </w:tc>
        <w:tc>
          <w:tcPr>
            <w:tcW w:w="2904" w:type="dxa"/>
          </w:tcPr>
          <w:p w14:paraId="7FFD5A3B" w14:textId="6BC15BA0" w:rsidR="00436DAA" w:rsidRPr="00330234" w:rsidRDefault="009B4B8E" w:rsidP="001031F9">
            <w:pPr>
              <w:pStyle w:val="TableParagraph"/>
              <w:widowControl/>
              <w:jc w:val="center"/>
            </w:pPr>
            <w:r w:rsidRPr="00330234">
              <w:t xml:space="preserve">1,47 </w:t>
            </w:r>
            <w:r w:rsidR="001031F9" w:rsidRPr="00330234">
              <w:t>±</w:t>
            </w:r>
            <w:r w:rsidRPr="00330234">
              <w:t xml:space="preserve"> 2,44</w:t>
            </w:r>
          </w:p>
        </w:tc>
      </w:tr>
      <w:tr w:rsidR="00436DAA" w:rsidRPr="00330234" w14:paraId="4290F93B" w14:textId="77777777" w:rsidTr="001B3E1E">
        <w:trPr>
          <w:trHeight w:val="20"/>
        </w:trPr>
        <w:tc>
          <w:tcPr>
            <w:tcW w:w="3258" w:type="dxa"/>
          </w:tcPr>
          <w:p w14:paraId="6113D019" w14:textId="77777777" w:rsidR="00436DAA" w:rsidRPr="00330234" w:rsidRDefault="009B4B8E" w:rsidP="00BD109B">
            <w:pPr>
              <w:pStyle w:val="TableParagraph"/>
              <w:widowControl/>
            </w:pPr>
            <w:r w:rsidRPr="00330234">
              <w:lastRenderedPageBreak/>
              <w:t>C</w:t>
            </w:r>
            <w:r w:rsidRPr="00330234">
              <w:rPr>
                <w:vertAlign w:val="subscript"/>
              </w:rPr>
              <w:t>gemiddelde</w:t>
            </w:r>
            <w:r w:rsidRPr="00330234">
              <w:t xml:space="preserve"> (µg/ml)</w:t>
            </w:r>
          </w:p>
        </w:tc>
        <w:tc>
          <w:tcPr>
            <w:tcW w:w="2904" w:type="dxa"/>
          </w:tcPr>
          <w:p w14:paraId="50233E20" w14:textId="77777777" w:rsidR="00436DAA" w:rsidRPr="00330234" w:rsidRDefault="009B4B8E" w:rsidP="001031F9">
            <w:pPr>
              <w:pStyle w:val="TableParagraph"/>
              <w:widowControl/>
              <w:jc w:val="center"/>
            </w:pPr>
            <w:r w:rsidRPr="00330234">
              <w:t>42,2 ± 13,4</w:t>
            </w:r>
          </w:p>
        </w:tc>
        <w:tc>
          <w:tcPr>
            <w:tcW w:w="2904" w:type="dxa"/>
          </w:tcPr>
          <w:p w14:paraId="731332CE" w14:textId="32777640" w:rsidR="00436DAA" w:rsidRPr="00330234" w:rsidRDefault="009B4B8E" w:rsidP="001031F9">
            <w:pPr>
              <w:pStyle w:val="TableParagraph"/>
              <w:widowControl/>
              <w:jc w:val="center"/>
            </w:pPr>
            <w:r w:rsidRPr="00330234">
              <w:t xml:space="preserve">31,6 </w:t>
            </w:r>
            <w:r w:rsidR="001031F9" w:rsidRPr="00330234">
              <w:t>±</w:t>
            </w:r>
            <w:r w:rsidRPr="00330234">
              <w:t xml:space="preserve"> 7,84</w:t>
            </w:r>
          </w:p>
        </w:tc>
      </w:tr>
      <w:tr w:rsidR="00436DAA" w:rsidRPr="00330234" w14:paraId="730E3300" w14:textId="77777777" w:rsidTr="001B3E1E">
        <w:trPr>
          <w:trHeight w:val="20"/>
        </w:trPr>
        <w:tc>
          <w:tcPr>
            <w:tcW w:w="3258" w:type="dxa"/>
          </w:tcPr>
          <w:p w14:paraId="4EB61198" w14:textId="77777777" w:rsidR="00436DAA" w:rsidRPr="00330234" w:rsidRDefault="009B4B8E" w:rsidP="00BD109B">
            <w:pPr>
              <w:pStyle w:val="TableParagraph"/>
              <w:widowControl/>
            </w:pPr>
            <w:r w:rsidRPr="00330234">
              <w:t>Accumulatie C</w:t>
            </w:r>
            <w:r w:rsidRPr="00330234">
              <w:rPr>
                <w:vertAlign w:val="subscript"/>
              </w:rPr>
              <w:t>max</w:t>
            </w:r>
          </w:p>
        </w:tc>
        <w:tc>
          <w:tcPr>
            <w:tcW w:w="2904" w:type="dxa"/>
          </w:tcPr>
          <w:p w14:paraId="39CDC0CC" w14:textId="77777777" w:rsidR="00436DAA" w:rsidRPr="00330234" w:rsidRDefault="009B4B8E" w:rsidP="001031F9">
            <w:pPr>
              <w:pStyle w:val="TableParagraph"/>
              <w:widowControl/>
              <w:jc w:val="center"/>
            </w:pPr>
            <w:r w:rsidRPr="00330234">
              <w:t>1,04</w:t>
            </w:r>
          </w:p>
        </w:tc>
        <w:tc>
          <w:tcPr>
            <w:tcW w:w="2904" w:type="dxa"/>
          </w:tcPr>
          <w:p w14:paraId="256A1E04" w14:textId="77777777" w:rsidR="00436DAA" w:rsidRPr="00330234" w:rsidRDefault="009B4B8E" w:rsidP="001031F9">
            <w:pPr>
              <w:pStyle w:val="TableParagraph"/>
              <w:widowControl/>
              <w:jc w:val="center"/>
            </w:pPr>
            <w:r w:rsidRPr="00330234">
              <w:t>1,01</w:t>
            </w:r>
          </w:p>
        </w:tc>
      </w:tr>
      <w:tr w:rsidR="00436DAA" w:rsidRPr="00330234" w14:paraId="5F10FD43" w14:textId="77777777" w:rsidTr="001B3E1E">
        <w:trPr>
          <w:trHeight w:val="20"/>
        </w:trPr>
        <w:tc>
          <w:tcPr>
            <w:tcW w:w="3258" w:type="dxa"/>
          </w:tcPr>
          <w:p w14:paraId="02C78602" w14:textId="77777777" w:rsidR="00436DAA" w:rsidRPr="00330234" w:rsidRDefault="009B4B8E" w:rsidP="00BD109B">
            <w:pPr>
              <w:pStyle w:val="TableParagraph"/>
              <w:widowControl/>
            </w:pPr>
            <w:r w:rsidRPr="00330234">
              <w:t>Accumulatie C</w:t>
            </w:r>
            <w:r w:rsidRPr="00330234">
              <w:rPr>
                <w:vertAlign w:val="subscript"/>
              </w:rPr>
              <w:t>dal</w:t>
            </w:r>
          </w:p>
        </w:tc>
        <w:tc>
          <w:tcPr>
            <w:tcW w:w="2904" w:type="dxa"/>
          </w:tcPr>
          <w:p w14:paraId="3B6CA9B5" w14:textId="77777777" w:rsidR="00436DAA" w:rsidRPr="00330234" w:rsidRDefault="009B4B8E" w:rsidP="001031F9">
            <w:pPr>
              <w:pStyle w:val="TableParagraph"/>
              <w:widowControl/>
              <w:jc w:val="center"/>
            </w:pPr>
            <w:r w:rsidRPr="00330234">
              <w:t>2,22</w:t>
            </w:r>
          </w:p>
        </w:tc>
        <w:tc>
          <w:tcPr>
            <w:tcW w:w="2904" w:type="dxa"/>
          </w:tcPr>
          <w:p w14:paraId="52B75A53" w14:textId="77777777" w:rsidR="00436DAA" w:rsidRPr="00330234" w:rsidRDefault="009B4B8E" w:rsidP="001031F9">
            <w:pPr>
              <w:pStyle w:val="TableParagraph"/>
              <w:widowControl/>
              <w:jc w:val="center"/>
            </w:pPr>
            <w:r w:rsidRPr="00330234">
              <w:t>1,43</w:t>
            </w:r>
          </w:p>
        </w:tc>
      </w:tr>
      <w:tr w:rsidR="00436DAA" w:rsidRPr="00330234" w14:paraId="52038856" w14:textId="77777777" w:rsidTr="001B3E1E">
        <w:trPr>
          <w:trHeight w:val="20"/>
        </w:trPr>
        <w:tc>
          <w:tcPr>
            <w:tcW w:w="3258" w:type="dxa"/>
          </w:tcPr>
          <w:p w14:paraId="29D0EEC0" w14:textId="77777777" w:rsidR="00436DAA" w:rsidRPr="00330234" w:rsidRDefault="009B4B8E" w:rsidP="00BD109B">
            <w:pPr>
              <w:pStyle w:val="TableParagraph"/>
              <w:widowControl/>
            </w:pPr>
            <w:r w:rsidRPr="00330234">
              <w:t>Accumulatie C</w:t>
            </w:r>
            <w:r w:rsidRPr="00330234">
              <w:rPr>
                <w:vertAlign w:val="subscript"/>
              </w:rPr>
              <w:t>gemiddelde</w:t>
            </w:r>
            <w:r w:rsidRPr="00330234">
              <w:t xml:space="preserve"> of AUC</w:t>
            </w:r>
            <w:r w:rsidRPr="00330234">
              <w:rPr>
                <w:vertAlign w:val="subscript"/>
              </w:rPr>
              <w:t>τ</w:t>
            </w:r>
            <w:r w:rsidRPr="00330234">
              <w:t>*</w:t>
            </w:r>
          </w:p>
        </w:tc>
        <w:tc>
          <w:tcPr>
            <w:tcW w:w="2904" w:type="dxa"/>
          </w:tcPr>
          <w:p w14:paraId="4F63F572" w14:textId="77777777" w:rsidR="00436DAA" w:rsidRPr="00330234" w:rsidRDefault="009B4B8E" w:rsidP="001031F9">
            <w:pPr>
              <w:pStyle w:val="TableParagraph"/>
              <w:widowControl/>
              <w:jc w:val="center"/>
            </w:pPr>
            <w:r w:rsidRPr="00330234">
              <w:t>1,16</w:t>
            </w:r>
          </w:p>
        </w:tc>
        <w:tc>
          <w:tcPr>
            <w:tcW w:w="2904" w:type="dxa"/>
          </w:tcPr>
          <w:p w14:paraId="48CBEB02" w14:textId="77777777" w:rsidR="00436DAA" w:rsidRPr="00330234" w:rsidRDefault="009B4B8E" w:rsidP="001031F9">
            <w:pPr>
              <w:pStyle w:val="TableParagraph"/>
              <w:widowControl/>
              <w:jc w:val="center"/>
            </w:pPr>
            <w:r w:rsidRPr="00330234">
              <w:t>1,05</w:t>
            </w:r>
          </w:p>
        </w:tc>
      </w:tr>
    </w:tbl>
    <w:p w14:paraId="6C92388F" w14:textId="265FAC08" w:rsidR="00436DAA" w:rsidRPr="00330234" w:rsidRDefault="009B4B8E" w:rsidP="00DD4C0C">
      <w:pPr>
        <w:widowControl/>
        <w:ind w:left="284" w:hanging="284"/>
        <w:rPr>
          <w:sz w:val="18"/>
          <w:szCs w:val="18"/>
        </w:rPr>
      </w:pPr>
      <w:r w:rsidRPr="00330234">
        <w:rPr>
          <w:sz w:val="18"/>
          <w:szCs w:val="18"/>
        </w:rPr>
        <w:t>*</w:t>
      </w:r>
      <w:r w:rsidR="00DD4C0C" w:rsidRPr="00330234">
        <w:rPr>
          <w:sz w:val="18"/>
          <w:szCs w:val="18"/>
        </w:rPr>
        <w:tab/>
      </w:r>
      <w:r w:rsidRPr="00330234">
        <w:rPr>
          <w:sz w:val="18"/>
          <w:szCs w:val="18"/>
        </w:rPr>
        <w:t>τ = 4 weken voor i.v. regimes</w:t>
      </w:r>
    </w:p>
    <w:p w14:paraId="4090C6AD" w14:textId="77777777" w:rsidR="00436DAA" w:rsidRPr="00330234" w:rsidRDefault="00436DAA" w:rsidP="00BD109B">
      <w:pPr>
        <w:pStyle w:val="a3"/>
        <w:widowControl/>
        <w:ind w:left="0"/>
      </w:pPr>
    </w:p>
    <w:p w14:paraId="0D22B716" w14:textId="77777777" w:rsidR="00436DAA" w:rsidRPr="00330234" w:rsidRDefault="009B4B8E" w:rsidP="00BD109B">
      <w:pPr>
        <w:pStyle w:val="a3"/>
        <w:widowControl/>
        <w:ind w:left="0"/>
      </w:pPr>
      <w:r w:rsidRPr="00330234">
        <w:t>Na intraveneuze toediening werd bij week 12 ongeveer 90% steady-state bereikt voor de10 mg/kg (patiënten met een lichaamsgewicht &lt; 30 kg) en bij week 16 voor de 8 mg/kg (patiënten met een lichaamsgewicht ≥ 30 kg).</w:t>
      </w:r>
    </w:p>
    <w:p w14:paraId="14080F02" w14:textId="77777777" w:rsidR="001031F9" w:rsidRPr="00330234" w:rsidRDefault="001031F9" w:rsidP="00BD109B">
      <w:pPr>
        <w:pStyle w:val="a3"/>
        <w:widowControl/>
        <w:ind w:left="0"/>
      </w:pPr>
    </w:p>
    <w:p w14:paraId="4D979790" w14:textId="77777777" w:rsidR="00436DAA" w:rsidRPr="00330234" w:rsidRDefault="009B4B8E" w:rsidP="00BD109B">
      <w:pPr>
        <w:pStyle w:val="a3"/>
        <w:widowControl/>
        <w:ind w:left="0"/>
      </w:pPr>
      <w:r w:rsidRPr="00330234">
        <w:t>De halfwaardetijd van tocilizumab bij pJIA-patiënten is maximaal 16 dagen voor de beide lichaamsgewichtcategorieën (8 mg/kg voor een lichaamsgewicht ≥ 30 kg of 10 mg/kg voor een lichaamsgewicht &lt; 30 kg) gedurende een doseringsinterval bij steady-state.</w:t>
      </w:r>
    </w:p>
    <w:p w14:paraId="4B9E4987" w14:textId="77777777" w:rsidR="00436DAA" w:rsidRPr="00330234" w:rsidRDefault="00436DAA" w:rsidP="00BD109B">
      <w:pPr>
        <w:pStyle w:val="a3"/>
        <w:widowControl/>
        <w:ind w:left="0"/>
      </w:pPr>
    </w:p>
    <w:p w14:paraId="12778E32" w14:textId="20898C86" w:rsidR="00436DAA" w:rsidRPr="00330234" w:rsidRDefault="005328BF" w:rsidP="00BD109B">
      <w:pPr>
        <w:pStyle w:val="2"/>
      </w:pPr>
      <w:r w:rsidRPr="00330234">
        <w:t>5.3</w:t>
      </w:r>
      <w:r w:rsidRPr="00330234">
        <w:tab/>
      </w:r>
      <w:r w:rsidR="009B4B8E" w:rsidRPr="00330234">
        <w:t>Gegevens uit het preklinisch veiligheidsonderzoek</w:t>
      </w:r>
    </w:p>
    <w:p w14:paraId="3A1210A0" w14:textId="77777777" w:rsidR="001031F9" w:rsidRPr="00330234" w:rsidRDefault="001031F9" w:rsidP="00BD109B">
      <w:pPr>
        <w:pStyle w:val="a3"/>
        <w:widowControl/>
        <w:ind w:left="0"/>
      </w:pPr>
    </w:p>
    <w:p w14:paraId="0F96D8F4" w14:textId="14346BA3" w:rsidR="00436DAA" w:rsidRPr="00330234" w:rsidRDefault="009B4B8E" w:rsidP="00BD109B">
      <w:pPr>
        <w:pStyle w:val="a3"/>
        <w:widowControl/>
        <w:ind w:left="0"/>
      </w:pPr>
      <w:r w:rsidRPr="00330234">
        <w:t>Niet-klinische gegevens duiden niet op een speciaal risico voor mensen. Deze gegevens zijn afkomstig van conventioneel onderzoek op het gebied van veiligheidsfarmacologie, toxiciteit bij herhaalde dosering, genotoxiciteit, en reproductie- en ontwikkelingstoxiciteit.</w:t>
      </w:r>
    </w:p>
    <w:p w14:paraId="290DB261" w14:textId="77777777" w:rsidR="00436DAA" w:rsidRPr="00330234" w:rsidRDefault="00436DAA" w:rsidP="00BD109B">
      <w:pPr>
        <w:pStyle w:val="a3"/>
        <w:widowControl/>
        <w:ind w:left="0"/>
      </w:pPr>
    </w:p>
    <w:p w14:paraId="0D80ED63" w14:textId="77777777" w:rsidR="00436DAA" w:rsidRPr="00330234" w:rsidRDefault="009B4B8E" w:rsidP="00BD109B">
      <w:pPr>
        <w:pStyle w:val="a3"/>
        <w:widowControl/>
        <w:ind w:left="0"/>
      </w:pPr>
      <w:r w:rsidRPr="00330234">
        <w:t>Carcinogeniteitsstudies zijn niet uitgevoerd omdat er vanuit gegaan wordt dat IgG1 monoklonale antilichamen geen intrinsieke carcinogene potentie hebben.</w:t>
      </w:r>
    </w:p>
    <w:p w14:paraId="4BF47723" w14:textId="77777777" w:rsidR="001031F9" w:rsidRPr="00330234" w:rsidRDefault="001031F9" w:rsidP="00BD109B">
      <w:pPr>
        <w:pStyle w:val="a3"/>
        <w:widowControl/>
        <w:ind w:left="0"/>
      </w:pPr>
    </w:p>
    <w:p w14:paraId="261FA0A5" w14:textId="77777777" w:rsidR="00436DAA" w:rsidRPr="00330234" w:rsidRDefault="009B4B8E" w:rsidP="00BD109B">
      <w:pPr>
        <w:pStyle w:val="a3"/>
        <w:widowControl/>
        <w:ind w:left="0"/>
      </w:pPr>
      <w:r w:rsidRPr="00330234">
        <w:t>Beschikbare niet-klinische gegevens tonen een effect van IL-6 op de progressie van maligniteiten en apoptoseresistentie van verschillende typen carcinomen. Deze gegevens duiden niet op een relevant risico voor het ontstaan van kanker en progressie daarvan gedurende behandeling met tocilizumab. Bovendien zijn proliferatieve laesies niet waargenomen gedurende een 6 maanden chronische toxiciteitsstudie in cynomolgus-apen of bij IL-6-deficiënte muizen.</w:t>
      </w:r>
    </w:p>
    <w:p w14:paraId="07846699" w14:textId="77777777" w:rsidR="001031F9" w:rsidRPr="00330234" w:rsidRDefault="001031F9" w:rsidP="00BD109B">
      <w:pPr>
        <w:pStyle w:val="a3"/>
        <w:widowControl/>
        <w:ind w:left="0"/>
      </w:pPr>
    </w:p>
    <w:p w14:paraId="26629DD4" w14:textId="77777777" w:rsidR="00436DAA" w:rsidRPr="00330234" w:rsidRDefault="009B4B8E" w:rsidP="00BD109B">
      <w:pPr>
        <w:pStyle w:val="a3"/>
        <w:widowControl/>
        <w:ind w:left="0"/>
      </w:pPr>
      <w:r w:rsidRPr="00330234">
        <w:t>Beschikbare niet-klinische gegevens duiden niet op een effect van tocilizumab op de fertiliteit. Effecten op endocrien-actieve en voortplantingsorganen zijn in een chronische toxiciteitstudie met cynomolgus-apen niet waargenomen en de reproductieve prestatie van IL-6-deficiënte muizen was niet veranderd. Tocilizumab toegediend aan cynomolgus-apen tijdens de vroege fase van de dracht had geen directe of indirecte schadelijke invloed op de zwangerschap of embryonale-foetale ontwikkeling. Toch werd een kleine toename van miskramen en/of embryo-foetale dood waargenomen bij een hoge systemische blootstelling (&gt; 100 x de humane blootstelling) in de 50mg/kg/dag hoge-dosis groep vergeleken met placebo en andere lage-dosisgroepen. Hoewel IL-6 geen kritisch cytokine voor de foetale groei of immunologische controle van de moeder/foetus barrière lijkt te zijn, toch kan de rol van tocilizumab hierin niet worden uitgesloten.</w:t>
      </w:r>
    </w:p>
    <w:p w14:paraId="304D9739" w14:textId="77777777" w:rsidR="00436DAA" w:rsidRPr="00330234" w:rsidRDefault="00436DAA" w:rsidP="00BD109B">
      <w:pPr>
        <w:pStyle w:val="a3"/>
        <w:widowControl/>
        <w:ind w:left="0"/>
      </w:pPr>
    </w:p>
    <w:p w14:paraId="2BAF2AF1" w14:textId="77777777" w:rsidR="00436DAA" w:rsidRPr="00330234" w:rsidRDefault="009B4B8E" w:rsidP="00BD109B">
      <w:pPr>
        <w:pStyle w:val="a3"/>
        <w:widowControl/>
        <w:ind w:left="0"/>
      </w:pPr>
      <w:r w:rsidRPr="00330234">
        <w:t>Behandeling met een murine-analoog liet geen toxiciteit zien bij juveniele muizen. In het bijzonder was er geen verstoring van de skeletgroei, immuunfunctie en seksuele rijping.</w:t>
      </w:r>
    </w:p>
    <w:p w14:paraId="7A0F3318" w14:textId="77777777" w:rsidR="00436DAA" w:rsidRPr="00330234" w:rsidRDefault="00436DAA" w:rsidP="00BD109B">
      <w:pPr>
        <w:pStyle w:val="a3"/>
        <w:widowControl/>
        <w:ind w:left="0"/>
      </w:pPr>
    </w:p>
    <w:p w14:paraId="34280DDD" w14:textId="77777777" w:rsidR="00436DAA" w:rsidRPr="00330234" w:rsidRDefault="00436DAA" w:rsidP="00BD109B">
      <w:pPr>
        <w:pStyle w:val="a3"/>
        <w:widowControl/>
        <w:ind w:left="0"/>
      </w:pPr>
    </w:p>
    <w:p w14:paraId="7FA8B1B8" w14:textId="3AB3D89B" w:rsidR="00436DAA" w:rsidRPr="00330234" w:rsidRDefault="005328BF" w:rsidP="001031F9">
      <w:pPr>
        <w:pStyle w:val="2"/>
      </w:pPr>
      <w:r w:rsidRPr="00330234">
        <w:t>6.</w:t>
      </w:r>
      <w:r w:rsidRPr="00330234">
        <w:tab/>
      </w:r>
      <w:r w:rsidR="009B4B8E" w:rsidRPr="00330234">
        <w:t>FARMACEUTISCHE GEGEVENS</w:t>
      </w:r>
    </w:p>
    <w:p w14:paraId="05B6E944" w14:textId="77777777" w:rsidR="00436DAA" w:rsidRPr="00330234" w:rsidRDefault="00436DAA" w:rsidP="00BD109B">
      <w:pPr>
        <w:pStyle w:val="a3"/>
        <w:widowControl/>
        <w:ind w:left="0"/>
        <w:rPr>
          <w:bCs/>
        </w:rPr>
      </w:pPr>
    </w:p>
    <w:p w14:paraId="551F8E46" w14:textId="13B25000" w:rsidR="00436DAA" w:rsidRPr="00330234" w:rsidRDefault="005328BF" w:rsidP="00BD109B">
      <w:pPr>
        <w:pStyle w:val="2"/>
      </w:pPr>
      <w:r w:rsidRPr="00330234">
        <w:t>6.1</w:t>
      </w:r>
      <w:r w:rsidRPr="00330234">
        <w:tab/>
      </w:r>
      <w:r w:rsidR="009B4B8E" w:rsidRPr="00330234">
        <w:t>Lijst van hulpstoffen</w:t>
      </w:r>
    </w:p>
    <w:p w14:paraId="686876F1" w14:textId="77777777" w:rsidR="001031F9" w:rsidRPr="00330234" w:rsidRDefault="001031F9" w:rsidP="00BD109B">
      <w:pPr>
        <w:pStyle w:val="a3"/>
        <w:widowControl/>
        <w:ind w:left="0"/>
      </w:pPr>
    </w:p>
    <w:p w14:paraId="573D4849" w14:textId="7DEC2FE6" w:rsidR="001031F9" w:rsidRDefault="00955A68" w:rsidP="00BD109B">
      <w:pPr>
        <w:pStyle w:val="a3"/>
        <w:widowControl/>
        <w:ind w:left="0"/>
        <w:rPr>
          <w:rFonts w:eastAsia="맑은 고딕"/>
          <w:lang w:eastAsia="ko-KR"/>
        </w:rPr>
      </w:pPr>
      <w:r w:rsidRPr="00330234">
        <w:t>L-histidine</w:t>
      </w:r>
    </w:p>
    <w:p w14:paraId="6395DD4F" w14:textId="0EB7BC5E" w:rsidR="0065408F" w:rsidRPr="00144E79" w:rsidRDefault="0065408F" w:rsidP="00BD109B">
      <w:pPr>
        <w:pStyle w:val="a3"/>
        <w:widowControl/>
        <w:ind w:left="0"/>
        <w:rPr>
          <w:rFonts w:eastAsia="맑은 고딕"/>
          <w:lang w:eastAsia="ko-KR"/>
        </w:rPr>
      </w:pPr>
      <w:r w:rsidRPr="0065408F">
        <w:rPr>
          <w:rFonts w:eastAsia="맑은 고딕" w:hint="eastAsia"/>
          <w:lang w:eastAsia="ko-KR"/>
        </w:rPr>
        <w:t>L-histidine monohydrochloride monohydraat</w:t>
      </w:r>
    </w:p>
    <w:p w14:paraId="15587A6D" w14:textId="6164FFED" w:rsidR="00955A68" w:rsidRPr="00330234" w:rsidRDefault="00955A68" w:rsidP="00BD109B">
      <w:pPr>
        <w:pStyle w:val="a3"/>
        <w:widowControl/>
        <w:ind w:left="0"/>
      </w:pPr>
      <w:r w:rsidRPr="00330234">
        <w:t>L-threonine</w:t>
      </w:r>
    </w:p>
    <w:p w14:paraId="7BF9FF62" w14:textId="2F2C1BAA" w:rsidR="00955A68" w:rsidRPr="00330234" w:rsidRDefault="00955A68" w:rsidP="00BD109B">
      <w:pPr>
        <w:pStyle w:val="a3"/>
        <w:widowControl/>
        <w:ind w:left="0"/>
      </w:pPr>
      <w:r w:rsidRPr="00330234">
        <w:t>L-methionine</w:t>
      </w:r>
    </w:p>
    <w:p w14:paraId="36A1F297" w14:textId="6524FE51" w:rsidR="00436DAA" w:rsidRPr="00330234" w:rsidRDefault="009B4B8E" w:rsidP="00BD109B">
      <w:pPr>
        <w:pStyle w:val="a3"/>
        <w:widowControl/>
        <w:ind w:left="0"/>
      </w:pPr>
      <w:r w:rsidRPr="00330234">
        <w:t>Polysorbaat 80</w:t>
      </w:r>
    </w:p>
    <w:p w14:paraId="7DE4588D" w14:textId="0D778D90" w:rsidR="00436DAA" w:rsidRPr="00330234" w:rsidRDefault="009B4B8E" w:rsidP="00BD109B">
      <w:pPr>
        <w:pStyle w:val="a3"/>
        <w:widowControl/>
        <w:ind w:left="0"/>
      </w:pPr>
      <w:r w:rsidRPr="00330234">
        <w:t>Water voor injecties</w:t>
      </w:r>
    </w:p>
    <w:p w14:paraId="3C26274A" w14:textId="77777777" w:rsidR="00436DAA" w:rsidRPr="00330234" w:rsidRDefault="00436DAA" w:rsidP="00BD109B">
      <w:pPr>
        <w:pStyle w:val="a3"/>
        <w:widowControl/>
        <w:ind w:left="0"/>
      </w:pPr>
    </w:p>
    <w:p w14:paraId="1EBE0459" w14:textId="53919948" w:rsidR="00436DAA" w:rsidRPr="00330234" w:rsidRDefault="005328BF" w:rsidP="001B3E1E">
      <w:pPr>
        <w:pStyle w:val="2"/>
        <w:keepNext/>
        <w:keepLines/>
      </w:pPr>
      <w:r w:rsidRPr="00330234">
        <w:lastRenderedPageBreak/>
        <w:t>6.2</w:t>
      </w:r>
      <w:r w:rsidRPr="00330234">
        <w:tab/>
      </w:r>
      <w:r w:rsidR="009B4B8E" w:rsidRPr="00330234">
        <w:t>Gevallen van onverenigbaarheid</w:t>
      </w:r>
    </w:p>
    <w:p w14:paraId="050BFB10" w14:textId="77777777" w:rsidR="001031F9" w:rsidRPr="00330234" w:rsidRDefault="001031F9" w:rsidP="001B3E1E">
      <w:pPr>
        <w:pStyle w:val="a3"/>
        <w:keepNext/>
        <w:keepLines/>
        <w:widowControl/>
        <w:ind w:left="0"/>
      </w:pPr>
    </w:p>
    <w:p w14:paraId="7AB9823A" w14:textId="4A3F9A37" w:rsidR="00436DAA" w:rsidRPr="00330234" w:rsidRDefault="009B4B8E" w:rsidP="00BD109B">
      <w:pPr>
        <w:pStyle w:val="a3"/>
        <w:widowControl/>
        <w:ind w:left="0"/>
      </w:pPr>
      <w:r w:rsidRPr="00330234">
        <w:t>Dit geneesmiddel mag niet gemengd worden met andere geneesmiddelen dan die welke vermeld zijn in rubriek 6.6.</w:t>
      </w:r>
    </w:p>
    <w:p w14:paraId="39C5D83E" w14:textId="77777777" w:rsidR="00436DAA" w:rsidRPr="00330234" w:rsidRDefault="00436DAA" w:rsidP="00BD109B">
      <w:pPr>
        <w:pStyle w:val="a3"/>
        <w:widowControl/>
        <w:ind w:left="0"/>
      </w:pPr>
    </w:p>
    <w:p w14:paraId="76058F06" w14:textId="39C8487C" w:rsidR="00436DAA" w:rsidRPr="00330234" w:rsidRDefault="005328BF" w:rsidP="001031F9">
      <w:pPr>
        <w:pStyle w:val="2"/>
        <w:keepNext/>
        <w:keepLines/>
      </w:pPr>
      <w:r w:rsidRPr="00330234">
        <w:t>6.3</w:t>
      </w:r>
      <w:r w:rsidRPr="00330234">
        <w:tab/>
      </w:r>
      <w:r w:rsidR="009B4B8E" w:rsidRPr="00330234">
        <w:t>Houdbaarheid</w:t>
      </w:r>
    </w:p>
    <w:p w14:paraId="4106D04C" w14:textId="77777777" w:rsidR="001031F9" w:rsidRPr="00330234" w:rsidRDefault="001031F9" w:rsidP="001031F9">
      <w:pPr>
        <w:keepNext/>
        <w:keepLines/>
        <w:widowControl/>
        <w:rPr>
          <w:i/>
        </w:rPr>
      </w:pPr>
    </w:p>
    <w:p w14:paraId="4E4CC47A" w14:textId="5AC1E6BC" w:rsidR="00436DAA" w:rsidRPr="00330234" w:rsidRDefault="009B4B8E" w:rsidP="001031F9">
      <w:pPr>
        <w:keepNext/>
        <w:keepLines/>
        <w:widowControl/>
      </w:pPr>
      <w:r w:rsidRPr="00330234">
        <w:rPr>
          <w:i/>
        </w:rPr>
        <w:t xml:space="preserve">Ongeopende injectieflacon: </w:t>
      </w:r>
      <w:ins w:id="13" w:author="만든 이">
        <w:r w:rsidR="00D1666A" w:rsidRPr="00D1666A">
          <w:rPr>
            <w:rFonts w:eastAsia="맑은 고딕"/>
            <w:lang w:eastAsia="ko-KR"/>
          </w:rPr>
          <w:t>3 jaar</w:t>
        </w:r>
      </w:ins>
      <w:del w:id="14" w:author="만든 이">
        <w:r w:rsidR="00D03358" w:rsidDel="00D1666A">
          <w:rPr>
            <w:rFonts w:eastAsia="맑은 고딕" w:hint="eastAsia"/>
            <w:lang w:eastAsia="ko-KR"/>
          </w:rPr>
          <w:delText>36</w:delText>
        </w:r>
        <w:r w:rsidR="00D03358" w:rsidRPr="00330234" w:rsidDel="00D1666A">
          <w:delText> </w:delText>
        </w:r>
        <w:r w:rsidRPr="00330234" w:rsidDel="00D1666A">
          <w:delText>maanden</w:delText>
        </w:r>
      </w:del>
    </w:p>
    <w:p w14:paraId="721A5A5A" w14:textId="77777777" w:rsidR="00436DAA" w:rsidRPr="00330234" w:rsidRDefault="00436DAA" w:rsidP="001031F9">
      <w:pPr>
        <w:pStyle w:val="a3"/>
        <w:keepNext/>
        <w:keepLines/>
        <w:widowControl/>
        <w:ind w:left="0"/>
      </w:pPr>
    </w:p>
    <w:p w14:paraId="78092D52" w14:textId="3CA069EE" w:rsidR="00436DAA" w:rsidRPr="00330234" w:rsidRDefault="009B4B8E" w:rsidP="001031F9">
      <w:pPr>
        <w:pStyle w:val="a3"/>
        <w:keepNext/>
        <w:keepLines/>
        <w:widowControl/>
        <w:ind w:left="0"/>
      </w:pPr>
      <w:r w:rsidRPr="00330234">
        <w:rPr>
          <w:i/>
        </w:rPr>
        <w:t xml:space="preserve">Verdund product: </w:t>
      </w:r>
      <w:r w:rsidRPr="00330234">
        <w:t xml:space="preserve">Na verdunning is de bereide oplossing voor infusie fysisch en chemisch stabiel in natriumchloride 9 mg/ml (0,9 %) </w:t>
      </w:r>
      <w:r w:rsidR="00955A68" w:rsidRPr="00330234">
        <w:t xml:space="preserve">of 4,5 mg/ml (0,45%) </w:t>
      </w:r>
      <w:r w:rsidRPr="00330234">
        <w:t>oplossing voor injectie.</w:t>
      </w:r>
    </w:p>
    <w:p w14:paraId="131CA218" w14:textId="16C954C8" w:rsidR="00436DAA" w:rsidRPr="00330234" w:rsidRDefault="009B4B8E" w:rsidP="00BD109B">
      <w:pPr>
        <w:pStyle w:val="a3"/>
        <w:widowControl/>
        <w:ind w:left="0"/>
      </w:pPr>
      <w:r w:rsidRPr="00330234">
        <w:t xml:space="preserve">Het kan </w:t>
      </w:r>
      <w:r w:rsidR="002511C8" w:rsidRPr="00330234">
        <w:t>48 </w:t>
      </w:r>
      <w:r w:rsidRPr="00330234">
        <w:t xml:space="preserve">uur worden bewaard bij een temperatuur van 30ºC en tot </w:t>
      </w:r>
      <w:r w:rsidR="002511C8" w:rsidRPr="00330234">
        <w:t>1 maand</w:t>
      </w:r>
      <w:r w:rsidRPr="00330234">
        <w:t xml:space="preserve"> in de koelkast bij een temperatuur van 2ºC – 8ºC.</w:t>
      </w:r>
    </w:p>
    <w:p w14:paraId="50961573" w14:textId="77777777" w:rsidR="001031F9" w:rsidRPr="00330234" w:rsidRDefault="001031F9" w:rsidP="00BD109B">
      <w:pPr>
        <w:pStyle w:val="a3"/>
        <w:widowControl/>
        <w:ind w:left="0"/>
      </w:pPr>
    </w:p>
    <w:p w14:paraId="61DDF57C" w14:textId="3D71C4C2" w:rsidR="00436DAA" w:rsidRPr="00330234" w:rsidRDefault="009B4B8E" w:rsidP="00BD109B">
      <w:pPr>
        <w:pStyle w:val="a3"/>
        <w:widowControl/>
        <w:ind w:left="0"/>
      </w:pPr>
      <w:r w:rsidRPr="00330234">
        <w:t>Vanuit microbiologisch oogpunt, dient de bereide oplossing voor infusie onmiddellijk te worden gebruikt. Wanneer dat niet onmiddellijk gebeurt, zijn de bewaartijd en condities tot aan gebruik de verantwoordelijkheid van de bereider en dit zou niet langer dan 24 uur bij een temperatuur van 2°C – 8°C moeten zijn, tenzij de verdunning heeft plaats gevonden onder gecontroleerde en gevalideerde aseptische omstandigheden.</w:t>
      </w:r>
    </w:p>
    <w:p w14:paraId="1B1F8205" w14:textId="77777777" w:rsidR="00436DAA" w:rsidRPr="00330234" w:rsidRDefault="00436DAA" w:rsidP="00BD109B">
      <w:pPr>
        <w:pStyle w:val="a3"/>
        <w:widowControl/>
        <w:ind w:left="0"/>
      </w:pPr>
    </w:p>
    <w:p w14:paraId="22CBC9D8" w14:textId="54040889" w:rsidR="00436DAA" w:rsidRPr="00330234" w:rsidRDefault="005328BF" w:rsidP="00BD109B">
      <w:pPr>
        <w:pStyle w:val="2"/>
      </w:pPr>
      <w:r w:rsidRPr="00330234">
        <w:t>6.4</w:t>
      </w:r>
      <w:r w:rsidRPr="00330234">
        <w:tab/>
      </w:r>
      <w:r w:rsidR="009B4B8E" w:rsidRPr="00330234">
        <w:t>Speciale voorzorgsmaatregelen bij bewaren</w:t>
      </w:r>
    </w:p>
    <w:p w14:paraId="06E527DC" w14:textId="77777777" w:rsidR="001031F9" w:rsidRPr="00330234" w:rsidRDefault="001031F9" w:rsidP="00BD109B">
      <w:pPr>
        <w:pStyle w:val="a3"/>
        <w:widowControl/>
        <w:ind w:left="0"/>
      </w:pPr>
    </w:p>
    <w:p w14:paraId="7F0B16A4" w14:textId="67D23917" w:rsidR="00436DAA" w:rsidRPr="00330234" w:rsidRDefault="009B4B8E" w:rsidP="00BD109B">
      <w:pPr>
        <w:pStyle w:val="a3"/>
        <w:widowControl/>
        <w:ind w:left="0"/>
      </w:pPr>
      <w:r w:rsidRPr="00330234">
        <w:t>Injectieflacons bewaren in de koelkast (2°C – 8°C). Niet invriezen.</w:t>
      </w:r>
    </w:p>
    <w:p w14:paraId="6770941A" w14:textId="77777777" w:rsidR="00436DAA" w:rsidRPr="00330234" w:rsidRDefault="00436DAA" w:rsidP="00BD109B">
      <w:pPr>
        <w:pStyle w:val="a3"/>
        <w:widowControl/>
        <w:ind w:left="0"/>
      </w:pPr>
    </w:p>
    <w:p w14:paraId="5B9CFA34" w14:textId="77777777" w:rsidR="001031F9" w:rsidRPr="00330234" w:rsidRDefault="009B4B8E" w:rsidP="00BD109B">
      <w:pPr>
        <w:pStyle w:val="a3"/>
        <w:widowControl/>
        <w:ind w:left="0"/>
      </w:pPr>
      <w:r w:rsidRPr="00330234">
        <w:t>Houd de injectieflacon(s) in de buitenverpakking ter bescherming tegen licht.</w:t>
      </w:r>
    </w:p>
    <w:p w14:paraId="5C59A404" w14:textId="77777777" w:rsidR="001031F9" w:rsidRPr="00330234" w:rsidRDefault="001031F9" w:rsidP="00BD109B">
      <w:pPr>
        <w:pStyle w:val="a3"/>
        <w:widowControl/>
        <w:ind w:left="0"/>
      </w:pPr>
    </w:p>
    <w:p w14:paraId="64EE9378" w14:textId="303780EC" w:rsidR="00436DAA" w:rsidRPr="00330234" w:rsidRDefault="009B4B8E" w:rsidP="00BD109B">
      <w:pPr>
        <w:pStyle w:val="a3"/>
        <w:widowControl/>
        <w:ind w:left="0"/>
      </w:pPr>
      <w:r w:rsidRPr="00330234">
        <w:t>Voor de bewaarcondities van het geneesmiddel na verdunning, zie rubriek 6.3.</w:t>
      </w:r>
    </w:p>
    <w:p w14:paraId="7CB040D3" w14:textId="77777777" w:rsidR="001031F9" w:rsidRPr="00330234" w:rsidRDefault="001031F9" w:rsidP="00BD109B">
      <w:pPr>
        <w:pStyle w:val="a3"/>
        <w:widowControl/>
        <w:ind w:left="0"/>
      </w:pPr>
    </w:p>
    <w:p w14:paraId="2F9C3D42" w14:textId="11B7D21B" w:rsidR="00436DAA" w:rsidRPr="00330234" w:rsidRDefault="005328BF" w:rsidP="00BD109B">
      <w:pPr>
        <w:pStyle w:val="2"/>
      </w:pPr>
      <w:r w:rsidRPr="00330234">
        <w:t>6.5</w:t>
      </w:r>
      <w:r w:rsidRPr="00330234">
        <w:tab/>
      </w:r>
      <w:r w:rsidR="009B4B8E" w:rsidRPr="00330234">
        <w:t>Aard en inhoud van de verpakking</w:t>
      </w:r>
    </w:p>
    <w:p w14:paraId="6053BF7A" w14:textId="77777777" w:rsidR="001031F9" w:rsidRPr="00330234" w:rsidRDefault="001031F9" w:rsidP="00BD109B">
      <w:pPr>
        <w:pStyle w:val="a3"/>
        <w:widowControl/>
        <w:ind w:left="0"/>
      </w:pPr>
    </w:p>
    <w:p w14:paraId="17E6DE94" w14:textId="44C62F02" w:rsidR="00436DAA" w:rsidRPr="00330234" w:rsidRDefault="002511C8" w:rsidP="00BD109B">
      <w:pPr>
        <w:pStyle w:val="a3"/>
        <w:widowControl/>
        <w:ind w:left="0"/>
      </w:pPr>
      <w:r w:rsidRPr="00330234">
        <w:t xml:space="preserve">Avtozma </w:t>
      </w:r>
      <w:r w:rsidR="009B4B8E" w:rsidRPr="00330234">
        <w:t>wordt geleverd in een injectieflacon (type I glas) met een stop (butylrubber) met 4 ml, 10</w:t>
      </w:r>
      <w:r w:rsidR="001031F9" w:rsidRPr="00330234">
        <w:t> </w:t>
      </w:r>
      <w:r w:rsidR="009B4B8E" w:rsidRPr="00330234">
        <w:t>ml of 20 ml concentraat. Verpakkingsgrootte van 1 en 4 injectieflacons.</w:t>
      </w:r>
    </w:p>
    <w:p w14:paraId="0EF57FD4" w14:textId="77777777" w:rsidR="00436DAA" w:rsidRPr="00330234" w:rsidRDefault="00436DAA" w:rsidP="00BD109B">
      <w:pPr>
        <w:pStyle w:val="a3"/>
        <w:widowControl/>
        <w:ind w:left="0"/>
      </w:pPr>
    </w:p>
    <w:p w14:paraId="7B3593FF" w14:textId="77777777" w:rsidR="00436DAA" w:rsidRPr="00330234" w:rsidRDefault="009B4B8E" w:rsidP="00BD109B">
      <w:pPr>
        <w:pStyle w:val="a3"/>
        <w:widowControl/>
        <w:ind w:left="0"/>
      </w:pPr>
      <w:r w:rsidRPr="00330234">
        <w:t>Niet alle genoemde verpakkingsgrootten worden in de handel gebracht.</w:t>
      </w:r>
    </w:p>
    <w:p w14:paraId="517B8F61" w14:textId="77777777" w:rsidR="00436DAA" w:rsidRPr="00330234" w:rsidRDefault="00436DAA" w:rsidP="00BD109B">
      <w:pPr>
        <w:pStyle w:val="a3"/>
        <w:widowControl/>
        <w:ind w:left="0"/>
      </w:pPr>
    </w:p>
    <w:p w14:paraId="0C384BE4" w14:textId="2F0C9B8A" w:rsidR="00436DAA" w:rsidRPr="00330234" w:rsidRDefault="005328BF" w:rsidP="00BD109B">
      <w:pPr>
        <w:pStyle w:val="2"/>
      </w:pPr>
      <w:r w:rsidRPr="00330234">
        <w:t>6.6</w:t>
      </w:r>
      <w:r w:rsidRPr="00330234">
        <w:tab/>
      </w:r>
      <w:r w:rsidR="009B4B8E" w:rsidRPr="00330234">
        <w:t>Speciale voorzorgsmaatregelen voor het verwijderen en andere instructies</w:t>
      </w:r>
    </w:p>
    <w:p w14:paraId="0460CE03" w14:textId="77777777" w:rsidR="001031F9" w:rsidRPr="00330234" w:rsidRDefault="001031F9" w:rsidP="00BD109B">
      <w:pPr>
        <w:pStyle w:val="a3"/>
        <w:widowControl/>
        <w:ind w:left="0"/>
      </w:pPr>
    </w:p>
    <w:p w14:paraId="66C42086" w14:textId="6DC39CBC" w:rsidR="00436DAA" w:rsidRPr="00330234" w:rsidRDefault="009B4B8E" w:rsidP="00BD109B">
      <w:pPr>
        <w:pStyle w:val="a3"/>
        <w:widowControl/>
        <w:ind w:left="0"/>
      </w:pPr>
      <w:r w:rsidRPr="00330234">
        <w:rPr>
          <w:u w:val="single"/>
        </w:rPr>
        <w:t>Instructies voor verdunning vóór de toediening</w:t>
      </w:r>
    </w:p>
    <w:p w14:paraId="0D20A573" w14:textId="44373D36" w:rsidR="00436DAA" w:rsidRPr="00330234" w:rsidRDefault="009B4B8E" w:rsidP="00BD109B">
      <w:pPr>
        <w:pStyle w:val="a3"/>
        <w:widowControl/>
        <w:ind w:left="0"/>
      </w:pPr>
      <w:r w:rsidRPr="00330234">
        <w:t xml:space="preserve">Parenterale geneesmiddelen dienen vóór toediening visueel gecontroleerd te worden op aanwezigheid van deeltjes of verkleuring. Alleen oplossingen die helder tot </w:t>
      </w:r>
      <w:r w:rsidR="002511C8" w:rsidRPr="00330234">
        <w:t xml:space="preserve">enigszins </w:t>
      </w:r>
      <w:r w:rsidRPr="00330234">
        <w:t xml:space="preserve">doorschijnend, kleurloos tot licht geel en vrij van zichtbare deeltjes zijn, mogen worden toegediend. Gebruik een steriele naald en spuit om </w:t>
      </w:r>
      <w:r w:rsidR="002511C8" w:rsidRPr="00330234">
        <w:t xml:space="preserve">Avtozma </w:t>
      </w:r>
      <w:r w:rsidRPr="00330234">
        <w:t>te bereiden.</w:t>
      </w:r>
      <w:r w:rsidR="002511C8" w:rsidRPr="00330234">
        <w:t xml:space="preserve"> Voor infuuszakken gemaakt van polyvinylchloride (PVC) moeten infuuszakken worden gebruikt die vrij zijn van di(2</w:t>
      </w:r>
      <w:r w:rsidR="002511C8" w:rsidRPr="00330234">
        <w:noBreakHyphen/>
        <w:t>ethylhexyl)ftalaat (DEHP</w:t>
      </w:r>
      <w:r w:rsidR="002511C8" w:rsidRPr="00330234">
        <w:noBreakHyphen/>
        <w:t>vrij).</w:t>
      </w:r>
    </w:p>
    <w:p w14:paraId="3877EE6A" w14:textId="77777777" w:rsidR="00436DAA" w:rsidRPr="00330234" w:rsidRDefault="00436DAA" w:rsidP="00BD109B">
      <w:pPr>
        <w:pStyle w:val="a3"/>
        <w:widowControl/>
        <w:ind w:left="0"/>
      </w:pPr>
    </w:p>
    <w:p w14:paraId="6C0236D7" w14:textId="77777777" w:rsidR="00436DAA" w:rsidRPr="00330234" w:rsidRDefault="009B4B8E" w:rsidP="00BD109B">
      <w:pPr>
        <w:pStyle w:val="a3"/>
        <w:widowControl/>
        <w:ind w:left="0"/>
      </w:pPr>
      <w:r w:rsidRPr="00330234">
        <w:rPr>
          <w:u w:val="single"/>
        </w:rPr>
        <w:t>RA-,CRS-patiënten (≥ 30 kg) en COVID-19</w:t>
      </w:r>
    </w:p>
    <w:p w14:paraId="68A19B57" w14:textId="6552C0EC" w:rsidR="00436DAA" w:rsidRPr="00330234" w:rsidRDefault="009B4B8E" w:rsidP="001031F9">
      <w:pPr>
        <w:pStyle w:val="a3"/>
        <w:widowControl/>
        <w:ind w:left="0"/>
      </w:pPr>
      <w:r w:rsidRPr="00330234">
        <w:t>Onttrek, onder aseptische omstandigheden, een volume steriele, pyrogeenvrije natriumchloride</w:t>
      </w:r>
      <w:r w:rsidR="001031F9" w:rsidRPr="00330234">
        <w:t xml:space="preserve"> </w:t>
      </w:r>
      <w:r w:rsidRPr="00330234">
        <w:t>9</w:t>
      </w:r>
      <w:r w:rsidR="001031F9" w:rsidRPr="00330234">
        <w:t> </w:t>
      </w:r>
      <w:r w:rsidRPr="00330234">
        <w:t xml:space="preserve">mg/ml (0,9 %) </w:t>
      </w:r>
      <w:r w:rsidR="002511C8" w:rsidRPr="00330234">
        <w:t xml:space="preserve">of 4,5 mg/ml (0,45%) </w:t>
      </w:r>
      <w:r w:rsidRPr="00330234">
        <w:t xml:space="preserve">oplossing voor injectie vanuit een 100 ml infuuszak dat gelijk is aan het volume </w:t>
      </w:r>
      <w:r w:rsidR="002511C8" w:rsidRPr="00330234">
        <w:t>Avtozma</w:t>
      </w:r>
      <w:r w:rsidRPr="00330234">
        <w:t xml:space="preserve">-concentraat dat nodig is voor de dosis van de patiënt. De benodigde hoeveelheid </w:t>
      </w:r>
      <w:r w:rsidR="002511C8" w:rsidRPr="00330234">
        <w:t>Avtozma</w:t>
      </w:r>
      <w:r w:rsidRPr="00330234">
        <w:t>-concentraat (0,4 ml/kg) moet uit de injectieflacon worden getrokken en in de infuuszak van 100 ml worden gespoten. Dit dient te resulteren in een totaalvolume van 100 ml. Voor het mengen van de oplossing de infuuszak voorzichtig omkeren, om schuimvorming te voorkomen.</w:t>
      </w:r>
    </w:p>
    <w:p w14:paraId="7EB6008C" w14:textId="77777777" w:rsidR="001031F9" w:rsidRPr="00330234" w:rsidRDefault="001031F9" w:rsidP="00BD109B">
      <w:pPr>
        <w:pStyle w:val="a3"/>
        <w:widowControl/>
        <w:ind w:left="0"/>
      </w:pPr>
    </w:p>
    <w:p w14:paraId="1AD14B40" w14:textId="77777777" w:rsidR="00436DAA" w:rsidRPr="00330234" w:rsidRDefault="009B4B8E" w:rsidP="00DD4C0C">
      <w:pPr>
        <w:pStyle w:val="a3"/>
        <w:keepNext/>
        <w:keepLines/>
        <w:widowControl/>
        <w:ind w:left="0"/>
      </w:pPr>
      <w:r w:rsidRPr="00330234">
        <w:rPr>
          <w:u w:val="single"/>
        </w:rPr>
        <w:lastRenderedPageBreak/>
        <w:t>Gebruik bij pediatrische patiënten</w:t>
      </w:r>
    </w:p>
    <w:p w14:paraId="6A408647" w14:textId="77777777" w:rsidR="00436DAA" w:rsidRPr="00330234" w:rsidRDefault="00436DAA" w:rsidP="00DD4C0C">
      <w:pPr>
        <w:pStyle w:val="a3"/>
        <w:keepNext/>
        <w:keepLines/>
        <w:widowControl/>
        <w:ind w:left="0"/>
      </w:pPr>
    </w:p>
    <w:p w14:paraId="486C3C31" w14:textId="77777777" w:rsidR="00436DAA" w:rsidRPr="00330234" w:rsidRDefault="009B4B8E" w:rsidP="00DD4C0C">
      <w:pPr>
        <w:pStyle w:val="a3"/>
        <w:keepNext/>
        <w:keepLines/>
        <w:widowControl/>
        <w:ind w:left="0"/>
      </w:pPr>
      <w:r w:rsidRPr="00330234">
        <w:rPr>
          <w:u w:val="single"/>
        </w:rPr>
        <w:t>sJIA-, pJIA- en CRS-patiënten ≥ 30 kg</w:t>
      </w:r>
    </w:p>
    <w:p w14:paraId="79A0D2E7" w14:textId="0C2D15B0" w:rsidR="00436DAA" w:rsidRPr="00330234" w:rsidRDefault="009B4B8E" w:rsidP="00DD4C0C">
      <w:pPr>
        <w:pStyle w:val="a3"/>
        <w:keepNext/>
        <w:keepLines/>
        <w:widowControl/>
        <w:ind w:left="0"/>
      </w:pPr>
      <w:r w:rsidRPr="00330234">
        <w:t>Onttrek, onder aseptische omstandigheden, een volume steriele, pyrogeenvrije natriumchloride 9</w:t>
      </w:r>
      <w:r w:rsidR="001031F9" w:rsidRPr="00330234">
        <w:t> </w:t>
      </w:r>
      <w:r w:rsidRPr="00330234">
        <w:t xml:space="preserve">mg/ml (0,9%) </w:t>
      </w:r>
      <w:r w:rsidR="002511C8" w:rsidRPr="00330234">
        <w:t xml:space="preserve">of 4,5 mg/ml (0,45%) </w:t>
      </w:r>
      <w:r w:rsidRPr="00330234">
        <w:t xml:space="preserve">oplossing voor injectie vanuit een 100 ml infuuszak dat gelijk is aan het volume </w:t>
      </w:r>
      <w:r w:rsidR="002511C8" w:rsidRPr="00330234">
        <w:t>Avtozma</w:t>
      </w:r>
      <w:r w:rsidRPr="00330234">
        <w:t>-concentraat dat nodig is voor de dosis van de patiënt. De benodigde hoeveelheid</w:t>
      </w:r>
      <w:r w:rsidR="001031F9" w:rsidRPr="00330234">
        <w:t xml:space="preserve"> </w:t>
      </w:r>
      <w:r w:rsidR="002511C8" w:rsidRPr="00330234">
        <w:t>Avtozma</w:t>
      </w:r>
      <w:r w:rsidRPr="00330234">
        <w:t>-concentraat (</w:t>
      </w:r>
      <w:r w:rsidRPr="00330234">
        <w:rPr>
          <w:b/>
        </w:rPr>
        <w:t>0,4 ml/kg</w:t>
      </w:r>
      <w:r w:rsidRPr="00330234">
        <w:t>) moet uit de injectieflacon worden getrokken en in de infuuszak van 100 ml worden gespoten. Dit dient te resulteren in een totaalvolume van 100 ml. Voor het mengen van de oplossing de infuuszak voorzichtig omkeren, om schuimvorming te voorkomen.</w:t>
      </w:r>
    </w:p>
    <w:p w14:paraId="29C7E2BA" w14:textId="77777777" w:rsidR="00436DAA" w:rsidRPr="00330234" w:rsidRDefault="00436DAA" w:rsidP="00BD109B">
      <w:pPr>
        <w:pStyle w:val="a3"/>
        <w:widowControl/>
        <w:ind w:left="0"/>
      </w:pPr>
    </w:p>
    <w:p w14:paraId="7451C851" w14:textId="77777777" w:rsidR="00436DAA" w:rsidRPr="00330234" w:rsidRDefault="009B4B8E" w:rsidP="001031F9">
      <w:pPr>
        <w:pStyle w:val="a3"/>
        <w:keepNext/>
        <w:keepLines/>
        <w:widowControl/>
        <w:ind w:left="0"/>
      </w:pPr>
      <w:r w:rsidRPr="00330234">
        <w:rPr>
          <w:u w:val="single"/>
        </w:rPr>
        <w:t>sJIA- en CRS-patiënten &lt; 30 kg</w:t>
      </w:r>
    </w:p>
    <w:p w14:paraId="1AC9D7A6" w14:textId="468E891F" w:rsidR="00436DAA" w:rsidRPr="00330234" w:rsidRDefault="009B4B8E" w:rsidP="001031F9">
      <w:pPr>
        <w:pStyle w:val="a3"/>
        <w:keepNext/>
        <w:keepLines/>
        <w:widowControl/>
        <w:ind w:left="0"/>
      </w:pPr>
      <w:r w:rsidRPr="00330234">
        <w:t>Onttrek, onder aseptische omstandigheden, een volume steriele, pyrogeenvrije natriumchloride 9</w:t>
      </w:r>
      <w:r w:rsidR="001031F9" w:rsidRPr="00330234">
        <w:t> </w:t>
      </w:r>
      <w:r w:rsidRPr="00330234">
        <w:t xml:space="preserve">mg/ml (0,9%) </w:t>
      </w:r>
      <w:r w:rsidR="00714B42" w:rsidRPr="00330234">
        <w:t xml:space="preserve">of 4,5 mg/ml (0,45%) </w:t>
      </w:r>
      <w:r w:rsidRPr="00330234">
        <w:t xml:space="preserve">oplossing voor injectie vanuit een 50 ml infuuszak dat gelijk is aan het volume </w:t>
      </w:r>
      <w:r w:rsidR="002511C8" w:rsidRPr="00330234">
        <w:t>Avtozma</w:t>
      </w:r>
      <w:r w:rsidRPr="00330234">
        <w:t>-concentraat dat nodig is voor de dosis van de patiënt. De benodigde hoeveelheid</w:t>
      </w:r>
      <w:r w:rsidR="001031F9" w:rsidRPr="00330234">
        <w:t xml:space="preserve"> </w:t>
      </w:r>
      <w:r w:rsidR="002511C8" w:rsidRPr="00330234">
        <w:t>Avtozma</w:t>
      </w:r>
      <w:r w:rsidRPr="00330234">
        <w:t>-concentraat (</w:t>
      </w:r>
      <w:r w:rsidRPr="00330234">
        <w:rPr>
          <w:b/>
        </w:rPr>
        <w:t>0,6 ml/kg</w:t>
      </w:r>
      <w:r w:rsidRPr="00330234">
        <w:t>) moet uit de injectieflacon worden getrokken en in de infuuszak van 50 ml worden gespoten. Dit dient te resulteren in een totaalvolume van 50 ml. Voor het mengen van de oplossing de infuuszak voorzichtig omkeren, om schuimvorming te voorkomen.</w:t>
      </w:r>
    </w:p>
    <w:p w14:paraId="0B5B5F7D" w14:textId="77777777" w:rsidR="001031F9" w:rsidRPr="00330234" w:rsidRDefault="001031F9" w:rsidP="00BD109B">
      <w:pPr>
        <w:pStyle w:val="a3"/>
        <w:widowControl/>
        <w:ind w:left="0"/>
      </w:pPr>
    </w:p>
    <w:p w14:paraId="04618319" w14:textId="77777777" w:rsidR="00436DAA" w:rsidRPr="00330234" w:rsidRDefault="009B4B8E" w:rsidP="00BD109B">
      <w:pPr>
        <w:pStyle w:val="a3"/>
        <w:widowControl/>
        <w:ind w:left="0"/>
      </w:pPr>
      <w:r w:rsidRPr="00330234">
        <w:rPr>
          <w:u w:val="single"/>
        </w:rPr>
        <w:t>pJIA-patiënten &lt; 30 kg</w:t>
      </w:r>
    </w:p>
    <w:p w14:paraId="099F8389" w14:textId="3465DF4D" w:rsidR="00436DAA" w:rsidRPr="00330234" w:rsidRDefault="009B4B8E" w:rsidP="001031F9">
      <w:pPr>
        <w:pStyle w:val="a3"/>
        <w:widowControl/>
        <w:ind w:left="0"/>
      </w:pPr>
      <w:r w:rsidRPr="00330234">
        <w:t>Onttrek, onder aseptische omstandigheden, een volume steriele, pyrogeenvrije natriumchloride 9</w:t>
      </w:r>
      <w:r w:rsidR="001031F9" w:rsidRPr="00330234">
        <w:t> </w:t>
      </w:r>
      <w:r w:rsidRPr="00330234">
        <w:t xml:space="preserve">mg/ml (0,9%) </w:t>
      </w:r>
      <w:r w:rsidR="00A9164A" w:rsidRPr="00330234">
        <w:t xml:space="preserve">of 4,5 mg/ml (0,45%) </w:t>
      </w:r>
      <w:r w:rsidRPr="00330234">
        <w:t xml:space="preserve">oplossing voor injectie vanuit een 50 ml infuuszak dat gelijk is aan het volume </w:t>
      </w:r>
      <w:r w:rsidR="00714B42" w:rsidRPr="00330234">
        <w:t>Avtozma</w:t>
      </w:r>
      <w:r w:rsidRPr="00330234">
        <w:t>-concentraat dat nodig is voor de dosis van de patiënt. De benodigde hoeveelheid</w:t>
      </w:r>
      <w:r w:rsidR="001031F9" w:rsidRPr="00330234">
        <w:t xml:space="preserve"> </w:t>
      </w:r>
      <w:r w:rsidR="00714B42" w:rsidRPr="00330234">
        <w:t>Avtozma</w:t>
      </w:r>
      <w:r w:rsidRPr="00330234">
        <w:t>-concentraat (</w:t>
      </w:r>
      <w:r w:rsidRPr="00330234">
        <w:rPr>
          <w:b/>
        </w:rPr>
        <w:t>0,5 ml/kg</w:t>
      </w:r>
      <w:r w:rsidRPr="00330234">
        <w:t>) moet uit de injectieflacon worden getrokken en in de infuuszak van 50 ml worden gespoten. Dit dient te resulteren in een totaalvolume van 50 ml. Voor het mengen van de oplossing de infuuszak voorzichtig omkeren, om schuimvorming te voorkomen.</w:t>
      </w:r>
    </w:p>
    <w:p w14:paraId="4785C548" w14:textId="77777777" w:rsidR="00436DAA" w:rsidRPr="00330234" w:rsidRDefault="00436DAA" w:rsidP="00BD109B">
      <w:pPr>
        <w:pStyle w:val="a3"/>
        <w:widowControl/>
        <w:ind w:left="0"/>
      </w:pPr>
    </w:p>
    <w:p w14:paraId="71EE42EE" w14:textId="592509E6" w:rsidR="00436DAA" w:rsidRPr="00330234" w:rsidRDefault="00714B42" w:rsidP="00BD109B">
      <w:pPr>
        <w:pStyle w:val="a3"/>
        <w:widowControl/>
        <w:ind w:left="0"/>
      </w:pPr>
      <w:r w:rsidRPr="00330234">
        <w:t>Avtozma</w:t>
      </w:r>
      <w:r w:rsidR="009B4B8E" w:rsidRPr="00330234">
        <w:t xml:space="preserve"> injectieflacons zijn voor eenmalig gebruik.</w:t>
      </w:r>
    </w:p>
    <w:p w14:paraId="5C8A9441" w14:textId="77777777" w:rsidR="00436DAA" w:rsidRPr="00330234" w:rsidRDefault="009B4B8E" w:rsidP="00BD109B">
      <w:pPr>
        <w:pStyle w:val="a3"/>
        <w:widowControl/>
        <w:ind w:left="0"/>
      </w:pPr>
      <w:r w:rsidRPr="00330234">
        <w:t>Al het ongebruikte geneesmiddel of afvalmateriaal dient te worden vernietigd overeenkomstig lokale voorschriften.</w:t>
      </w:r>
    </w:p>
    <w:p w14:paraId="4B665BC0" w14:textId="77777777" w:rsidR="00436DAA" w:rsidRPr="00330234" w:rsidRDefault="00436DAA" w:rsidP="00BD109B">
      <w:pPr>
        <w:pStyle w:val="a3"/>
        <w:widowControl/>
        <w:ind w:left="0"/>
      </w:pPr>
    </w:p>
    <w:p w14:paraId="30DAC24C" w14:textId="77777777" w:rsidR="00436DAA" w:rsidRPr="00330234" w:rsidRDefault="00436DAA" w:rsidP="00BD109B">
      <w:pPr>
        <w:pStyle w:val="a3"/>
        <w:widowControl/>
        <w:ind w:left="0"/>
      </w:pPr>
    </w:p>
    <w:p w14:paraId="535CA684" w14:textId="40845062" w:rsidR="00436DAA" w:rsidRPr="00330234" w:rsidRDefault="005328BF" w:rsidP="001B3E1E">
      <w:pPr>
        <w:pStyle w:val="2"/>
        <w:keepNext/>
        <w:keepLines/>
      </w:pPr>
      <w:r w:rsidRPr="00330234">
        <w:t>7.</w:t>
      </w:r>
      <w:r w:rsidRPr="00330234">
        <w:tab/>
      </w:r>
      <w:r w:rsidR="009B4B8E" w:rsidRPr="00330234">
        <w:t>HOUDER VAN DE VERGUNNING VOOR HET IN DE HANDEL BRENGEN</w:t>
      </w:r>
    </w:p>
    <w:p w14:paraId="57058054" w14:textId="77777777" w:rsidR="001031F9" w:rsidRPr="00330234" w:rsidRDefault="001031F9" w:rsidP="001B3E1E">
      <w:pPr>
        <w:pStyle w:val="a3"/>
        <w:keepNext/>
        <w:keepLines/>
        <w:widowControl/>
        <w:ind w:left="0"/>
      </w:pPr>
    </w:p>
    <w:p w14:paraId="6C229DAA" w14:textId="246DF8FE" w:rsidR="00714B42" w:rsidRPr="00330234" w:rsidRDefault="00714B42" w:rsidP="00714B42">
      <w:pPr>
        <w:keepNext/>
      </w:pPr>
      <w:r w:rsidRPr="00330234">
        <w:t>Celltrion Healthcare Hungary Kft.</w:t>
      </w:r>
    </w:p>
    <w:p w14:paraId="0707763A" w14:textId="77777777" w:rsidR="00714B42" w:rsidRPr="00330234" w:rsidRDefault="00714B42" w:rsidP="00714B42">
      <w:pPr>
        <w:keepNext/>
      </w:pPr>
      <w:r w:rsidRPr="00330234">
        <w:t>1062 Budapest</w:t>
      </w:r>
    </w:p>
    <w:p w14:paraId="444F3F19" w14:textId="77777777" w:rsidR="00714B42" w:rsidRPr="00330234" w:rsidRDefault="00714B42" w:rsidP="00714B42">
      <w:pPr>
        <w:keepNext/>
      </w:pPr>
      <w:r w:rsidRPr="00330234">
        <w:t>Váci út 1-3. WestEnd Office Building B torony</w:t>
      </w:r>
    </w:p>
    <w:p w14:paraId="2F348C7B" w14:textId="20517102" w:rsidR="00714B42" w:rsidRPr="00330234" w:rsidRDefault="00714B42" w:rsidP="00714B42">
      <w:r w:rsidRPr="00330234">
        <w:t>Hongarije</w:t>
      </w:r>
    </w:p>
    <w:p w14:paraId="14B8DB06" w14:textId="77777777" w:rsidR="00436DAA" w:rsidRPr="00330234" w:rsidRDefault="00436DAA" w:rsidP="00BD109B">
      <w:pPr>
        <w:pStyle w:val="a3"/>
        <w:widowControl/>
        <w:ind w:left="0"/>
      </w:pPr>
    </w:p>
    <w:p w14:paraId="406F2809" w14:textId="77777777" w:rsidR="001031F9" w:rsidRPr="00330234" w:rsidRDefault="001031F9" w:rsidP="00BD109B">
      <w:pPr>
        <w:pStyle w:val="a3"/>
        <w:widowControl/>
        <w:ind w:left="0"/>
      </w:pPr>
    </w:p>
    <w:p w14:paraId="12B73732" w14:textId="6C1D70FB" w:rsidR="00436DAA" w:rsidRPr="00330234" w:rsidRDefault="005328BF" w:rsidP="001031F9">
      <w:pPr>
        <w:pStyle w:val="2"/>
      </w:pPr>
      <w:r w:rsidRPr="00330234">
        <w:t>8.</w:t>
      </w:r>
      <w:r w:rsidRPr="00330234">
        <w:tab/>
      </w:r>
      <w:r w:rsidR="009B4B8E" w:rsidRPr="00330234">
        <w:t>NUMMER(S) VAN DE VERGUNNING VOOR HET IN DE HANDEL BRENGEN</w:t>
      </w:r>
    </w:p>
    <w:p w14:paraId="077DC223" w14:textId="77777777" w:rsidR="001031F9" w:rsidRPr="00330234" w:rsidRDefault="001031F9" w:rsidP="00BD109B">
      <w:pPr>
        <w:pStyle w:val="a3"/>
        <w:widowControl/>
        <w:ind w:left="0"/>
      </w:pPr>
    </w:p>
    <w:p w14:paraId="43D73A5E" w14:textId="42E816A8" w:rsidR="001031F9" w:rsidRPr="00330234" w:rsidRDefault="009B4B8E" w:rsidP="00BD109B">
      <w:pPr>
        <w:pStyle w:val="a3"/>
        <w:widowControl/>
        <w:ind w:left="0"/>
      </w:pPr>
      <w:r w:rsidRPr="00330234">
        <w:t>EU/</w:t>
      </w:r>
      <w:r w:rsidR="00116862" w:rsidRPr="00231CE5">
        <w:rPr>
          <w:spacing w:val="-1"/>
        </w:rPr>
        <w:t>1/24/1896/001</w:t>
      </w:r>
    </w:p>
    <w:p w14:paraId="0CF8E6A3" w14:textId="5CB9FB6E" w:rsidR="001031F9" w:rsidRPr="00330234" w:rsidRDefault="009B4B8E" w:rsidP="00BD109B">
      <w:pPr>
        <w:pStyle w:val="a3"/>
        <w:widowControl/>
        <w:ind w:left="0"/>
      </w:pPr>
      <w:r w:rsidRPr="00330234">
        <w:t>EU/</w:t>
      </w:r>
      <w:r w:rsidR="00116862" w:rsidRPr="00231CE5">
        <w:rPr>
          <w:spacing w:val="-1"/>
        </w:rPr>
        <w:t>1/24/1896/00</w:t>
      </w:r>
      <w:r w:rsidR="00116862">
        <w:rPr>
          <w:rFonts w:eastAsia="맑은 고딕" w:hint="eastAsia"/>
          <w:spacing w:val="-1"/>
          <w:lang w:eastAsia="ko-KR"/>
        </w:rPr>
        <w:t>2</w:t>
      </w:r>
    </w:p>
    <w:p w14:paraId="3DF0835C" w14:textId="65EF80FA" w:rsidR="001031F9" w:rsidRPr="00330234" w:rsidRDefault="009B4B8E" w:rsidP="00BD109B">
      <w:pPr>
        <w:pStyle w:val="a3"/>
        <w:widowControl/>
        <w:ind w:left="0"/>
      </w:pPr>
      <w:r w:rsidRPr="00330234">
        <w:t>EU/</w:t>
      </w:r>
      <w:r w:rsidR="00116862" w:rsidRPr="00231CE5">
        <w:rPr>
          <w:spacing w:val="-1"/>
        </w:rPr>
        <w:t>1/24/1896/00</w:t>
      </w:r>
      <w:r w:rsidR="00116862">
        <w:rPr>
          <w:rFonts w:eastAsia="맑은 고딕" w:hint="eastAsia"/>
          <w:spacing w:val="-1"/>
          <w:lang w:eastAsia="ko-KR"/>
        </w:rPr>
        <w:t>3</w:t>
      </w:r>
    </w:p>
    <w:p w14:paraId="5C44EFEC" w14:textId="3033E4BE" w:rsidR="001031F9" w:rsidRPr="00330234" w:rsidRDefault="009B4B8E" w:rsidP="00BD109B">
      <w:pPr>
        <w:pStyle w:val="a3"/>
        <w:widowControl/>
        <w:ind w:left="0"/>
      </w:pPr>
      <w:r w:rsidRPr="00330234">
        <w:t>EU/</w:t>
      </w:r>
      <w:r w:rsidR="00116862" w:rsidRPr="00231CE5">
        <w:rPr>
          <w:spacing w:val="-1"/>
        </w:rPr>
        <w:t>1/24/1896/00</w:t>
      </w:r>
      <w:r w:rsidR="00116862">
        <w:rPr>
          <w:rFonts w:eastAsia="맑은 고딕" w:hint="eastAsia"/>
          <w:spacing w:val="-1"/>
          <w:lang w:eastAsia="ko-KR"/>
        </w:rPr>
        <w:t>4</w:t>
      </w:r>
    </w:p>
    <w:p w14:paraId="091D7F85" w14:textId="51DB1268" w:rsidR="001031F9" w:rsidRPr="00330234" w:rsidRDefault="009B4B8E" w:rsidP="00BD109B">
      <w:pPr>
        <w:pStyle w:val="a3"/>
        <w:widowControl/>
        <w:ind w:left="0"/>
      </w:pPr>
      <w:r w:rsidRPr="00330234">
        <w:t>EU/</w:t>
      </w:r>
      <w:r w:rsidR="00116862" w:rsidRPr="00231CE5">
        <w:rPr>
          <w:spacing w:val="-1"/>
        </w:rPr>
        <w:t>1/24/1896/00</w:t>
      </w:r>
      <w:r w:rsidR="00116862">
        <w:rPr>
          <w:rFonts w:eastAsia="맑은 고딕" w:hint="eastAsia"/>
          <w:spacing w:val="-1"/>
          <w:lang w:eastAsia="ko-KR"/>
        </w:rPr>
        <w:t>5</w:t>
      </w:r>
    </w:p>
    <w:p w14:paraId="19CD391E" w14:textId="5C5E0143" w:rsidR="00436DAA" w:rsidRPr="00330234" w:rsidRDefault="009B4B8E" w:rsidP="00BD109B">
      <w:pPr>
        <w:pStyle w:val="a3"/>
        <w:widowControl/>
        <w:ind w:left="0"/>
      </w:pPr>
      <w:r w:rsidRPr="00330234">
        <w:t>EU/</w:t>
      </w:r>
      <w:r w:rsidR="00116862" w:rsidRPr="00231CE5">
        <w:rPr>
          <w:spacing w:val="-1"/>
        </w:rPr>
        <w:t>1/24/1896/00</w:t>
      </w:r>
      <w:r w:rsidR="00116862">
        <w:rPr>
          <w:spacing w:val="-1"/>
        </w:rPr>
        <w:t>6</w:t>
      </w:r>
    </w:p>
    <w:p w14:paraId="7114FBB7" w14:textId="77777777" w:rsidR="00436DAA" w:rsidRPr="00330234" w:rsidRDefault="00436DAA" w:rsidP="00BD109B">
      <w:pPr>
        <w:pStyle w:val="a3"/>
        <w:widowControl/>
        <w:ind w:left="0"/>
      </w:pPr>
    </w:p>
    <w:p w14:paraId="4D098C6F" w14:textId="77777777" w:rsidR="00436DAA" w:rsidRPr="00330234" w:rsidRDefault="00436DAA" w:rsidP="00BD109B">
      <w:pPr>
        <w:pStyle w:val="a3"/>
        <w:widowControl/>
        <w:ind w:left="0"/>
      </w:pPr>
    </w:p>
    <w:p w14:paraId="025D649B" w14:textId="6EF5F0A2" w:rsidR="00436DAA" w:rsidRPr="00330234" w:rsidRDefault="005328BF" w:rsidP="001B3E1E">
      <w:pPr>
        <w:pStyle w:val="2"/>
        <w:keepNext/>
        <w:keepLines/>
      </w:pPr>
      <w:r w:rsidRPr="00330234">
        <w:t>9.</w:t>
      </w:r>
      <w:r w:rsidRPr="00330234">
        <w:tab/>
      </w:r>
      <w:r w:rsidR="009B4B8E" w:rsidRPr="00330234">
        <w:t>DATUM VAN EERSTE VERLENING VAN DE VERGUNNING/VERLENGING VAN DE VERGUNNING</w:t>
      </w:r>
    </w:p>
    <w:p w14:paraId="7D1233A9" w14:textId="77777777" w:rsidR="001031F9" w:rsidRPr="00330234" w:rsidRDefault="001031F9" w:rsidP="001B3E1E">
      <w:pPr>
        <w:pStyle w:val="a3"/>
        <w:keepNext/>
        <w:keepLines/>
        <w:widowControl/>
        <w:ind w:left="0"/>
      </w:pPr>
    </w:p>
    <w:p w14:paraId="5CF9A14E" w14:textId="6A261695" w:rsidR="001031F9" w:rsidRPr="00330234" w:rsidRDefault="009B4B8E" w:rsidP="001B3E1E">
      <w:pPr>
        <w:pStyle w:val="a3"/>
        <w:keepNext/>
        <w:keepLines/>
        <w:widowControl/>
        <w:ind w:left="0"/>
      </w:pPr>
      <w:r w:rsidRPr="00330234">
        <w:t xml:space="preserve">Datum van eerste verlening van de vergunning: </w:t>
      </w:r>
      <w:r w:rsidR="006557B8">
        <w:rPr>
          <w:rFonts w:eastAsia="맑은 고딕" w:hint="eastAsia"/>
          <w:lang w:eastAsia="ko-KR"/>
        </w:rPr>
        <w:t xml:space="preserve">14 </w:t>
      </w:r>
      <w:r w:rsidR="0097105B" w:rsidRPr="004C41FF">
        <w:t>februari</w:t>
      </w:r>
      <w:r w:rsidR="0097105B">
        <w:rPr>
          <w:rFonts w:eastAsia="맑은 고딕" w:hint="eastAsia"/>
          <w:lang w:eastAsia="ko-KR"/>
        </w:rPr>
        <w:t xml:space="preserve"> 2025</w:t>
      </w:r>
    </w:p>
    <w:p w14:paraId="363471B4" w14:textId="77777777" w:rsidR="00436DAA" w:rsidRPr="00330234" w:rsidRDefault="00436DAA" w:rsidP="00BD109B">
      <w:pPr>
        <w:pStyle w:val="a3"/>
        <w:widowControl/>
        <w:ind w:left="0"/>
      </w:pPr>
    </w:p>
    <w:p w14:paraId="14FADD16" w14:textId="77777777" w:rsidR="00436DAA" w:rsidRPr="00330234" w:rsidRDefault="00436DAA" w:rsidP="00BD109B">
      <w:pPr>
        <w:pStyle w:val="a3"/>
        <w:widowControl/>
        <w:ind w:left="0"/>
      </w:pPr>
    </w:p>
    <w:p w14:paraId="77004E89" w14:textId="0CA34760" w:rsidR="00436DAA" w:rsidRPr="00330234" w:rsidRDefault="005328BF" w:rsidP="00DD4C0C">
      <w:pPr>
        <w:pStyle w:val="2"/>
        <w:keepNext/>
        <w:keepLines/>
      </w:pPr>
      <w:r w:rsidRPr="00330234">
        <w:lastRenderedPageBreak/>
        <w:t>10.</w:t>
      </w:r>
      <w:r w:rsidRPr="00330234">
        <w:tab/>
      </w:r>
      <w:r w:rsidR="009B4B8E" w:rsidRPr="00330234">
        <w:t>DATUM VAN HERZIENING VAN DE TEKST</w:t>
      </w:r>
    </w:p>
    <w:p w14:paraId="09F2BA6A" w14:textId="77777777" w:rsidR="001031F9" w:rsidRPr="00330234" w:rsidRDefault="001031F9" w:rsidP="00DD4C0C">
      <w:pPr>
        <w:pStyle w:val="a3"/>
        <w:keepNext/>
        <w:keepLines/>
        <w:widowControl/>
        <w:ind w:left="0"/>
      </w:pPr>
    </w:p>
    <w:p w14:paraId="61D1CACA" w14:textId="4C60B6B0" w:rsidR="00436DAA" w:rsidRPr="00330234" w:rsidRDefault="009B4B8E" w:rsidP="00DD4C0C">
      <w:pPr>
        <w:pStyle w:val="a3"/>
        <w:keepNext/>
        <w:keepLines/>
        <w:widowControl/>
        <w:ind w:left="0"/>
      </w:pPr>
      <w:r w:rsidRPr="00330234">
        <w:t xml:space="preserve">Gedetailleerde informatie over dit geneesmiddel is beschikbaar op de website van het Europees Geneesmiddelenbureau </w:t>
      </w:r>
      <w:hyperlink r:id="rId15" w:history="1">
        <w:r w:rsidR="00C94F07" w:rsidRPr="00C94F07">
          <w:rPr>
            <w:rStyle w:val="ab"/>
          </w:rPr>
          <w:t>http</w:t>
        </w:r>
        <w:r w:rsidR="00C94F07" w:rsidRPr="00C94F07">
          <w:rPr>
            <w:rStyle w:val="ab"/>
            <w:rFonts w:eastAsia="맑은 고딕" w:hint="eastAsia"/>
            <w:lang w:eastAsia="ko-KR"/>
          </w:rPr>
          <w:t>s</w:t>
        </w:r>
        <w:r w:rsidR="00C94F07" w:rsidRPr="00C94F07">
          <w:rPr>
            <w:rStyle w:val="ab"/>
          </w:rPr>
          <w:t>://www.ema.europa.eu.</w:t>
        </w:r>
      </w:hyperlink>
    </w:p>
    <w:p w14:paraId="2D0B321A" w14:textId="56CEAAD9" w:rsidR="00714B42" w:rsidRPr="001B3E1E" w:rsidRDefault="001031F9" w:rsidP="00714B42">
      <w:pPr>
        <w:pStyle w:val="Style1"/>
        <w:widowControl/>
        <w:ind w:left="0" w:firstLine="0"/>
        <w:rPr>
          <w:b w:val="0"/>
          <w:bCs w:val="0"/>
        </w:rPr>
      </w:pPr>
      <w:r w:rsidRPr="00330234">
        <w:br w:type="page"/>
      </w:r>
      <w:r w:rsidR="00315255">
        <w:rPr>
          <w:noProof/>
          <w:lang w:val="en-US" w:eastAsia="ko-KR"/>
        </w:rPr>
        <w:lastRenderedPageBreak/>
        <w:drawing>
          <wp:inline distT="0" distB="0" distL="0" distR="0" wp14:anchorId="3F34AF59" wp14:editId="5371FB9D">
            <wp:extent cx="191135" cy="170180"/>
            <wp:effectExtent l="0" t="0" r="0" b="0"/>
            <wp:docPr id="2"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714B42" w:rsidRPr="00330234">
        <w:rPr>
          <w:b w:val="0"/>
          <w:bCs w:val="0"/>
        </w:rPr>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r w:rsidR="00714B42" w:rsidRPr="001B3E1E">
        <w:rPr>
          <w:b w:val="0"/>
          <w:bCs w:val="0"/>
        </w:rPr>
        <w:t>.</w:t>
      </w:r>
    </w:p>
    <w:p w14:paraId="48BA27CC" w14:textId="77777777" w:rsidR="00714B42" w:rsidRPr="00330234" w:rsidRDefault="00714B42" w:rsidP="00BD109B">
      <w:pPr>
        <w:widowControl/>
      </w:pPr>
    </w:p>
    <w:p w14:paraId="40C5AE46" w14:textId="77777777" w:rsidR="00714B42" w:rsidRPr="00330234" w:rsidRDefault="00714B42" w:rsidP="00BD109B">
      <w:pPr>
        <w:widowControl/>
      </w:pPr>
    </w:p>
    <w:p w14:paraId="47DCA63D" w14:textId="6C54CF58" w:rsidR="00436DAA" w:rsidRPr="00330234" w:rsidRDefault="005328BF" w:rsidP="001031F9">
      <w:pPr>
        <w:pStyle w:val="1"/>
      </w:pPr>
      <w:r w:rsidRPr="00330234">
        <w:t>1.</w:t>
      </w:r>
      <w:r w:rsidRPr="00330234">
        <w:tab/>
      </w:r>
      <w:r w:rsidR="009B4B8E" w:rsidRPr="00330234">
        <w:t>NAAM VAN HET GENEESMIDDEL</w:t>
      </w:r>
    </w:p>
    <w:p w14:paraId="10DB8DF2" w14:textId="77777777" w:rsidR="001031F9" w:rsidRPr="00330234" w:rsidRDefault="001031F9" w:rsidP="00BD109B">
      <w:pPr>
        <w:pStyle w:val="a3"/>
        <w:widowControl/>
        <w:ind w:left="0"/>
      </w:pPr>
    </w:p>
    <w:p w14:paraId="76E24F71" w14:textId="6CD7C11C" w:rsidR="00436DAA" w:rsidRPr="00D1666A" w:rsidRDefault="00714B42" w:rsidP="00BD109B">
      <w:pPr>
        <w:pStyle w:val="a3"/>
        <w:widowControl/>
        <w:ind w:left="0"/>
        <w:rPr>
          <w:rFonts w:eastAsia="맑은 고딕" w:hint="eastAsia"/>
          <w:lang w:eastAsia="ko-KR"/>
          <w:rPrChange w:id="15" w:author="만든 이">
            <w:rPr/>
          </w:rPrChange>
        </w:rPr>
      </w:pPr>
      <w:r w:rsidRPr="00330234">
        <w:t>Avtozma</w:t>
      </w:r>
      <w:r w:rsidR="009B4B8E" w:rsidRPr="00330234">
        <w:t>, 162 mg oplossing voor injectie in een voorgevulde spuit</w:t>
      </w:r>
      <w:del w:id="16" w:author="만든 이">
        <w:r w:rsidR="009B4B8E" w:rsidRPr="00330234" w:rsidDel="00D1666A">
          <w:delText>.</w:delText>
        </w:r>
      </w:del>
    </w:p>
    <w:p w14:paraId="630EA7B9" w14:textId="77777777" w:rsidR="00436DAA" w:rsidRPr="00330234" w:rsidRDefault="00436DAA" w:rsidP="00BD109B">
      <w:pPr>
        <w:pStyle w:val="a3"/>
        <w:widowControl/>
        <w:ind w:left="0"/>
      </w:pPr>
    </w:p>
    <w:p w14:paraId="44453FD8" w14:textId="77777777" w:rsidR="00436DAA" w:rsidRPr="00330234" w:rsidRDefault="00436DAA" w:rsidP="00BD109B">
      <w:pPr>
        <w:pStyle w:val="a3"/>
        <w:widowControl/>
        <w:ind w:left="0"/>
      </w:pPr>
    </w:p>
    <w:p w14:paraId="2FAF20EE" w14:textId="59249AD5" w:rsidR="00436DAA" w:rsidRPr="00330234" w:rsidRDefault="005328BF" w:rsidP="001031F9">
      <w:pPr>
        <w:pStyle w:val="1"/>
      </w:pPr>
      <w:r w:rsidRPr="00330234">
        <w:t>2.</w:t>
      </w:r>
      <w:r w:rsidRPr="00330234">
        <w:tab/>
      </w:r>
      <w:r w:rsidR="009B4B8E" w:rsidRPr="00330234">
        <w:t>KWALITATIEVE EN KWANTITATIEVE SAMENSTELLING</w:t>
      </w:r>
    </w:p>
    <w:p w14:paraId="498E2108" w14:textId="77777777" w:rsidR="001031F9" w:rsidRPr="00330234" w:rsidRDefault="001031F9" w:rsidP="00BD109B">
      <w:pPr>
        <w:pStyle w:val="a3"/>
        <w:widowControl/>
        <w:ind w:left="0"/>
      </w:pPr>
    </w:p>
    <w:p w14:paraId="6C8F0DAB" w14:textId="51E1412C" w:rsidR="00436DAA" w:rsidRPr="00330234" w:rsidRDefault="009B4B8E" w:rsidP="00BD109B">
      <w:pPr>
        <w:pStyle w:val="a3"/>
        <w:widowControl/>
        <w:ind w:left="0"/>
      </w:pPr>
      <w:r w:rsidRPr="00330234">
        <w:t>Elke voorgevulde spuit bevat 162 mg tocilizumab in 0,9 ml.</w:t>
      </w:r>
    </w:p>
    <w:p w14:paraId="470C56B3" w14:textId="77777777" w:rsidR="00436DAA" w:rsidRPr="00330234" w:rsidRDefault="00436DAA" w:rsidP="00BD109B">
      <w:pPr>
        <w:pStyle w:val="a3"/>
        <w:widowControl/>
        <w:ind w:left="0"/>
      </w:pPr>
    </w:p>
    <w:p w14:paraId="6CC57BDE" w14:textId="6731225E" w:rsidR="00436DAA" w:rsidRDefault="009B4B8E" w:rsidP="00BD109B">
      <w:pPr>
        <w:pStyle w:val="a3"/>
        <w:widowControl/>
        <w:ind w:left="0"/>
      </w:pPr>
      <w:r w:rsidRPr="00330234">
        <w:t xml:space="preserve">Tocilizumab is een recombinant gehumaniseerd anti-humaan monoklonaal antilichaam van de immunoglobuline G1 (IgG1) subklasse, dat gericht is tegen de </w:t>
      </w:r>
      <w:r w:rsidR="00557A5E" w:rsidRPr="00330234">
        <w:t>oplosbare en membraangebonden interleukine-6-receptoren.</w:t>
      </w:r>
      <w:r w:rsidR="00FF3534" w:rsidRPr="002333BF">
        <w:rPr>
          <w:rFonts w:eastAsia="맑은 고딕" w:hint="eastAsia"/>
          <w:lang w:eastAsia="ko-KR"/>
        </w:rPr>
        <w:t>.</w:t>
      </w:r>
    </w:p>
    <w:p w14:paraId="768396A7" w14:textId="77777777" w:rsidR="00FF3534" w:rsidRDefault="00FF3534" w:rsidP="00116862">
      <w:pPr>
        <w:pStyle w:val="a3"/>
        <w:widowControl/>
        <w:ind w:left="0"/>
        <w:rPr>
          <w:rFonts w:eastAsia="맑은 고딕"/>
          <w:u w:val="single"/>
          <w:lang w:eastAsia="ko-KR"/>
        </w:rPr>
      </w:pPr>
    </w:p>
    <w:p w14:paraId="37F187C8" w14:textId="77777777" w:rsidR="00FF3534" w:rsidRDefault="00116862" w:rsidP="00116862">
      <w:pPr>
        <w:pStyle w:val="a3"/>
        <w:widowControl/>
        <w:ind w:left="0"/>
        <w:rPr>
          <w:rFonts w:eastAsia="맑은 고딕"/>
          <w:u w:val="single"/>
          <w:lang w:eastAsia="ko-KR"/>
        </w:rPr>
      </w:pPr>
      <w:r w:rsidRPr="00330234">
        <w:rPr>
          <w:u w:val="single"/>
        </w:rPr>
        <w:t>Hulpstoffen met bekend effect</w:t>
      </w:r>
    </w:p>
    <w:p w14:paraId="122C898E" w14:textId="31377789" w:rsidR="00116862" w:rsidRPr="00330234" w:rsidRDefault="00116862" w:rsidP="00116862">
      <w:pPr>
        <w:pStyle w:val="a3"/>
        <w:widowControl/>
        <w:ind w:left="0"/>
        <w:rPr>
          <w:i/>
          <w:iCs/>
        </w:rPr>
      </w:pPr>
      <w:r w:rsidRPr="00330234">
        <w:rPr>
          <w:i/>
          <w:iCs/>
        </w:rPr>
        <w:t>Polysorbaat</w:t>
      </w:r>
    </w:p>
    <w:p w14:paraId="316D6041" w14:textId="298960A2" w:rsidR="00116862" w:rsidRPr="00116862" w:rsidRDefault="00116862" w:rsidP="00BD109B">
      <w:pPr>
        <w:pStyle w:val="a3"/>
        <w:widowControl/>
        <w:ind w:left="0"/>
      </w:pPr>
      <w:r w:rsidRPr="00330234">
        <w:t>Elke 162 mg voorgevulde injectiespuit bevat 0,2 mg polysorbaat</w:t>
      </w:r>
      <w:r w:rsidR="0096677B">
        <w:rPr>
          <w:rFonts w:eastAsia="맑은 고딕" w:hint="eastAsia"/>
          <w:lang w:eastAsia="ko-KR"/>
        </w:rPr>
        <w:t xml:space="preserve"> 80</w:t>
      </w:r>
      <w:r w:rsidRPr="00330234">
        <w:t>.</w:t>
      </w:r>
    </w:p>
    <w:p w14:paraId="73F09EC5" w14:textId="77777777" w:rsidR="00116862" w:rsidRPr="00330234" w:rsidRDefault="00116862" w:rsidP="00BD109B">
      <w:pPr>
        <w:pStyle w:val="a3"/>
        <w:widowControl/>
        <w:ind w:left="0"/>
      </w:pPr>
    </w:p>
    <w:p w14:paraId="6F2DDB1F" w14:textId="77777777" w:rsidR="00436DAA" w:rsidRPr="00330234" w:rsidRDefault="009B4B8E" w:rsidP="00BD109B">
      <w:pPr>
        <w:pStyle w:val="a3"/>
        <w:widowControl/>
        <w:ind w:left="0"/>
      </w:pPr>
      <w:r w:rsidRPr="00330234">
        <w:t>Voor de volledige lijst van hulpstoffen, zie rubriek 6.1.</w:t>
      </w:r>
    </w:p>
    <w:p w14:paraId="4D3C2E9F" w14:textId="77777777" w:rsidR="00436DAA" w:rsidRPr="00330234" w:rsidRDefault="00436DAA" w:rsidP="00BD109B">
      <w:pPr>
        <w:pStyle w:val="a3"/>
        <w:widowControl/>
        <w:ind w:left="0"/>
      </w:pPr>
    </w:p>
    <w:p w14:paraId="18D55511" w14:textId="77777777" w:rsidR="00436DAA" w:rsidRPr="00330234" w:rsidRDefault="00436DAA" w:rsidP="00BD109B">
      <w:pPr>
        <w:pStyle w:val="a3"/>
        <w:widowControl/>
        <w:ind w:left="0"/>
      </w:pPr>
    </w:p>
    <w:p w14:paraId="4B2D35B5" w14:textId="1B319B6E" w:rsidR="00436DAA" w:rsidRPr="00330234" w:rsidRDefault="005328BF" w:rsidP="001031F9">
      <w:pPr>
        <w:pStyle w:val="1"/>
      </w:pPr>
      <w:r w:rsidRPr="00330234">
        <w:t>3.</w:t>
      </w:r>
      <w:r w:rsidRPr="00330234">
        <w:tab/>
      </w:r>
      <w:r w:rsidR="009B4B8E" w:rsidRPr="00330234">
        <w:t>FARMACEUTISCHE VORM</w:t>
      </w:r>
    </w:p>
    <w:p w14:paraId="400C6FBB" w14:textId="77777777" w:rsidR="00C01A27" w:rsidRPr="00330234" w:rsidRDefault="00C01A27" w:rsidP="00BD109B">
      <w:pPr>
        <w:pStyle w:val="a3"/>
        <w:widowControl/>
        <w:ind w:left="0"/>
      </w:pPr>
    </w:p>
    <w:p w14:paraId="20723400" w14:textId="2C182F4E" w:rsidR="00436DAA" w:rsidRPr="00330234" w:rsidRDefault="009B4B8E" w:rsidP="00BD109B">
      <w:pPr>
        <w:pStyle w:val="a3"/>
        <w:widowControl/>
        <w:ind w:left="0"/>
      </w:pPr>
      <w:r w:rsidRPr="00330234">
        <w:t>Oplossing voor injectie in een voorgevulde spuit.</w:t>
      </w:r>
    </w:p>
    <w:p w14:paraId="5841B645" w14:textId="3E49E610" w:rsidR="00436DAA" w:rsidRPr="00330234" w:rsidRDefault="00714B42" w:rsidP="00BD109B">
      <w:pPr>
        <w:pStyle w:val="a3"/>
        <w:widowControl/>
        <w:ind w:left="0"/>
        <w:rPr>
          <w:rFonts w:eastAsia="SimSun"/>
        </w:rPr>
      </w:pPr>
      <w:r w:rsidRPr="00330234">
        <w:t xml:space="preserve">Heldere tot enigszins </w:t>
      </w:r>
      <w:r w:rsidR="0056306E" w:rsidRPr="00330234">
        <w:t xml:space="preserve">doorschijnende, kleurloze tot gele oplossing met een pH van 5,7 – 6,3 en een </w:t>
      </w:r>
      <w:r w:rsidR="00BC2CD2" w:rsidRPr="00330234">
        <w:t>osmolaliteit</w:t>
      </w:r>
      <w:r w:rsidR="0056306E" w:rsidRPr="00330234">
        <w:t xml:space="preserve"> van </w:t>
      </w:r>
      <w:r w:rsidR="0056306E" w:rsidRPr="00330234">
        <w:rPr>
          <w:rFonts w:eastAsia="SimSun"/>
        </w:rPr>
        <w:t>280 – 340 mmol/kg.</w:t>
      </w:r>
    </w:p>
    <w:p w14:paraId="6A5F7F14" w14:textId="77777777" w:rsidR="0056306E" w:rsidRPr="00330234" w:rsidRDefault="0056306E" w:rsidP="00BD109B">
      <w:pPr>
        <w:pStyle w:val="a3"/>
        <w:widowControl/>
        <w:ind w:left="0"/>
      </w:pPr>
    </w:p>
    <w:p w14:paraId="5BA22161" w14:textId="77777777" w:rsidR="009B4B8E" w:rsidRPr="00330234" w:rsidRDefault="009B4B8E" w:rsidP="00BD109B">
      <w:pPr>
        <w:pStyle w:val="a3"/>
        <w:widowControl/>
        <w:ind w:left="0"/>
      </w:pPr>
    </w:p>
    <w:p w14:paraId="6BFA5FD6" w14:textId="2D150A1C" w:rsidR="00436DAA" w:rsidRPr="00330234" w:rsidRDefault="005328BF" w:rsidP="001031F9">
      <w:pPr>
        <w:pStyle w:val="1"/>
      </w:pPr>
      <w:r w:rsidRPr="00330234">
        <w:t>4.</w:t>
      </w:r>
      <w:r w:rsidRPr="00330234">
        <w:tab/>
      </w:r>
      <w:r w:rsidR="009B4B8E" w:rsidRPr="00330234">
        <w:t>KLINISCHE GEGEVENS</w:t>
      </w:r>
    </w:p>
    <w:p w14:paraId="7F3B8EB9" w14:textId="77777777" w:rsidR="00436DAA" w:rsidRPr="00330234" w:rsidRDefault="00436DAA" w:rsidP="00BD109B">
      <w:pPr>
        <w:pStyle w:val="a3"/>
        <w:widowControl/>
        <w:ind w:left="0"/>
        <w:rPr>
          <w:bCs/>
        </w:rPr>
      </w:pPr>
    </w:p>
    <w:p w14:paraId="2ADF4452" w14:textId="0760F148" w:rsidR="00436DAA" w:rsidRPr="00330234" w:rsidRDefault="005328BF" w:rsidP="00BD109B">
      <w:pPr>
        <w:pStyle w:val="2"/>
      </w:pPr>
      <w:r w:rsidRPr="00330234">
        <w:t>4.1</w:t>
      </w:r>
      <w:r w:rsidRPr="00330234">
        <w:tab/>
      </w:r>
      <w:r w:rsidR="009B4B8E" w:rsidRPr="00330234">
        <w:t>Therapeutische indicaties</w:t>
      </w:r>
    </w:p>
    <w:p w14:paraId="490FE8EB" w14:textId="77777777" w:rsidR="009B4B8E" w:rsidRDefault="009B4B8E" w:rsidP="00BD109B">
      <w:pPr>
        <w:pStyle w:val="a3"/>
        <w:widowControl/>
        <w:ind w:left="0"/>
        <w:rPr>
          <w:rFonts w:eastAsia="맑은 고딕"/>
          <w:lang w:eastAsia="ko-KR"/>
        </w:rPr>
      </w:pPr>
    </w:p>
    <w:p w14:paraId="3B6B1405" w14:textId="54CA65B8" w:rsidR="0096677B" w:rsidRPr="00144E79" w:rsidRDefault="0096677B" w:rsidP="00BD109B">
      <w:pPr>
        <w:pStyle w:val="a3"/>
        <w:widowControl/>
        <w:ind w:left="0"/>
        <w:rPr>
          <w:rFonts w:eastAsia="맑은 고딕"/>
          <w:u w:val="single"/>
          <w:lang w:eastAsia="ko-KR"/>
        </w:rPr>
      </w:pPr>
      <w:r w:rsidRPr="00144E79">
        <w:rPr>
          <w:rFonts w:eastAsia="맑은 고딕"/>
          <w:u w:val="single"/>
          <w:lang w:eastAsia="ko-KR"/>
        </w:rPr>
        <w:t>Reumatoïde artritis (RA)</w:t>
      </w:r>
    </w:p>
    <w:p w14:paraId="524CD408" w14:textId="36DB9EF9" w:rsidR="00436DAA" w:rsidRPr="00330234" w:rsidRDefault="0056306E" w:rsidP="00BD109B">
      <w:pPr>
        <w:pStyle w:val="a3"/>
        <w:widowControl/>
        <w:ind w:left="0"/>
      </w:pPr>
      <w:r w:rsidRPr="00330234">
        <w:t>Avtozma</w:t>
      </w:r>
      <w:r w:rsidR="009B4B8E" w:rsidRPr="00330234">
        <w:t>, in combinatie met methotrexaat (MTX), is geïndiceerd voor</w:t>
      </w:r>
    </w:p>
    <w:p w14:paraId="53B92890" w14:textId="77777777" w:rsidR="009B4B8E" w:rsidRPr="00330234" w:rsidRDefault="009B4B8E" w:rsidP="00BD109B">
      <w:pPr>
        <w:pStyle w:val="a3"/>
        <w:widowControl/>
        <w:ind w:left="0"/>
      </w:pPr>
    </w:p>
    <w:p w14:paraId="686F135E" w14:textId="6633AE70" w:rsidR="00436DAA" w:rsidRPr="00330234" w:rsidRDefault="005328BF" w:rsidP="009B4B8E">
      <w:pPr>
        <w:pStyle w:val="bullet"/>
      </w:pPr>
      <w:r w:rsidRPr="00330234">
        <w:rPr>
          <w:rFonts w:eastAsia="Symbol"/>
        </w:rPr>
        <w:tab/>
      </w:r>
      <w:r w:rsidR="009B4B8E" w:rsidRPr="00330234">
        <w:t>de behandeling van ernstige, actieve en progressieve reumatoïde artritis (RA) bij volwassenen die niet eerder werden behandeld met MTX.</w:t>
      </w:r>
    </w:p>
    <w:p w14:paraId="0846DC89" w14:textId="776F9462" w:rsidR="00436DAA" w:rsidRPr="00330234" w:rsidRDefault="005328BF" w:rsidP="00921FA1">
      <w:pPr>
        <w:pStyle w:val="bullet"/>
      </w:pPr>
      <w:r w:rsidRPr="00330234">
        <w:rPr>
          <w:rFonts w:eastAsia="Symbol"/>
        </w:rPr>
        <w:tab/>
      </w:r>
      <w:r w:rsidR="009B4B8E" w:rsidRPr="00330234">
        <w:t xml:space="preserve">de behandeling van matige tot ernstige actieve RA bij volwassenen met een ontoereikende respons op of een intolerantie voor een eerdere behandeling met één of meerdere </w:t>
      </w:r>
      <w:r w:rsidR="009B4B8E" w:rsidRPr="00330234">
        <w:rPr>
          <w:i/>
        </w:rPr>
        <w:t xml:space="preserve">disease- modifying anti-rheumatic drugs </w:t>
      </w:r>
      <w:r w:rsidR="009B4B8E" w:rsidRPr="00330234">
        <w:t>(DMARD</w:t>
      </w:r>
      <w:r w:rsidR="00921FA1" w:rsidRPr="00330234">
        <w:t>’</w:t>
      </w:r>
      <w:r w:rsidR="009B4B8E" w:rsidRPr="00330234">
        <w:t>s) of tumor necrose factor (TNF) antagonisten.</w:t>
      </w:r>
    </w:p>
    <w:p w14:paraId="54E2EC08" w14:textId="77777777" w:rsidR="009B4B8E" w:rsidRPr="00330234" w:rsidRDefault="009B4B8E" w:rsidP="00BD109B">
      <w:pPr>
        <w:pStyle w:val="a3"/>
        <w:widowControl/>
        <w:ind w:left="0"/>
      </w:pPr>
    </w:p>
    <w:p w14:paraId="21873004" w14:textId="226E95EB" w:rsidR="00436DAA" w:rsidRPr="00330234" w:rsidRDefault="0056306E" w:rsidP="00BD109B">
      <w:pPr>
        <w:pStyle w:val="a3"/>
        <w:widowControl/>
        <w:ind w:left="0"/>
      </w:pPr>
      <w:r w:rsidRPr="00330234">
        <w:t>Avtozma</w:t>
      </w:r>
      <w:r w:rsidR="009B4B8E" w:rsidRPr="00330234">
        <w:t xml:space="preserve"> kan als monotherapie worden gegeven aan deze patiënten in geval van intolerantie voor MTX of wanneer voortzetten van de behandeling met MTX niet geschikt is.</w:t>
      </w:r>
    </w:p>
    <w:p w14:paraId="212388BA" w14:textId="77777777" w:rsidR="0056306E" w:rsidRPr="00330234" w:rsidRDefault="0056306E" w:rsidP="00BD109B">
      <w:pPr>
        <w:pStyle w:val="a3"/>
        <w:widowControl/>
        <w:ind w:left="0"/>
      </w:pPr>
    </w:p>
    <w:p w14:paraId="5A49BE6D" w14:textId="077A1B96" w:rsidR="00436DAA" w:rsidRPr="00330234" w:rsidRDefault="0056306E" w:rsidP="00BD109B">
      <w:pPr>
        <w:pStyle w:val="a3"/>
        <w:widowControl/>
        <w:ind w:left="0"/>
      </w:pPr>
      <w:r w:rsidRPr="00330234">
        <w:t>Avtozma</w:t>
      </w:r>
      <w:r w:rsidR="009B4B8E" w:rsidRPr="00330234">
        <w:t>, in combinatie met MTX, vermindert de mate van progressie van gewrichtsschade, aangetoond middels röntgenonderzoek, en verbetert het lichamelijk functioneren.</w:t>
      </w:r>
    </w:p>
    <w:p w14:paraId="47AC9679" w14:textId="77777777" w:rsidR="009B4B8E" w:rsidRDefault="009B4B8E" w:rsidP="00BD109B">
      <w:pPr>
        <w:pStyle w:val="a3"/>
        <w:widowControl/>
        <w:ind w:left="0"/>
        <w:rPr>
          <w:rFonts w:eastAsia="맑은 고딕"/>
          <w:lang w:eastAsia="ko-KR"/>
        </w:rPr>
      </w:pPr>
    </w:p>
    <w:p w14:paraId="1DCD61B5" w14:textId="13527415" w:rsidR="008F108B" w:rsidRPr="00144E79" w:rsidRDefault="008F108B" w:rsidP="00BD109B">
      <w:pPr>
        <w:pStyle w:val="a3"/>
        <w:widowControl/>
        <w:ind w:left="0"/>
        <w:rPr>
          <w:rFonts w:eastAsia="맑은 고딕"/>
          <w:u w:val="single"/>
          <w:lang w:eastAsia="ko-KR"/>
        </w:rPr>
      </w:pPr>
      <w:r w:rsidRPr="008F108B">
        <w:rPr>
          <w:rFonts w:eastAsia="맑은 고딕"/>
          <w:u w:val="single"/>
          <w:lang w:eastAsia="ko-KR"/>
        </w:rPr>
        <w:t>Systemische juveniele idiopathische artritis (sJIA)</w:t>
      </w:r>
    </w:p>
    <w:p w14:paraId="5A1B458C" w14:textId="5910EC4A" w:rsidR="00436DAA" w:rsidRPr="00330234" w:rsidRDefault="0056306E" w:rsidP="00BD109B">
      <w:pPr>
        <w:pStyle w:val="a3"/>
        <w:widowControl/>
        <w:ind w:left="0"/>
      </w:pPr>
      <w:r w:rsidRPr="00330234">
        <w:t>Avtozma</w:t>
      </w:r>
      <w:r w:rsidR="009B4B8E" w:rsidRPr="00330234">
        <w:t xml:space="preserve"> is geïndiceerd voor de behandeling van actieve systemische juveniele idiopathische artritis (sJIA) bij patiënten van 1 jaar en ouder met een ontoereikende respons op eerdere behandeling met NSAID</w:t>
      </w:r>
      <w:r w:rsidR="00753185" w:rsidRPr="00330234">
        <w:t>’</w:t>
      </w:r>
      <w:r w:rsidR="009B4B8E" w:rsidRPr="00330234">
        <w:t xml:space="preserve">s en systemische corticosteroïden. </w:t>
      </w:r>
      <w:r w:rsidRPr="00330234">
        <w:t>Avtozma</w:t>
      </w:r>
      <w:r w:rsidR="009B4B8E" w:rsidRPr="00330234">
        <w:t xml:space="preserve"> kan als monotherapie worden gegeven (in geval van intolerantie voor MTX of wanneer behandeling met MTX niet geschikt is) of in combinatie met MTX.</w:t>
      </w:r>
    </w:p>
    <w:p w14:paraId="34B8A1AB" w14:textId="77777777" w:rsidR="008F108B" w:rsidRDefault="008F108B" w:rsidP="00BD109B">
      <w:pPr>
        <w:pStyle w:val="a3"/>
        <w:widowControl/>
        <w:ind w:left="0"/>
        <w:rPr>
          <w:rFonts w:eastAsia="맑은 고딕"/>
          <w:u w:val="single"/>
          <w:lang w:eastAsia="ko-KR"/>
        </w:rPr>
      </w:pPr>
    </w:p>
    <w:p w14:paraId="2902A363" w14:textId="632F9D76" w:rsidR="009B4B8E" w:rsidRPr="00144E79" w:rsidRDefault="008F108B" w:rsidP="00BD109B">
      <w:pPr>
        <w:pStyle w:val="a3"/>
        <w:widowControl/>
        <w:ind w:left="0"/>
        <w:rPr>
          <w:u w:val="single"/>
        </w:rPr>
      </w:pPr>
      <w:r w:rsidRPr="008F108B">
        <w:rPr>
          <w:u w:val="single"/>
        </w:rPr>
        <w:t>Juveniele idiopathische polyartritis (pJIA)</w:t>
      </w:r>
    </w:p>
    <w:p w14:paraId="6347DF8D" w14:textId="054FD539" w:rsidR="00436DAA" w:rsidRPr="00330234" w:rsidRDefault="0056306E" w:rsidP="00BD109B">
      <w:pPr>
        <w:pStyle w:val="a3"/>
        <w:widowControl/>
        <w:ind w:left="0"/>
      </w:pPr>
      <w:r w:rsidRPr="00330234">
        <w:t>Avtozma</w:t>
      </w:r>
      <w:r w:rsidR="009B4B8E" w:rsidRPr="00330234">
        <w:t xml:space="preserve">, in combinatie met MTX, is geïndiceerd voor de behandeling van juveniele idiopathische polyartritis (pJIA; reumafactor positief of negatief en uitgebreide oligoartritis) bij patiënten van 2 jaar en ouder met een ontoereikende respons op eerdere behandeling met MTX. </w:t>
      </w:r>
      <w:r w:rsidRPr="00330234">
        <w:t>Avtozma</w:t>
      </w:r>
      <w:r w:rsidR="009B4B8E" w:rsidRPr="00330234">
        <w:t xml:space="preserve"> kan als monotherapie worden gegeven in geval van onverdraagbaarheid van MTX of wanneer continuering van behandeling met MTX niet geschikt is.</w:t>
      </w:r>
    </w:p>
    <w:p w14:paraId="51724BF5" w14:textId="77777777" w:rsidR="009B4B8E" w:rsidRDefault="009B4B8E" w:rsidP="00BD109B">
      <w:pPr>
        <w:pStyle w:val="a3"/>
        <w:widowControl/>
        <w:ind w:left="0"/>
        <w:rPr>
          <w:rFonts w:eastAsia="맑은 고딕"/>
          <w:lang w:eastAsia="ko-KR"/>
        </w:rPr>
      </w:pPr>
    </w:p>
    <w:p w14:paraId="74E5D719" w14:textId="200AA8C7" w:rsidR="008F108B" w:rsidRPr="00144E79" w:rsidRDefault="008F108B" w:rsidP="00BD109B">
      <w:pPr>
        <w:pStyle w:val="a3"/>
        <w:widowControl/>
        <w:ind w:left="0"/>
        <w:rPr>
          <w:rFonts w:eastAsia="맑은 고딕"/>
          <w:u w:val="single"/>
          <w:lang w:eastAsia="ko-KR"/>
        </w:rPr>
      </w:pPr>
      <w:r w:rsidRPr="008F108B">
        <w:rPr>
          <w:rFonts w:eastAsia="맑은 고딕"/>
          <w:u w:val="single"/>
          <w:lang w:eastAsia="ko-KR"/>
        </w:rPr>
        <w:t>Giant Cell Arteritis (reuscelarteritis, GCA)</w:t>
      </w:r>
    </w:p>
    <w:p w14:paraId="5758204E" w14:textId="62B3954A" w:rsidR="00436DAA" w:rsidRPr="00330234" w:rsidRDefault="0056306E" w:rsidP="00BD109B">
      <w:pPr>
        <w:pStyle w:val="a3"/>
        <w:widowControl/>
        <w:ind w:left="0"/>
      </w:pPr>
      <w:r w:rsidRPr="00330234">
        <w:t>Avtozma</w:t>
      </w:r>
      <w:r w:rsidR="009B4B8E" w:rsidRPr="00330234">
        <w:t xml:space="preserve"> is geïndiceerd voor de behandeling van </w:t>
      </w:r>
      <w:r w:rsidR="009B4B8E" w:rsidRPr="00330234">
        <w:rPr>
          <w:i/>
        </w:rPr>
        <w:t xml:space="preserve">Giant Cell Arteritis </w:t>
      </w:r>
      <w:r w:rsidR="009B4B8E" w:rsidRPr="00330234">
        <w:t>(reuscelarteritis, GCA) bij volwassenen.</w:t>
      </w:r>
    </w:p>
    <w:p w14:paraId="2196188A" w14:textId="77777777" w:rsidR="009B4B8E" w:rsidRPr="00330234" w:rsidRDefault="009B4B8E" w:rsidP="00BD109B">
      <w:pPr>
        <w:pStyle w:val="a3"/>
        <w:widowControl/>
        <w:ind w:left="0"/>
      </w:pPr>
    </w:p>
    <w:p w14:paraId="1A1FDF79" w14:textId="1F0A5767" w:rsidR="00436DAA" w:rsidRPr="00330234" w:rsidRDefault="005328BF" w:rsidP="00BD109B">
      <w:pPr>
        <w:pStyle w:val="2"/>
      </w:pPr>
      <w:r w:rsidRPr="00330234">
        <w:t>4.2</w:t>
      </w:r>
      <w:r w:rsidRPr="00330234">
        <w:tab/>
      </w:r>
      <w:r w:rsidR="009B4B8E" w:rsidRPr="00330234">
        <w:t>Dosering en wijze van toediening</w:t>
      </w:r>
    </w:p>
    <w:p w14:paraId="0243BB73" w14:textId="77777777" w:rsidR="009B4B8E" w:rsidRPr="00330234" w:rsidRDefault="009B4B8E" w:rsidP="00BD109B">
      <w:pPr>
        <w:pStyle w:val="a3"/>
        <w:widowControl/>
        <w:ind w:left="0"/>
      </w:pPr>
    </w:p>
    <w:p w14:paraId="5F59F1A6" w14:textId="77777777" w:rsidR="00CD0D3F" w:rsidRPr="00330234" w:rsidRDefault="009B4B8E" w:rsidP="00BD109B">
      <w:pPr>
        <w:pStyle w:val="a3"/>
        <w:widowControl/>
        <w:ind w:left="0"/>
      </w:pPr>
      <w:r w:rsidRPr="00330234">
        <w:t>De subcutane formulering van tocilizumab wordt toegediend door middel van een voorgevulde spuit voor eenmalig gebruik, voorzien van een naald met veiligheidsmechanisme. De behandeling moet worden geïnitieerd door beroepsbeoefenaren in de gezondheidszorg die ervaring hebben met de diagnose en behandeling van RA, sJIA, pJIA en/of GCA.</w:t>
      </w:r>
    </w:p>
    <w:p w14:paraId="1EBE6648" w14:textId="77777777" w:rsidR="00CD0D3F" w:rsidRPr="00330234" w:rsidRDefault="00CD0D3F" w:rsidP="00BD109B">
      <w:pPr>
        <w:pStyle w:val="a3"/>
        <w:widowControl/>
        <w:ind w:left="0"/>
      </w:pPr>
    </w:p>
    <w:p w14:paraId="53CCDEBA" w14:textId="4424A235" w:rsidR="00436DAA" w:rsidRPr="00330234" w:rsidRDefault="009B4B8E" w:rsidP="00BD109B">
      <w:pPr>
        <w:pStyle w:val="a3"/>
        <w:widowControl/>
        <w:ind w:left="0"/>
      </w:pPr>
      <w:r w:rsidRPr="00330234">
        <w:t xml:space="preserve">De eerste injectie moet toegediend worden onder toezicht van een gekwalificeerde beroepsbeoefenaar in de gezondheidszorg. Een patiënt of ouder/voogd mag alleen zelf injecteren met </w:t>
      </w:r>
      <w:r w:rsidR="0037682E" w:rsidRPr="00330234">
        <w:t xml:space="preserve">Avtozma </w:t>
      </w:r>
      <w:r w:rsidRPr="00330234">
        <w:t>als de arts beslist dat dit kan en als de patiënt of ouder/voogd toestemming geeft voor medische controle, indien nodig, en getraind is in de juiste injectietechniek.</w:t>
      </w:r>
    </w:p>
    <w:p w14:paraId="75896121" w14:textId="77777777" w:rsidR="00436DAA" w:rsidRPr="00330234" w:rsidRDefault="00436DAA" w:rsidP="00BD109B">
      <w:pPr>
        <w:pStyle w:val="a3"/>
        <w:widowControl/>
        <w:ind w:left="0"/>
      </w:pPr>
    </w:p>
    <w:p w14:paraId="32602DD8" w14:textId="77777777" w:rsidR="00436DAA" w:rsidRPr="00330234" w:rsidRDefault="009B4B8E" w:rsidP="00BD109B">
      <w:pPr>
        <w:pStyle w:val="a3"/>
        <w:widowControl/>
        <w:ind w:left="0"/>
      </w:pPr>
      <w:r w:rsidRPr="00330234">
        <w:t>Patiënten die overstappen van intraveneuze behandeling met tocilizumab naar subcutane toediening moeten hun eerste subcutane dosis toedienen op het tijdstip van de volgende geplande intraveneuze dosis onder toezicht van een gekwalificeerde beroepsbeoefenaar in de gezondheidszorg.</w:t>
      </w:r>
    </w:p>
    <w:p w14:paraId="2ECB7EE0" w14:textId="77777777" w:rsidR="00436DAA" w:rsidRPr="00330234" w:rsidRDefault="00436DAA" w:rsidP="00BD109B">
      <w:pPr>
        <w:pStyle w:val="a3"/>
        <w:widowControl/>
        <w:ind w:left="0"/>
      </w:pPr>
    </w:p>
    <w:p w14:paraId="4FCF352F" w14:textId="4C6FB4C1" w:rsidR="00436DAA" w:rsidRPr="00330234" w:rsidRDefault="009B4B8E" w:rsidP="00BD109B">
      <w:pPr>
        <w:pStyle w:val="a3"/>
        <w:widowControl/>
        <w:ind w:left="0"/>
      </w:pPr>
      <w:r w:rsidRPr="00330234">
        <w:t xml:space="preserve">De patiëntenwaarschuwingskaart moet worden verstrekt aan alle patiënten die met </w:t>
      </w:r>
      <w:r w:rsidR="0037682E" w:rsidRPr="00330234">
        <w:t>Avtozma</w:t>
      </w:r>
      <w:r w:rsidRPr="00330234">
        <w:t xml:space="preserve"> worden behandeld.</w:t>
      </w:r>
    </w:p>
    <w:p w14:paraId="34486E4E" w14:textId="77777777" w:rsidR="009B4B8E" w:rsidRPr="00330234" w:rsidRDefault="009B4B8E" w:rsidP="00BD109B">
      <w:pPr>
        <w:pStyle w:val="a3"/>
        <w:widowControl/>
        <w:ind w:left="0"/>
      </w:pPr>
    </w:p>
    <w:p w14:paraId="5B3835CC" w14:textId="7B7AE24C" w:rsidR="00436DAA" w:rsidRPr="00330234" w:rsidRDefault="009B4B8E" w:rsidP="00BD109B">
      <w:pPr>
        <w:pStyle w:val="a3"/>
        <w:widowControl/>
        <w:ind w:left="0"/>
      </w:pPr>
      <w:r w:rsidRPr="00330234">
        <w:t>De mogelijkheid van subcutane thuistoediening moet per patiënt of ouder/voogd beoordeeld worden en de patiënten of ouder/voogd moeten geïnstrueerd worden om een beroepsbeoefenaar in de gezondheidszorg te informeren voordat de volgende dosis wordt toegediend, als zij symptomen van een allergische reactie hebben ervaren. Patiënten moeten onmiddellijk medische hulp zoeken bij het ontwikkelen van symptomen van ernstige allergische reacties (zie rubriek 4.4).</w:t>
      </w:r>
    </w:p>
    <w:p w14:paraId="1674B844" w14:textId="77777777" w:rsidR="00436DAA" w:rsidRPr="00330234" w:rsidRDefault="00436DAA" w:rsidP="00BD109B">
      <w:pPr>
        <w:pStyle w:val="a3"/>
        <w:widowControl/>
        <w:ind w:left="0"/>
      </w:pPr>
    </w:p>
    <w:p w14:paraId="16CDC46C" w14:textId="77777777" w:rsidR="00436DAA" w:rsidRPr="00330234" w:rsidRDefault="009B4B8E" w:rsidP="00BD109B">
      <w:pPr>
        <w:pStyle w:val="a3"/>
        <w:widowControl/>
        <w:ind w:left="0"/>
      </w:pPr>
      <w:r w:rsidRPr="00330234">
        <w:rPr>
          <w:u w:val="single"/>
        </w:rPr>
        <w:t>Dosering</w:t>
      </w:r>
    </w:p>
    <w:p w14:paraId="6EF53428" w14:textId="77777777" w:rsidR="00436DAA" w:rsidRPr="00330234" w:rsidRDefault="00436DAA" w:rsidP="00BD109B">
      <w:pPr>
        <w:pStyle w:val="a3"/>
        <w:widowControl/>
        <w:ind w:left="0"/>
      </w:pPr>
    </w:p>
    <w:p w14:paraId="4FDEC2F7" w14:textId="77777777" w:rsidR="00436DAA" w:rsidRPr="00330234" w:rsidRDefault="009B4B8E" w:rsidP="00BD109B">
      <w:pPr>
        <w:pStyle w:val="a3"/>
        <w:widowControl/>
        <w:ind w:left="0"/>
      </w:pPr>
      <w:r w:rsidRPr="00330234">
        <w:rPr>
          <w:u w:val="single"/>
        </w:rPr>
        <w:t>RA</w:t>
      </w:r>
    </w:p>
    <w:p w14:paraId="2FEA4EE1" w14:textId="77777777" w:rsidR="00436DAA" w:rsidRPr="00330234" w:rsidRDefault="009B4B8E" w:rsidP="00BD109B">
      <w:pPr>
        <w:pStyle w:val="a3"/>
        <w:widowControl/>
        <w:ind w:left="0"/>
      </w:pPr>
      <w:r w:rsidRPr="00330234">
        <w:t>De aanbevolen subcutane dosering is 162 mg eenmaal per week.</w:t>
      </w:r>
    </w:p>
    <w:p w14:paraId="2E579DFD" w14:textId="77777777" w:rsidR="009B4B8E" w:rsidRPr="00330234" w:rsidRDefault="009B4B8E" w:rsidP="00BD109B">
      <w:pPr>
        <w:pStyle w:val="a3"/>
        <w:widowControl/>
        <w:ind w:left="0"/>
      </w:pPr>
    </w:p>
    <w:p w14:paraId="4AE0DCB6" w14:textId="72C457DD" w:rsidR="00436DAA" w:rsidRPr="00330234" w:rsidRDefault="009B4B8E" w:rsidP="00BD109B">
      <w:pPr>
        <w:pStyle w:val="a3"/>
        <w:widowControl/>
        <w:ind w:left="0"/>
      </w:pPr>
      <w:r w:rsidRPr="00330234">
        <w:t xml:space="preserve">Er is beperkte informatie beschikbaar over het omzetten van patiënten van de </w:t>
      </w:r>
      <w:r w:rsidR="0037682E" w:rsidRPr="00330234">
        <w:t>Avtozma</w:t>
      </w:r>
      <w:r w:rsidRPr="00330234">
        <w:t xml:space="preserve"> intraveneuze formulering naar de </w:t>
      </w:r>
      <w:r w:rsidR="0037682E" w:rsidRPr="00330234">
        <w:t>Avtozma</w:t>
      </w:r>
      <w:r w:rsidRPr="00330234">
        <w:t xml:space="preserve"> subcutane formulering met vaste dosis. Het doseringsinterval van eenmaal per week moet worden aangehouden.</w:t>
      </w:r>
    </w:p>
    <w:p w14:paraId="2F801D31" w14:textId="77777777" w:rsidR="00436DAA" w:rsidRPr="00330234" w:rsidRDefault="00436DAA" w:rsidP="00BD109B">
      <w:pPr>
        <w:pStyle w:val="a3"/>
        <w:widowControl/>
        <w:ind w:left="0"/>
      </w:pPr>
    </w:p>
    <w:p w14:paraId="60ECA9EE" w14:textId="77777777" w:rsidR="00436DAA" w:rsidRPr="00330234" w:rsidRDefault="009B4B8E" w:rsidP="00BD109B">
      <w:pPr>
        <w:pStyle w:val="a3"/>
        <w:widowControl/>
        <w:ind w:left="0"/>
      </w:pPr>
      <w:r w:rsidRPr="00330234">
        <w:t>Patiënten die overstappen van een intraveneuze naar een subcutane formulering moeten hun eerste subcutane dosis, in plaats van de volgende geplande intraveneuze dosis, toedienen onder toezicht van een gekwalificeerde beroepsbeoefenaar in de gezondheidszorg.</w:t>
      </w:r>
    </w:p>
    <w:p w14:paraId="723FF416" w14:textId="77777777" w:rsidR="00436DAA" w:rsidRPr="00330234" w:rsidRDefault="00436DAA" w:rsidP="00BD109B">
      <w:pPr>
        <w:pStyle w:val="a3"/>
        <w:widowControl/>
        <w:ind w:left="0"/>
      </w:pPr>
    </w:p>
    <w:p w14:paraId="1A83EE06" w14:textId="77777777" w:rsidR="00436DAA" w:rsidRPr="00330234" w:rsidRDefault="009B4B8E" w:rsidP="00BD109B">
      <w:pPr>
        <w:pStyle w:val="a3"/>
        <w:widowControl/>
        <w:ind w:left="0"/>
      </w:pPr>
      <w:r w:rsidRPr="00330234">
        <w:rPr>
          <w:u w:val="single"/>
        </w:rPr>
        <w:t>GCA</w:t>
      </w:r>
    </w:p>
    <w:p w14:paraId="411ACF0B" w14:textId="6451BF65" w:rsidR="00436DAA" w:rsidRPr="00330234" w:rsidRDefault="009B4B8E" w:rsidP="00BD109B">
      <w:pPr>
        <w:pStyle w:val="a3"/>
        <w:widowControl/>
        <w:ind w:left="0"/>
      </w:pPr>
      <w:r w:rsidRPr="00330234">
        <w:t xml:space="preserve">De aanbevolen subcutane dosering is 162 mg eenmaal per week in combinatie met een afbouwende glucocorticoïdenbehandeling. </w:t>
      </w:r>
      <w:r w:rsidR="0037682E" w:rsidRPr="00330234">
        <w:t>Avtozma</w:t>
      </w:r>
      <w:r w:rsidRPr="00330234">
        <w:t xml:space="preserve"> kan als monotherapie gegeven worden na het staken van glucocorticoïden.</w:t>
      </w:r>
      <w:r w:rsidR="001F7E49" w:rsidRPr="00330234">
        <w:t xml:space="preserve"> </w:t>
      </w:r>
      <w:r w:rsidR="0037682E" w:rsidRPr="00330234">
        <w:t>Avtozma</w:t>
      </w:r>
      <w:r w:rsidRPr="00330234">
        <w:t xml:space="preserve"> monotherapie mag niet gebruikt worden voor de behandeling van acute relapsen (zie rubriek 4.4).</w:t>
      </w:r>
    </w:p>
    <w:p w14:paraId="37E40E95" w14:textId="77777777" w:rsidR="009B4B8E" w:rsidRPr="00330234" w:rsidRDefault="009B4B8E" w:rsidP="00BD109B">
      <w:pPr>
        <w:pStyle w:val="a3"/>
        <w:widowControl/>
        <w:ind w:left="0"/>
      </w:pPr>
    </w:p>
    <w:p w14:paraId="3C85BA7A" w14:textId="77777777" w:rsidR="00436DAA" w:rsidRPr="00330234" w:rsidRDefault="009B4B8E" w:rsidP="00BD109B">
      <w:pPr>
        <w:pStyle w:val="a3"/>
        <w:widowControl/>
        <w:ind w:left="0"/>
      </w:pPr>
      <w:r w:rsidRPr="00330234">
        <w:lastRenderedPageBreak/>
        <w:t>Gezien het chronische karakter van GCA moet behandeling van meer dan 52 weken bepaald worden aan de hand van ziekteactiviteit, oordeel van de arts en keuze van de patiënt.</w:t>
      </w:r>
    </w:p>
    <w:p w14:paraId="5F7170C5" w14:textId="77777777" w:rsidR="009B4B8E" w:rsidRPr="00330234" w:rsidRDefault="009B4B8E" w:rsidP="00BD109B">
      <w:pPr>
        <w:pStyle w:val="a3"/>
        <w:widowControl/>
        <w:ind w:left="0"/>
      </w:pPr>
    </w:p>
    <w:p w14:paraId="1B8E25BF" w14:textId="77777777" w:rsidR="00436DAA" w:rsidRPr="00330234" w:rsidRDefault="009B4B8E" w:rsidP="001B3E1E">
      <w:pPr>
        <w:pStyle w:val="a3"/>
        <w:keepNext/>
        <w:keepLines/>
        <w:widowControl/>
        <w:ind w:left="0"/>
      </w:pPr>
      <w:r w:rsidRPr="00330234">
        <w:rPr>
          <w:u w:val="single"/>
        </w:rPr>
        <w:t>RA en GCA</w:t>
      </w:r>
    </w:p>
    <w:p w14:paraId="374ADE8A" w14:textId="77777777" w:rsidR="00436DAA" w:rsidRPr="00330234" w:rsidRDefault="009B4B8E" w:rsidP="001B3E1E">
      <w:pPr>
        <w:pStyle w:val="a3"/>
        <w:keepNext/>
        <w:keepLines/>
        <w:widowControl/>
        <w:ind w:left="0"/>
      </w:pPr>
      <w:r w:rsidRPr="00330234">
        <w:rPr>
          <w:u w:val="single"/>
        </w:rPr>
        <w:t>Dosisaanpassingen als gevolg van laboratoriumafwijkingen (zie rubriek 4.4)</w:t>
      </w:r>
    </w:p>
    <w:p w14:paraId="4E4818EB" w14:textId="77777777" w:rsidR="00436DAA" w:rsidRPr="00330234" w:rsidRDefault="00436DAA" w:rsidP="001B3E1E">
      <w:pPr>
        <w:pStyle w:val="a3"/>
        <w:keepNext/>
        <w:keepLines/>
        <w:widowControl/>
        <w:ind w:left="0"/>
      </w:pPr>
    </w:p>
    <w:p w14:paraId="3EF0BF78" w14:textId="16E7FF91" w:rsidR="00436DAA" w:rsidRPr="00330234" w:rsidRDefault="005328BF" w:rsidP="001B3E1E">
      <w:pPr>
        <w:pStyle w:val="bullet"/>
        <w:keepNext/>
        <w:keepLines/>
      </w:pPr>
      <w:r w:rsidRPr="00330234">
        <w:rPr>
          <w:rFonts w:eastAsia="Symbol"/>
        </w:rPr>
        <w:tab/>
      </w:r>
      <w:r w:rsidR="009B4B8E" w:rsidRPr="00330234">
        <w:t>Leverenzymafwijkingen</w:t>
      </w:r>
    </w:p>
    <w:p w14:paraId="34EE3F1A" w14:textId="77777777" w:rsidR="00436DAA" w:rsidRPr="00330234" w:rsidRDefault="00436DAA" w:rsidP="001B3E1E">
      <w:pPr>
        <w:pStyle w:val="a3"/>
        <w:keepNext/>
        <w:keepLines/>
        <w:widowControl/>
        <w:ind w:left="0"/>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367"/>
      </w:tblGrid>
      <w:tr w:rsidR="00436DAA" w:rsidRPr="00330234" w14:paraId="57EFEFD0" w14:textId="77777777" w:rsidTr="009B4B8E">
        <w:trPr>
          <w:trHeight w:val="20"/>
          <w:tblHeader/>
        </w:trPr>
        <w:tc>
          <w:tcPr>
            <w:tcW w:w="1699" w:type="dxa"/>
          </w:tcPr>
          <w:p w14:paraId="32F7A07D" w14:textId="4046AC7A" w:rsidR="009B4B8E" w:rsidRPr="00330234" w:rsidRDefault="009B4B8E" w:rsidP="00DD4C0C">
            <w:pPr>
              <w:pStyle w:val="TableParagraph"/>
              <w:widowControl/>
              <w:jc w:val="center"/>
              <w:rPr>
                <w:bCs/>
              </w:rPr>
            </w:pPr>
            <w:r w:rsidRPr="00330234">
              <w:rPr>
                <w:bCs/>
              </w:rPr>
              <w:t>Laboratorium- waarde</w:t>
            </w:r>
          </w:p>
        </w:tc>
        <w:tc>
          <w:tcPr>
            <w:tcW w:w="7367" w:type="dxa"/>
          </w:tcPr>
          <w:p w14:paraId="60D49F4B" w14:textId="77777777" w:rsidR="00436DAA" w:rsidRPr="00330234" w:rsidRDefault="009B4B8E" w:rsidP="009B4B8E">
            <w:pPr>
              <w:pStyle w:val="TableParagraph"/>
              <w:widowControl/>
              <w:jc w:val="center"/>
              <w:rPr>
                <w:bCs/>
              </w:rPr>
            </w:pPr>
            <w:r w:rsidRPr="00330234">
              <w:rPr>
                <w:bCs/>
              </w:rPr>
              <w:t>Actie</w:t>
            </w:r>
          </w:p>
        </w:tc>
      </w:tr>
      <w:tr w:rsidR="00436DAA" w:rsidRPr="00330234" w14:paraId="3F5CCE51" w14:textId="77777777" w:rsidTr="009B4B8E">
        <w:trPr>
          <w:trHeight w:val="20"/>
        </w:trPr>
        <w:tc>
          <w:tcPr>
            <w:tcW w:w="1699" w:type="dxa"/>
          </w:tcPr>
          <w:p w14:paraId="2ACFEA29" w14:textId="77777777" w:rsidR="00436DAA" w:rsidRPr="00330234" w:rsidRDefault="009B4B8E" w:rsidP="00BD109B">
            <w:pPr>
              <w:pStyle w:val="TableParagraph"/>
              <w:widowControl/>
            </w:pPr>
            <w:r w:rsidRPr="00330234">
              <w:t xml:space="preserve">&gt; 1 tot 3 x </w:t>
            </w:r>
            <w:r w:rsidRPr="00330234">
              <w:rPr>
                <w:i/>
              </w:rPr>
              <w:t xml:space="preserve">Upper Limit of Normal </w:t>
            </w:r>
            <w:r w:rsidRPr="00330234">
              <w:t>(ULN)</w:t>
            </w:r>
          </w:p>
        </w:tc>
        <w:tc>
          <w:tcPr>
            <w:tcW w:w="7367" w:type="dxa"/>
          </w:tcPr>
          <w:p w14:paraId="0556FA72" w14:textId="1969ADE8" w:rsidR="00436DAA" w:rsidRPr="00330234" w:rsidRDefault="009B4B8E" w:rsidP="00921FA1">
            <w:pPr>
              <w:pStyle w:val="TableParagraph"/>
              <w:widowControl/>
            </w:pPr>
            <w:r w:rsidRPr="00330234">
              <w:t>Pas de dosering aan van gelijktijdig gebruikte DMARD</w:t>
            </w:r>
            <w:r w:rsidR="00921FA1" w:rsidRPr="00330234">
              <w:t>’</w:t>
            </w:r>
            <w:r w:rsidRPr="00330234">
              <w:t>s (RA) of immunomodulerende middelen (GCA), indien aangewezen.</w:t>
            </w:r>
          </w:p>
          <w:p w14:paraId="3B2D98AD" w14:textId="77777777" w:rsidR="009B4B8E" w:rsidRPr="00330234" w:rsidRDefault="009B4B8E" w:rsidP="00BD109B">
            <w:pPr>
              <w:pStyle w:val="TableParagraph"/>
              <w:widowControl/>
            </w:pPr>
          </w:p>
          <w:p w14:paraId="74D288D4" w14:textId="3DABB623" w:rsidR="00436DAA" w:rsidRPr="00330234" w:rsidRDefault="009B4B8E" w:rsidP="00BD109B">
            <w:pPr>
              <w:pStyle w:val="TableParagraph"/>
              <w:widowControl/>
            </w:pPr>
            <w:r w:rsidRPr="00330234">
              <w:t xml:space="preserve">Bij aanhoudende stijging binnen dit bereik, verlaag de </w:t>
            </w:r>
            <w:r w:rsidR="0037682E" w:rsidRPr="00330234">
              <w:t>Avtozma</w:t>
            </w:r>
            <w:r w:rsidRPr="00330234">
              <w:t xml:space="preserve"> doseringsfrequentie naar een injectie om de week of onderbreek de behandeling met </w:t>
            </w:r>
            <w:r w:rsidR="0037682E" w:rsidRPr="00330234">
              <w:t>Avtozma</w:t>
            </w:r>
            <w:r w:rsidRPr="00330234">
              <w:t xml:space="preserve"> totdat de alanineaminotransferase (ALAT) of aspartaataminotransferase (ASAT) zijn genormaliseerd.</w:t>
            </w:r>
          </w:p>
          <w:p w14:paraId="3F66917A" w14:textId="77777777" w:rsidR="009B4B8E" w:rsidRPr="00330234" w:rsidRDefault="009B4B8E" w:rsidP="00BD109B">
            <w:pPr>
              <w:pStyle w:val="TableParagraph"/>
              <w:widowControl/>
            </w:pPr>
          </w:p>
          <w:p w14:paraId="4BD82DAB" w14:textId="193C7AFB" w:rsidR="009B4B8E" w:rsidRPr="00330234" w:rsidRDefault="009B4B8E" w:rsidP="00DD4C0C">
            <w:pPr>
              <w:pStyle w:val="TableParagraph"/>
              <w:widowControl/>
            </w:pPr>
            <w:r w:rsidRPr="00330234">
              <w:t>Herstart de behandeling met een injectie elke week of om de week, indien klinisch verantwoord.</w:t>
            </w:r>
          </w:p>
        </w:tc>
      </w:tr>
      <w:tr w:rsidR="00436DAA" w:rsidRPr="00330234" w14:paraId="02C95AA9" w14:textId="77777777" w:rsidTr="009B4B8E">
        <w:trPr>
          <w:trHeight w:val="20"/>
        </w:trPr>
        <w:tc>
          <w:tcPr>
            <w:tcW w:w="1699" w:type="dxa"/>
          </w:tcPr>
          <w:p w14:paraId="6663C10E" w14:textId="77777777" w:rsidR="00436DAA" w:rsidRPr="00330234" w:rsidRDefault="009B4B8E" w:rsidP="00BD109B">
            <w:pPr>
              <w:pStyle w:val="TableParagraph"/>
              <w:widowControl/>
            </w:pPr>
            <w:r w:rsidRPr="00330234">
              <w:t>&gt; 3 tot 5 x ULN</w:t>
            </w:r>
          </w:p>
        </w:tc>
        <w:tc>
          <w:tcPr>
            <w:tcW w:w="7367" w:type="dxa"/>
          </w:tcPr>
          <w:p w14:paraId="1BF228CE" w14:textId="7F7721A5" w:rsidR="00436DAA" w:rsidRPr="00330234" w:rsidRDefault="009B4B8E" w:rsidP="00BD109B">
            <w:pPr>
              <w:pStyle w:val="TableParagraph"/>
              <w:widowControl/>
            </w:pPr>
            <w:r w:rsidRPr="00330234">
              <w:t xml:space="preserve">Onderbreek de behandeling met </w:t>
            </w:r>
            <w:r w:rsidR="0037682E" w:rsidRPr="00330234">
              <w:t>Avtozma</w:t>
            </w:r>
            <w:r w:rsidRPr="00330234">
              <w:t xml:space="preserve"> tot de waarde van &lt; 3 x ULN is bereikt en volg de hierboven beschreven aanbevelingen voor de waarde &gt; 1 tot 3 x ULN.</w:t>
            </w:r>
          </w:p>
          <w:p w14:paraId="77220909" w14:textId="77777777" w:rsidR="009B4B8E" w:rsidRPr="00330234" w:rsidRDefault="009B4B8E" w:rsidP="00BD109B">
            <w:pPr>
              <w:pStyle w:val="TableParagraph"/>
              <w:widowControl/>
            </w:pPr>
          </w:p>
          <w:p w14:paraId="34141DD6" w14:textId="1852BB58" w:rsidR="009B4B8E" w:rsidRPr="00330234" w:rsidRDefault="009B4B8E" w:rsidP="00DD4C0C">
            <w:pPr>
              <w:pStyle w:val="TableParagraph"/>
              <w:widowControl/>
            </w:pPr>
            <w:r w:rsidRPr="00330234">
              <w:t xml:space="preserve">Bij een aanhoudende stijging van &gt; 3 x ULN (bevestigd middels herhaald testen, zie rubriek 4.4); staak de behandeling met </w:t>
            </w:r>
            <w:r w:rsidR="0037682E" w:rsidRPr="00330234">
              <w:t>Avtozma</w:t>
            </w:r>
            <w:r w:rsidRPr="00330234">
              <w:t>.</w:t>
            </w:r>
          </w:p>
        </w:tc>
      </w:tr>
      <w:tr w:rsidR="00436DAA" w:rsidRPr="00330234" w14:paraId="64DB9B59" w14:textId="77777777" w:rsidTr="009B4B8E">
        <w:trPr>
          <w:trHeight w:val="20"/>
        </w:trPr>
        <w:tc>
          <w:tcPr>
            <w:tcW w:w="1699" w:type="dxa"/>
          </w:tcPr>
          <w:p w14:paraId="01A7B68D" w14:textId="77777777" w:rsidR="00436DAA" w:rsidRPr="00330234" w:rsidRDefault="009B4B8E" w:rsidP="00BD109B">
            <w:pPr>
              <w:pStyle w:val="TableParagraph"/>
              <w:widowControl/>
            </w:pPr>
            <w:r w:rsidRPr="00330234">
              <w:t>&gt; 5 x ULN</w:t>
            </w:r>
          </w:p>
        </w:tc>
        <w:tc>
          <w:tcPr>
            <w:tcW w:w="7367" w:type="dxa"/>
          </w:tcPr>
          <w:p w14:paraId="1A12F8B3" w14:textId="38E9D0F2" w:rsidR="009B4B8E" w:rsidRPr="00330234" w:rsidRDefault="009B4B8E" w:rsidP="00DD4C0C">
            <w:pPr>
              <w:pStyle w:val="TableParagraph"/>
              <w:widowControl/>
            </w:pPr>
            <w:r w:rsidRPr="00330234">
              <w:t xml:space="preserve">Staak de behandeling met </w:t>
            </w:r>
            <w:r w:rsidR="0037682E" w:rsidRPr="00330234">
              <w:t>Avtozma</w:t>
            </w:r>
            <w:r w:rsidRPr="00330234">
              <w:t>.</w:t>
            </w:r>
          </w:p>
        </w:tc>
      </w:tr>
    </w:tbl>
    <w:p w14:paraId="23447E73" w14:textId="77777777" w:rsidR="009B4B8E" w:rsidRPr="00330234" w:rsidRDefault="009B4B8E" w:rsidP="00BD109B">
      <w:pPr>
        <w:widowControl/>
        <w:rPr>
          <w:rFonts w:eastAsia="Symbol"/>
        </w:rPr>
      </w:pPr>
    </w:p>
    <w:p w14:paraId="57E3987A" w14:textId="0779B79D" w:rsidR="00436DAA" w:rsidRPr="00330234" w:rsidRDefault="005328BF" w:rsidP="009B4B8E">
      <w:pPr>
        <w:pStyle w:val="bullet"/>
      </w:pPr>
      <w:r w:rsidRPr="00330234">
        <w:rPr>
          <w:rFonts w:eastAsia="Symbol"/>
        </w:rPr>
        <w:tab/>
      </w:r>
      <w:r w:rsidR="009B4B8E" w:rsidRPr="00330234">
        <w:t>Laag absoluut aantal neutrofielen (ANC)</w:t>
      </w:r>
    </w:p>
    <w:p w14:paraId="1CF88419" w14:textId="77777777" w:rsidR="009B4B8E" w:rsidRPr="00330234" w:rsidRDefault="009B4B8E" w:rsidP="00BD109B">
      <w:pPr>
        <w:pStyle w:val="a3"/>
        <w:widowControl/>
        <w:ind w:left="0"/>
      </w:pPr>
    </w:p>
    <w:p w14:paraId="515D68FF" w14:textId="7D01B3AB" w:rsidR="00436DAA" w:rsidRPr="00330234" w:rsidRDefault="009B4B8E" w:rsidP="00BD109B">
      <w:pPr>
        <w:pStyle w:val="a3"/>
        <w:widowControl/>
        <w:ind w:left="0"/>
      </w:pPr>
      <w:r w:rsidRPr="00330234">
        <w:t xml:space="preserve">Bij patiënten die niet eerder met </w:t>
      </w:r>
      <w:r w:rsidR="0037682E" w:rsidRPr="00330234">
        <w:rPr>
          <w:rFonts w:hint="eastAsia"/>
        </w:rPr>
        <w:t>tocilizumab</w:t>
      </w:r>
      <w:r w:rsidRPr="00330234">
        <w:t xml:space="preserve"> zijn behandeld, wordt starten van de behandeling niet aanbevolen als de patiënt een absoluut aantal neutrofielen (ANC) lager dan 2 x 10</w:t>
      </w:r>
      <w:r w:rsidRPr="00330234">
        <w:rPr>
          <w:vertAlign w:val="superscript"/>
        </w:rPr>
        <w:t>9</w:t>
      </w:r>
      <w:r w:rsidRPr="00330234">
        <w:t>/l heeft.</w:t>
      </w:r>
    </w:p>
    <w:p w14:paraId="0791CEF7" w14:textId="77777777" w:rsidR="00436DAA" w:rsidRPr="00330234" w:rsidRDefault="00436DAA" w:rsidP="00BD109B">
      <w:pPr>
        <w:pStyle w:val="a3"/>
        <w:widowControl/>
        <w:ind w:left="0"/>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4"/>
        <w:gridCol w:w="7372"/>
      </w:tblGrid>
      <w:tr w:rsidR="00436DAA" w:rsidRPr="00330234" w14:paraId="6EFA082D" w14:textId="77777777" w:rsidTr="009B4B8E">
        <w:trPr>
          <w:trHeight w:val="20"/>
        </w:trPr>
        <w:tc>
          <w:tcPr>
            <w:tcW w:w="1694" w:type="dxa"/>
          </w:tcPr>
          <w:p w14:paraId="7FBD826A" w14:textId="77777777" w:rsidR="00436DAA" w:rsidRPr="00330234" w:rsidRDefault="009B4B8E" w:rsidP="009B4B8E">
            <w:pPr>
              <w:pStyle w:val="TableParagraph"/>
              <w:widowControl/>
              <w:jc w:val="center"/>
            </w:pPr>
            <w:r w:rsidRPr="00330234">
              <w:t>Laboratorium- waarde</w:t>
            </w:r>
          </w:p>
          <w:p w14:paraId="24410E8D" w14:textId="73FA7B76" w:rsidR="009B4B8E" w:rsidRPr="00330234" w:rsidRDefault="009B4B8E" w:rsidP="00DD4C0C">
            <w:pPr>
              <w:pStyle w:val="TableParagraph"/>
              <w:widowControl/>
              <w:jc w:val="center"/>
            </w:pPr>
            <w:r w:rsidRPr="00330234">
              <w:t>(cellen x 10</w:t>
            </w:r>
            <w:r w:rsidRPr="00330234">
              <w:rPr>
                <w:vertAlign w:val="superscript"/>
              </w:rPr>
              <w:t>9</w:t>
            </w:r>
            <w:r w:rsidRPr="00330234">
              <w:t>/l)</w:t>
            </w:r>
          </w:p>
        </w:tc>
        <w:tc>
          <w:tcPr>
            <w:tcW w:w="7372" w:type="dxa"/>
          </w:tcPr>
          <w:p w14:paraId="6ED7FC61" w14:textId="77777777" w:rsidR="00436DAA" w:rsidRPr="00330234" w:rsidRDefault="009B4B8E" w:rsidP="009B4B8E">
            <w:pPr>
              <w:pStyle w:val="TableParagraph"/>
              <w:widowControl/>
              <w:jc w:val="center"/>
            </w:pPr>
            <w:r w:rsidRPr="00330234">
              <w:t>Actie</w:t>
            </w:r>
          </w:p>
        </w:tc>
      </w:tr>
      <w:tr w:rsidR="00436DAA" w:rsidRPr="00330234" w14:paraId="6EBF2E91" w14:textId="77777777" w:rsidTr="009B4B8E">
        <w:trPr>
          <w:trHeight w:val="20"/>
        </w:trPr>
        <w:tc>
          <w:tcPr>
            <w:tcW w:w="1694" w:type="dxa"/>
          </w:tcPr>
          <w:p w14:paraId="091898C4" w14:textId="77777777" w:rsidR="00436DAA" w:rsidRPr="00330234" w:rsidRDefault="009B4B8E" w:rsidP="00BD109B">
            <w:pPr>
              <w:pStyle w:val="TableParagraph"/>
              <w:widowControl/>
            </w:pPr>
            <w:r w:rsidRPr="00330234">
              <w:t>ANC &gt; 1</w:t>
            </w:r>
          </w:p>
        </w:tc>
        <w:tc>
          <w:tcPr>
            <w:tcW w:w="7372" w:type="dxa"/>
          </w:tcPr>
          <w:p w14:paraId="0FA958C5" w14:textId="6B5F4F02" w:rsidR="009B4B8E" w:rsidRPr="00330234" w:rsidRDefault="009B4B8E" w:rsidP="00DD4C0C">
            <w:pPr>
              <w:pStyle w:val="TableParagraph"/>
              <w:widowControl/>
            </w:pPr>
            <w:r w:rsidRPr="00330234">
              <w:t>Handhaaf de dosering.</w:t>
            </w:r>
          </w:p>
        </w:tc>
      </w:tr>
      <w:tr w:rsidR="00436DAA" w:rsidRPr="00330234" w14:paraId="39916C65" w14:textId="77777777" w:rsidTr="009B4B8E">
        <w:trPr>
          <w:trHeight w:val="20"/>
        </w:trPr>
        <w:tc>
          <w:tcPr>
            <w:tcW w:w="1694" w:type="dxa"/>
          </w:tcPr>
          <w:p w14:paraId="376A68F0" w14:textId="77777777" w:rsidR="00436DAA" w:rsidRPr="00330234" w:rsidRDefault="009B4B8E" w:rsidP="00BD109B">
            <w:pPr>
              <w:pStyle w:val="TableParagraph"/>
              <w:widowControl/>
            </w:pPr>
            <w:r w:rsidRPr="00330234">
              <w:t>ANC 0,5 tot 1</w:t>
            </w:r>
          </w:p>
        </w:tc>
        <w:tc>
          <w:tcPr>
            <w:tcW w:w="7372" w:type="dxa"/>
          </w:tcPr>
          <w:p w14:paraId="08488733" w14:textId="4556AC92" w:rsidR="00436DAA" w:rsidRPr="00330234" w:rsidRDefault="009B4B8E" w:rsidP="00BD109B">
            <w:pPr>
              <w:pStyle w:val="TableParagraph"/>
              <w:widowControl/>
            </w:pPr>
            <w:r w:rsidRPr="00330234">
              <w:t xml:space="preserve">Onderbreek de behandeling met </w:t>
            </w:r>
            <w:r w:rsidR="0037682E" w:rsidRPr="00330234">
              <w:t>Avtozma</w:t>
            </w:r>
            <w:r w:rsidRPr="00330234">
              <w:t>.</w:t>
            </w:r>
          </w:p>
          <w:p w14:paraId="35A4F405" w14:textId="77777777" w:rsidR="009B4B8E" w:rsidRPr="00330234" w:rsidRDefault="009B4B8E" w:rsidP="00BD109B">
            <w:pPr>
              <w:pStyle w:val="TableParagraph"/>
              <w:widowControl/>
            </w:pPr>
          </w:p>
          <w:p w14:paraId="617751FE" w14:textId="292723D9" w:rsidR="009B4B8E" w:rsidRPr="00330234" w:rsidRDefault="009B4B8E" w:rsidP="00DD4C0C">
            <w:pPr>
              <w:pStyle w:val="TableParagraph"/>
              <w:widowControl/>
            </w:pPr>
            <w:r w:rsidRPr="00330234">
              <w:t>Wanneer het ANC toeneemt tot &gt; 1 x 10</w:t>
            </w:r>
            <w:r w:rsidRPr="00330234">
              <w:rPr>
                <w:vertAlign w:val="superscript"/>
              </w:rPr>
              <w:t>9</w:t>
            </w:r>
            <w:r w:rsidRPr="00330234">
              <w:t xml:space="preserve">/l; hervat de behandeling met </w:t>
            </w:r>
            <w:r w:rsidR="0037682E" w:rsidRPr="00330234">
              <w:t>Avtozma</w:t>
            </w:r>
            <w:r w:rsidRPr="00330234">
              <w:t xml:space="preserve"> met een dosering om de week en verhoog tot een injectie elke week, indien klinisch verantwoord.</w:t>
            </w:r>
          </w:p>
        </w:tc>
      </w:tr>
      <w:tr w:rsidR="00436DAA" w:rsidRPr="00330234" w14:paraId="53A290C0" w14:textId="77777777" w:rsidTr="009B4B8E">
        <w:trPr>
          <w:trHeight w:val="20"/>
        </w:trPr>
        <w:tc>
          <w:tcPr>
            <w:tcW w:w="1694" w:type="dxa"/>
          </w:tcPr>
          <w:p w14:paraId="1AF8207B" w14:textId="77777777" w:rsidR="00436DAA" w:rsidRPr="00330234" w:rsidRDefault="009B4B8E" w:rsidP="00BD109B">
            <w:pPr>
              <w:pStyle w:val="TableParagraph"/>
              <w:widowControl/>
            </w:pPr>
            <w:r w:rsidRPr="00330234">
              <w:t>ANC &lt; 0,5</w:t>
            </w:r>
          </w:p>
        </w:tc>
        <w:tc>
          <w:tcPr>
            <w:tcW w:w="7372" w:type="dxa"/>
          </w:tcPr>
          <w:p w14:paraId="3C02D498" w14:textId="5D970842" w:rsidR="009B4B8E" w:rsidRPr="00330234" w:rsidRDefault="009B4B8E" w:rsidP="00DD4C0C">
            <w:pPr>
              <w:pStyle w:val="TableParagraph"/>
              <w:widowControl/>
            </w:pPr>
            <w:r w:rsidRPr="00330234">
              <w:t xml:space="preserve">Staak de behandeling met </w:t>
            </w:r>
            <w:r w:rsidR="0037682E" w:rsidRPr="00330234">
              <w:t>Avtozma</w:t>
            </w:r>
            <w:r w:rsidRPr="00330234">
              <w:t>.</w:t>
            </w:r>
          </w:p>
        </w:tc>
      </w:tr>
    </w:tbl>
    <w:p w14:paraId="00223DE3" w14:textId="77777777" w:rsidR="00436DAA" w:rsidRPr="00330234" w:rsidRDefault="00436DAA" w:rsidP="00BD109B">
      <w:pPr>
        <w:widowControl/>
      </w:pPr>
    </w:p>
    <w:p w14:paraId="490B2048" w14:textId="367001F8" w:rsidR="00436DAA" w:rsidRPr="00330234" w:rsidRDefault="005328BF" w:rsidP="009B4B8E">
      <w:pPr>
        <w:pStyle w:val="bullet"/>
      </w:pPr>
      <w:r w:rsidRPr="00330234">
        <w:rPr>
          <w:rFonts w:eastAsia="Symbol"/>
        </w:rPr>
        <w:tab/>
      </w:r>
      <w:r w:rsidR="009B4B8E" w:rsidRPr="00330234">
        <w:t>Laag aantal trombocyten</w:t>
      </w:r>
    </w:p>
    <w:p w14:paraId="4AE245F1" w14:textId="77777777" w:rsidR="00436DAA" w:rsidRPr="00330234" w:rsidRDefault="00436DAA" w:rsidP="00BD109B">
      <w:pPr>
        <w:pStyle w:val="a3"/>
        <w:widowControl/>
        <w:ind w:left="0"/>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64"/>
      </w:tblGrid>
      <w:tr w:rsidR="00436DAA" w:rsidRPr="00330234" w14:paraId="601F4A79" w14:textId="77777777" w:rsidTr="009B4B8E">
        <w:trPr>
          <w:trHeight w:val="20"/>
        </w:trPr>
        <w:tc>
          <w:tcPr>
            <w:tcW w:w="1702" w:type="dxa"/>
          </w:tcPr>
          <w:p w14:paraId="65A21BF2" w14:textId="77777777" w:rsidR="00436DAA" w:rsidRPr="00330234" w:rsidRDefault="009B4B8E" w:rsidP="009B4B8E">
            <w:pPr>
              <w:pStyle w:val="TableParagraph"/>
              <w:widowControl/>
              <w:jc w:val="center"/>
            </w:pPr>
            <w:r w:rsidRPr="00330234">
              <w:t>Laboratorium- waarde</w:t>
            </w:r>
          </w:p>
          <w:p w14:paraId="1716F440" w14:textId="77777777" w:rsidR="00436DAA" w:rsidRPr="00330234" w:rsidRDefault="009B4B8E" w:rsidP="009B4B8E">
            <w:pPr>
              <w:pStyle w:val="TableParagraph"/>
              <w:widowControl/>
              <w:jc w:val="center"/>
            </w:pPr>
            <w:r w:rsidRPr="00330234">
              <w:t>(cellen x 10</w:t>
            </w:r>
            <w:r w:rsidRPr="00330234">
              <w:rPr>
                <w:vertAlign w:val="superscript"/>
              </w:rPr>
              <w:t>3</w:t>
            </w:r>
            <w:r w:rsidRPr="00330234">
              <w:t>/μl)</w:t>
            </w:r>
          </w:p>
        </w:tc>
        <w:tc>
          <w:tcPr>
            <w:tcW w:w="7364" w:type="dxa"/>
          </w:tcPr>
          <w:p w14:paraId="66A4ECDA" w14:textId="77777777" w:rsidR="00436DAA" w:rsidRPr="00330234" w:rsidRDefault="009B4B8E" w:rsidP="009B4B8E">
            <w:pPr>
              <w:pStyle w:val="TableParagraph"/>
              <w:widowControl/>
              <w:jc w:val="center"/>
            </w:pPr>
            <w:r w:rsidRPr="00330234">
              <w:t>Actie</w:t>
            </w:r>
          </w:p>
        </w:tc>
      </w:tr>
      <w:tr w:rsidR="00436DAA" w:rsidRPr="00330234" w14:paraId="6DCD0689" w14:textId="77777777" w:rsidTr="009B4B8E">
        <w:trPr>
          <w:trHeight w:val="20"/>
        </w:trPr>
        <w:tc>
          <w:tcPr>
            <w:tcW w:w="1702" w:type="dxa"/>
          </w:tcPr>
          <w:p w14:paraId="2B78F7A6" w14:textId="77777777" w:rsidR="00436DAA" w:rsidRPr="00330234" w:rsidRDefault="009B4B8E" w:rsidP="00BD109B">
            <w:pPr>
              <w:pStyle w:val="TableParagraph"/>
              <w:widowControl/>
            </w:pPr>
            <w:r w:rsidRPr="00330234">
              <w:t>50 tot 100</w:t>
            </w:r>
          </w:p>
        </w:tc>
        <w:tc>
          <w:tcPr>
            <w:tcW w:w="7364" w:type="dxa"/>
          </w:tcPr>
          <w:p w14:paraId="5AC1602A" w14:textId="0624B04F" w:rsidR="00436DAA" w:rsidRPr="00330234" w:rsidRDefault="009B4B8E" w:rsidP="00BD109B">
            <w:pPr>
              <w:pStyle w:val="TableParagraph"/>
              <w:widowControl/>
            </w:pPr>
            <w:r w:rsidRPr="00330234">
              <w:t xml:space="preserve">Onderbreek de behandeling met </w:t>
            </w:r>
            <w:r w:rsidR="0037682E" w:rsidRPr="00330234">
              <w:t>Avtozma</w:t>
            </w:r>
            <w:r w:rsidRPr="00330234">
              <w:t>.</w:t>
            </w:r>
          </w:p>
          <w:p w14:paraId="3E5517E4" w14:textId="77777777" w:rsidR="009B4B8E" w:rsidRPr="00330234" w:rsidRDefault="009B4B8E" w:rsidP="00BD109B">
            <w:pPr>
              <w:pStyle w:val="TableParagraph"/>
              <w:widowControl/>
            </w:pPr>
          </w:p>
          <w:p w14:paraId="47930253" w14:textId="488C827E" w:rsidR="009B4B8E" w:rsidRPr="00330234" w:rsidRDefault="009B4B8E" w:rsidP="00DD4C0C">
            <w:pPr>
              <w:pStyle w:val="TableParagraph"/>
              <w:widowControl/>
            </w:pPr>
            <w:r w:rsidRPr="00330234">
              <w:t>Wanneer het trombocytenaantal &gt; 100 x 10</w:t>
            </w:r>
            <w:r w:rsidRPr="00330234">
              <w:rPr>
                <w:vertAlign w:val="superscript"/>
              </w:rPr>
              <w:t>3</w:t>
            </w:r>
            <w:r w:rsidRPr="00330234">
              <w:t xml:space="preserve">/μl is; hervat de behandeling met </w:t>
            </w:r>
            <w:r w:rsidR="0037682E" w:rsidRPr="00330234">
              <w:t>Avtozma</w:t>
            </w:r>
            <w:r w:rsidRPr="00330234">
              <w:t xml:space="preserve"> met een dosering om de week en verhoog tot een injectie elke week, indien klinisch verantwoord.</w:t>
            </w:r>
          </w:p>
        </w:tc>
      </w:tr>
      <w:tr w:rsidR="00436DAA" w:rsidRPr="00330234" w14:paraId="48C96688" w14:textId="77777777" w:rsidTr="009B4B8E">
        <w:trPr>
          <w:trHeight w:val="20"/>
        </w:trPr>
        <w:tc>
          <w:tcPr>
            <w:tcW w:w="1702" w:type="dxa"/>
          </w:tcPr>
          <w:p w14:paraId="6D80B48C" w14:textId="77777777" w:rsidR="00436DAA" w:rsidRPr="00330234" w:rsidRDefault="009B4B8E" w:rsidP="00BD109B">
            <w:pPr>
              <w:pStyle w:val="TableParagraph"/>
              <w:widowControl/>
            </w:pPr>
            <w:r w:rsidRPr="00330234">
              <w:t>&lt; 50</w:t>
            </w:r>
          </w:p>
        </w:tc>
        <w:tc>
          <w:tcPr>
            <w:tcW w:w="7364" w:type="dxa"/>
          </w:tcPr>
          <w:p w14:paraId="7D9B4595" w14:textId="5176F3AA" w:rsidR="009B4B8E" w:rsidRPr="00330234" w:rsidRDefault="009B4B8E" w:rsidP="00DD4C0C">
            <w:pPr>
              <w:pStyle w:val="TableParagraph"/>
              <w:widowControl/>
            </w:pPr>
            <w:r w:rsidRPr="00330234">
              <w:t xml:space="preserve">Staak de behandeling met </w:t>
            </w:r>
            <w:r w:rsidR="0037682E" w:rsidRPr="00330234">
              <w:t>Avtozma</w:t>
            </w:r>
            <w:r w:rsidRPr="00330234">
              <w:t>.</w:t>
            </w:r>
          </w:p>
        </w:tc>
      </w:tr>
    </w:tbl>
    <w:p w14:paraId="31D94F37" w14:textId="77777777" w:rsidR="009B4B8E" w:rsidRPr="00330234" w:rsidRDefault="009B4B8E" w:rsidP="00BD109B">
      <w:pPr>
        <w:pStyle w:val="a3"/>
        <w:widowControl/>
        <w:ind w:left="0"/>
      </w:pPr>
    </w:p>
    <w:p w14:paraId="716F3D8E" w14:textId="483845C4" w:rsidR="00436DAA" w:rsidRPr="00330234" w:rsidRDefault="009B4B8E" w:rsidP="001B3E1E">
      <w:pPr>
        <w:pStyle w:val="a3"/>
        <w:keepNext/>
        <w:keepLines/>
        <w:widowControl/>
        <w:ind w:left="0"/>
      </w:pPr>
      <w:r w:rsidRPr="00330234">
        <w:rPr>
          <w:u w:val="single"/>
        </w:rPr>
        <w:lastRenderedPageBreak/>
        <w:t>RA en GCA</w:t>
      </w:r>
    </w:p>
    <w:p w14:paraId="53995BBC" w14:textId="77777777" w:rsidR="00436DAA" w:rsidRPr="001B3E1E" w:rsidRDefault="009B4B8E" w:rsidP="001B3E1E">
      <w:pPr>
        <w:pStyle w:val="a3"/>
        <w:keepNext/>
        <w:keepLines/>
        <w:widowControl/>
        <w:ind w:left="0"/>
        <w:rPr>
          <w:i/>
          <w:iCs/>
        </w:rPr>
      </w:pPr>
      <w:r w:rsidRPr="001B3E1E">
        <w:rPr>
          <w:i/>
          <w:iCs/>
        </w:rPr>
        <w:t>Gemiste dosis</w:t>
      </w:r>
    </w:p>
    <w:p w14:paraId="4F04C1F1" w14:textId="54098A65" w:rsidR="00436DAA" w:rsidRPr="00330234" w:rsidRDefault="009B4B8E" w:rsidP="00C01A27">
      <w:pPr>
        <w:pStyle w:val="a3"/>
        <w:widowControl/>
        <w:ind w:left="0"/>
      </w:pPr>
      <w:r w:rsidRPr="00330234">
        <w:t xml:space="preserve">Als een patiënt een wekelijkse subcutane injectie van </w:t>
      </w:r>
      <w:r w:rsidR="0037682E" w:rsidRPr="00330234">
        <w:t>Avtozma</w:t>
      </w:r>
      <w:r w:rsidRPr="00330234">
        <w:t xml:space="preserve"> mist, binnen 7 dagen van de geplande dosis, dan moet hij/zij worden geïnstrueerd om de gemiste dosis op de volgende geplande dag toe te dienen. Als een patiënt een om de week subcutane injectie van </w:t>
      </w:r>
      <w:r w:rsidR="0037682E" w:rsidRPr="00330234">
        <w:t>Avtozma</w:t>
      </w:r>
      <w:r w:rsidRPr="00330234">
        <w:t xml:space="preserve"> mist, binnen</w:t>
      </w:r>
      <w:r w:rsidR="00C01A27" w:rsidRPr="00330234">
        <w:t xml:space="preserve"> </w:t>
      </w:r>
      <w:r w:rsidRPr="00330234">
        <w:t>7 dagen van de geplande dosis, dan moet hij/zij worden geïnstrueerd om de gemiste dosis meteen toe te dienen en de volgende dosis op de volgende geplande dag toe te dienen.</w:t>
      </w:r>
    </w:p>
    <w:p w14:paraId="134958F8" w14:textId="77777777" w:rsidR="009B4B8E" w:rsidRPr="00330234" w:rsidRDefault="009B4B8E" w:rsidP="00BD109B">
      <w:pPr>
        <w:pStyle w:val="a3"/>
        <w:widowControl/>
        <w:ind w:left="0"/>
      </w:pPr>
    </w:p>
    <w:p w14:paraId="04910A5A" w14:textId="77777777" w:rsidR="00436DAA" w:rsidRPr="00330234" w:rsidRDefault="009B4B8E" w:rsidP="00BD109B">
      <w:pPr>
        <w:pStyle w:val="a3"/>
        <w:widowControl/>
        <w:ind w:left="0"/>
      </w:pPr>
      <w:r w:rsidRPr="00330234">
        <w:rPr>
          <w:u w:val="single"/>
        </w:rPr>
        <w:t>Speciale populaties</w:t>
      </w:r>
    </w:p>
    <w:p w14:paraId="4B46E354" w14:textId="77777777" w:rsidR="00436DAA" w:rsidRPr="00330234" w:rsidRDefault="00436DAA" w:rsidP="00BD109B">
      <w:pPr>
        <w:pStyle w:val="a3"/>
        <w:widowControl/>
        <w:ind w:left="0"/>
      </w:pPr>
    </w:p>
    <w:p w14:paraId="798BF60A" w14:textId="77777777" w:rsidR="00436DAA" w:rsidRPr="00330234" w:rsidRDefault="009B4B8E" w:rsidP="00BD109B">
      <w:pPr>
        <w:widowControl/>
        <w:rPr>
          <w:i/>
        </w:rPr>
      </w:pPr>
      <w:r w:rsidRPr="00330234">
        <w:rPr>
          <w:i/>
        </w:rPr>
        <w:t>Ouderen</w:t>
      </w:r>
    </w:p>
    <w:p w14:paraId="096AC663" w14:textId="77777777" w:rsidR="00436DAA" w:rsidRPr="00330234" w:rsidRDefault="009B4B8E" w:rsidP="00BD109B">
      <w:pPr>
        <w:pStyle w:val="a3"/>
        <w:widowControl/>
        <w:ind w:left="0"/>
      </w:pPr>
      <w:r w:rsidRPr="00330234">
        <w:t>Er is geen aanpassing van de dosering noodzakelijk bij oudere patiënten ≥ 65 jaar.</w:t>
      </w:r>
    </w:p>
    <w:p w14:paraId="6049750B" w14:textId="77777777" w:rsidR="00436DAA" w:rsidRPr="00330234" w:rsidRDefault="00436DAA" w:rsidP="00BD109B">
      <w:pPr>
        <w:pStyle w:val="a3"/>
        <w:widowControl/>
        <w:ind w:left="0"/>
      </w:pPr>
    </w:p>
    <w:p w14:paraId="7D1BFFDC" w14:textId="77777777" w:rsidR="00436DAA" w:rsidRPr="00330234" w:rsidRDefault="009B4B8E" w:rsidP="00DD4C0C">
      <w:pPr>
        <w:keepNext/>
        <w:keepLines/>
        <w:widowControl/>
        <w:rPr>
          <w:i/>
        </w:rPr>
      </w:pPr>
      <w:r w:rsidRPr="00330234">
        <w:rPr>
          <w:i/>
        </w:rPr>
        <w:t>Verminderde nierfunctie</w:t>
      </w:r>
    </w:p>
    <w:p w14:paraId="36338519" w14:textId="0D0F1F48" w:rsidR="00436DAA" w:rsidRPr="00330234" w:rsidRDefault="009B4B8E" w:rsidP="00DD4C0C">
      <w:pPr>
        <w:pStyle w:val="a3"/>
        <w:keepNext/>
        <w:keepLines/>
        <w:widowControl/>
        <w:ind w:left="0"/>
      </w:pPr>
      <w:r w:rsidRPr="00330234">
        <w:t xml:space="preserve">Er is geen aanpassing van de dosering noodzakelijk bij patiënten met een licht of matig verminderde nierfunctie. </w:t>
      </w:r>
      <w:r w:rsidR="0037682E" w:rsidRPr="00330234">
        <w:t>Avtozma</w:t>
      </w:r>
      <w:r w:rsidRPr="00330234">
        <w:t xml:space="preserve"> is niet onderzocht bij patiënten met een ernstig verminderde nierfunctie (zie rubriek 5.2). Bij deze patiënten moet de nierfunctie nauwgezet worden gecontroleerd.</w:t>
      </w:r>
    </w:p>
    <w:p w14:paraId="57C3FAE1" w14:textId="77777777" w:rsidR="009B4B8E" w:rsidRPr="00330234" w:rsidRDefault="009B4B8E" w:rsidP="00BD109B">
      <w:pPr>
        <w:pStyle w:val="a3"/>
        <w:widowControl/>
        <w:ind w:left="0"/>
      </w:pPr>
    </w:p>
    <w:p w14:paraId="7185D264" w14:textId="77777777" w:rsidR="00436DAA" w:rsidRPr="00330234" w:rsidRDefault="009B4B8E" w:rsidP="00BD109B">
      <w:pPr>
        <w:widowControl/>
        <w:rPr>
          <w:i/>
        </w:rPr>
      </w:pPr>
      <w:r w:rsidRPr="00330234">
        <w:rPr>
          <w:i/>
        </w:rPr>
        <w:t>Verminderde leverfunctie</w:t>
      </w:r>
    </w:p>
    <w:p w14:paraId="35E53D04" w14:textId="182FD7CA" w:rsidR="00436DAA" w:rsidRPr="00330234" w:rsidRDefault="0037682E" w:rsidP="00BD109B">
      <w:pPr>
        <w:pStyle w:val="a3"/>
        <w:widowControl/>
        <w:ind w:left="0"/>
      </w:pPr>
      <w:r w:rsidRPr="00330234">
        <w:t>Avtozma</w:t>
      </w:r>
      <w:r w:rsidR="009B4B8E" w:rsidRPr="00330234">
        <w:t xml:space="preserve"> is niet onderzocht bij patiënten met een verminderde leverfunctie. Daarom kunnen geen aanbevelingen worden gedaan met betrekking tot de dosering.</w:t>
      </w:r>
    </w:p>
    <w:p w14:paraId="05215E21" w14:textId="77777777" w:rsidR="009B4B8E" w:rsidRPr="00330234" w:rsidRDefault="009B4B8E" w:rsidP="00BD109B">
      <w:pPr>
        <w:pStyle w:val="a3"/>
        <w:widowControl/>
        <w:ind w:left="0"/>
      </w:pPr>
    </w:p>
    <w:p w14:paraId="36629181" w14:textId="77777777" w:rsidR="00436DAA" w:rsidRPr="00330234" w:rsidRDefault="009B4B8E" w:rsidP="00BD109B">
      <w:pPr>
        <w:widowControl/>
        <w:rPr>
          <w:i/>
        </w:rPr>
      </w:pPr>
      <w:r w:rsidRPr="00330234">
        <w:rPr>
          <w:i/>
        </w:rPr>
        <w:t>Pediatrische patiënten</w:t>
      </w:r>
    </w:p>
    <w:p w14:paraId="7E74CD8A" w14:textId="7E76108F" w:rsidR="00436DAA" w:rsidRPr="00330234" w:rsidRDefault="009B4B8E" w:rsidP="00BD109B">
      <w:pPr>
        <w:pStyle w:val="a3"/>
        <w:widowControl/>
        <w:ind w:left="0"/>
      </w:pPr>
      <w:r w:rsidRPr="00330234">
        <w:t xml:space="preserve">De veiligheid en werkzaamheid van de subcutane formulering van </w:t>
      </w:r>
      <w:r w:rsidR="0037682E" w:rsidRPr="00330234">
        <w:t>Avtozma</w:t>
      </w:r>
      <w:r w:rsidRPr="00330234">
        <w:t xml:space="preserve"> bij kinderen vanaf de geboorte tot jonger dan 1 jaar zijn niet vastgesteld. Er zijn geen gegevens beschikbaar.</w:t>
      </w:r>
    </w:p>
    <w:p w14:paraId="61FE1281" w14:textId="77777777" w:rsidR="00436DAA" w:rsidRPr="00330234" w:rsidRDefault="00436DAA" w:rsidP="00BD109B">
      <w:pPr>
        <w:pStyle w:val="a3"/>
        <w:widowControl/>
        <w:ind w:left="0"/>
      </w:pPr>
    </w:p>
    <w:p w14:paraId="6B18C3F0" w14:textId="1266364A" w:rsidR="00436DAA" w:rsidRPr="00330234" w:rsidRDefault="009B4B8E" w:rsidP="00BD109B">
      <w:pPr>
        <w:pStyle w:val="a3"/>
        <w:widowControl/>
        <w:ind w:left="0"/>
      </w:pPr>
      <w:r w:rsidRPr="00330234">
        <w:t xml:space="preserve">Een wijziging in de dosis dient alleen gebaseerd te zijn op een consistente verandering in het lichaamsgewicht van de patiënt in de tijd. </w:t>
      </w:r>
      <w:r w:rsidR="0037682E" w:rsidRPr="00330234">
        <w:t>Avtozma</w:t>
      </w:r>
      <w:r w:rsidRPr="00330234">
        <w:t xml:space="preserve"> kan alleen of in combinatie met MTX worden gegeven.</w:t>
      </w:r>
    </w:p>
    <w:p w14:paraId="596DB39C" w14:textId="77777777" w:rsidR="009B4B8E" w:rsidRPr="00330234" w:rsidRDefault="009B4B8E" w:rsidP="00BD109B">
      <w:pPr>
        <w:pStyle w:val="a3"/>
        <w:widowControl/>
        <w:ind w:left="0"/>
      </w:pPr>
    </w:p>
    <w:p w14:paraId="3021CFAA" w14:textId="77777777" w:rsidR="00436DAA" w:rsidRPr="00330234" w:rsidRDefault="009B4B8E" w:rsidP="00BD109B">
      <w:pPr>
        <w:widowControl/>
        <w:rPr>
          <w:i/>
        </w:rPr>
      </w:pPr>
      <w:r w:rsidRPr="00330234">
        <w:rPr>
          <w:i/>
        </w:rPr>
        <w:t>sJIA-patiënten:</w:t>
      </w:r>
    </w:p>
    <w:p w14:paraId="1C2881CE" w14:textId="77777777" w:rsidR="00436DAA" w:rsidRPr="00330234" w:rsidRDefault="009B4B8E" w:rsidP="00BD109B">
      <w:pPr>
        <w:pStyle w:val="a3"/>
        <w:widowControl/>
        <w:ind w:left="0"/>
      </w:pPr>
      <w:r w:rsidRPr="00330234">
        <w:t>De aanbevolen dosering bij patiënten ouder dan 1 jaar is 162 mg subcutaan eenmaal per week bij patiënten die 30 kg of meer wegen, of 162 mg subcutaan eenmaal per 2 weken bij patiënten die minder dan 30 kg wegen.</w:t>
      </w:r>
    </w:p>
    <w:p w14:paraId="59087588" w14:textId="763D5D91" w:rsidR="00436DAA" w:rsidRPr="00330234" w:rsidRDefault="009B4B8E" w:rsidP="00BD109B">
      <w:pPr>
        <w:pStyle w:val="a3"/>
        <w:widowControl/>
        <w:ind w:left="0"/>
      </w:pPr>
      <w:r w:rsidRPr="00330234">
        <w:t xml:space="preserve">Patiënten moeten minstens 10 kg wegen als ze </w:t>
      </w:r>
      <w:r w:rsidR="0037682E" w:rsidRPr="00330234">
        <w:t>Avtozma</w:t>
      </w:r>
      <w:r w:rsidRPr="00330234">
        <w:t xml:space="preserve"> subcutaan krijgen.</w:t>
      </w:r>
    </w:p>
    <w:p w14:paraId="3491B700" w14:textId="77777777" w:rsidR="00436DAA" w:rsidRPr="00330234" w:rsidRDefault="00436DAA" w:rsidP="00BD109B">
      <w:pPr>
        <w:pStyle w:val="a3"/>
        <w:widowControl/>
        <w:ind w:left="0"/>
      </w:pPr>
    </w:p>
    <w:p w14:paraId="5526579C" w14:textId="77777777" w:rsidR="00436DAA" w:rsidRPr="00330234" w:rsidRDefault="009B4B8E" w:rsidP="00BD109B">
      <w:pPr>
        <w:widowControl/>
        <w:rPr>
          <w:i/>
        </w:rPr>
      </w:pPr>
      <w:r w:rsidRPr="00330234">
        <w:rPr>
          <w:i/>
        </w:rPr>
        <w:t>pJIA-patiënten:</w:t>
      </w:r>
    </w:p>
    <w:p w14:paraId="3AFBE8FE" w14:textId="77777777" w:rsidR="00436DAA" w:rsidRPr="00330234" w:rsidRDefault="009B4B8E" w:rsidP="00BD109B">
      <w:pPr>
        <w:pStyle w:val="a3"/>
        <w:widowControl/>
        <w:ind w:left="0"/>
      </w:pPr>
      <w:r w:rsidRPr="00330234">
        <w:t>De aanbevolen dosering bij patiënten ouder dan 2 jaar is 162 mg subcutaan eenmaal per 2 weken bij patiënten die 30 kg of meer wegen, of 162 mg subcutaan eenmaal per 3 weken bij patiënten die minder dan 30 kg wegen.</w:t>
      </w:r>
    </w:p>
    <w:p w14:paraId="523EAB63" w14:textId="77777777" w:rsidR="00436DAA" w:rsidRPr="00330234" w:rsidRDefault="00436DAA" w:rsidP="00BD109B">
      <w:pPr>
        <w:widowControl/>
      </w:pPr>
    </w:p>
    <w:p w14:paraId="6D71734D" w14:textId="77777777" w:rsidR="00436DAA" w:rsidRPr="00330234" w:rsidRDefault="009B4B8E" w:rsidP="00BD109B">
      <w:pPr>
        <w:pStyle w:val="a3"/>
        <w:widowControl/>
        <w:ind w:left="0"/>
      </w:pPr>
      <w:r w:rsidRPr="00330234">
        <w:rPr>
          <w:u w:val="single"/>
        </w:rPr>
        <w:t>Dosisaanpassingen als gevolg van laboratoriumafwijkingen (sJIA en pJIA)</w:t>
      </w:r>
    </w:p>
    <w:p w14:paraId="346133F4" w14:textId="77777777" w:rsidR="00436DAA" w:rsidRPr="00330234" w:rsidRDefault="00436DAA" w:rsidP="00BD109B">
      <w:pPr>
        <w:pStyle w:val="a3"/>
        <w:widowControl/>
        <w:ind w:left="0"/>
      </w:pPr>
    </w:p>
    <w:p w14:paraId="1012EF89" w14:textId="77777777" w:rsidR="00436DAA" w:rsidRPr="00330234" w:rsidRDefault="009B4B8E" w:rsidP="00BD109B">
      <w:pPr>
        <w:pStyle w:val="a3"/>
        <w:widowControl/>
        <w:ind w:left="0"/>
      </w:pPr>
      <w:r w:rsidRPr="00330234">
        <w:t>Indien aangewezen, moet de dosis van gelijktijdig gebruikte MTX en/of andere geneesmiddelen worden aangepast of moet het gebruik ervan gestaakt worden en moet dosering met tocilizumab worden onderbroken totdat de klinische situatie geëvalueerd is. Aangezien er bij sJIA of pJIA veel comorbiditeit is die invloed kan hebben op laboratoriumwaardes, moet de beslissing om te stoppen met tocilizumab bij een laboratoriumafwijking gebaseerd zijn op de medische beoordeling van de individuele patiënt.</w:t>
      </w:r>
    </w:p>
    <w:p w14:paraId="417C10B8" w14:textId="77777777" w:rsidR="00436DAA" w:rsidRPr="00330234" w:rsidRDefault="00436DAA" w:rsidP="00BD109B">
      <w:pPr>
        <w:pStyle w:val="a3"/>
        <w:widowControl/>
        <w:ind w:left="0"/>
      </w:pPr>
    </w:p>
    <w:p w14:paraId="4F9A344A" w14:textId="167DAFE6" w:rsidR="00436DAA" w:rsidRPr="00330234" w:rsidRDefault="005328BF" w:rsidP="001B3E1E">
      <w:pPr>
        <w:pStyle w:val="bullet"/>
        <w:keepNext/>
        <w:keepLines/>
      </w:pPr>
      <w:r w:rsidRPr="00330234">
        <w:rPr>
          <w:rFonts w:eastAsia="Symbol"/>
        </w:rPr>
        <w:lastRenderedPageBreak/>
        <w:tab/>
      </w:r>
      <w:r w:rsidR="009B4B8E" w:rsidRPr="00330234">
        <w:t>Leverenzymafwijkingen</w:t>
      </w:r>
    </w:p>
    <w:p w14:paraId="69D4E5BA" w14:textId="77777777" w:rsidR="00436DAA" w:rsidRPr="00330234" w:rsidRDefault="00436DAA" w:rsidP="001B3E1E">
      <w:pPr>
        <w:pStyle w:val="a3"/>
        <w:keepNext/>
        <w:keepLines/>
        <w:widowControl/>
        <w:ind w:left="0"/>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5"/>
        <w:gridCol w:w="7271"/>
      </w:tblGrid>
      <w:tr w:rsidR="00436DAA" w:rsidRPr="00330234" w14:paraId="1AAC093E" w14:textId="77777777" w:rsidTr="001B3E1E">
        <w:trPr>
          <w:cantSplit/>
          <w:trHeight w:val="20"/>
          <w:tblHeader/>
        </w:trPr>
        <w:tc>
          <w:tcPr>
            <w:tcW w:w="1795" w:type="dxa"/>
          </w:tcPr>
          <w:p w14:paraId="277E1186" w14:textId="744B15CE" w:rsidR="009B4B8E" w:rsidRPr="00330234" w:rsidRDefault="009B4B8E" w:rsidP="001B3E1E">
            <w:pPr>
              <w:pStyle w:val="TableParagraph"/>
              <w:keepNext/>
              <w:keepLines/>
              <w:widowControl/>
              <w:jc w:val="center"/>
              <w:rPr>
                <w:bCs/>
              </w:rPr>
            </w:pPr>
            <w:r w:rsidRPr="00330234">
              <w:rPr>
                <w:bCs/>
              </w:rPr>
              <w:t>Laboratorium- waarde</w:t>
            </w:r>
          </w:p>
        </w:tc>
        <w:tc>
          <w:tcPr>
            <w:tcW w:w="7271" w:type="dxa"/>
          </w:tcPr>
          <w:p w14:paraId="2A730C4F" w14:textId="77777777" w:rsidR="00436DAA" w:rsidRPr="00330234" w:rsidRDefault="009B4B8E" w:rsidP="001B3E1E">
            <w:pPr>
              <w:pStyle w:val="TableParagraph"/>
              <w:keepNext/>
              <w:keepLines/>
              <w:widowControl/>
              <w:jc w:val="center"/>
              <w:rPr>
                <w:bCs/>
              </w:rPr>
            </w:pPr>
            <w:r w:rsidRPr="00330234">
              <w:rPr>
                <w:bCs/>
              </w:rPr>
              <w:t>Actie</w:t>
            </w:r>
          </w:p>
        </w:tc>
      </w:tr>
      <w:tr w:rsidR="00436DAA" w:rsidRPr="00330234" w14:paraId="42710D20" w14:textId="77777777" w:rsidTr="001B3E1E">
        <w:trPr>
          <w:cantSplit/>
          <w:trHeight w:val="20"/>
        </w:trPr>
        <w:tc>
          <w:tcPr>
            <w:tcW w:w="1795" w:type="dxa"/>
          </w:tcPr>
          <w:p w14:paraId="54EB617E" w14:textId="77777777" w:rsidR="00436DAA" w:rsidRPr="00330234" w:rsidRDefault="009B4B8E" w:rsidP="00BD109B">
            <w:pPr>
              <w:pStyle w:val="TableParagraph"/>
              <w:widowControl/>
            </w:pPr>
            <w:r w:rsidRPr="00330234">
              <w:t>&gt; 1 tot 3 x ULN</w:t>
            </w:r>
          </w:p>
        </w:tc>
        <w:tc>
          <w:tcPr>
            <w:tcW w:w="7271" w:type="dxa"/>
          </w:tcPr>
          <w:p w14:paraId="65081409" w14:textId="77777777" w:rsidR="00436DAA" w:rsidRPr="00330234" w:rsidRDefault="009B4B8E" w:rsidP="00BD109B">
            <w:pPr>
              <w:pStyle w:val="TableParagraph"/>
              <w:widowControl/>
            </w:pPr>
            <w:r w:rsidRPr="00330234">
              <w:t>Pas de dosering aan van gelijktijdig gebruikte MTX, indien aangewezen.</w:t>
            </w:r>
          </w:p>
          <w:p w14:paraId="15E8B23E" w14:textId="77777777" w:rsidR="009B4B8E" w:rsidRPr="00330234" w:rsidRDefault="009B4B8E" w:rsidP="00BD109B">
            <w:pPr>
              <w:pStyle w:val="TableParagraph"/>
              <w:widowControl/>
            </w:pPr>
          </w:p>
          <w:p w14:paraId="01F58161" w14:textId="2B3B75B8" w:rsidR="009B4B8E" w:rsidRPr="00330234" w:rsidRDefault="009B4B8E" w:rsidP="00DD4C0C">
            <w:pPr>
              <w:pStyle w:val="TableParagraph"/>
              <w:widowControl/>
            </w:pPr>
            <w:r w:rsidRPr="00330234">
              <w:t xml:space="preserve">Bij aanhoudende stijgingen binnen dit bereik, onderbreek de behandeling met </w:t>
            </w:r>
            <w:r w:rsidR="0037682E" w:rsidRPr="00330234">
              <w:t>Avtozma</w:t>
            </w:r>
            <w:r w:rsidRPr="00330234">
              <w:t xml:space="preserve"> totdat ALAT/ASAT zijn genormaliseerd.</w:t>
            </w:r>
          </w:p>
        </w:tc>
      </w:tr>
      <w:tr w:rsidR="00436DAA" w:rsidRPr="00330234" w14:paraId="51BD6D64" w14:textId="77777777" w:rsidTr="001B3E1E">
        <w:trPr>
          <w:cantSplit/>
          <w:trHeight w:val="20"/>
        </w:trPr>
        <w:tc>
          <w:tcPr>
            <w:tcW w:w="1795" w:type="dxa"/>
          </w:tcPr>
          <w:p w14:paraId="061168E3" w14:textId="77777777" w:rsidR="00436DAA" w:rsidRPr="00330234" w:rsidRDefault="009B4B8E" w:rsidP="001B3E1E">
            <w:pPr>
              <w:pStyle w:val="TableParagraph"/>
              <w:widowControl/>
            </w:pPr>
            <w:r w:rsidRPr="00330234">
              <w:t>&gt; 3 x ULN tot 5 x ULN</w:t>
            </w:r>
          </w:p>
        </w:tc>
        <w:tc>
          <w:tcPr>
            <w:tcW w:w="7271" w:type="dxa"/>
          </w:tcPr>
          <w:p w14:paraId="64F171ED" w14:textId="77777777" w:rsidR="00436DAA" w:rsidRPr="00330234" w:rsidRDefault="009B4B8E" w:rsidP="001B3E1E">
            <w:pPr>
              <w:pStyle w:val="TableParagraph"/>
              <w:widowControl/>
            </w:pPr>
            <w:r w:rsidRPr="00330234">
              <w:t>Pas de dosering aan van gelijktijdig gebruikte MTX, indien aangewezen.</w:t>
            </w:r>
          </w:p>
          <w:p w14:paraId="3B75BB95" w14:textId="77777777" w:rsidR="009B4B8E" w:rsidRPr="00330234" w:rsidRDefault="009B4B8E" w:rsidP="001B3E1E">
            <w:pPr>
              <w:pStyle w:val="TableParagraph"/>
              <w:widowControl/>
            </w:pPr>
          </w:p>
          <w:p w14:paraId="7F46948A" w14:textId="231FD901" w:rsidR="009B4B8E" w:rsidRPr="00330234" w:rsidRDefault="009B4B8E" w:rsidP="001B3E1E">
            <w:pPr>
              <w:pStyle w:val="TableParagraph"/>
              <w:widowControl/>
            </w:pPr>
            <w:r w:rsidRPr="00330234">
              <w:t xml:space="preserve">Onderbreek de behandeling met </w:t>
            </w:r>
            <w:r w:rsidR="0037682E" w:rsidRPr="00330234">
              <w:t>Avtozma</w:t>
            </w:r>
            <w:r w:rsidRPr="00330234">
              <w:t xml:space="preserve"> tot de waarde van &lt; 3 x ULN is bereikt en volg de hierboven beschreven aanbevelingen voor de waarde &gt; 1 tot 3 x ULN.</w:t>
            </w:r>
          </w:p>
        </w:tc>
      </w:tr>
      <w:tr w:rsidR="00436DAA" w:rsidRPr="00330234" w14:paraId="68940AD5" w14:textId="77777777" w:rsidTr="001B3E1E">
        <w:trPr>
          <w:cantSplit/>
          <w:trHeight w:val="20"/>
        </w:trPr>
        <w:tc>
          <w:tcPr>
            <w:tcW w:w="1795" w:type="dxa"/>
          </w:tcPr>
          <w:p w14:paraId="6B1A6786" w14:textId="77777777" w:rsidR="00436DAA" w:rsidRPr="00330234" w:rsidRDefault="009B4B8E" w:rsidP="001B3E1E">
            <w:pPr>
              <w:pStyle w:val="TableParagraph"/>
              <w:keepNext/>
              <w:keepLines/>
              <w:widowControl/>
            </w:pPr>
            <w:r w:rsidRPr="00330234">
              <w:t>&gt; 5 x ULN</w:t>
            </w:r>
          </w:p>
        </w:tc>
        <w:tc>
          <w:tcPr>
            <w:tcW w:w="7271" w:type="dxa"/>
          </w:tcPr>
          <w:p w14:paraId="6F02637B" w14:textId="17D4C7F1" w:rsidR="00436DAA" w:rsidRPr="00330234" w:rsidRDefault="009B4B8E" w:rsidP="001B3E1E">
            <w:pPr>
              <w:pStyle w:val="TableParagraph"/>
              <w:keepNext/>
              <w:keepLines/>
              <w:widowControl/>
            </w:pPr>
            <w:r w:rsidRPr="00330234">
              <w:t xml:space="preserve">Staak de behandeling met </w:t>
            </w:r>
            <w:r w:rsidR="0037682E" w:rsidRPr="00330234">
              <w:t>Avtozma</w:t>
            </w:r>
            <w:r w:rsidRPr="00330234">
              <w:t>.</w:t>
            </w:r>
          </w:p>
          <w:p w14:paraId="7264C11B" w14:textId="77777777" w:rsidR="009B4B8E" w:rsidRPr="00330234" w:rsidRDefault="009B4B8E" w:rsidP="001B3E1E">
            <w:pPr>
              <w:pStyle w:val="TableParagraph"/>
              <w:keepNext/>
              <w:keepLines/>
              <w:widowControl/>
            </w:pPr>
          </w:p>
          <w:p w14:paraId="49AF63CA" w14:textId="59073474" w:rsidR="009B4B8E" w:rsidRPr="00330234" w:rsidRDefault="009B4B8E" w:rsidP="001B3E1E">
            <w:pPr>
              <w:pStyle w:val="TableParagraph"/>
              <w:keepNext/>
              <w:keepLines/>
              <w:widowControl/>
            </w:pPr>
            <w:r w:rsidRPr="00330234">
              <w:t xml:space="preserve">Een beslissing om de behandeling met </w:t>
            </w:r>
            <w:r w:rsidR="0037682E" w:rsidRPr="00330234">
              <w:t>Avtozma</w:t>
            </w:r>
            <w:r w:rsidRPr="00330234">
              <w:t xml:space="preserve"> bij sJIA of pJIA te staken vanwege een laboratoriumafwijking moet gebaseerd worden op de medische beoordeling van de individuele patiënt.</w:t>
            </w:r>
          </w:p>
        </w:tc>
      </w:tr>
    </w:tbl>
    <w:p w14:paraId="10D05914" w14:textId="77777777" w:rsidR="009B4B8E" w:rsidRPr="00330234" w:rsidRDefault="009B4B8E" w:rsidP="00BD109B">
      <w:pPr>
        <w:widowControl/>
        <w:rPr>
          <w:rFonts w:eastAsia="Symbol"/>
        </w:rPr>
      </w:pPr>
    </w:p>
    <w:p w14:paraId="12706E0A" w14:textId="1CAF22AF" w:rsidR="00436DAA" w:rsidRPr="00330234" w:rsidRDefault="005328BF" w:rsidP="003C4B56">
      <w:pPr>
        <w:pStyle w:val="bullet"/>
        <w:keepNext/>
        <w:keepLines/>
      </w:pPr>
      <w:r w:rsidRPr="00330234">
        <w:rPr>
          <w:rFonts w:eastAsia="Symbol"/>
        </w:rPr>
        <w:tab/>
      </w:r>
      <w:r w:rsidR="009B4B8E" w:rsidRPr="00330234">
        <w:t>Laag absoluut aantal neutrofielen (ANC)</w:t>
      </w:r>
    </w:p>
    <w:p w14:paraId="7E3A353E" w14:textId="77777777" w:rsidR="00436DAA" w:rsidRPr="00330234" w:rsidRDefault="00436DAA" w:rsidP="003C4B56">
      <w:pPr>
        <w:pStyle w:val="a3"/>
        <w:keepNext/>
        <w:keepLines/>
        <w:widowControl/>
        <w:ind w:left="0"/>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7432"/>
      </w:tblGrid>
      <w:tr w:rsidR="00436DAA" w:rsidRPr="00330234" w14:paraId="17A26C56" w14:textId="77777777" w:rsidTr="009B4B8E">
        <w:trPr>
          <w:trHeight w:val="20"/>
        </w:trPr>
        <w:tc>
          <w:tcPr>
            <w:tcW w:w="1634" w:type="dxa"/>
          </w:tcPr>
          <w:p w14:paraId="1A1993E5" w14:textId="77777777" w:rsidR="00436DAA" w:rsidRPr="00330234" w:rsidRDefault="009B4B8E" w:rsidP="009B4B8E">
            <w:pPr>
              <w:pStyle w:val="TableParagraph"/>
              <w:widowControl/>
              <w:jc w:val="center"/>
              <w:rPr>
                <w:bCs/>
              </w:rPr>
            </w:pPr>
            <w:r w:rsidRPr="00330234">
              <w:rPr>
                <w:bCs/>
              </w:rPr>
              <w:t>Laboratorium- waarde</w:t>
            </w:r>
          </w:p>
          <w:p w14:paraId="624B8225" w14:textId="1EB5C556" w:rsidR="009B4B8E" w:rsidRPr="00330234" w:rsidRDefault="009B4B8E" w:rsidP="00DD4C0C">
            <w:pPr>
              <w:pStyle w:val="TableParagraph"/>
              <w:widowControl/>
              <w:jc w:val="center"/>
              <w:rPr>
                <w:bCs/>
              </w:rPr>
            </w:pPr>
            <w:r w:rsidRPr="00330234">
              <w:rPr>
                <w:bCs/>
              </w:rPr>
              <w:t>(cellen x 10</w:t>
            </w:r>
            <w:r w:rsidRPr="00330234">
              <w:rPr>
                <w:bCs/>
                <w:vertAlign w:val="superscript"/>
              </w:rPr>
              <w:t>9</w:t>
            </w:r>
            <w:r w:rsidRPr="00330234">
              <w:rPr>
                <w:bCs/>
              </w:rPr>
              <w:t>/l)</w:t>
            </w:r>
          </w:p>
        </w:tc>
        <w:tc>
          <w:tcPr>
            <w:tcW w:w="7432" w:type="dxa"/>
          </w:tcPr>
          <w:p w14:paraId="05CCAA00" w14:textId="77777777" w:rsidR="00436DAA" w:rsidRPr="00330234" w:rsidRDefault="009B4B8E" w:rsidP="009B4B8E">
            <w:pPr>
              <w:pStyle w:val="TableParagraph"/>
              <w:widowControl/>
              <w:jc w:val="center"/>
              <w:rPr>
                <w:bCs/>
              </w:rPr>
            </w:pPr>
            <w:r w:rsidRPr="00330234">
              <w:rPr>
                <w:bCs/>
              </w:rPr>
              <w:t>Actie</w:t>
            </w:r>
          </w:p>
        </w:tc>
      </w:tr>
      <w:tr w:rsidR="00436DAA" w:rsidRPr="00330234" w14:paraId="31509E3F" w14:textId="77777777" w:rsidTr="009B4B8E">
        <w:trPr>
          <w:trHeight w:val="20"/>
        </w:trPr>
        <w:tc>
          <w:tcPr>
            <w:tcW w:w="1634" w:type="dxa"/>
          </w:tcPr>
          <w:p w14:paraId="4D22EAC5" w14:textId="77777777" w:rsidR="00436DAA" w:rsidRPr="00330234" w:rsidRDefault="009B4B8E" w:rsidP="00BD109B">
            <w:pPr>
              <w:pStyle w:val="TableParagraph"/>
              <w:widowControl/>
            </w:pPr>
            <w:r w:rsidRPr="00330234">
              <w:t>ANC &gt; 1</w:t>
            </w:r>
          </w:p>
        </w:tc>
        <w:tc>
          <w:tcPr>
            <w:tcW w:w="7432" w:type="dxa"/>
          </w:tcPr>
          <w:p w14:paraId="4F956500" w14:textId="3E604996" w:rsidR="009B4B8E" w:rsidRPr="00330234" w:rsidRDefault="009B4B8E" w:rsidP="00DD4C0C">
            <w:pPr>
              <w:pStyle w:val="TableParagraph"/>
              <w:widowControl/>
            </w:pPr>
            <w:r w:rsidRPr="00330234">
              <w:t>Handhaaf de dosering.</w:t>
            </w:r>
          </w:p>
        </w:tc>
      </w:tr>
      <w:tr w:rsidR="00436DAA" w:rsidRPr="00330234" w14:paraId="6E0C0DCB" w14:textId="77777777" w:rsidTr="009B4B8E">
        <w:trPr>
          <w:trHeight w:val="20"/>
        </w:trPr>
        <w:tc>
          <w:tcPr>
            <w:tcW w:w="1634" w:type="dxa"/>
          </w:tcPr>
          <w:p w14:paraId="7CD3AA47" w14:textId="77777777" w:rsidR="00436DAA" w:rsidRPr="00330234" w:rsidRDefault="009B4B8E" w:rsidP="00BD109B">
            <w:pPr>
              <w:pStyle w:val="TableParagraph"/>
              <w:widowControl/>
            </w:pPr>
            <w:r w:rsidRPr="00330234">
              <w:t>ANC 0,5 tot 1</w:t>
            </w:r>
          </w:p>
        </w:tc>
        <w:tc>
          <w:tcPr>
            <w:tcW w:w="7432" w:type="dxa"/>
          </w:tcPr>
          <w:p w14:paraId="5F386C5D" w14:textId="0474200F" w:rsidR="00436DAA" w:rsidRPr="00330234" w:rsidRDefault="009B4B8E" w:rsidP="00BD109B">
            <w:pPr>
              <w:pStyle w:val="TableParagraph"/>
              <w:widowControl/>
            </w:pPr>
            <w:r w:rsidRPr="00330234">
              <w:t xml:space="preserve">Onderbreek de behandeling met </w:t>
            </w:r>
            <w:r w:rsidR="0037682E" w:rsidRPr="00330234">
              <w:t>Avtozma</w:t>
            </w:r>
            <w:r w:rsidRPr="00330234">
              <w:t>.</w:t>
            </w:r>
          </w:p>
          <w:p w14:paraId="555FB722" w14:textId="77777777" w:rsidR="009B4B8E" w:rsidRPr="00330234" w:rsidRDefault="009B4B8E" w:rsidP="00BD109B">
            <w:pPr>
              <w:pStyle w:val="TableParagraph"/>
              <w:widowControl/>
            </w:pPr>
          </w:p>
          <w:p w14:paraId="12A20E52" w14:textId="75FE91B9" w:rsidR="009B4B8E" w:rsidRPr="00330234" w:rsidRDefault="009B4B8E" w:rsidP="00DD4C0C">
            <w:pPr>
              <w:pStyle w:val="TableParagraph"/>
              <w:widowControl/>
            </w:pPr>
            <w:r w:rsidRPr="00330234">
              <w:t>Wanneer het ANC toeneemt tot &gt; 1 x 10</w:t>
            </w:r>
            <w:r w:rsidRPr="00330234">
              <w:rPr>
                <w:vertAlign w:val="superscript"/>
              </w:rPr>
              <w:t>9</w:t>
            </w:r>
            <w:r w:rsidRPr="00330234">
              <w:t xml:space="preserve">/l, hervat de behandeling met </w:t>
            </w:r>
            <w:r w:rsidR="0037682E" w:rsidRPr="00330234">
              <w:t>Avtozma</w:t>
            </w:r>
          </w:p>
        </w:tc>
      </w:tr>
      <w:tr w:rsidR="00436DAA" w:rsidRPr="00330234" w14:paraId="48D9652B" w14:textId="77777777" w:rsidTr="009B4B8E">
        <w:trPr>
          <w:trHeight w:val="20"/>
        </w:trPr>
        <w:tc>
          <w:tcPr>
            <w:tcW w:w="1634" w:type="dxa"/>
          </w:tcPr>
          <w:p w14:paraId="5F7A12D0" w14:textId="77777777" w:rsidR="00436DAA" w:rsidRPr="00330234" w:rsidRDefault="009B4B8E" w:rsidP="00BD109B">
            <w:pPr>
              <w:pStyle w:val="TableParagraph"/>
              <w:widowControl/>
            </w:pPr>
            <w:r w:rsidRPr="00330234">
              <w:t>ANC &lt; 0,5</w:t>
            </w:r>
          </w:p>
        </w:tc>
        <w:tc>
          <w:tcPr>
            <w:tcW w:w="7432" w:type="dxa"/>
          </w:tcPr>
          <w:p w14:paraId="6930AF52" w14:textId="422961D7" w:rsidR="00436DAA" w:rsidRPr="00330234" w:rsidRDefault="009B4B8E" w:rsidP="00BD109B">
            <w:pPr>
              <w:pStyle w:val="TableParagraph"/>
              <w:widowControl/>
            </w:pPr>
            <w:r w:rsidRPr="00330234">
              <w:t xml:space="preserve">Staak de behandeling met </w:t>
            </w:r>
            <w:r w:rsidR="000A7E61" w:rsidRPr="00330234">
              <w:t>Avtozma</w:t>
            </w:r>
          </w:p>
          <w:p w14:paraId="49EECC6A" w14:textId="77777777" w:rsidR="009B4B8E" w:rsidRPr="00330234" w:rsidRDefault="009B4B8E" w:rsidP="00BD109B">
            <w:pPr>
              <w:pStyle w:val="TableParagraph"/>
              <w:widowControl/>
            </w:pPr>
          </w:p>
          <w:p w14:paraId="0BC2BD00" w14:textId="489B43DB" w:rsidR="009B4B8E" w:rsidRPr="00330234" w:rsidRDefault="009B4B8E" w:rsidP="00DD4C0C">
            <w:pPr>
              <w:pStyle w:val="TableParagraph"/>
              <w:widowControl/>
            </w:pPr>
            <w:r w:rsidRPr="00330234">
              <w:t xml:space="preserve">Een beslissing om de behandeling met </w:t>
            </w:r>
            <w:r w:rsidR="0037682E" w:rsidRPr="00330234">
              <w:t>Avtozma</w:t>
            </w:r>
            <w:r w:rsidRPr="00330234">
              <w:t xml:space="preserve"> bij sJIA of pJIA te staken vanwege een laboratoriumafwijking moet gebaseerd worden op de medische beoordeling van de individuele patiënt.</w:t>
            </w:r>
          </w:p>
        </w:tc>
      </w:tr>
    </w:tbl>
    <w:p w14:paraId="44A87EF6" w14:textId="77777777" w:rsidR="00436DAA" w:rsidRPr="00330234" w:rsidRDefault="00436DAA" w:rsidP="00BD109B">
      <w:pPr>
        <w:widowControl/>
      </w:pPr>
    </w:p>
    <w:p w14:paraId="5AB235FA" w14:textId="7822A61A" w:rsidR="00436DAA" w:rsidRPr="00330234" w:rsidRDefault="005328BF" w:rsidP="009B4B8E">
      <w:pPr>
        <w:pStyle w:val="bullet"/>
      </w:pPr>
      <w:r w:rsidRPr="00330234">
        <w:rPr>
          <w:rFonts w:eastAsia="Symbol"/>
        </w:rPr>
        <w:tab/>
      </w:r>
      <w:r w:rsidR="009B4B8E" w:rsidRPr="00330234">
        <w:t>Laag aantal trombocyten</w:t>
      </w:r>
    </w:p>
    <w:p w14:paraId="01CDB182" w14:textId="77777777" w:rsidR="00436DAA" w:rsidRPr="00330234" w:rsidRDefault="00436DAA" w:rsidP="00BD109B">
      <w:pPr>
        <w:pStyle w:val="a3"/>
        <w:widowControl/>
        <w:ind w:left="0"/>
      </w:pPr>
    </w:p>
    <w:tbl>
      <w:tblP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7383"/>
      </w:tblGrid>
      <w:tr w:rsidR="00436DAA" w:rsidRPr="00330234" w14:paraId="34DB3CCB" w14:textId="77777777" w:rsidTr="009B4B8E">
        <w:trPr>
          <w:trHeight w:val="20"/>
        </w:trPr>
        <w:tc>
          <w:tcPr>
            <w:tcW w:w="1697" w:type="dxa"/>
          </w:tcPr>
          <w:p w14:paraId="4B1F7B1A" w14:textId="77777777" w:rsidR="00436DAA" w:rsidRPr="00330234" w:rsidRDefault="009B4B8E" w:rsidP="009B4B8E">
            <w:pPr>
              <w:pStyle w:val="TableParagraph"/>
              <w:widowControl/>
              <w:jc w:val="center"/>
              <w:rPr>
                <w:bCs/>
              </w:rPr>
            </w:pPr>
            <w:r w:rsidRPr="00330234">
              <w:rPr>
                <w:bCs/>
              </w:rPr>
              <w:t>Laboratorium- waarde</w:t>
            </w:r>
          </w:p>
          <w:p w14:paraId="11C27B1A" w14:textId="0143A6DB" w:rsidR="00436DAA" w:rsidRPr="00330234" w:rsidRDefault="009B4B8E" w:rsidP="009B4B8E">
            <w:pPr>
              <w:pStyle w:val="TableParagraph"/>
              <w:widowControl/>
              <w:jc w:val="center"/>
              <w:rPr>
                <w:bCs/>
              </w:rPr>
            </w:pPr>
            <w:r w:rsidRPr="00330234">
              <w:rPr>
                <w:bCs/>
              </w:rPr>
              <w:t>(cellen x 10</w:t>
            </w:r>
            <w:r w:rsidRPr="00330234">
              <w:rPr>
                <w:bCs/>
                <w:vertAlign w:val="superscript"/>
              </w:rPr>
              <w:t>3</w:t>
            </w:r>
            <w:r w:rsidRPr="00330234">
              <w:rPr>
                <w:bCs/>
              </w:rPr>
              <w:t>/μl)</w:t>
            </w:r>
          </w:p>
        </w:tc>
        <w:tc>
          <w:tcPr>
            <w:tcW w:w="7383" w:type="dxa"/>
          </w:tcPr>
          <w:p w14:paraId="6CF95914" w14:textId="77777777" w:rsidR="00436DAA" w:rsidRPr="00330234" w:rsidRDefault="009B4B8E" w:rsidP="009B4B8E">
            <w:pPr>
              <w:pStyle w:val="TableParagraph"/>
              <w:widowControl/>
              <w:jc w:val="center"/>
              <w:rPr>
                <w:bCs/>
              </w:rPr>
            </w:pPr>
            <w:r w:rsidRPr="00330234">
              <w:rPr>
                <w:bCs/>
              </w:rPr>
              <w:t>Actie</w:t>
            </w:r>
          </w:p>
        </w:tc>
      </w:tr>
      <w:tr w:rsidR="00436DAA" w:rsidRPr="00330234" w14:paraId="6A73525B" w14:textId="77777777" w:rsidTr="009B4B8E">
        <w:trPr>
          <w:trHeight w:val="20"/>
        </w:trPr>
        <w:tc>
          <w:tcPr>
            <w:tcW w:w="1697" w:type="dxa"/>
          </w:tcPr>
          <w:p w14:paraId="59B7FA35" w14:textId="77777777" w:rsidR="00436DAA" w:rsidRPr="00330234" w:rsidRDefault="009B4B8E" w:rsidP="00BD109B">
            <w:pPr>
              <w:pStyle w:val="TableParagraph"/>
              <w:widowControl/>
            </w:pPr>
            <w:r w:rsidRPr="00330234">
              <w:t>50 tot 100</w:t>
            </w:r>
          </w:p>
        </w:tc>
        <w:tc>
          <w:tcPr>
            <w:tcW w:w="7383" w:type="dxa"/>
          </w:tcPr>
          <w:p w14:paraId="0206A185" w14:textId="77777777" w:rsidR="00436DAA" w:rsidRPr="00330234" w:rsidRDefault="009B4B8E" w:rsidP="00BD109B">
            <w:pPr>
              <w:pStyle w:val="TableParagraph"/>
              <w:widowControl/>
            </w:pPr>
            <w:r w:rsidRPr="00330234">
              <w:t>Pas de dosering aan van gelijktijdig gebruikte MTX, indien aangewezen.</w:t>
            </w:r>
          </w:p>
          <w:p w14:paraId="046B842E" w14:textId="77777777" w:rsidR="009B4B8E" w:rsidRPr="00330234" w:rsidRDefault="009B4B8E" w:rsidP="00BD109B">
            <w:pPr>
              <w:pStyle w:val="TableParagraph"/>
              <w:widowControl/>
            </w:pPr>
          </w:p>
          <w:p w14:paraId="536F0BC2" w14:textId="0786FEBB" w:rsidR="00436DAA" w:rsidRPr="00330234" w:rsidRDefault="009B4B8E" w:rsidP="00BD109B">
            <w:pPr>
              <w:pStyle w:val="TableParagraph"/>
              <w:widowControl/>
            </w:pPr>
            <w:r w:rsidRPr="00330234">
              <w:t xml:space="preserve">Onderbreek de behandeling met </w:t>
            </w:r>
            <w:r w:rsidR="0037682E" w:rsidRPr="00330234">
              <w:t>Avtozma</w:t>
            </w:r>
          </w:p>
          <w:p w14:paraId="31207256" w14:textId="77777777" w:rsidR="009B4B8E" w:rsidRPr="00330234" w:rsidRDefault="009B4B8E" w:rsidP="00BD109B">
            <w:pPr>
              <w:pStyle w:val="TableParagraph"/>
              <w:widowControl/>
            </w:pPr>
          </w:p>
          <w:p w14:paraId="6867A008" w14:textId="60E6FB10" w:rsidR="009B4B8E" w:rsidRPr="00330234" w:rsidRDefault="009B4B8E" w:rsidP="00DD4C0C">
            <w:pPr>
              <w:pStyle w:val="TableParagraph"/>
              <w:widowControl/>
            </w:pPr>
            <w:r w:rsidRPr="00330234">
              <w:t>Wanneer het trombocytenaantal &gt; 100 x 10</w:t>
            </w:r>
            <w:r w:rsidRPr="00330234">
              <w:rPr>
                <w:vertAlign w:val="superscript"/>
              </w:rPr>
              <w:t>3</w:t>
            </w:r>
            <w:r w:rsidRPr="00330234">
              <w:t xml:space="preserve">/μl is, hervat de behandeling met </w:t>
            </w:r>
            <w:r w:rsidR="0037682E" w:rsidRPr="00330234">
              <w:t>Avtozma</w:t>
            </w:r>
            <w:r w:rsidRPr="00330234">
              <w:t>.</w:t>
            </w:r>
          </w:p>
        </w:tc>
      </w:tr>
      <w:tr w:rsidR="00436DAA" w:rsidRPr="00330234" w14:paraId="3E2302DE" w14:textId="77777777" w:rsidTr="009B4B8E">
        <w:trPr>
          <w:trHeight w:val="20"/>
        </w:trPr>
        <w:tc>
          <w:tcPr>
            <w:tcW w:w="1697" w:type="dxa"/>
          </w:tcPr>
          <w:p w14:paraId="652B6C23" w14:textId="77777777" w:rsidR="00436DAA" w:rsidRPr="00330234" w:rsidRDefault="009B4B8E" w:rsidP="00BD109B">
            <w:pPr>
              <w:pStyle w:val="TableParagraph"/>
              <w:widowControl/>
            </w:pPr>
            <w:r w:rsidRPr="00330234">
              <w:t>&lt; 50</w:t>
            </w:r>
          </w:p>
        </w:tc>
        <w:tc>
          <w:tcPr>
            <w:tcW w:w="7383" w:type="dxa"/>
          </w:tcPr>
          <w:p w14:paraId="4DE056F3" w14:textId="183A7852" w:rsidR="00436DAA" w:rsidRPr="00330234" w:rsidRDefault="009B4B8E" w:rsidP="00BD109B">
            <w:pPr>
              <w:pStyle w:val="TableParagraph"/>
              <w:widowControl/>
            </w:pPr>
            <w:r w:rsidRPr="00330234">
              <w:t xml:space="preserve">Staak de behandeling met </w:t>
            </w:r>
            <w:r w:rsidR="0037682E" w:rsidRPr="00330234">
              <w:t>Avtozma</w:t>
            </w:r>
            <w:r w:rsidRPr="00330234">
              <w:t>.</w:t>
            </w:r>
          </w:p>
          <w:p w14:paraId="084670D7" w14:textId="77777777" w:rsidR="009B4B8E" w:rsidRPr="00330234" w:rsidRDefault="009B4B8E" w:rsidP="00BD109B">
            <w:pPr>
              <w:pStyle w:val="TableParagraph"/>
              <w:widowControl/>
            </w:pPr>
          </w:p>
          <w:p w14:paraId="3274991F" w14:textId="16269DA9" w:rsidR="009B4B8E" w:rsidRPr="00330234" w:rsidRDefault="009B4B8E" w:rsidP="00DD4C0C">
            <w:pPr>
              <w:pStyle w:val="TableParagraph"/>
              <w:widowControl/>
            </w:pPr>
            <w:r w:rsidRPr="00330234">
              <w:t xml:space="preserve">Een beslissing om de behandeling met </w:t>
            </w:r>
            <w:r w:rsidR="0037682E" w:rsidRPr="00330234">
              <w:t>Avtozma</w:t>
            </w:r>
            <w:r w:rsidRPr="00330234">
              <w:t xml:space="preserve"> bij sJIA of pJIA te staken vanwege een laboratoriumafwijking moet gebaseerd worden op de medische beoordeling van de individuele patiënt.</w:t>
            </w:r>
          </w:p>
        </w:tc>
      </w:tr>
    </w:tbl>
    <w:p w14:paraId="5341F90D" w14:textId="77777777" w:rsidR="009B4B8E" w:rsidRPr="00330234" w:rsidRDefault="009B4B8E" w:rsidP="00BD109B">
      <w:pPr>
        <w:pStyle w:val="a3"/>
        <w:widowControl/>
        <w:ind w:left="0"/>
      </w:pPr>
    </w:p>
    <w:p w14:paraId="6031D8DC" w14:textId="5627E325" w:rsidR="00436DAA" w:rsidRPr="00330234" w:rsidRDefault="009B4B8E" w:rsidP="009B4B8E">
      <w:pPr>
        <w:pStyle w:val="a3"/>
        <w:keepNext/>
        <w:keepLines/>
        <w:widowControl/>
        <w:ind w:left="0"/>
      </w:pPr>
      <w:r w:rsidRPr="00330234">
        <w:t>Verlaging van de doseringsfrequentie van tocilizumab vanwege afwijkingen in laboratoriumonderzoek is niet onderzocht bij sJIA- of pJIA-patiënten.</w:t>
      </w:r>
    </w:p>
    <w:p w14:paraId="7F827F6B" w14:textId="77777777" w:rsidR="009B4B8E" w:rsidRPr="00330234" w:rsidRDefault="009B4B8E" w:rsidP="009B4B8E">
      <w:pPr>
        <w:pStyle w:val="a3"/>
        <w:keepNext/>
        <w:keepLines/>
        <w:widowControl/>
        <w:ind w:left="0"/>
      </w:pPr>
    </w:p>
    <w:p w14:paraId="7359646F" w14:textId="627B14E4" w:rsidR="00436DAA" w:rsidRPr="00330234" w:rsidRDefault="009B4B8E" w:rsidP="00BD109B">
      <w:pPr>
        <w:pStyle w:val="a3"/>
        <w:widowControl/>
        <w:ind w:left="0"/>
      </w:pPr>
      <w:r w:rsidRPr="00330234">
        <w:t xml:space="preserve">De veiligheid en werkzaamheid van de subcutane formulering van </w:t>
      </w:r>
      <w:r w:rsidR="0037682E" w:rsidRPr="00330234">
        <w:t>Avtozma</w:t>
      </w:r>
      <w:r w:rsidRPr="00330234">
        <w:t xml:space="preserve"> bij kinderen met andere aandoeningen dan sJIA of pJIA zijn niet vastgesteld.</w:t>
      </w:r>
    </w:p>
    <w:p w14:paraId="6E993B8E" w14:textId="77777777" w:rsidR="009B4B8E" w:rsidRPr="00330234" w:rsidRDefault="009B4B8E" w:rsidP="00BD109B">
      <w:pPr>
        <w:pStyle w:val="a3"/>
        <w:widowControl/>
        <w:ind w:left="0"/>
      </w:pPr>
    </w:p>
    <w:p w14:paraId="476EE179" w14:textId="1D634D3F" w:rsidR="00436DAA" w:rsidRPr="00330234" w:rsidRDefault="009B4B8E" w:rsidP="00BD109B">
      <w:pPr>
        <w:pStyle w:val="a3"/>
        <w:widowControl/>
        <w:ind w:left="0"/>
      </w:pPr>
      <w:r w:rsidRPr="00330234">
        <w:t xml:space="preserve">Beschikbare gegevens van de intraveneuze formulering suggereren dat er klinische verbetering wordt gezien binnen 12 weken na het starten van de behandeling met </w:t>
      </w:r>
      <w:r w:rsidR="00116862">
        <w:rPr>
          <w:spacing w:val="-1"/>
        </w:rPr>
        <w:t>tocilizumab</w:t>
      </w:r>
      <w:r w:rsidRPr="00330234">
        <w:t>. Het voortzetten van de behandeling dient zorgvuldig te worden heroverwogen wanneer bij een patiënt binnen deze termijn geen verbetering wordt gezien.</w:t>
      </w:r>
    </w:p>
    <w:p w14:paraId="03CCAF36" w14:textId="77777777" w:rsidR="00436DAA" w:rsidRPr="00330234" w:rsidRDefault="00436DAA" w:rsidP="00BD109B">
      <w:pPr>
        <w:pStyle w:val="a3"/>
        <w:widowControl/>
        <w:ind w:left="0"/>
      </w:pPr>
    </w:p>
    <w:p w14:paraId="5E6A4C55" w14:textId="77777777" w:rsidR="00436DAA" w:rsidRPr="00330234" w:rsidRDefault="009B4B8E" w:rsidP="00BD109B">
      <w:pPr>
        <w:pStyle w:val="a3"/>
        <w:widowControl/>
        <w:ind w:left="0"/>
      </w:pPr>
      <w:r w:rsidRPr="00330234">
        <w:rPr>
          <w:u w:val="single"/>
        </w:rPr>
        <w:t>Gemiste dosis</w:t>
      </w:r>
    </w:p>
    <w:p w14:paraId="2EFF4F0B" w14:textId="4CC0C08A" w:rsidR="00436DAA" w:rsidRPr="00330234" w:rsidRDefault="009B4B8E" w:rsidP="00BD109B">
      <w:pPr>
        <w:pStyle w:val="a3"/>
        <w:widowControl/>
        <w:ind w:left="0"/>
      </w:pPr>
      <w:r w:rsidRPr="00330234">
        <w:t xml:space="preserve">Als een sJIA-patiënt een subcutane wekelijkse injectie van </w:t>
      </w:r>
      <w:r w:rsidR="007E33FC" w:rsidRPr="00330234">
        <w:t>Avtozma</w:t>
      </w:r>
      <w:r w:rsidRPr="00330234">
        <w:t xml:space="preserve"> mist binnen 7 dagen van de geplande dosis, dan moet hij/zij worden geïnstrueerd om de gemiste dosis toe te dienen op het volgende geplande tijdsstip. Als een patiënt een subcutane 2-wekelijkse injectie van </w:t>
      </w:r>
      <w:r w:rsidR="007E33FC" w:rsidRPr="00330234">
        <w:t>Avtozma</w:t>
      </w:r>
      <w:r w:rsidRPr="00330234">
        <w:t xml:space="preserve"> mist binnen 7 dagen na de geplande dosis, moet hij/zij geïnstrueerd worden om de gemiste dosis meteen toe te dienen en de volgende dosis toe te dienen op het volgende geplande tijdsstip.</w:t>
      </w:r>
    </w:p>
    <w:p w14:paraId="04F983E5" w14:textId="77777777" w:rsidR="009B4B8E" w:rsidRPr="00330234" w:rsidRDefault="009B4B8E" w:rsidP="00BD109B">
      <w:pPr>
        <w:pStyle w:val="a3"/>
        <w:widowControl/>
        <w:ind w:left="0"/>
      </w:pPr>
    </w:p>
    <w:p w14:paraId="13881DA2" w14:textId="70060F5E" w:rsidR="00436DAA" w:rsidRPr="00330234" w:rsidRDefault="009B4B8E" w:rsidP="00BD109B">
      <w:pPr>
        <w:pStyle w:val="a3"/>
        <w:widowControl/>
        <w:ind w:left="0"/>
      </w:pPr>
      <w:r w:rsidRPr="00330234">
        <w:t xml:space="preserve">Als een pJIA-patiënt een subcutane injectie van </w:t>
      </w:r>
      <w:r w:rsidR="007E33FC" w:rsidRPr="00330234">
        <w:t>Avtozma</w:t>
      </w:r>
      <w:r w:rsidRPr="00330234">
        <w:t xml:space="preserve"> mist binnen 7 dagen van de geplande dosis, dan moet hij/zij de gemiste dosis meteen toedienen en moet de volgende dosis toegediend worden op het volgende geplande tijdsstip. Als een patiënt een subcutane injectie van </w:t>
      </w:r>
      <w:r w:rsidR="007E33FC" w:rsidRPr="00330234">
        <w:t>Avtozma</w:t>
      </w:r>
      <w:r w:rsidRPr="00330234">
        <w:t xml:space="preserve"> mist meer dan 7</w:t>
      </w:r>
      <w:r w:rsidR="00454EF1" w:rsidRPr="00330234">
        <w:t> </w:t>
      </w:r>
      <w:r w:rsidRPr="00330234">
        <w:t>dagen na de geplande dosis, of als hij/zij onzeker is wanneer de injectie toegediend moet worden, moet de arts of apotheker geraadpleegd worden.</w:t>
      </w:r>
    </w:p>
    <w:p w14:paraId="67E59203" w14:textId="77777777" w:rsidR="00436DAA" w:rsidRPr="00330234" w:rsidRDefault="00436DAA" w:rsidP="00BD109B">
      <w:pPr>
        <w:pStyle w:val="a3"/>
        <w:widowControl/>
        <w:ind w:left="0"/>
      </w:pPr>
    </w:p>
    <w:p w14:paraId="6D1F65D6" w14:textId="77777777" w:rsidR="00436DAA" w:rsidRPr="00330234" w:rsidRDefault="009B4B8E" w:rsidP="00DD4C0C">
      <w:pPr>
        <w:pStyle w:val="a3"/>
        <w:keepNext/>
        <w:keepLines/>
        <w:widowControl/>
        <w:ind w:left="0"/>
      </w:pPr>
      <w:r w:rsidRPr="00330234">
        <w:rPr>
          <w:u w:val="single"/>
        </w:rPr>
        <w:t>Wijze van toediening</w:t>
      </w:r>
    </w:p>
    <w:p w14:paraId="6892C065" w14:textId="33888D8C" w:rsidR="00436DAA" w:rsidRPr="00330234" w:rsidRDefault="007E33FC" w:rsidP="00DD4C0C">
      <w:pPr>
        <w:pStyle w:val="a3"/>
        <w:keepNext/>
        <w:keepLines/>
        <w:widowControl/>
        <w:ind w:left="0"/>
      </w:pPr>
      <w:r w:rsidRPr="00330234">
        <w:t>Avtozma</w:t>
      </w:r>
      <w:r w:rsidR="009B4B8E" w:rsidRPr="00330234">
        <w:t xml:space="preserve"> is voor subcutaan gebruik.</w:t>
      </w:r>
    </w:p>
    <w:p w14:paraId="60EBD40E" w14:textId="18AB0C34" w:rsidR="00436DAA" w:rsidRPr="00330234" w:rsidRDefault="009B4B8E" w:rsidP="00DD4C0C">
      <w:pPr>
        <w:pStyle w:val="a3"/>
        <w:keepNext/>
        <w:keepLines/>
        <w:widowControl/>
        <w:ind w:left="0"/>
      </w:pPr>
      <w:r w:rsidRPr="00330234">
        <w:t xml:space="preserve">Patiënten mogen zichzelf injecteren met </w:t>
      </w:r>
      <w:r w:rsidR="007E33FC" w:rsidRPr="00330234">
        <w:t>Avtozma</w:t>
      </w:r>
      <w:r w:rsidRPr="00330234">
        <w:t xml:space="preserve"> na adequate training in de injectietechniek en wanneer hun arts beslist dat dit kan. De gehele inhoud (0,9 ml) van de voorgevulde spuit moet worden toegediend als een subcutane injectie. De aanbevolen injectieplaatsen (buik, dijbeen en bovenarm) moeten afgewisseld worden en injecties mogen nooit gegeven worden in moedervlekken, littekens of gebieden waar de huid gevoelig, gekneusd, rood, hard of beschadigd is.</w:t>
      </w:r>
    </w:p>
    <w:p w14:paraId="51325821" w14:textId="77777777" w:rsidR="00436DAA" w:rsidRPr="00330234" w:rsidRDefault="00436DAA" w:rsidP="00BD109B">
      <w:pPr>
        <w:widowControl/>
      </w:pPr>
    </w:p>
    <w:p w14:paraId="0CF1DD54" w14:textId="77777777" w:rsidR="00436DAA" w:rsidRPr="00330234" w:rsidRDefault="009B4B8E" w:rsidP="00BD109B">
      <w:pPr>
        <w:pStyle w:val="a3"/>
        <w:widowControl/>
        <w:ind w:left="0"/>
      </w:pPr>
      <w:r w:rsidRPr="00330234">
        <w:t>De voorgevulde spuit mag niet worden geschud.</w:t>
      </w:r>
    </w:p>
    <w:p w14:paraId="35C489ED" w14:textId="77777777" w:rsidR="00436DAA" w:rsidRPr="00330234" w:rsidRDefault="00436DAA" w:rsidP="00BD109B">
      <w:pPr>
        <w:pStyle w:val="a3"/>
        <w:widowControl/>
        <w:ind w:left="0"/>
      </w:pPr>
    </w:p>
    <w:p w14:paraId="4FEC1B98" w14:textId="74FFE048" w:rsidR="00436DAA" w:rsidRPr="00330234" w:rsidRDefault="009B4B8E" w:rsidP="00BD109B">
      <w:pPr>
        <w:pStyle w:val="a3"/>
        <w:widowControl/>
        <w:ind w:left="0"/>
      </w:pPr>
      <w:r w:rsidRPr="00330234">
        <w:t xml:space="preserve">Uitgebreide instructies voor de toediening van </w:t>
      </w:r>
      <w:r w:rsidR="007E33FC" w:rsidRPr="00330234">
        <w:t>Avtozma</w:t>
      </w:r>
      <w:r w:rsidRPr="00330234">
        <w:t xml:space="preserve"> met een voorgevulde spuit staan vermeld in de bijsluiter. Zie rubriek 6.6.</w:t>
      </w:r>
    </w:p>
    <w:p w14:paraId="2FEB6F89" w14:textId="77777777" w:rsidR="00436DAA" w:rsidRPr="00330234" w:rsidRDefault="00436DAA" w:rsidP="00BD109B">
      <w:pPr>
        <w:pStyle w:val="a3"/>
        <w:widowControl/>
        <w:ind w:left="0"/>
      </w:pPr>
    </w:p>
    <w:p w14:paraId="7622A206" w14:textId="67AF70D2" w:rsidR="00436DAA" w:rsidRPr="00330234" w:rsidRDefault="005328BF" w:rsidP="00BD109B">
      <w:pPr>
        <w:pStyle w:val="2"/>
      </w:pPr>
      <w:r w:rsidRPr="00330234">
        <w:t>4.3</w:t>
      </w:r>
      <w:r w:rsidRPr="00330234">
        <w:tab/>
      </w:r>
      <w:r w:rsidR="009B4B8E" w:rsidRPr="00330234">
        <w:t>Contra-indicaties</w:t>
      </w:r>
    </w:p>
    <w:p w14:paraId="2713BB66" w14:textId="77777777" w:rsidR="009B4B8E" w:rsidRPr="00330234" w:rsidRDefault="009B4B8E" w:rsidP="00BD109B">
      <w:pPr>
        <w:pStyle w:val="a3"/>
        <w:widowControl/>
        <w:ind w:left="0"/>
      </w:pPr>
    </w:p>
    <w:p w14:paraId="6268793F" w14:textId="77777777" w:rsidR="009B4B8E" w:rsidRPr="00330234" w:rsidRDefault="009B4B8E" w:rsidP="00BD109B">
      <w:pPr>
        <w:pStyle w:val="a3"/>
        <w:widowControl/>
        <w:ind w:left="0"/>
      </w:pPr>
      <w:r w:rsidRPr="00330234">
        <w:t xml:space="preserve">Overgevoeligheid voor de werkzame stof of voor een van de in rubriek 6.1 vermelde hulpstoffen. </w:t>
      </w:r>
    </w:p>
    <w:p w14:paraId="6FB03C2F" w14:textId="77777777" w:rsidR="009B4B8E" w:rsidRPr="00330234" w:rsidRDefault="009B4B8E" w:rsidP="00BD109B">
      <w:pPr>
        <w:pStyle w:val="a3"/>
        <w:widowControl/>
        <w:ind w:left="0"/>
      </w:pPr>
    </w:p>
    <w:p w14:paraId="29AEB66B" w14:textId="5D004DA9" w:rsidR="00436DAA" w:rsidRPr="00330234" w:rsidRDefault="009B4B8E" w:rsidP="00BD109B">
      <w:pPr>
        <w:pStyle w:val="a3"/>
        <w:widowControl/>
        <w:ind w:left="0"/>
      </w:pPr>
      <w:r w:rsidRPr="00330234">
        <w:t>Actieve, ernstige infecties (zie rubriek 4.4).</w:t>
      </w:r>
    </w:p>
    <w:p w14:paraId="7CB81005" w14:textId="77777777" w:rsidR="009B4B8E" w:rsidRPr="00330234" w:rsidRDefault="009B4B8E" w:rsidP="00BD109B">
      <w:pPr>
        <w:pStyle w:val="a3"/>
        <w:widowControl/>
        <w:ind w:left="0"/>
      </w:pPr>
    </w:p>
    <w:p w14:paraId="2E98F2A0" w14:textId="6601A1F7" w:rsidR="00436DAA" w:rsidRPr="00330234" w:rsidRDefault="005328BF" w:rsidP="00BD109B">
      <w:pPr>
        <w:pStyle w:val="2"/>
      </w:pPr>
      <w:r w:rsidRPr="00330234">
        <w:t>4.4</w:t>
      </w:r>
      <w:r w:rsidRPr="00330234">
        <w:tab/>
      </w:r>
      <w:r w:rsidR="009B4B8E" w:rsidRPr="00330234">
        <w:t>Bijzondere waarschuwingen en voorzorgen bij gebruik</w:t>
      </w:r>
    </w:p>
    <w:p w14:paraId="386292D7" w14:textId="77777777" w:rsidR="009B4B8E" w:rsidRPr="00330234" w:rsidRDefault="009B4B8E" w:rsidP="00BD109B">
      <w:pPr>
        <w:pStyle w:val="a3"/>
        <w:widowControl/>
        <w:ind w:left="0"/>
      </w:pPr>
    </w:p>
    <w:p w14:paraId="3CA0B01A" w14:textId="174C2F9B" w:rsidR="00436DAA" w:rsidRPr="00330234" w:rsidRDefault="009B4B8E" w:rsidP="00BD109B">
      <w:pPr>
        <w:pStyle w:val="a3"/>
        <w:widowControl/>
        <w:ind w:left="0"/>
      </w:pPr>
      <w:r w:rsidRPr="00330234">
        <w:t xml:space="preserve">De subcutane formulering van </w:t>
      </w:r>
      <w:r w:rsidR="007E33FC" w:rsidRPr="00330234">
        <w:t>Avtozma</w:t>
      </w:r>
      <w:r w:rsidRPr="00330234">
        <w:t xml:space="preserve"> is niet bedoeld voor intraveneuze toediening.</w:t>
      </w:r>
    </w:p>
    <w:p w14:paraId="7B90B653" w14:textId="77777777" w:rsidR="00436DAA" w:rsidRPr="00330234" w:rsidRDefault="00436DAA" w:rsidP="00BD109B">
      <w:pPr>
        <w:pStyle w:val="a3"/>
        <w:widowControl/>
        <w:ind w:left="0"/>
      </w:pPr>
    </w:p>
    <w:p w14:paraId="79AF8908" w14:textId="60CB141D" w:rsidR="00436DAA" w:rsidRPr="00330234" w:rsidRDefault="009B4B8E" w:rsidP="00BD109B">
      <w:pPr>
        <w:pStyle w:val="a3"/>
        <w:widowControl/>
        <w:ind w:left="0"/>
      </w:pPr>
      <w:r w:rsidRPr="00330234">
        <w:t xml:space="preserve">De subcutane formulering van </w:t>
      </w:r>
      <w:r w:rsidR="007E33FC" w:rsidRPr="00330234">
        <w:t>Avtozma</w:t>
      </w:r>
      <w:r w:rsidRPr="00330234">
        <w:t xml:space="preserve"> is niet bedoeld voor gebruik bij kinderen met sJIA die minder dan 10 kg wegen.</w:t>
      </w:r>
    </w:p>
    <w:p w14:paraId="22311C83" w14:textId="77777777" w:rsidR="009B4B8E" w:rsidRPr="00330234" w:rsidRDefault="009B4B8E" w:rsidP="00BD109B">
      <w:pPr>
        <w:pStyle w:val="a3"/>
        <w:widowControl/>
        <w:ind w:left="0"/>
      </w:pPr>
    </w:p>
    <w:p w14:paraId="5E28F3E9" w14:textId="77777777" w:rsidR="00436DAA" w:rsidRPr="00330234" w:rsidRDefault="009B4B8E" w:rsidP="00BD109B">
      <w:pPr>
        <w:widowControl/>
        <w:rPr>
          <w:i/>
        </w:rPr>
      </w:pPr>
      <w:r w:rsidRPr="00330234">
        <w:rPr>
          <w:i/>
        </w:rPr>
        <w:t>Terugvinden herkomst</w:t>
      </w:r>
    </w:p>
    <w:p w14:paraId="64222329" w14:textId="77777777" w:rsidR="00436DAA" w:rsidRPr="00330234" w:rsidRDefault="009B4B8E" w:rsidP="00BD109B">
      <w:pPr>
        <w:pStyle w:val="a3"/>
        <w:widowControl/>
        <w:ind w:left="0"/>
      </w:pPr>
      <w:r w:rsidRPr="00330234">
        <w:t>Om het terugvinden van de herkomst van biologicals te verbeteren moeten de naam en het batchnummer van het toegediende product goed geregistreerd worden.</w:t>
      </w:r>
    </w:p>
    <w:p w14:paraId="459AE1D1" w14:textId="77777777" w:rsidR="009B4B8E" w:rsidRPr="00330234" w:rsidRDefault="009B4B8E" w:rsidP="00BD109B">
      <w:pPr>
        <w:pStyle w:val="a3"/>
        <w:widowControl/>
        <w:ind w:left="0"/>
      </w:pPr>
    </w:p>
    <w:p w14:paraId="0CABBCDB" w14:textId="77777777" w:rsidR="00436DAA" w:rsidRPr="00330234" w:rsidRDefault="009B4B8E" w:rsidP="00BD109B">
      <w:pPr>
        <w:widowControl/>
        <w:rPr>
          <w:i/>
        </w:rPr>
      </w:pPr>
      <w:r w:rsidRPr="00330234">
        <w:rPr>
          <w:i/>
        </w:rPr>
        <w:t>Infecties</w:t>
      </w:r>
    </w:p>
    <w:p w14:paraId="3378D2AF" w14:textId="5719DEFF" w:rsidR="00436DAA" w:rsidRPr="00330234" w:rsidRDefault="009B4B8E" w:rsidP="00BD109B">
      <w:pPr>
        <w:pStyle w:val="a3"/>
        <w:widowControl/>
        <w:ind w:left="0"/>
      </w:pPr>
      <w:r w:rsidRPr="00330234">
        <w:t xml:space="preserve">Ernstige en soms fatale infecties zijn gemeld bij patiënten die immunosuppressiva kregen, waaronder </w:t>
      </w:r>
      <w:r w:rsidR="007E33FC" w:rsidRPr="00330234">
        <w:t>tocilizumab</w:t>
      </w:r>
      <w:r w:rsidRPr="00330234">
        <w:t xml:space="preserve"> (zie rubriek 4.8). Een behandeling met </w:t>
      </w:r>
      <w:r w:rsidR="007E33FC" w:rsidRPr="00330234">
        <w:t>Avtozma</w:t>
      </w:r>
      <w:r w:rsidRPr="00330234">
        <w:t xml:space="preserve"> mag niet worden gestart bij patiënten met actieve infecties (zie rubriek 4.3). Indien de patiënt een ernstige infectie ontwikkelt moet de behandeling met </w:t>
      </w:r>
      <w:r w:rsidR="007E33FC" w:rsidRPr="00330234">
        <w:t>tocilizumab</w:t>
      </w:r>
      <w:r w:rsidRPr="00330234">
        <w:t xml:space="preserve"> worden onderbroken totdat de infectie onder controle is (zie rubriek 4.8). Beroepsbeoefenaren in de gezondheidszorg moeten de nodige voorzichtigheid betrachten wanneer wordt overwogen om </w:t>
      </w:r>
      <w:r w:rsidR="007E33FC" w:rsidRPr="00330234">
        <w:t>Avtozma</w:t>
      </w:r>
      <w:r w:rsidRPr="00330234">
        <w:t xml:space="preserve"> te gebruiken bij patiënten met een voorgeschiedenis van terugkerende </w:t>
      </w:r>
      <w:r w:rsidRPr="00330234">
        <w:lastRenderedPageBreak/>
        <w:t>of chronische infecties of bij patiënten met onderliggende aandoeningen die predisponerend kunnen zijn voor infecties (bijv. diverticulitis, diabetes en interstitiële longziekte).</w:t>
      </w:r>
    </w:p>
    <w:p w14:paraId="3D375519" w14:textId="77777777" w:rsidR="00436DAA" w:rsidRPr="00330234" w:rsidRDefault="00436DAA" w:rsidP="00BD109B">
      <w:pPr>
        <w:pStyle w:val="a3"/>
        <w:widowControl/>
        <w:ind w:left="0"/>
      </w:pPr>
    </w:p>
    <w:p w14:paraId="0EC86B8A" w14:textId="168CB8F4" w:rsidR="00436DAA" w:rsidRPr="00330234" w:rsidRDefault="009B4B8E" w:rsidP="00BD109B">
      <w:pPr>
        <w:pStyle w:val="a3"/>
        <w:widowControl/>
        <w:ind w:left="0"/>
      </w:pPr>
      <w:r w:rsidRPr="00330234">
        <w:t xml:space="preserve">Oplettendheid voor tijdige detectie van ernstige infecties wordt aanbevolen bij patiënten die met immunosuppressiva zoals </w:t>
      </w:r>
      <w:r w:rsidR="007E33FC" w:rsidRPr="00330234">
        <w:t>Avtozma</w:t>
      </w:r>
      <w:r w:rsidRPr="00330234">
        <w:t xml:space="preserve"> worden behandeld omdat klachten en symptomen van een acute ontsteking kunnen afnemen als gevolg van onderdrukking van de acutefase-reactiecomponenten. Er moet rekening worden gehouden met de invloed van tocilizumab op C-reactieve proteïne (CRP), neutrofielen en klachten en symptomen van infecties wanneer een patiënt wordt beoordeeld op een potentiële infectie. Patiënten (waaronder jonge kinderen met sJIA of pJIA die mogelijk minder goed in staat zijn om hun symptomen aan te geven) en ouders/voogden van patiënten met sJIA of pJIA moeten worden geïnstrueerd om hun beroepsbeoefenaar in de gezondheidszorg onmiddellijk te waarschuwen bij het optreden van symptomen die wijzen op het ontstaan van een infectie, zodat de patiënt verzekerd is van een snelle evaluatie en passende behandeling.</w:t>
      </w:r>
    </w:p>
    <w:p w14:paraId="66028C3D" w14:textId="77777777" w:rsidR="00391FEC" w:rsidRPr="00330234" w:rsidRDefault="00391FEC" w:rsidP="00BD109B">
      <w:pPr>
        <w:pStyle w:val="a3"/>
        <w:widowControl/>
        <w:ind w:left="0"/>
      </w:pPr>
    </w:p>
    <w:p w14:paraId="39D23D3D" w14:textId="77777777" w:rsidR="00436DAA" w:rsidRPr="00330234" w:rsidRDefault="009B4B8E" w:rsidP="00BD109B">
      <w:pPr>
        <w:widowControl/>
        <w:rPr>
          <w:i/>
        </w:rPr>
      </w:pPr>
      <w:r w:rsidRPr="00330234">
        <w:rPr>
          <w:i/>
        </w:rPr>
        <w:t>Tuberculose</w:t>
      </w:r>
    </w:p>
    <w:p w14:paraId="5184182A" w14:textId="2B218B0E" w:rsidR="00436DAA" w:rsidRPr="00330234" w:rsidRDefault="009B4B8E" w:rsidP="00BD109B">
      <w:pPr>
        <w:pStyle w:val="a3"/>
        <w:widowControl/>
        <w:ind w:left="0"/>
      </w:pPr>
      <w:r w:rsidRPr="00330234">
        <w:t xml:space="preserve">Zoals ook bij andere behandelingen met biologicals wordt aanbevolen, moeten alle patiënten worden gescreend op latente tuberculose-infectie voorafgaand aan het starten van de behandeling met </w:t>
      </w:r>
      <w:r w:rsidR="007E33FC" w:rsidRPr="00330234">
        <w:t>Avtozma</w:t>
      </w:r>
      <w:r w:rsidRPr="00330234">
        <w:t xml:space="preserve">. Patiënten met latente tuberculose moeten zijn gestart met standaard antimycobacteriële therapie voor aanvang van de behandeling met </w:t>
      </w:r>
      <w:r w:rsidR="007E33FC" w:rsidRPr="00330234">
        <w:t>Avtozma</w:t>
      </w:r>
      <w:r w:rsidRPr="00330234">
        <w:t>. Voorschrijvers worden herinnerd aan het risico op vals-negatieve resultaten van tuberculinehuidtesten en interferon-gamma tuberculosebloedonderzoek, in het bijzonder bij patiënten die ernstig ziek zijn of een verzwakt immuunsysteem hebben.</w:t>
      </w:r>
    </w:p>
    <w:p w14:paraId="539FD647" w14:textId="77777777" w:rsidR="00436DAA" w:rsidRPr="00330234" w:rsidRDefault="00436DAA" w:rsidP="00BD109B">
      <w:pPr>
        <w:pStyle w:val="a3"/>
        <w:widowControl/>
        <w:ind w:left="0"/>
      </w:pPr>
    </w:p>
    <w:p w14:paraId="35EC4586" w14:textId="40E072AD" w:rsidR="00436DAA" w:rsidRPr="00330234" w:rsidRDefault="009B4B8E" w:rsidP="00BD109B">
      <w:pPr>
        <w:pStyle w:val="a3"/>
        <w:widowControl/>
        <w:ind w:left="0"/>
      </w:pPr>
      <w:r w:rsidRPr="00330234">
        <w:t xml:space="preserve">Patiënten en ouders/voogden van patiënten met sJIA of pJIA moeten geïnstrueerd worden om medisch advies te vragen als gedurende of na de behandeling met </w:t>
      </w:r>
      <w:r w:rsidR="007E33FC" w:rsidRPr="00330234">
        <w:t>Avtozma</w:t>
      </w:r>
      <w:r w:rsidRPr="00330234">
        <w:t xml:space="preserve"> klachten/symptomen optreden (bijv. aanhoudende hoest, gewichtsverlies, lichte koorts) die kunnen wijzen op een tuberculose- infectie.</w:t>
      </w:r>
    </w:p>
    <w:p w14:paraId="62FB563D" w14:textId="77777777" w:rsidR="00391FEC" w:rsidRPr="00330234" w:rsidRDefault="00391FEC" w:rsidP="00BD109B">
      <w:pPr>
        <w:pStyle w:val="a3"/>
        <w:widowControl/>
        <w:ind w:left="0"/>
      </w:pPr>
    </w:p>
    <w:p w14:paraId="188292A4" w14:textId="77777777" w:rsidR="00436DAA" w:rsidRPr="00330234" w:rsidRDefault="009B4B8E" w:rsidP="00BD109B">
      <w:pPr>
        <w:widowControl/>
        <w:rPr>
          <w:i/>
        </w:rPr>
      </w:pPr>
      <w:r w:rsidRPr="00330234">
        <w:rPr>
          <w:i/>
        </w:rPr>
        <w:t>Virale reactivatie</w:t>
      </w:r>
    </w:p>
    <w:p w14:paraId="64405087" w14:textId="7D9C2179" w:rsidR="00436DAA" w:rsidRPr="00330234" w:rsidRDefault="009B4B8E" w:rsidP="00BD109B">
      <w:pPr>
        <w:pStyle w:val="a3"/>
        <w:widowControl/>
        <w:ind w:left="0"/>
      </w:pPr>
      <w:r w:rsidRPr="00330234">
        <w:t xml:space="preserve">Virale reactivatie (bijv. Hepatitis B-virus) is gemeld bij behandeling met biologicals voor RA. Bij klinische studies met </w:t>
      </w:r>
      <w:r w:rsidR="007E33FC" w:rsidRPr="00330234">
        <w:t>tocilizumab</w:t>
      </w:r>
      <w:r w:rsidRPr="00330234">
        <w:t xml:space="preserve"> werden patiënten die bij de screening positief waren voor hepatitis, geëxcludeerd.</w:t>
      </w:r>
    </w:p>
    <w:p w14:paraId="125E38AB" w14:textId="77777777" w:rsidR="00436DAA" w:rsidRPr="00330234" w:rsidRDefault="00436DAA" w:rsidP="00BD109B">
      <w:pPr>
        <w:pStyle w:val="a3"/>
        <w:widowControl/>
        <w:ind w:left="0"/>
      </w:pPr>
    </w:p>
    <w:p w14:paraId="43B0A1A2" w14:textId="77777777" w:rsidR="00436DAA" w:rsidRPr="00330234" w:rsidRDefault="009B4B8E" w:rsidP="00BD109B">
      <w:pPr>
        <w:widowControl/>
        <w:rPr>
          <w:i/>
        </w:rPr>
      </w:pPr>
      <w:r w:rsidRPr="00330234">
        <w:rPr>
          <w:i/>
        </w:rPr>
        <w:t>Complicaties van diverticulitis</w:t>
      </w:r>
    </w:p>
    <w:p w14:paraId="6A358F74" w14:textId="16E2BF56" w:rsidR="00436DAA" w:rsidRPr="00330234" w:rsidRDefault="009B4B8E" w:rsidP="00BD109B">
      <w:pPr>
        <w:pStyle w:val="a3"/>
        <w:widowControl/>
        <w:ind w:left="0"/>
      </w:pPr>
      <w:r w:rsidRPr="00330234">
        <w:t xml:space="preserve">Gevallen van diverticulaire perforatie als complicatie van diverticulitis zijn soms gemeld bij patiënten behandeld met </w:t>
      </w:r>
      <w:r w:rsidR="007E33FC" w:rsidRPr="00330234">
        <w:t>tocilizumab</w:t>
      </w:r>
      <w:r w:rsidRPr="00330234">
        <w:t xml:space="preserve"> (zie rubriek 4.8). Voorzichtigheid moet worden betracht wanneer </w:t>
      </w:r>
      <w:r w:rsidR="007E33FC" w:rsidRPr="00330234">
        <w:t>Avtozma</w:t>
      </w:r>
      <w:r w:rsidRPr="00330234">
        <w:t xml:space="preserve"> wordt gebruikt bij patiënten met een voorgeschiedenis van intestinale ulcera of diverticulitis. Patiënten met symptomen die een mogelijke indicatie kunnen zijn voor gecompliceerde diverticulitis, zoals buikpijn, hemorragie en/of onverklaarbare verandering van de stoelgang met koorts moeten direct worden geëvalueerd. Dit om een vroegtijdige identificatie van diverticulitis, die geassocieerd kan zijn met gastro-intestinale perforatie, te bewerkstelligen.</w:t>
      </w:r>
    </w:p>
    <w:p w14:paraId="29B46E15" w14:textId="77777777" w:rsidR="00391FEC" w:rsidRPr="00330234" w:rsidRDefault="00391FEC" w:rsidP="00BD109B">
      <w:pPr>
        <w:pStyle w:val="a3"/>
        <w:widowControl/>
        <w:ind w:left="0"/>
      </w:pPr>
    </w:p>
    <w:p w14:paraId="23CD398C" w14:textId="77777777" w:rsidR="00436DAA" w:rsidRPr="00330234" w:rsidRDefault="009B4B8E" w:rsidP="00BD109B">
      <w:pPr>
        <w:widowControl/>
        <w:rPr>
          <w:i/>
        </w:rPr>
      </w:pPr>
      <w:r w:rsidRPr="00330234">
        <w:rPr>
          <w:i/>
        </w:rPr>
        <w:t>Overgevoeligheidsreacties</w:t>
      </w:r>
    </w:p>
    <w:p w14:paraId="132572A0" w14:textId="503F4172" w:rsidR="00436DAA" w:rsidRPr="00330234" w:rsidRDefault="009B4B8E" w:rsidP="00BD109B">
      <w:pPr>
        <w:pStyle w:val="a3"/>
        <w:widowControl/>
        <w:ind w:left="0"/>
      </w:pPr>
      <w:r w:rsidRPr="00330234">
        <w:t xml:space="preserve">Er zijn ernstige overgevoeligheidsreacties, waaronder anafylaxie, gemeld die worden geassocieerd met </w:t>
      </w:r>
      <w:r w:rsidR="007E33FC" w:rsidRPr="00330234">
        <w:t>tocilizumab</w:t>
      </w:r>
      <w:r w:rsidRPr="00330234">
        <w:t xml:space="preserve"> (zie rubriek 4.8). Dergelijke reacties kunnen ernstiger en mogelijk fataal zijn bij patiënten die tijdens eerdere behandeling met </w:t>
      </w:r>
      <w:r w:rsidR="007E33FC" w:rsidRPr="00330234">
        <w:t>Avtozma</w:t>
      </w:r>
      <w:r w:rsidRPr="00330234">
        <w:t xml:space="preserve"> overgevoeligheidsreacties hebben ervaren, zelfs als ze pre-medicatie met steroïden en antihistaminica hebben ontvangen. Als er een anafylactische reactie of andere ernstige overgevoeligheidsreactie optreedt, moet de toediening van </w:t>
      </w:r>
      <w:r w:rsidR="007E33FC" w:rsidRPr="00330234">
        <w:t>Avtozma</w:t>
      </w:r>
      <w:r w:rsidRPr="00330234">
        <w:t xml:space="preserve"> onmiddellijk worden gestopt, gepaste behandeling worden gestart en moet de behandeling met </w:t>
      </w:r>
      <w:r w:rsidR="007E33FC" w:rsidRPr="00330234">
        <w:t>Avtozma</w:t>
      </w:r>
      <w:r w:rsidRPr="00330234">
        <w:t xml:space="preserve"> permanent gestaakt worden.</w:t>
      </w:r>
    </w:p>
    <w:p w14:paraId="5289B238" w14:textId="77777777" w:rsidR="00391FEC" w:rsidRPr="00330234" w:rsidRDefault="00391FEC" w:rsidP="00BD109B">
      <w:pPr>
        <w:pStyle w:val="a3"/>
        <w:widowControl/>
        <w:ind w:left="0"/>
      </w:pPr>
    </w:p>
    <w:p w14:paraId="1EAB1189" w14:textId="77777777" w:rsidR="00436DAA" w:rsidRPr="00330234" w:rsidRDefault="009B4B8E" w:rsidP="00391FEC">
      <w:pPr>
        <w:keepNext/>
        <w:keepLines/>
        <w:widowControl/>
        <w:rPr>
          <w:i/>
        </w:rPr>
      </w:pPr>
      <w:r w:rsidRPr="00330234">
        <w:rPr>
          <w:i/>
        </w:rPr>
        <w:t>Actieve leveraandoening en verminderde leverfunctie</w:t>
      </w:r>
    </w:p>
    <w:p w14:paraId="23CC6B18" w14:textId="25BE9F5D" w:rsidR="00436DAA" w:rsidRPr="00330234" w:rsidRDefault="009B4B8E" w:rsidP="00391FEC">
      <w:pPr>
        <w:pStyle w:val="a3"/>
        <w:keepNext/>
        <w:keepLines/>
        <w:widowControl/>
        <w:ind w:left="0"/>
      </w:pPr>
      <w:r w:rsidRPr="00330234">
        <w:t xml:space="preserve">Behandeling met </w:t>
      </w:r>
      <w:r w:rsidR="007E33FC" w:rsidRPr="00330234">
        <w:t>tocilizumab</w:t>
      </w:r>
      <w:r w:rsidRPr="00330234">
        <w:t>, met name bij gelijktijdige toediening met MTX, kan worden geassocieerd met een stijging van de levertransaminasen. Daarom moet de nodige voorzichtigheid betracht worden wanneer een behandeling wordt overwogen bij patiënten met een actieve leveraandoening of een verminderde leverfunctie (zie rubriek 4.2 en 4.8).</w:t>
      </w:r>
    </w:p>
    <w:p w14:paraId="5CABAE93" w14:textId="77777777" w:rsidR="00391FEC" w:rsidRPr="00330234" w:rsidRDefault="00391FEC" w:rsidP="00BD109B">
      <w:pPr>
        <w:pStyle w:val="a3"/>
        <w:widowControl/>
        <w:ind w:left="0"/>
      </w:pPr>
    </w:p>
    <w:p w14:paraId="743545A4" w14:textId="77777777" w:rsidR="00436DAA" w:rsidRPr="00330234" w:rsidRDefault="009B4B8E" w:rsidP="00BD109B">
      <w:pPr>
        <w:widowControl/>
        <w:rPr>
          <w:i/>
        </w:rPr>
      </w:pPr>
      <w:r w:rsidRPr="00330234">
        <w:rPr>
          <w:i/>
        </w:rPr>
        <w:lastRenderedPageBreak/>
        <w:t>Levertoxiciteit</w:t>
      </w:r>
    </w:p>
    <w:p w14:paraId="3ABDA12F" w14:textId="679F2307" w:rsidR="00436DAA" w:rsidRPr="00330234" w:rsidRDefault="009B4B8E" w:rsidP="00BD109B">
      <w:pPr>
        <w:pStyle w:val="a3"/>
        <w:widowControl/>
        <w:ind w:left="0"/>
      </w:pPr>
      <w:r w:rsidRPr="00330234">
        <w:t xml:space="preserve">Voorbijgaande of intermitterende lichte en matige stijgingen van levertransaminasen zijn vaak gemeld bij behandeling met </w:t>
      </w:r>
      <w:r w:rsidR="007E33FC" w:rsidRPr="00330234">
        <w:t>tocilizumab</w:t>
      </w:r>
      <w:r w:rsidRPr="00330234">
        <w:t xml:space="preserve"> (zie rubriek 4.8). Een toename in frequentie van deze stijgingen werd waargenomen wanneer een potentieel hepatotoxisch middel (bijv. MTX) in combinatie met </w:t>
      </w:r>
      <w:r w:rsidR="007E33FC" w:rsidRPr="00330234">
        <w:t>tocilizumab</w:t>
      </w:r>
      <w:r w:rsidRPr="00330234">
        <w:t xml:space="preserve"> werd gebruikt. Andere leverfunctietesten, waaronder bilirubine, moeten worden overwogen wanneer dit klinisch geïndiceerd is.</w:t>
      </w:r>
    </w:p>
    <w:p w14:paraId="5E8FF7C1" w14:textId="77777777" w:rsidR="00391FEC" w:rsidRPr="00330234" w:rsidRDefault="00391FEC" w:rsidP="00BD109B">
      <w:pPr>
        <w:pStyle w:val="a3"/>
        <w:widowControl/>
        <w:ind w:left="0"/>
      </w:pPr>
    </w:p>
    <w:p w14:paraId="17DD649D" w14:textId="76297DDB" w:rsidR="00436DAA" w:rsidRPr="00330234" w:rsidRDefault="009B4B8E" w:rsidP="00BD109B">
      <w:pPr>
        <w:pStyle w:val="a3"/>
        <w:widowControl/>
        <w:ind w:left="0"/>
      </w:pPr>
      <w:r w:rsidRPr="00330234">
        <w:t xml:space="preserve">Ernstige geneesmiddel-geïnduceerde leverschade, waaronder acuut leverfalen, hepatitis en geelzucht zijn waargenomen bij </w:t>
      </w:r>
      <w:r w:rsidR="007E33FC" w:rsidRPr="00330234">
        <w:t>tocilizumab</w:t>
      </w:r>
      <w:r w:rsidRPr="00330234">
        <w:t xml:space="preserve"> (zie rubriek 4.8). Ernstige leverschade trad op tussen de 2 weken tot meer dan 5 jaar na het starten van </w:t>
      </w:r>
      <w:r w:rsidR="007E33FC" w:rsidRPr="00330234">
        <w:t>tocilizumab</w:t>
      </w:r>
      <w:r w:rsidRPr="00330234">
        <w:t>. Gevallen van acuut leverfalen zijn gemeld waarbij een levertransplantatie nodig was. Adviseer patiënten onmiddellijk medische hulp te zoeken bij verschijnselen van leverschade.</w:t>
      </w:r>
    </w:p>
    <w:p w14:paraId="23699B07" w14:textId="77777777" w:rsidR="00436DAA" w:rsidRPr="00330234" w:rsidRDefault="00436DAA" w:rsidP="00BD109B">
      <w:pPr>
        <w:pStyle w:val="a3"/>
        <w:widowControl/>
        <w:ind w:left="0"/>
      </w:pPr>
    </w:p>
    <w:p w14:paraId="256D13AB" w14:textId="30CE2E53" w:rsidR="00436DAA" w:rsidRPr="00330234" w:rsidRDefault="009B4B8E" w:rsidP="00BD109B">
      <w:pPr>
        <w:pStyle w:val="a3"/>
        <w:widowControl/>
        <w:ind w:left="0"/>
      </w:pPr>
      <w:r w:rsidRPr="00330234">
        <w:t xml:space="preserve">Voorzichtigheid is geboden wanneer men overweegt de behandeling met </w:t>
      </w:r>
      <w:r w:rsidR="007E3703" w:rsidRPr="00330234">
        <w:t>Avtozma</w:t>
      </w:r>
      <w:r w:rsidRPr="00330234">
        <w:t xml:space="preserve"> te starten bij patiënten met verhoogde ALAT- of ASAT-spiegels van &gt; 1,5 x ULN. Bij patiënten met een ALAT of ASAT van &gt; 5 x ULN op baseline wordt de behandeling niet aanbevolen.</w:t>
      </w:r>
    </w:p>
    <w:p w14:paraId="0169BB00" w14:textId="77777777" w:rsidR="00391FEC" w:rsidRPr="00330234" w:rsidRDefault="00391FEC" w:rsidP="00BD109B">
      <w:pPr>
        <w:pStyle w:val="a3"/>
        <w:widowControl/>
        <w:ind w:left="0"/>
      </w:pPr>
    </w:p>
    <w:p w14:paraId="64983C78" w14:textId="0DF9DD01" w:rsidR="00436DAA" w:rsidRPr="00330234" w:rsidRDefault="009B4B8E" w:rsidP="00BD109B">
      <w:pPr>
        <w:pStyle w:val="a3"/>
        <w:widowControl/>
        <w:ind w:left="0"/>
      </w:pPr>
      <w:r w:rsidRPr="00330234">
        <w:t xml:space="preserve">Bij patiënten met RA, GCA, pJIA en sJIA moeten de ALAT/ASAT-waarden elke 4 tot 8 weken worden gecontroleerd tijdens de eerste 6 maanden van de behandeling en daarna elke 12 weken. Voor de aanbevolen dosisaanpassingen, inclusief staken van de behandeling met </w:t>
      </w:r>
      <w:r w:rsidR="007E3703" w:rsidRPr="00330234">
        <w:t>Avtozma</w:t>
      </w:r>
      <w:r w:rsidRPr="00330234">
        <w:t xml:space="preserve">, op basis van levertransaminasenspiegels zie rubriek 4.2. Bij een ALAT- of ASAT-stijging &gt; 3-5 x ULN, moet de behandeling met </w:t>
      </w:r>
      <w:r w:rsidR="007E3703" w:rsidRPr="00330234">
        <w:t>Avtozma</w:t>
      </w:r>
      <w:r w:rsidRPr="00330234">
        <w:t xml:space="preserve"> onderbroken worden.</w:t>
      </w:r>
    </w:p>
    <w:p w14:paraId="3F54AE05" w14:textId="77777777" w:rsidR="00436DAA" w:rsidRPr="00330234" w:rsidRDefault="00436DAA" w:rsidP="00BD109B">
      <w:pPr>
        <w:pStyle w:val="a3"/>
        <w:widowControl/>
        <w:ind w:left="0"/>
      </w:pPr>
    </w:p>
    <w:p w14:paraId="2EA4DB45" w14:textId="77777777" w:rsidR="00436DAA" w:rsidRPr="00330234" w:rsidRDefault="009B4B8E" w:rsidP="00BD109B">
      <w:pPr>
        <w:widowControl/>
        <w:rPr>
          <w:i/>
        </w:rPr>
      </w:pPr>
      <w:r w:rsidRPr="00330234">
        <w:rPr>
          <w:i/>
        </w:rPr>
        <w:t>Hematologische afwijkingen</w:t>
      </w:r>
    </w:p>
    <w:p w14:paraId="057CBDA9" w14:textId="77777777" w:rsidR="00436DAA" w:rsidRPr="00330234" w:rsidRDefault="009B4B8E" w:rsidP="00BD109B">
      <w:pPr>
        <w:pStyle w:val="a3"/>
        <w:widowControl/>
        <w:ind w:left="0"/>
      </w:pPr>
      <w:r w:rsidRPr="00330234">
        <w:t>Een afname van het aantal neutrofielen en trombocyten is waargenomen bij de behandeling met tocilizumab 8 mg/kg in combinatie met MTX (zie rubriek 4.8). Er kan een verhoogd risico zijn op neutropenie bij patiënten die in het verleden met TNF antagonisten zijn behandeld.</w:t>
      </w:r>
    </w:p>
    <w:p w14:paraId="03499E03" w14:textId="77777777" w:rsidR="00391FEC" w:rsidRPr="00330234" w:rsidRDefault="00391FEC" w:rsidP="00BD109B">
      <w:pPr>
        <w:pStyle w:val="a3"/>
        <w:widowControl/>
        <w:ind w:left="0"/>
      </w:pPr>
    </w:p>
    <w:p w14:paraId="084D1950" w14:textId="45A021A4" w:rsidR="00436DAA" w:rsidRPr="00330234" w:rsidRDefault="009B4B8E" w:rsidP="00BD109B">
      <w:pPr>
        <w:pStyle w:val="a3"/>
        <w:widowControl/>
        <w:ind w:left="0"/>
      </w:pPr>
      <w:r w:rsidRPr="00330234">
        <w:t xml:space="preserve">Bij patiënten die niet eerder zijn behandeld met </w:t>
      </w:r>
      <w:r w:rsidR="007E3703" w:rsidRPr="00330234">
        <w:t>tocilizumab</w:t>
      </w:r>
      <w:r w:rsidRPr="00330234">
        <w:t>, wordt het starten van de behandeling bij patiënten met een ANC lager dan 2 x 10</w:t>
      </w:r>
      <w:r w:rsidRPr="00330234">
        <w:rPr>
          <w:vertAlign w:val="superscript"/>
        </w:rPr>
        <w:t>9</w:t>
      </w:r>
      <w:r w:rsidRPr="00330234">
        <w:t>/l niet aanbevolen.</w:t>
      </w:r>
    </w:p>
    <w:p w14:paraId="6A7C2797" w14:textId="6A67CB52" w:rsidR="00436DAA" w:rsidRPr="00330234" w:rsidRDefault="009B4B8E" w:rsidP="00DC7F6F">
      <w:pPr>
        <w:pStyle w:val="a3"/>
        <w:widowControl/>
        <w:ind w:left="0"/>
      </w:pPr>
      <w:r w:rsidRPr="00330234">
        <w:t xml:space="preserve">Voorzichtigheid is geboden wanneer een behandeling met </w:t>
      </w:r>
      <w:r w:rsidR="007E3703" w:rsidRPr="00330234">
        <w:t>Avtozma</w:t>
      </w:r>
      <w:r w:rsidRPr="00330234">
        <w:t xml:space="preserve"> wordt overwogen bij patiënten met een laag aantal trombocyten (bijv. trombocyten &lt; 100 x 10</w:t>
      </w:r>
      <w:r w:rsidRPr="00330234">
        <w:rPr>
          <w:vertAlign w:val="superscript"/>
        </w:rPr>
        <w:t>3</w:t>
      </w:r>
      <w:r w:rsidRPr="00330234">
        <w:t>/μl). Bij patiënten die een ANC van</w:t>
      </w:r>
      <w:r w:rsidR="00C01A27" w:rsidRPr="00330234">
        <w:t xml:space="preserve"> &lt; </w:t>
      </w:r>
      <w:r w:rsidRPr="00330234">
        <w:t>0,5 x 10</w:t>
      </w:r>
      <w:r w:rsidRPr="00330234">
        <w:rPr>
          <w:vertAlign w:val="superscript"/>
        </w:rPr>
        <w:t>9</w:t>
      </w:r>
      <w:r w:rsidRPr="00330234">
        <w:t>/l of een aantal trombocyten van &lt; 50 x 10</w:t>
      </w:r>
      <w:r w:rsidRPr="00330234">
        <w:rPr>
          <w:vertAlign w:val="superscript"/>
        </w:rPr>
        <w:t>3</w:t>
      </w:r>
      <w:r w:rsidRPr="00330234">
        <w:t>/μl ontwikkelen, wordt het voortzetten van de</w:t>
      </w:r>
      <w:r w:rsidR="00C01A27" w:rsidRPr="00330234">
        <w:t xml:space="preserve"> </w:t>
      </w:r>
      <w:r w:rsidRPr="00330234">
        <w:t>behandeling niet aanbevolen.</w:t>
      </w:r>
    </w:p>
    <w:p w14:paraId="3807C145" w14:textId="2AEFEB8C" w:rsidR="00436DAA" w:rsidRPr="00330234" w:rsidRDefault="009B4B8E" w:rsidP="00BD109B">
      <w:pPr>
        <w:pStyle w:val="a3"/>
        <w:widowControl/>
        <w:ind w:left="0"/>
      </w:pPr>
      <w:r w:rsidRPr="00330234">
        <w:t xml:space="preserve">Ernstige neutropenie kan geassocieerd zijn met een verhoogd risico op ernstige infecties, hoewel tot op heden uit klinische studies met </w:t>
      </w:r>
      <w:r w:rsidR="007E3703" w:rsidRPr="00330234">
        <w:t>tocilizumab</w:t>
      </w:r>
      <w:r w:rsidRPr="00330234">
        <w:t xml:space="preserve"> geen duidelijk verband is gebleken tussen vermindering van neutrofielen en het ontstaan van ernstige infecties.</w:t>
      </w:r>
    </w:p>
    <w:p w14:paraId="1C8E3FBF" w14:textId="77777777" w:rsidR="00436DAA" w:rsidRPr="00330234" w:rsidRDefault="00436DAA" w:rsidP="00BD109B">
      <w:pPr>
        <w:pStyle w:val="a3"/>
        <w:widowControl/>
        <w:ind w:left="0"/>
      </w:pPr>
    </w:p>
    <w:p w14:paraId="18304766" w14:textId="77777777" w:rsidR="00436DAA" w:rsidRPr="00330234" w:rsidRDefault="009B4B8E" w:rsidP="00BD109B">
      <w:pPr>
        <w:pStyle w:val="a3"/>
        <w:widowControl/>
        <w:ind w:left="0"/>
      </w:pPr>
      <w:r w:rsidRPr="00330234">
        <w:t>Bij RA- en GCA-patiënten moeten neutrofielen en trombocyten 4-8 weken na de start van de therapie worden gecontroleerd en daarna conform de algemene klinische praktijk. Voor aanbevolen wijzigingen van de dosering op basis van ANC en het aantal trombocyten zie rubriek 4.2.</w:t>
      </w:r>
    </w:p>
    <w:p w14:paraId="0F2FD2B3" w14:textId="77777777" w:rsidR="00436DAA" w:rsidRPr="00330234" w:rsidRDefault="00436DAA" w:rsidP="00BD109B">
      <w:pPr>
        <w:pStyle w:val="a3"/>
        <w:widowControl/>
        <w:ind w:left="0"/>
      </w:pPr>
    </w:p>
    <w:p w14:paraId="38B2CACF" w14:textId="77777777" w:rsidR="00436DAA" w:rsidRPr="00330234" w:rsidRDefault="009B4B8E" w:rsidP="00BD109B">
      <w:pPr>
        <w:pStyle w:val="a3"/>
        <w:widowControl/>
        <w:ind w:left="0"/>
      </w:pPr>
      <w:r w:rsidRPr="00330234">
        <w:t>Bij sJIA- en pJIA-patiënten moeten neutrofielen en trombocyten bij de tweede toediening worden gecontroleerd en daarna conform de algemene klinische praktijk (zie rubriek 4.2).</w:t>
      </w:r>
    </w:p>
    <w:p w14:paraId="3325C6AB" w14:textId="77777777" w:rsidR="00391FEC" w:rsidRPr="00330234" w:rsidRDefault="00391FEC" w:rsidP="00BD109B">
      <w:pPr>
        <w:pStyle w:val="a3"/>
        <w:widowControl/>
        <w:ind w:left="0"/>
      </w:pPr>
    </w:p>
    <w:p w14:paraId="3E1B405D" w14:textId="77777777" w:rsidR="00436DAA" w:rsidRPr="00330234" w:rsidRDefault="009B4B8E" w:rsidP="00BD109B">
      <w:pPr>
        <w:widowControl/>
        <w:rPr>
          <w:i/>
        </w:rPr>
      </w:pPr>
      <w:r w:rsidRPr="00330234">
        <w:rPr>
          <w:i/>
        </w:rPr>
        <w:t>Lipideparameters</w:t>
      </w:r>
    </w:p>
    <w:p w14:paraId="36810F78" w14:textId="512C1CC5" w:rsidR="00436DAA" w:rsidRPr="00330234" w:rsidRDefault="009B4B8E" w:rsidP="00BD109B">
      <w:pPr>
        <w:pStyle w:val="a3"/>
        <w:widowControl/>
        <w:ind w:left="0"/>
      </w:pPr>
      <w:r w:rsidRPr="00330234">
        <w:t xml:space="preserve">Stijging van de lipideparameters, waaronder totaal cholesterol, LDL, HDL en triglyceriden, zijn waargenomen bij patiënten die met </w:t>
      </w:r>
      <w:r w:rsidR="007E3703" w:rsidRPr="00330234">
        <w:t>tocilizumab</w:t>
      </w:r>
      <w:r w:rsidRPr="00330234">
        <w:t xml:space="preserve"> werden behandeld (zie rubriek 4.8). Bij de meerderheid van de patiënten was er geen stijging van de atherogene index en een verhoogd totaal cholesterol reageerde op een behandeling met lipideverlagende middelen.</w:t>
      </w:r>
    </w:p>
    <w:p w14:paraId="7511CD5D" w14:textId="77777777" w:rsidR="00391FEC" w:rsidRPr="00330234" w:rsidRDefault="00391FEC" w:rsidP="00BD109B">
      <w:pPr>
        <w:pStyle w:val="a3"/>
        <w:widowControl/>
        <w:ind w:left="0"/>
      </w:pPr>
    </w:p>
    <w:p w14:paraId="103B46B6" w14:textId="24589346" w:rsidR="00436DAA" w:rsidRPr="00330234" w:rsidRDefault="009B4B8E" w:rsidP="00BD109B">
      <w:pPr>
        <w:pStyle w:val="a3"/>
        <w:widowControl/>
        <w:ind w:left="0"/>
      </w:pPr>
      <w:r w:rsidRPr="00330234">
        <w:t xml:space="preserve">De lipideparameters moeten bij alle patiënten 4-8 weken na de start van de therapie met </w:t>
      </w:r>
      <w:r w:rsidR="007E3703" w:rsidRPr="00330234">
        <w:t>Avtozma</w:t>
      </w:r>
      <w:r w:rsidRPr="00330234">
        <w:t xml:space="preserve"> worden bepaald. Patiënten moeten behandeld worden volgens de lokale klinische richtlijnen voor de behandeling van hyperlipidemie.</w:t>
      </w:r>
    </w:p>
    <w:p w14:paraId="4D147EF8" w14:textId="77777777" w:rsidR="00436DAA" w:rsidRPr="00330234" w:rsidRDefault="00436DAA" w:rsidP="00BD109B">
      <w:pPr>
        <w:pStyle w:val="a3"/>
        <w:widowControl/>
        <w:ind w:left="0"/>
      </w:pPr>
    </w:p>
    <w:p w14:paraId="2657DB8B" w14:textId="77777777" w:rsidR="00436DAA" w:rsidRPr="00330234" w:rsidRDefault="009B4B8E" w:rsidP="001B3E1E">
      <w:pPr>
        <w:keepNext/>
        <w:keepLines/>
        <w:widowControl/>
        <w:rPr>
          <w:i/>
        </w:rPr>
      </w:pPr>
      <w:r w:rsidRPr="00330234">
        <w:rPr>
          <w:i/>
        </w:rPr>
        <w:lastRenderedPageBreak/>
        <w:t>Neurologische aandoeningen</w:t>
      </w:r>
    </w:p>
    <w:p w14:paraId="138E291C" w14:textId="7516B8DF" w:rsidR="00436DAA" w:rsidRPr="00330234" w:rsidRDefault="009B4B8E" w:rsidP="00BD109B">
      <w:pPr>
        <w:pStyle w:val="a3"/>
        <w:widowControl/>
        <w:ind w:left="0"/>
      </w:pPr>
      <w:r w:rsidRPr="00330234">
        <w:t xml:space="preserve">Artsen moeten alert zijn op symptomen die mogelijk indicatief kunnen zijn voor beginnende demyeliniseringsaandoening van het centraal zenuwstelsel (CZS). Het is op dit moment onbekend of </w:t>
      </w:r>
      <w:r w:rsidR="007E3703" w:rsidRPr="00330234">
        <w:t>Avtozma</w:t>
      </w:r>
      <w:r w:rsidRPr="00330234">
        <w:t xml:space="preserve"> demyelinisering van het CZS kan veroorzaken.</w:t>
      </w:r>
    </w:p>
    <w:p w14:paraId="4FCBC0D5" w14:textId="77777777" w:rsidR="00436DAA" w:rsidRPr="00330234" w:rsidRDefault="00436DAA" w:rsidP="00BD109B">
      <w:pPr>
        <w:pStyle w:val="a3"/>
        <w:widowControl/>
        <w:ind w:left="0"/>
      </w:pPr>
    </w:p>
    <w:p w14:paraId="56B184EB" w14:textId="77777777" w:rsidR="00436DAA" w:rsidRPr="00330234" w:rsidRDefault="009B4B8E" w:rsidP="00BD109B">
      <w:pPr>
        <w:widowControl/>
        <w:rPr>
          <w:i/>
        </w:rPr>
      </w:pPr>
      <w:r w:rsidRPr="00330234">
        <w:rPr>
          <w:i/>
        </w:rPr>
        <w:t>Maligniteiten</w:t>
      </w:r>
    </w:p>
    <w:p w14:paraId="73450788" w14:textId="77777777" w:rsidR="00436DAA" w:rsidRPr="00330234" w:rsidRDefault="009B4B8E" w:rsidP="00BD109B">
      <w:pPr>
        <w:pStyle w:val="a3"/>
        <w:widowControl/>
        <w:ind w:left="0"/>
      </w:pPr>
      <w:r w:rsidRPr="00330234">
        <w:t>Het risico op maligniteiten is verhoogd bij patiënten met RA. Immunomodulerende geneesmiddelen kunnen het risico op maligniteiten verhogen.</w:t>
      </w:r>
    </w:p>
    <w:p w14:paraId="3A3ED648" w14:textId="77777777" w:rsidR="00436DAA" w:rsidRPr="00330234" w:rsidRDefault="00436DAA" w:rsidP="00BD109B">
      <w:pPr>
        <w:pStyle w:val="a3"/>
        <w:widowControl/>
        <w:ind w:left="0"/>
      </w:pPr>
    </w:p>
    <w:p w14:paraId="17AF54F6" w14:textId="77777777" w:rsidR="00436DAA" w:rsidRPr="00330234" w:rsidRDefault="009B4B8E" w:rsidP="00BD109B">
      <w:pPr>
        <w:widowControl/>
        <w:rPr>
          <w:i/>
        </w:rPr>
      </w:pPr>
      <w:r w:rsidRPr="00330234">
        <w:rPr>
          <w:i/>
        </w:rPr>
        <w:t>Vaccinaties</w:t>
      </w:r>
    </w:p>
    <w:p w14:paraId="3C5B1BD0" w14:textId="40E3A93E" w:rsidR="00436DAA" w:rsidRPr="00330234" w:rsidRDefault="009B4B8E" w:rsidP="00BD109B">
      <w:pPr>
        <w:pStyle w:val="a3"/>
        <w:widowControl/>
        <w:ind w:left="0"/>
      </w:pPr>
      <w:r w:rsidRPr="00330234">
        <w:t xml:space="preserve">Levende en levend verzwakte vaccins mogen niet gelijktijdig met </w:t>
      </w:r>
      <w:r w:rsidR="007E3703" w:rsidRPr="00330234">
        <w:t>Avtozma</w:t>
      </w:r>
      <w:r w:rsidRPr="00330234">
        <w:t xml:space="preserve"> gegeven worden omdat de klinische veiligheid hiervan niet is vastgesteld. In een gerandomiseerde open-label studie vertoonden volwassen RA-patiënten, behandeld met </w:t>
      </w:r>
      <w:r w:rsidR="007E3703" w:rsidRPr="00330234">
        <w:t>tocilizumab</w:t>
      </w:r>
      <w:r w:rsidRPr="00330234">
        <w:t xml:space="preserve"> en MTX, een effectieve respons op zowel de 23-valente pneumokokken-polysaccharide vaccins als de tetanustoxoïde vaccins. De respons was vergelijkbaar met de respons die werd waargenomen bij patiënten die alleen MTX kregen. Het wordt voor alle patiënten, met name voor pediatrische of oudere patiënten, aanbevolen om te voldoen aan alle immunisaties volgens de huidige immunisatierichtlijnen alvorens te starten met de behandeling met </w:t>
      </w:r>
      <w:r w:rsidR="007E3703" w:rsidRPr="00330234">
        <w:t>Avtozma</w:t>
      </w:r>
      <w:r w:rsidRPr="00330234">
        <w:t xml:space="preserve">. De tijd tussen levende vaccinaties en het starten van de behandeling met </w:t>
      </w:r>
      <w:r w:rsidR="007E3703" w:rsidRPr="00330234">
        <w:t>Avtozma</w:t>
      </w:r>
      <w:r w:rsidRPr="00330234">
        <w:t xml:space="preserve"> moet in overeenstemming zijn met de huidige vaccinatierichtlijnen voor immunosuppressiva.</w:t>
      </w:r>
    </w:p>
    <w:p w14:paraId="72AF2759" w14:textId="77777777" w:rsidR="00391FEC" w:rsidRPr="00330234" w:rsidRDefault="00391FEC" w:rsidP="00BD109B">
      <w:pPr>
        <w:pStyle w:val="a3"/>
        <w:widowControl/>
        <w:ind w:left="0"/>
      </w:pPr>
    </w:p>
    <w:p w14:paraId="0E46C81E" w14:textId="77777777" w:rsidR="00436DAA" w:rsidRPr="00330234" w:rsidRDefault="009B4B8E" w:rsidP="002C3E0C">
      <w:pPr>
        <w:keepNext/>
        <w:keepLines/>
        <w:widowControl/>
        <w:rPr>
          <w:i/>
        </w:rPr>
      </w:pPr>
      <w:r w:rsidRPr="00330234">
        <w:rPr>
          <w:i/>
        </w:rPr>
        <w:t>Cardiovasculair risico</w:t>
      </w:r>
    </w:p>
    <w:p w14:paraId="4C77DA4C" w14:textId="77777777" w:rsidR="00436DAA" w:rsidRPr="00330234" w:rsidRDefault="009B4B8E" w:rsidP="002C3E0C">
      <w:pPr>
        <w:pStyle w:val="a3"/>
        <w:keepNext/>
        <w:keepLines/>
        <w:widowControl/>
        <w:ind w:left="0"/>
      </w:pPr>
      <w:r w:rsidRPr="00330234">
        <w:t>RA-patiënten hebben een verhoogd risico op cardiovasculaire aandoeningen. Risicofactoren bij deze patiënten (bijv. hypertensie, hyperlipidemie) moeten worden behandeld volgens de algemene richtlijnen.</w:t>
      </w:r>
    </w:p>
    <w:p w14:paraId="4FBBE29E" w14:textId="77777777" w:rsidR="00391FEC" w:rsidRPr="00330234" w:rsidRDefault="00391FEC" w:rsidP="00BD109B">
      <w:pPr>
        <w:pStyle w:val="a3"/>
        <w:widowControl/>
        <w:ind w:left="0"/>
      </w:pPr>
    </w:p>
    <w:p w14:paraId="3B81785C" w14:textId="77777777" w:rsidR="00436DAA" w:rsidRPr="00330234" w:rsidRDefault="009B4B8E" w:rsidP="00BD109B">
      <w:pPr>
        <w:widowControl/>
        <w:rPr>
          <w:i/>
        </w:rPr>
      </w:pPr>
      <w:r w:rsidRPr="00330234">
        <w:rPr>
          <w:i/>
        </w:rPr>
        <w:t>Combinatie met TNF-antagonisten</w:t>
      </w:r>
    </w:p>
    <w:p w14:paraId="70F32F45" w14:textId="5AE8509A" w:rsidR="00436DAA" w:rsidRPr="00330234" w:rsidRDefault="009B4B8E" w:rsidP="00BD109B">
      <w:pPr>
        <w:pStyle w:val="a3"/>
        <w:widowControl/>
        <w:ind w:left="0"/>
      </w:pPr>
      <w:r w:rsidRPr="00330234">
        <w:t xml:space="preserve">Er is geen ervaring met het gebruik van </w:t>
      </w:r>
      <w:r w:rsidR="007E3703" w:rsidRPr="00330234">
        <w:t>Avtozma</w:t>
      </w:r>
      <w:r w:rsidRPr="00330234">
        <w:t xml:space="preserve"> in combinatie met TNF-antagonisten of andere biologicals bij behandeling van RA-patiënten. Combinatietherapie van </w:t>
      </w:r>
      <w:r w:rsidR="007E3703" w:rsidRPr="00330234">
        <w:t>Avtozma</w:t>
      </w:r>
      <w:r w:rsidRPr="00330234">
        <w:t xml:space="preserve"> met andere biologicals wordt niet aanbevolen.</w:t>
      </w:r>
    </w:p>
    <w:p w14:paraId="3C695FB4" w14:textId="77777777" w:rsidR="00436DAA" w:rsidRPr="00330234" w:rsidRDefault="00436DAA" w:rsidP="00BD109B">
      <w:pPr>
        <w:pStyle w:val="a3"/>
        <w:widowControl/>
        <w:ind w:left="0"/>
      </w:pPr>
    </w:p>
    <w:p w14:paraId="31895D20" w14:textId="77777777" w:rsidR="00436DAA" w:rsidRPr="00330234" w:rsidRDefault="009B4B8E" w:rsidP="00BD109B">
      <w:pPr>
        <w:widowControl/>
        <w:rPr>
          <w:i/>
        </w:rPr>
      </w:pPr>
      <w:r w:rsidRPr="00330234">
        <w:rPr>
          <w:i/>
        </w:rPr>
        <w:t>GCA</w:t>
      </w:r>
    </w:p>
    <w:p w14:paraId="7DC65B34" w14:textId="1D68F77E" w:rsidR="00436DAA" w:rsidRPr="00330234" w:rsidRDefault="007E3703" w:rsidP="00BD109B">
      <w:pPr>
        <w:pStyle w:val="a3"/>
        <w:widowControl/>
        <w:ind w:left="0"/>
      </w:pPr>
      <w:r w:rsidRPr="00330234">
        <w:t>Avtozma</w:t>
      </w:r>
      <w:r w:rsidR="009B4B8E" w:rsidRPr="00330234">
        <w:t xml:space="preserve"> monotherapie mag niet gebruikt worden voor de behandeling van acute relapsen aangezien de werkzaamheid voor deze situatie niet is vastgesteld. Glucocorticoïden moeten worden toegediend volgens medische beoordeling en behandelrichtlijnen.</w:t>
      </w:r>
    </w:p>
    <w:p w14:paraId="3DA5DE24" w14:textId="77777777" w:rsidR="00436DAA" w:rsidRPr="00330234" w:rsidRDefault="00436DAA" w:rsidP="00BD109B">
      <w:pPr>
        <w:pStyle w:val="a3"/>
        <w:widowControl/>
        <w:ind w:left="0"/>
      </w:pPr>
    </w:p>
    <w:p w14:paraId="1F47D57C" w14:textId="77777777" w:rsidR="00436DAA" w:rsidRPr="00330234" w:rsidRDefault="009B4B8E" w:rsidP="00BD109B">
      <w:pPr>
        <w:widowControl/>
        <w:rPr>
          <w:i/>
        </w:rPr>
      </w:pPr>
      <w:r w:rsidRPr="00330234">
        <w:rPr>
          <w:i/>
        </w:rPr>
        <w:t>sJIA</w:t>
      </w:r>
    </w:p>
    <w:p w14:paraId="21D5B7B0" w14:textId="5EEB648E" w:rsidR="00436DAA" w:rsidRPr="00330234" w:rsidRDefault="009B4B8E" w:rsidP="00BD109B">
      <w:pPr>
        <w:pStyle w:val="a3"/>
        <w:widowControl/>
        <w:ind w:left="0"/>
      </w:pPr>
      <w:r w:rsidRPr="00330234">
        <w:t xml:space="preserve">Het macrofaagactivatiesyndroom (MAS) is een ernstige, levensbedreigende aandoening die zich bij sJIA-patiënten kan ontwikkelen. Bij klinische onderzoeken is </w:t>
      </w:r>
      <w:r w:rsidR="007E3703" w:rsidRPr="00330234">
        <w:t>tocilizumab</w:t>
      </w:r>
      <w:r w:rsidRPr="00330234">
        <w:t xml:space="preserve"> niet bestudeerd bij patiënten tijdens een episode van actief MAS.</w:t>
      </w:r>
    </w:p>
    <w:p w14:paraId="1EF492E9" w14:textId="77777777" w:rsidR="00436DAA" w:rsidRPr="00330234" w:rsidRDefault="00436DAA" w:rsidP="00BD109B">
      <w:pPr>
        <w:pStyle w:val="a3"/>
        <w:widowControl/>
        <w:ind w:left="0"/>
      </w:pPr>
    </w:p>
    <w:p w14:paraId="5FC29F4A" w14:textId="60CCD532" w:rsidR="007E3703" w:rsidRPr="00330234" w:rsidRDefault="007E3703" w:rsidP="001B3E1E">
      <w:pPr>
        <w:pStyle w:val="a3"/>
        <w:keepNext/>
        <w:keepLines/>
        <w:widowControl/>
        <w:ind w:left="0"/>
        <w:rPr>
          <w:u w:val="single"/>
        </w:rPr>
      </w:pPr>
      <w:r w:rsidRPr="00330234">
        <w:rPr>
          <w:u w:val="single"/>
        </w:rPr>
        <w:t>Hulpstoffen met bekend effect</w:t>
      </w:r>
    </w:p>
    <w:p w14:paraId="55618CEC" w14:textId="77777777" w:rsidR="00E913C4" w:rsidRPr="00330234" w:rsidRDefault="00E913C4" w:rsidP="001B3E1E">
      <w:pPr>
        <w:pStyle w:val="a3"/>
        <w:keepNext/>
        <w:keepLines/>
        <w:widowControl/>
        <w:ind w:left="0"/>
      </w:pPr>
    </w:p>
    <w:p w14:paraId="6461F80A" w14:textId="77777777" w:rsidR="007E3703" w:rsidRPr="00330234" w:rsidRDefault="007E3703" w:rsidP="001B3E1E">
      <w:pPr>
        <w:pStyle w:val="a3"/>
        <w:keepNext/>
        <w:keepLines/>
        <w:widowControl/>
        <w:ind w:left="0"/>
        <w:rPr>
          <w:i/>
          <w:iCs/>
        </w:rPr>
      </w:pPr>
      <w:r w:rsidRPr="00330234">
        <w:rPr>
          <w:i/>
          <w:iCs/>
        </w:rPr>
        <w:t>Polysorbaat</w:t>
      </w:r>
    </w:p>
    <w:p w14:paraId="1D758721" w14:textId="65B3AFDC" w:rsidR="007E3703" w:rsidRPr="00330234" w:rsidRDefault="007E3703" w:rsidP="00316487">
      <w:pPr>
        <w:pStyle w:val="a3"/>
        <w:widowControl/>
        <w:ind w:left="0"/>
        <w:rPr>
          <w:rFonts w:eastAsia="SimSun"/>
          <w:lang w:eastAsia="zh-CN"/>
        </w:rPr>
      </w:pPr>
      <w:r w:rsidRPr="00330234">
        <w:t xml:space="preserve">Elke 162 mg voorgevulde injectiespuit bevat </w:t>
      </w:r>
      <w:r w:rsidR="00694B6D" w:rsidRPr="00330234">
        <w:t>0,2</w:t>
      </w:r>
      <w:r w:rsidRPr="00330234">
        <w:t> mg polysorbaat</w:t>
      </w:r>
      <w:r w:rsidR="00545170">
        <w:rPr>
          <w:rFonts w:eastAsia="맑은 고딕" w:hint="eastAsia"/>
          <w:lang w:eastAsia="ko-KR"/>
        </w:rPr>
        <w:t xml:space="preserve"> 80</w:t>
      </w:r>
      <w:r w:rsidRPr="00330234">
        <w:t>.</w:t>
      </w:r>
    </w:p>
    <w:p w14:paraId="64222F43" w14:textId="30893A67" w:rsidR="007E3703" w:rsidRPr="00330234" w:rsidRDefault="007E3703" w:rsidP="00BD109B">
      <w:pPr>
        <w:pStyle w:val="a3"/>
        <w:widowControl/>
        <w:ind w:left="0"/>
      </w:pPr>
      <w:r w:rsidRPr="00330234">
        <w:t>Polysorbaten kunnen allergische reacties veroorzaken. Patiënten met een allergie voor polysorbaten mogen dit geneesmiddel niet toegediend</w:t>
      </w:r>
      <w:r w:rsidR="00EA45B5">
        <w:rPr>
          <w:rFonts w:eastAsia="맑은 고딕" w:hint="eastAsia"/>
          <w:lang w:eastAsia="ko-KR"/>
        </w:rPr>
        <w:t xml:space="preserve"> </w:t>
      </w:r>
      <w:r w:rsidR="00EA45B5" w:rsidRPr="00330234">
        <w:t>krijgen</w:t>
      </w:r>
      <w:r w:rsidRPr="00330234">
        <w:t>.</w:t>
      </w:r>
    </w:p>
    <w:p w14:paraId="005C1581" w14:textId="77777777" w:rsidR="007E3703" w:rsidRPr="00330234" w:rsidRDefault="007E3703" w:rsidP="00BD109B">
      <w:pPr>
        <w:pStyle w:val="a3"/>
        <w:widowControl/>
        <w:ind w:left="0"/>
      </w:pPr>
    </w:p>
    <w:p w14:paraId="27B4C26C" w14:textId="15AB41A2" w:rsidR="00436DAA" w:rsidRPr="00330234" w:rsidRDefault="005328BF" w:rsidP="00BD109B">
      <w:pPr>
        <w:pStyle w:val="2"/>
      </w:pPr>
      <w:r w:rsidRPr="00330234">
        <w:t>4.5</w:t>
      </w:r>
      <w:r w:rsidRPr="00330234">
        <w:tab/>
      </w:r>
      <w:r w:rsidR="009B4B8E" w:rsidRPr="00330234">
        <w:t>Interacties met andere geneesmiddelen en andere vormen van interactie</w:t>
      </w:r>
    </w:p>
    <w:p w14:paraId="53BA7C33" w14:textId="77777777" w:rsidR="00391FEC" w:rsidRPr="00330234" w:rsidRDefault="00391FEC" w:rsidP="00BD109B">
      <w:pPr>
        <w:pStyle w:val="a3"/>
        <w:widowControl/>
        <w:ind w:left="0"/>
      </w:pPr>
    </w:p>
    <w:p w14:paraId="5C93718A" w14:textId="75F1AE59" w:rsidR="00436DAA" w:rsidRPr="00330234" w:rsidRDefault="009B4B8E" w:rsidP="00BD109B">
      <w:pPr>
        <w:pStyle w:val="a3"/>
        <w:widowControl/>
        <w:ind w:left="0"/>
      </w:pPr>
      <w:r w:rsidRPr="00330234">
        <w:t>Onderzoek naar interacties is alleen bij volwassenen uitgevoerd.</w:t>
      </w:r>
    </w:p>
    <w:p w14:paraId="1F779FD7" w14:textId="77777777" w:rsidR="00436DAA" w:rsidRPr="00330234" w:rsidRDefault="00436DAA" w:rsidP="00BD109B">
      <w:pPr>
        <w:pStyle w:val="a3"/>
        <w:widowControl/>
        <w:ind w:left="0"/>
      </w:pPr>
    </w:p>
    <w:p w14:paraId="4B3BB360" w14:textId="077D75E1" w:rsidR="00436DAA" w:rsidRPr="00330234" w:rsidRDefault="009B4B8E" w:rsidP="00BD109B">
      <w:pPr>
        <w:pStyle w:val="a3"/>
        <w:widowControl/>
        <w:ind w:left="0"/>
      </w:pPr>
      <w:r w:rsidRPr="00330234">
        <w:t xml:space="preserve">Gelijktijdige toediening van een enkele dosis van 10 mg/kg </w:t>
      </w:r>
      <w:r w:rsidR="00694B6D" w:rsidRPr="00330234">
        <w:t>Avtozma</w:t>
      </w:r>
      <w:r w:rsidRPr="00330234">
        <w:t xml:space="preserve"> met 10-25 mg MTX eenmaal per week had geen klinisch significante invloed op de MTX blootstelling.</w:t>
      </w:r>
    </w:p>
    <w:p w14:paraId="6C51BD25" w14:textId="77777777" w:rsidR="00391FEC" w:rsidRPr="00330234" w:rsidRDefault="00391FEC" w:rsidP="00BD109B">
      <w:pPr>
        <w:pStyle w:val="a3"/>
        <w:widowControl/>
        <w:ind w:left="0"/>
      </w:pPr>
    </w:p>
    <w:p w14:paraId="4C5D5386" w14:textId="2A00B3CD" w:rsidR="00436DAA" w:rsidRPr="00330234" w:rsidRDefault="009B4B8E" w:rsidP="00BD109B">
      <w:pPr>
        <w:pStyle w:val="a3"/>
        <w:widowControl/>
        <w:ind w:left="0"/>
      </w:pPr>
      <w:r w:rsidRPr="00330234">
        <w:t xml:space="preserve">Farmacokinetische populatieanalyses tonen geen invloed aan van MTX, niet-steroïde anti- inflammatoire geneesmiddelen (NSAID’s) of corticosteroïden op de </w:t>
      </w:r>
      <w:r w:rsidR="00694B6D" w:rsidRPr="00330234">
        <w:t>tocilizumab</w:t>
      </w:r>
      <w:r w:rsidRPr="00330234">
        <w:t xml:space="preserve">-klaring bij RA- </w:t>
      </w:r>
      <w:r w:rsidRPr="00330234">
        <w:lastRenderedPageBreak/>
        <w:t xml:space="preserve">patiënten. Bij GCA-patiënten werd geen effect van cumulatieve corticosteroïdedoses op de </w:t>
      </w:r>
      <w:r w:rsidR="00694B6D" w:rsidRPr="00330234">
        <w:t>tocilizumab</w:t>
      </w:r>
      <w:r w:rsidRPr="00330234">
        <w:t>-blootstelling waargenomen.</w:t>
      </w:r>
    </w:p>
    <w:p w14:paraId="335A19DE" w14:textId="77777777" w:rsidR="00436DAA" w:rsidRPr="00330234" w:rsidRDefault="00436DAA" w:rsidP="00BD109B">
      <w:pPr>
        <w:pStyle w:val="a3"/>
        <w:widowControl/>
        <w:ind w:left="0"/>
      </w:pPr>
    </w:p>
    <w:p w14:paraId="229F197D" w14:textId="77FE9004" w:rsidR="00436DAA" w:rsidRPr="00330234" w:rsidRDefault="009B4B8E" w:rsidP="00BD109B">
      <w:pPr>
        <w:pStyle w:val="a3"/>
        <w:widowControl/>
        <w:ind w:left="0"/>
        <w:rPr>
          <w:i/>
        </w:rPr>
      </w:pPr>
      <w:r w:rsidRPr="00330234">
        <w:t xml:space="preserve">De expressie van hepatische CYP450-enzymen wordt onderdrukt door cytokines, zoals IL-6, die chronische ontstekingen stimuleren. De CYP450-expressie kan derhalve teruggedraaid worden wanneer met potente cytokineremmende therapieën, zoals </w:t>
      </w:r>
      <w:r w:rsidR="00694B6D" w:rsidRPr="00330234">
        <w:t>Avtozma</w:t>
      </w:r>
      <w:r w:rsidRPr="00330234">
        <w:t>, wordt gestart</w:t>
      </w:r>
      <w:r w:rsidRPr="00330234">
        <w:rPr>
          <w:i/>
        </w:rPr>
        <w:t>.</w:t>
      </w:r>
    </w:p>
    <w:p w14:paraId="16211363" w14:textId="77777777" w:rsidR="00391FEC" w:rsidRPr="00330234" w:rsidRDefault="00391FEC" w:rsidP="00BD109B">
      <w:pPr>
        <w:pStyle w:val="a3"/>
        <w:widowControl/>
        <w:ind w:left="0"/>
        <w:rPr>
          <w:iCs/>
        </w:rPr>
      </w:pPr>
    </w:p>
    <w:p w14:paraId="4CA1A0F5" w14:textId="7BE7F3C4" w:rsidR="00436DAA" w:rsidRPr="00330234" w:rsidRDefault="009B4B8E" w:rsidP="00BD109B">
      <w:pPr>
        <w:pStyle w:val="a3"/>
        <w:widowControl/>
        <w:ind w:left="0"/>
      </w:pPr>
      <w:r w:rsidRPr="00330234">
        <w:rPr>
          <w:i/>
        </w:rPr>
        <w:t>In-vitro-</w:t>
      </w:r>
      <w:r w:rsidRPr="00330234">
        <w:t xml:space="preserve">onderzoeken met gekweekte humane hepatocyten laten zien dat IL-6 een verlaging van CYP1A2-, CYP2C9-, CYP2C19- en CYP3A4-enzymexpressie veroorzaakt. </w:t>
      </w:r>
      <w:r w:rsidR="00694B6D" w:rsidRPr="00330234">
        <w:t>Tocilizumab</w:t>
      </w:r>
      <w:r w:rsidRPr="00330234">
        <w:t xml:space="preserve"> normaliseert de expressie van deze enzymen.</w:t>
      </w:r>
    </w:p>
    <w:p w14:paraId="6FA8BAF5" w14:textId="77777777" w:rsidR="00436DAA" w:rsidRPr="00330234" w:rsidRDefault="00436DAA" w:rsidP="00BD109B">
      <w:pPr>
        <w:pStyle w:val="a3"/>
        <w:widowControl/>
        <w:ind w:left="0"/>
      </w:pPr>
    </w:p>
    <w:p w14:paraId="37192EAF" w14:textId="77777777" w:rsidR="00436DAA" w:rsidRPr="00330234" w:rsidRDefault="009B4B8E" w:rsidP="00BD109B">
      <w:pPr>
        <w:pStyle w:val="a3"/>
        <w:widowControl/>
        <w:ind w:left="0"/>
      </w:pPr>
      <w:r w:rsidRPr="00330234">
        <w:t>In een studie bij RA-patiënten werd een daling van de simvastatinespiegels (CYP3A4) van 57% waargenomen 1 week na een enkele dosis tocilizumab. Dit was tot een niveau gelijk aan, of iets hoger dan, waargenomen bij gezonde mensen.</w:t>
      </w:r>
    </w:p>
    <w:p w14:paraId="01681CC1" w14:textId="77777777" w:rsidR="00391FEC" w:rsidRPr="00330234" w:rsidRDefault="00391FEC" w:rsidP="00BD109B">
      <w:pPr>
        <w:pStyle w:val="a3"/>
        <w:widowControl/>
        <w:ind w:left="0"/>
      </w:pPr>
    </w:p>
    <w:p w14:paraId="5C20B5C8" w14:textId="77777777" w:rsidR="00436DAA" w:rsidRPr="00330234" w:rsidRDefault="009B4B8E" w:rsidP="00BD109B">
      <w:pPr>
        <w:pStyle w:val="a3"/>
        <w:widowControl/>
        <w:ind w:left="0"/>
      </w:pPr>
      <w:r w:rsidRPr="00330234">
        <w:t>Wanneer de behandeling met tocilizumab wordt gestart of gestaakt, moeten patiënten die geneesmiddelen gebruiken die worden gemetaboliseerd door de enzymen CYP450-3A4, -1A2 of -2C9 (o.a. methylprednisolon, dexamethason (met kans op oraal glucocorticoïde ontwenningssyndroom), atorvastatine, calciumantagonisten, theofylline, warfarine, fenprocoumon, fenytoïne, ciclosporine en benzodiazepines) en die op individuele basis worden aangepast, worden gecontroleerd omdat de doses mogelijk verhoogd moeten worden om de therapeutische werking te handhaven. Gezien de lange eliminatiehalfwaardetijd (t</w:t>
      </w:r>
      <w:r w:rsidRPr="00330234">
        <w:rPr>
          <w:vertAlign w:val="subscript"/>
        </w:rPr>
        <w:t>1/2</w:t>
      </w:r>
      <w:r w:rsidRPr="00330234">
        <w:t>), kan de invloed van tocilizumab op de CYP450-enzymactiviteit na het staken van de behandeling enkele weken aanhouden.</w:t>
      </w:r>
    </w:p>
    <w:p w14:paraId="6DEA9B10" w14:textId="77777777" w:rsidR="00436DAA" w:rsidRPr="00330234" w:rsidRDefault="00436DAA" w:rsidP="006B7C9C">
      <w:pPr>
        <w:pStyle w:val="a3"/>
        <w:widowControl/>
        <w:ind w:left="0"/>
      </w:pPr>
    </w:p>
    <w:p w14:paraId="5C4B93BF" w14:textId="49DBF0A2" w:rsidR="00436DAA" w:rsidRPr="00330234" w:rsidRDefault="005328BF" w:rsidP="006B7C9C">
      <w:pPr>
        <w:pStyle w:val="2"/>
        <w:keepNext/>
        <w:keepLines/>
      </w:pPr>
      <w:r w:rsidRPr="00330234">
        <w:t>4.6</w:t>
      </w:r>
      <w:r w:rsidRPr="00330234">
        <w:tab/>
      </w:r>
      <w:r w:rsidR="009B4B8E" w:rsidRPr="00330234">
        <w:t>Vruchtbaarheid, zwangerschap en borstvoeding</w:t>
      </w:r>
    </w:p>
    <w:p w14:paraId="0E2EE7CE" w14:textId="77777777" w:rsidR="00391FEC" w:rsidRPr="00330234" w:rsidRDefault="00391FEC" w:rsidP="006B7C9C">
      <w:pPr>
        <w:pStyle w:val="a3"/>
        <w:keepNext/>
        <w:keepLines/>
        <w:widowControl/>
        <w:ind w:left="0"/>
      </w:pPr>
    </w:p>
    <w:p w14:paraId="5A6FE59F" w14:textId="4AF40349" w:rsidR="00436DAA" w:rsidRPr="00330234" w:rsidRDefault="009B4B8E" w:rsidP="006B7C9C">
      <w:pPr>
        <w:pStyle w:val="a3"/>
        <w:keepNext/>
        <w:keepLines/>
        <w:widowControl/>
        <w:ind w:left="0"/>
      </w:pPr>
      <w:r w:rsidRPr="00330234">
        <w:rPr>
          <w:u w:val="single"/>
        </w:rPr>
        <w:t>Vrouwen die zwanger kunnen worden</w:t>
      </w:r>
    </w:p>
    <w:p w14:paraId="11C8D96F" w14:textId="77777777" w:rsidR="00436DAA" w:rsidRPr="00330234" w:rsidRDefault="009B4B8E" w:rsidP="006B7C9C">
      <w:pPr>
        <w:pStyle w:val="a3"/>
        <w:keepNext/>
        <w:keepLines/>
        <w:widowControl/>
        <w:ind w:left="0"/>
      </w:pPr>
      <w:r w:rsidRPr="00330234">
        <w:t>Vrouwen die zwanger kunnen worden moeten gedurende de behandeling en tot 3 maanden daarna effectieve anticonceptie gebruiken.</w:t>
      </w:r>
    </w:p>
    <w:p w14:paraId="104FFCB5" w14:textId="77777777" w:rsidR="00436DAA" w:rsidRPr="00330234" w:rsidRDefault="00436DAA" w:rsidP="00BD109B">
      <w:pPr>
        <w:widowControl/>
      </w:pPr>
    </w:p>
    <w:p w14:paraId="76CE7B54" w14:textId="77777777" w:rsidR="00436DAA" w:rsidRPr="00330234" w:rsidRDefault="009B4B8E" w:rsidP="00BD109B">
      <w:pPr>
        <w:pStyle w:val="a3"/>
        <w:widowControl/>
        <w:ind w:left="0"/>
      </w:pPr>
      <w:r w:rsidRPr="00330234">
        <w:rPr>
          <w:u w:val="single"/>
        </w:rPr>
        <w:t>Zwangerschap</w:t>
      </w:r>
    </w:p>
    <w:p w14:paraId="6A5E469D" w14:textId="0C7FB266" w:rsidR="00436DAA" w:rsidRPr="00330234" w:rsidRDefault="009B4B8E" w:rsidP="00BD109B">
      <w:pPr>
        <w:pStyle w:val="a3"/>
        <w:widowControl/>
        <w:ind w:left="0"/>
      </w:pPr>
      <w:r w:rsidRPr="00330234">
        <w:t xml:space="preserve">Er zijn onvoldoende gegevens over het gebruik van </w:t>
      </w:r>
      <w:r w:rsidR="00694B6D" w:rsidRPr="00330234">
        <w:t>Avtozma</w:t>
      </w:r>
      <w:r w:rsidRPr="00330234">
        <w:t xml:space="preserve"> bij zwangere vrouwen. Uit een dieronderzoek is bij een hoge dosis een verhoogd risico op spontane abortus/embryo-foetale dood gebleken (zie rubriek 5.3). Het potentiële risico voor de mens is niet bekend.</w:t>
      </w:r>
    </w:p>
    <w:p w14:paraId="44CEA88A" w14:textId="77777777" w:rsidR="00391FEC" w:rsidRPr="00330234" w:rsidRDefault="00391FEC" w:rsidP="00BD109B">
      <w:pPr>
        <w:pStyle w:val="a3"/>
        <w:widowControl/>
        <w:ind w:left="0"/>
      </w:pPr>
    </w:p>
    <w:p w14:paraId="1C982558" w14:textId="19EBA0D7" w:rsidR="00391FEC" w:rsidRPr="00330234" w:rsidRDefault="00694B6D" w:rsidP="00BD109B">
      <w:pPr>
        <w:pStyle w:val="a3"/>
        <w:widowControl/>
        <w:ind w:left="0"/>
      </w:pPr>
      <w:r w:rsidRPr="00330234">
        <w:t>Avtozma</w:t>
      </w:r>
      <w:r w:rsidR="009B4B8E" w:rsidRPr="00330234">
        <w:t xml:space="preserve"> mag niet tijdens de zwangerschap worden gebruikt, tenzij beslist noodzakelijk.</w:t>
      </w:r>
    </w:p>
    <w:p w14:paraId="2C9BAF7C" w14:textId="77777777" w:rsidR="00391FEC" w:rsidRPr="00330234" w:rsidRDefault="00391FEC" w:rsidP="00BD109B">
      <w:pPr>
        <w:pStyle w:val="a3"/>
        <w:widowControl/>
        <w:ind w:left="0"/>
      </w:pPr>
    </w:p>
    <w:p w14:paraId="3DC7F40A" w14:textId="63465783" w:rsidR="00436DAA" w:rsidRPr="00330234" w:rsidRDefault="009B4B8E" w:rsidP="00BD109B">
      <w:pPr>
        <w:pStyle w:val="a3"/>
        <w:widowControl/>
        <w:ind w:left="0"/>
      </w:pPr>
      <w:r w:rsidRPr="00330234">
        <w:rPr>
          <w:u w:val="single"/>
        </w:rPr>
        <w:t>Borstvoeding</w:t>
      </w:r>
    </w:p>
    <w:p w14:paraId="3AE9F8E7" w14:textId="545D45F7" w:rsidR="00436DAA" w:rsidRPr="00330234" w:rsidRDefault="009B4B8E" w:rsidP="00BD109B">
      <w:pPr>
        <w:pStyle w:val="a3"/>
        <w:widowControl/>
        <w:ind w:left="0"/>
      </w:pPr>
      <w:r w:rsidRPr="00330234">
        <w:t>Het is niet bekend of tocilizumab in de moedermelk wordt uitgescheiden</w:t>
      </w:r>
      <w:r w:rsidRPr="001B3E1E">
        <w:rPr>
          <w:bCs/>
        </w:rPr>
        <w:t xml:space="preserve">. </w:t>
      </w:r>
      <w:r w:rsidRPr="00330234">
        <w:t xml:space="preserve">De excretie van </w:t>
      </w:r>
      <w:r w:rsidR="00694B6D" w:rsidRPr="00330234">
        <w:t>Avtozma</w:t>
      </w:r>
      <w:r w:rsidRPr="00330234">
        <w:t xml:space="preserve"> in de moedermelk is niet onderzocht bij dieren. Er moet worden besloten of borstvoeding moet worden gestaakt of dat behandeling met </w:t>
      </w:r>
      <w:r w:rsidR="00694B6D" w:rsidRPr="00330234">
        <w:t>Avtozma</w:t>
      </w:r>
      <w:r w:rsidRPr="00330234">
        <w:t xml:space="preserve"> moet worden gestaakt dan wel niet moet worden ingesteld, waarbij het voordeel van borstvoeding voor het kind en het voordeel van behandeling voor de vrouw in overweging moeten worden genomen.</w:t>
      </w:r>
    </w:p>
    <w:p w14:paraId="254C4AEF" w14:textId="77777777" w:rsidR="00391FEC" w:rsidRPr="00330234" w:rsidRDefault="00391FEC" w:rsidP="00BD109B">
      <w:pPr>
        <w:pStyle w:val="a3"/>
        <w:widowControl/>
        <w:ind w:left="0"/>
      </w:pPr>
    </w:p>
    <w:p w14:paraId="3CFE8485" w14:textId="77777777" w:rsidR="00436DAA" w:rsidRPr="00330234" w:rsidRDefault="009B4B8E" w:rsidP="00BD109B">
      <w:pPr>
        <w:pStyle w:val="a3"/>
        <w:widowControl/>
        <w:ind w:left="0"/>
      </w:pPr>
      <w:r w:rsidRPr="00330234">
        <w:rPr>
          <w:u w:val="single"/>
        </w:rPr>
        <w:t>Vruchtbaarheid</w:t>
      </w:r>
    </w:p>
    <w:p w14:paraId="0B2EAA8D" w14:textId="1951ECEC" w:rsidR="00436DAA" w:rsidRPr="00330234" w:rsidRDefault="009B4B8E" w:rsidP="00BD109B">
      <w:pPr>
        <w:pStyle w:val="a3"/>
        <w:widowControl/>
        <w:ind w:left="0"/>
      </w:pPr>
      <w:r w:rsidRPr="00330234">
        <w:t xml:space="preserve">Beschikbare niet-klinische gegevens duiden niet op een effect op de vruchtbaarheid tijdens </w:t>
      </w:r>
      <w:r w:rsidR="00694B6D" w:rsidRPr="00330234">
        <w:t>Avtozma</w:t>
      </w:r>
      <w:r w:rsidRPr="00330234">
        <w:t>-behandeling.</w:t>
      </w:r>
    </w:p>
    <w:p w14:paraId="18519A99" w14:textId="77777777" w:rsidR="00436DAA" w:rsidRPr="00330234" w:rsidRDefault="00436DAA" w:rsidP="00BD109B">
      <w:pPr>
        <w:pStyle w:val="a3"/>
        <w:widowControl/>
        <w:ind w:left="0"/>
      </w:pPr>
    </w:p>
    <w:p w14:paraId="0DA49BFA" w14:textId="49367965" w:rsidR="00436DAA" w:rsidRPr="00330234" w:rsidRDefault="005328BF" w:rsidP="00BD109B">
      <w:pPr>
        <w:pStyle w:val="2"/>
      </w:pPr>
      <w:r w:rsidRPr="00330234">
        <w:t>4.7</w:t>
      </w:r>
      <w:r w:rsidRPr="00330234">
        <w:tab/>
      </w:r>
      <w:r w:rsidR="009B4B8E" w:rsidRPr="00330234">
        <w:t>Beïnvloeding van de rijvaardigheid en het vermogen om machines te bedienen</w:t>
      </w:r>
    </w:p>
    <w:p w14:paraId="0533B778" w14:textId="77777777" w:rsidR="00391FEC" w:rsidRPr="00330234" w:rsidRDefault="00391FEC" w:rsidP="00BD109B">
      <w:pPr>
        <w:pStyle w:val="a3"/>
        <w:widowControl/>
        <w:ind w:left="0"/>
      </w:pPr>
    </w:p>
    <w:p w14:paraId="7F0088BA" w14:textId="76FAEB8E" w:rsidR="00436DAA" w:rsidRPr="00330234" w:rsidRDefault="00694B6D" w:rsidP="00BD109B">
      <w:pPr>
        <w:pStyle w:val="a3"/>
        <w:widowControl/>
        <w:ind w:left="0"/>
      </w:pPr>
      <w:r w:rsidRPr="00330234">
        <w:t>Tocilizumab</w:t>
      </w:r>
      <w:r w:rsidR="009B4B8E" w:rsidRPr="00330234">
        <w:t xml:space="preserve"> heeft een geringe invloed op de rijvaardigheid en op het vermogen om machines te bedienen (zie rubriek 4.8, duizeligheid).</w:t>
      </w:r>
    </w:p>
    <w:p w14:paraId="528A4FA4" w14:textId="77777777" w:rsidR="00436DAA" w:rsidRPr="00330234" w:rsidRDefault="00436DAA" w:rsidP="00BD109B">
      <w:pPr>
        <w:pStyle w:val="a3"/>
        <w:widowControl/>
        <w:ind w:left="0"/>
      </w:pPr>
    </w:p>
    <w:p w14:paraId="1F1E1B06" w14:textId="6EF1B194" w:rsidR="00436DAA" w:rsidRPr="00330234" w:rsidRDefault="005328BF" w:rsidP="001B3E1E">
      <w:pPr>
        <w:pStyle w:val="2"/>
        <w:keepNext/>
        <w:keepLines/>
      </w:pPr>
      <w:r w:rsidRPr="00330234">
        <w:lastRenderedPageBreak/>
        <w:t>4.8</w:t>
      </w:r>
      <w:r w:rsidRPr="00330234">
        <w:tab/>
      </w:r>
      <w:r w:rsidR="009B4B8E" w:rsidRPr="00330234">
        <w:t>Bijwerkingen</w:t>
      </w:r>
    </w:p>
    <w:p w14:paraId="51B0B185" w14:textId="77777777" w:rsidR="00391FEC" w:rsidRPr="00330234" w:rsidRDefault="00391FEC" w:rsidP="001B3E1E">
      <w:pPr>
        <w:pStyle w:val="a3"/>
        <w:keepNext/>
        <w:keepLines/>
        <w:widowControl/>
        <w:ind w:left="0"/>
      </w:pPr>
    </w:p>
    <w:p w14:paraId="60FF83DA" w14:textId="2C12360F" w:rsidR="00436DAA" w:rsidRPr="00330234" w:rsidRDefault="009B4B8E" w:rsidP="001B3E1E">
      <w:pPr>
        <w:pStyle w:val="a3"/>
        <w:keepNext/>
        <w:keepLines/>
        <w:widowControl/>
        <w:ind w:left="0"/>
      </w:pPr>
      <w:r w:rsidRPr="00330234">
        <w:rPr>
          <w:u w:val="single"/>
        </w:rPr>
        <w:t>Samenvatting van het veiligheidsprofiel</w:t>
      </w:r>
    </w:p>
    <w:p w14:paraId="49D1E717" w14:textId="1F687D5A" w:rsidR="00436DAA" w:rsidRPr="00330234" w:rsidRDefault="009B4B8E" w:rsidP="00391FEC">
      <w:pPr>
        <w:pStyle w:val="a3"/>
        <w:widowControl/>
        <w:ind w:left="0"/>
      </w:pPr>
      <w:r w:rsidRPr="00330234">
        <w:t>Het veiligheidsprofiel is afkomstig van 4</w:t>
      </w:r>
      <w:r w:rsidR="00116862">
        <w:t>.</w:t>
      </w:r>
      <w:r w:rsidRPr="00330234">
        <w:t xml:space="preserve">510 patiënten behandeld met </w:t>
      </w:r>
      <w:r w:rsidR="00694B6D" w:rsidRPr="00330234">
        <w:t>tocilizumab</w:t>
      </w:r>
      <w:r w:rsidRPr="00330234">
        <w:t xml:space="preserve"> in klinische onderzoeken; de meerderheid van deze patiënten nam deel aan RA-onderzoeken bij volwassenen</w:t>
      </w:r>
      <w:r w:rsidR="00391FEC" w:rsidRPr="00330234">
        <w:t xml:space="preserve"> </w:t>
      </w:r>
      <w:r w:rsidRPr="00330234">
        <w:t>(n</w:t>
      </w:r>
      <w:r w:rsidR="00391FEC" w:rsidRPr="00330234">
        <w:t> </w:t>
      </w:r>
      <w:r w:rsidRPr="00330234">
        <w:t>=</w:t>
      </w:r>
      <w:r w:rsidR="00391FEC" w:rsidRPr="00330234">
        <w:t> </w:t>
      </w:r>
      <w:r w:rsidRPr="00330234">
        <w:t>4</w:t>
      </w:r>
      <w:r w:rsidR="00377426">
        <w:t>.</w:t>
      </w:r>
      <w:r w:rsidRPr="00330234">
        <w:t>009), terwijl de rest van de ervaring van GCA- (n = 149), pJIA- (n = 240) en sJIA-onderzoeken (n</w:t>
      </w:r>
      <w:r w:rsidR="00391FEC" w:rsidRPr="00330234">
        <w:t> </w:t>
      </w:r>
      <w:r w:rsidRPr="00330234">
        <w:t>=</w:t>
      </w:r>
      <w:r w:rsidR="00391FEC" w:rsidRPr="00330234">
        <w:t> </w:t>
      </w:r>
      <w:r w:rsidRPr="00330234">
        <w:t xml:space="preserve">112) komt. Het veiligheidsprofiel van </w:t>
      </w:r>
      <w:r w:rsidR="00694B6D" w:rsidRPr="00330234">
        <w:t>tocilizumab</w:t>
      </w:r>
      <w:r w:rsidRPr="00330234">
        <w:t xml:space="preserve"> tussen deze indicaties blijft vergelijkbaar en ongedifferentieerd.</w:t>
      </w:r>
    </w:p>
    <w:p w14:paraId="149B407D" w14:textId="77777777" w:rsidR="00436DAA" w:rsidRPr="00330234" w:rsidRDefault="00436DAA" w:rsidP="00BD109B">
      <w:pPr>
        <w:pStyle w:val="a3"/>
        <w:widowControl/>
        <w:ind w:left="0"/>
      </w:pPr>
    </w:p>
    <w:p w14:paraId="2305BACD" w14:textId="77777777" w:rsidR="00436DAA" w:rsidRPr="00330234" w:rsidRDefault="009B4B8E" w:rsidP="00BD109B">
      <w:pPr>
        <w:pStyle w:val="a3"/>
        <w:widowControl/>
        <w:ind w:left="0"/>
      </w:pPr>
      <w:r w:rsidRPr="00330234">
        <w:t>De meest gerapporteerde bijwerkingen waren infecties van de bovenste luchtwegen, nasofaryngitis, hoofdpijn, hypertensie en een verhoogde ALAT-spiegel.</w:t>
      </w:r>
    </w:p>
    <w:p w14:paraId="04CC57E9" w14:textId="77777777" w:rsidR="00391FEC" w:rsidRPr="00330234" w:rsidRDefault="00391FEC" w:rsidP="00BD109B">
      <w:pPr>
        <w:pStyle w:val="a3"/>
        <w:widowControl/>
        <w:ind w:left="0"/>
      </w:pPr>
    </w:p>
    <w:p w14:paraId="2DDC1793" w14:textId="77777777" w:rsidR="00436DAA" w:rsidRPr="00330234" w:rsidRDefault="009B4B8E" w:rsidP="00BD109B">
      <w:pPr>
        <w:pStyle w:val="a3"/>
        <w:widowControl/>
        <w:ind w:left="0"/>
      </w:pPr>
      <w:r w:rsidRPr="00330234">
        <w:t>De meest ernstige bijwerkingen waren ernstige infecties, complicaties van diverticulitis en overgevoeligheidsreacties.</w:t>
      </w:r>
    </w:p>
    <w:p w14:paraId="6F8138B8" w14:textId="77777777" w:rsidR="00436DAA" w:rsidRPr="00330234" w:rsidRDefault="00436DAA" w:rsidP="00BD109B">
      <w:pPr>
        <w:pStyle w:val="a3"/>
        <w:widowControl/>
        <w:ind w:left="0"/>
      </w:pPr>
    </w:p>
    <w:p w14:paraId="4B69CE46" w14:textId="77777777" w:rsidR="00436DAA" w:rsidRPr="00330234" w:rsidRDefault="009B4B8E" w:rsidP="00BD109B">
      <w:pPr>
        <w:pStyle w:val="a3"/>
        <w:widowControl/>
        <w:ind w:left="0"/>
      </w:pPr>
      <w:r w:rsidRPr="00330234">
        <w:rPr>
          <w:u w:val="single"/>
        </w:rPr>
        <w:t>Overzicht van de bijwerkingen in tabelvorm</w:t>
      </w:r>
    </w:p>
    <w:p w14:paraId="351B2EC5" w14:textId="7CA52FA4" w:rsidR="00436DAA" w:rsidRPr="00330234" w:rsidRDefault="009B4B8E" w:rsidP="00BD109B">
      <w:pPr>
        <w:pStyle w:val="a3"/>
        <w:widowControl/>
        <w:ind w:left="0"/>
      </w:pPr>
      <w:r w:rsidRPr="00330234">
        <w:t xml:space="preserve">Bijwerkingen uit klinische onderzoeken en/of spontane meldingen na het op de markt brengen van </w:t>
      </w:r>
      <w:r w:rsidR="00694B6D" w:rsidRPr="00330234">
        <w:t>tocilizumab</w:t>
      </w:r>
      <w:r w:rsidRPr="00330234">
        <w:t xml:space="preserve"> en meldingen uit de literatuur en niet-interventionele onderzoeksprogramma’s zijn weergegeven in tabel 1 naar MedDRA-systeem/orgaanklasse. De bijbehorende frequentiecategorie van elke bijwerking is gebaseerd op de volgende conventie: zeer vaak (≥ 1/10), vaak (≥ 1/100, &lt; 1/10), soms (≥ 1/1.000, &lt; 1/100) zelden (≥ 1/10.000, &lt; 1/1.000) of zeer zelden (&lt; 1/10.000). Binnen iedere frequentiegroep worden bijwerkingen gerangschikt naar afnemende ernst.</w:t>
      </w:r>
    </w:p>
    <w:p w14:paraId="172F63EB" w14:textId="77777777" w:rsidR="00391FEC" w:rsidRPr="00330234" w:rsidRDefault="00391FEC" w:rsidP="00BD109B">
      <w:pPr>
        <w:pStyle w:val="a3"/>
        <w:widowControl/>
        <w:ind w:left="0"/>
      </w:pPr>
    </w:p>
    <w:p w14:paraId="6EDDFF26" w14:textId="6821B41E" w:rsidR="00436DAA" w:rsidRPr="00330234" w:rsidRDefault="009B4B8E" w:rsidP="006B7C9C">
      <w:pPr>
        <w:keepNext/>
        <w:keepLines/>
        <w:widowControl/>
        <w:ind w:left="1134" w:hanging="1134"/>
        <w:rPr>
          <w:i/>
        </w:rPr>
      </w:pPr>
      <w:r w:rsidRPr="00330234">
        <w:rPr>
          <w:i/>
        </w:rPr>
        <w:t>Tabel 1.</w:t>
      </w:r>
      <w:r w:rsidR="006B7C9C" w:rsidRPr="00330234">
        <w:rPr>
          <w:i/>
        </w:rPr>
        <w:tab/>
      </w:r>
      <w:r w:rsidRPr="00330234">
        <w:rPr>
          <w:i/>
        </w:rPr>
        <w:t xml:space="preserve">Bijwerkingen die optreden bij patiënten behandeld met </w:t>
      </w:r>
      <w:r w:rsidR="00694B6D" w:rsidRPr="00330234">
        <w:rPr>
          <w:i/>
        </w:rPr>
        <w:t>tocilizumab</w:t>
      </w:r>
    </w:p>
    <w:p w14:paraId="55924EDD" w14:textId="77777777" w:rsidR="00436DAA" w:rsidRPr="00330234" w:rsidRDefault="00436DAA" w:rsidP="006B7C9C">
      <w:pPr>
        <w:pStyle w:val="a3"/>
        <w:keepNext/>
        <w:keepLines/>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2557"/>
        <w:gridCol w:w="1988"/>
        <w:gridCol w:w="1791"/>
        <w:gridCol w:w="1386"/>
        <w:gridCol w:w="1344"/>
      </w:tblGrid>
      <w:tr w:rsidR="00436DAA" w:rsidRPr="00330234" w14:paraId="5CED2DE7" w14:textId="77777777" w:rsidTr="006B7C9C">
        <w:trPr>
          <w:trHeight w:val="20"/>
          <w:tblHeader/>
        </w:trPr>
        <w:tc>
          <w:tcPr>
            <w:tcW w:w="2557" w:type="dxa"/>
            <w:vMerge w:val="restart"/>
          </w:tcPr>
          <w:p w14:paraId="4D58B8F5" w14:textId="77777777" w:rsidR="00436DAA" w:rsidRPr="00330234" w:rsidRDefault="009B4B8E" w:rsidP="006B7C9C">
            <w:pPr>
              <w:pStyle w:val="TableParagraph"/>
              <w:keepNext/>
              <w:keepLines/>
              <w:widowControl/>
              <w:jc w:val="center"/>
              <w:rPr>
                <w:rFonts w:eastAsia="SimSun"/>
                <w:b/>
                <w:sz w:val="20"/>
                <w:szCs w:val="20"/>
                <w:lang w:eastAsia="zh-CN"/>
              </w:rPr>
            </w:pPr>
            <w:r w:rsidRPr="00330234">
              <w:rPr>
                <w:b/>
                <w:sz w:val="20"/>
                <w:szCs w:val="20"/>
              </w:rPr>
              <w:t>MedDRA systeem/orgaanklasse</w:t>
            </w:r>
          </w:p>
          <w:p w14:paraId="68E84A13" w14:textId="77777777" w:rsidR="00A33CF6" w:rsidRPr="00330234" w:rsidRDefault="00A33CF6" w:rsidP="006B7C9C">
            <w:pPr>
              <w:pStyle w:val="TableParagraph"/>
              <w:keepNext/>
              <w:keepLines/>
              <w:widowControl/>
              <w:jc w:val="center"/>
              <w:rPr>
                <w:rFonts w:eastAsia="SimSun"/>
                <w:b/>
                <w:sz w:val="20"/>
                <w:szCs w:val="20"/>
                <w:lang w:eastAsia="zh-CN"/>
              </w:rPr>
            </w:pPr>
          </w:p>
        </w:tc>
        <w:tc>
          <w:tcPr>
            <w:tcW w:w="6509" w:type="dxa"/>
            <w:gridSpan w:val="4"/>
          </w:tcPr>
          <w:p w14:paraId="326EBA48" w14:textId="77777777" w:rsidR="00436DAA" w:rsidRPr="00330234" w:rsidRDefault="009B4B8E" w:rsidP="006B7C9C">
            <w:pPr>
              <w:pStyle w:val="TableParagraph"/>
              <w:keepNext/>
              <w:keepLines/>
              <w:widowControl/>
              <w:jc w:val="center"/>
              <w:rPr>
                <w:b/>
                <w:sz w:val="20"/>
                <w:szCs w:val="20"/>
              </w:rPr>
            </w:pPr>
            <w:r w:rsidRPr="00330234">
              <w:rPr>
                <w:b/>
                <w:sz w:val="20"/>
                <w:szCs w:val="20"/>
              </w:rPr>
              <w:t>Frequentiegroepen en voorkeurstermen</w:t>
            </w:r>
          </w:p>
        </w:tc>
      </w:tr>
      <w:tr w:rsidR="006B7C9C" w:rsidRPr="00330234" w14:paraId="4F966D77" w14:textId="77777777" w:rsidTr="006B7C9C">
        <w:trPr>
          <w:trHeight w:val="20"/>
          <w:tblHeader/>
        </w:trPr>
        <w:tc>
          <w:tcPr>
            <w:tcW w:w="2557" w:type="dxa"/>
            <w:vMerge/>
            <w:tcBorders>
              <w:top w:val="nil"/>
            </w:tcBorders>
          </w:tcPr>
          <w:p w14:paraId="1206D747" w14:textId="77777777" w:rsidR="00436DAA" w:rsidRPr="00330234" w:rsidRDefault="00436DAA" w:rsidP="000433F9">
            <w:pPr>
              <w:widowControl/>
              <w:jc w:val="center"/>
              <w:rPr>
                <w:sz w:val="20"/>
                <w:szCs w:val="20"/>
              </w:rPr>
            </w:pPr>
          </w:p>
        </w:tc>
        <w:tc>
          <w:tcPr>
            <w:tcW w:w="1988" w:type="dxa"/>
          </w:tcPr>
          <w:p w14:paraId="4A1749F7" w14:textId="77777777" w:rsidR="00436DAA" w:rsidRPr="00330234" w:rsidRDefault="009B4B8E" w:rsidP="000433F9">
            <w:pPr>
              <w:pStyle w:val="TableParagraph"/>
              <w:widowControl/>
              <w:jc w:val="center"/>
              <w:rPr>
                <w:rFonts w:eastAsia="SimSun"/>
                <w:b/>
                <w:sz w:val="20"/>
                <w:szCs w:val="20"/>
                <w:lang w:eastAsia="zh-CN"/>
              </w:rPr>
            </w:pPr>
            <w:r w:rsidRPr="00330234">
              <w:rPr>
                <w:b/>
                <w:sz w:val="20"/>
                <w:szCs w:val="20"/>
              </w:rPr>
              <w:t>Zeer vaak</w:t>
            </w:r>
          </w:p>
          <w:p w14:paraId="2B7D88E6" w14:textId="77777777" w:rsidR="00A33CF6" w:rsidRPr="00330234" w:rsidRDefault="00A33CF6" w:rsidP="000433F9">
            <w:pPr>
              <w:pStyle w:val="TableParagraph"/>
              <w:widowControl/>
              <w:jc w:val="center"/>
              <w:rPr>
                <w:rFonts w:eastAsia="SimSun"/>
                <w:b/>
                <w:sz w:val="20"/>
                <w:szCs w:val="20"/>
                <w:lang w:eastAsia="zh-CN"/>
              </w:rPr>
            </w:pPr>
          </w:p>
        </w:tc>
        <w:tc>
          <w:tcPr>
            <w:tcW w:w="1791" w:type="dxa"/>
          </w:tcPr>
          <w:p w14:paraId="41B62026" w14:textId="77777777" w:rsidR="00436DAA" w:rsidRPr="00330234" w:rsidRDefault="009B4B8E" w:rsidP="000433F9">
            <w:pPr>
              <w:pStyle w:val="TableParagraph"/>
              <w:widowControl/>
              <w:jc w:val="center"/>
              <w:rPr>
                <w:rFonts w:eastAsia="SimSun"/>
                <w:b/>
                <w:sz w:val="20"/>
                <w:szCs w:val="20"/>
                <w:lang w:eastAsia="zh-CN"/>
              </w:rPr>
            </w:pPr>
            <w:r w:rsidRPr="00330234">
              <w:rPr>
                <w:b/>
                <w:sz w:val="20"/>
                <w:szCs w:val="20"/>
              </w:rPr>
              <w:t>Vaak</w:t>
            </w:r>
          </w:p>
          <w:p w14:paraId="09F9ABAF" w14:textId="77777777" w:rsidR="00A33CF6" w:rsidRPr="00330234" w:rsidRDefault="00A33CF6" w:rsidP="000433F9">
            <w:pPr>
              <w:pStyle w:val="TableParagraph"/>
              <w:widowControl/>
              <w:jc w:val="center"/>
              <w:rPr>
                <w:rFonts w:eastAsia="SimSun"/>
                <w:b/>
                <w:sz w:val="20"/>
                <w:szCs w:val="20"/>
                <w:lang w:eastAsia="zh-CN"/>
              </w:rPr>
            </w:pPr>
          </w:p>
        </w:tc>
        <w:tc>
          <w:tcPr>
            <w:tcW w:w="1386" w:type="dxa"/>
          </w:tcPr>
          <w:p w14:paraId="569AA042" w14:textId="77777777" w:rsidR="00436DAA" w:rsidRPr="00330234" w:rsidRDefault="009B4B8E" w:rsidP="000433F9">
            <w:pPr>
              <w:pStyle w:val="TableParagraph"/>
              <w:widowControl/>
              <w:jc w:val="center"/>
              <w:rPr>
                <w:rFonts w:eastAsia="SimSun"/>
                <w:b/>
                <w:sz w:val="20"/>
                <w:szCs w:val="20"/>
                <w:lang w:eastAsia="zh-CN"/>
              </w:rPr>
            </w:pPr>
            <w:r w:rsidRPr="00330234">
              <w:rPr>
                <w:b/>
                <w:sz w:val="20"/>
                <w:szCs w:val="20"/>
              </w:rPr>
              <w:t>Soms</w:t>
            </w:r>
          </w:p>
          <w:p w14:paraId="4A3C2108" w14:textId="77777777" w:rsidR="00A33CF6" w:rsidRPr="00330234" w:rsidRDefault="00A33CF6" w:rsidP="000433F9">
            <w:pPr>
              <w:pStyle w:val="TableParagraph"/>
              <w:widowControl/>
              <w:jc w:val="center"/>
              <w:rPr>
                <w:rFonts w:eastAsia="SimSun"/>
                <w:b/>
                <w:sz w:val="20"/>
                <w:szCs w:val="20"/>
                <w:lang w:eastAsia="zh-CN"/>
              </w:rPr>
            </w:pPr>
          </w:p>
        </w:tc>
        <w:tc>
          <w:tcPr>
            <w:tcW w:w="1344" w:type="dxa"/>
          </w:tcPr>
          <w:p w14:paraId="7BC91746" w14:textId="77777777" w:rsidR="00436DAA" w:rsidRPr="00330234" w:rsidRDefault="009B4B8E" w:rsidP="000433F9">
            <w:pPr>
              <w:pStyle w:val="TableParagraph"/>
              <w:widowControl/>
              <w:jc w:val="center"/>
              <w:rPr>
                <w:rFonts w:eastAsia="SimSun"/>
                <w:b/>
                <w:sz w:val="20"/>
                <w:szCs w:val="20"/>
                <w:lang w:eastAsia="zh-CN"/>
              </w:rPr>
            </w:pPr>
            <w:r w:rsidRPr="00330234">
              <w:rPr>
                <w:b/>
                <w:sz w:val="20"/>
                <w:szCs w:val="20"/>
              </w:rPr>
              <w:t>Zelden</w:t>
            </w:r>
          </w:p>
          <w:p w14:paraId="7FCBFC2E" w14:textId="77777777" w:rsidR="00A33CF6" w:rsidRPr="00330234" w:rsidRDefault="00A33CF6" w:rsidP="000433F9">
            <w:pPr>
              <w:pStyle w:val="TableParagraph"/>
              <w:widowControl/>
              <w:jc w:val="center"/>
              <w:rPr>
                <w:rFonts w:eastAsia="SimSun"/>
                <w:b/>
                <w:sz w:val="20"/>
                <w:szCs w:val="20"/>
                <w:lang w:eastAsia="zh-CN"/>
              </w:rPr>
            </w:pPr>
          </w:p>
        </w:tc>
      </w:tr>
      <w:tr w:rsidR="006B7C9C" w:rsidRPr="00330234" w14:paraId="3B66342A" w14:textId="77777777" w:rsidTr="006B7C9C">
        <w:trPr>
          <w:trHeight w:val="20"/>
        </w:trPr>
        <w:tc>
          <w:tcPr>
            <w:tcW w:w="2557" w:type="dxa"/>
          </w:tcPr>
          <w:p w14:paraId="58F258B4" w14:textId="77777777" w:rsidR="00436DAA" w:rsidRPr="00330234" w:rsidRDefault="009B4B8E" w:rsidP="00BD109B">
            <w:pPr>
              <w:pStyle w:val="TableParagraph"/>
              <w:widowControl/>
              <w:rPr>
                <w:sz w:val="20"/>
                <w:szCs w:val="20"/>
              </w:rPr>
            </w:pPr>
            <w:r w:rsidRPr="00330234">
              <w:rPr>
                <w:sz w:val="20"/>
                <w:szCs w:val="20"/>
              </w:rPr>
              <w:t>Infecties en parasitaire aandoeningen</w:t>
            </w:r>
          </w:p>
        </w:tc>
        <w:tc>
          <w:tcPr>
            <w:tcW w:w="1988" w:type="dxa"/>
          </w:tcPr>
          <w:p w14:paraId="6441CF80" w14:textId="77777777" w:rsidR="00436DAA" w:rsidRPr="00330234" w:rsidRDefault="009B4B8E" w:rsidP="00BD109B">
            <w:pPr>
              <w:pStyle w:val="TableParagraph"/>
              <w:widowControl/>
              <w:rPr>
                <w:sz w:val="20"/>
                <w:szCs w:val="20"/>
              </w:rPr>
            </w:pPr>
            <w:r w:rsidRPr="00330234">
              <w:rPr>
                <w:sz w:val="20"/>
                <w:szCs w:val="20"/>
              </w:rPr>
              <w:t>Bovenste- luchtweginfecties</w:t>
            </w:r>
          </w:p>
        </w:tc>
        <w:tc>
          <w:tcPr>
            <w:tcW w:w="1791" w:type="dxa"/>
          </w:tcPr>
          <w:p w14:paraId="763A40F6" w14:textId="25B17EE6" w:rsidR="00436DAA" w:rsidRPr="00330234" w:rsidRDefault="009B4B8E" w:rsidP="00391FEC">
            <w:pPr>
              <w:pStyle w:val="TableParagraph"/>
              <w:widowControl/>
              <w:rPr>
                <w:sz w:val="20"/>
                <w:szCs w:val="20"/>
              </w:rPr>
            </w:pPr>
            <w:r w:rsidRPr="00330234">
              <w:rPr>
                <w:sz w:val="20"/>
                <w:szCs w:val="20"/>
              </w:rPr>
              <w:t>Cellulitis, Pneumonie, Orale herpes simplex,</w:t>
            </w:r>
            <w:r w:rsidR="00391FEC" w:rsidRPr="00330234">
              <w:rPr>
                <w:sz w:val="20"/>
                <w:szCs w:val="20"/>
              </w:rPr>
              <w:t xml:space="preserve"> </w:t>
            </w:r>
            <w:r w:rsidRPr="00330234">
              <w:rPr>
                <w:sz w:val="20"/>
                <w:szCs w:val="20"/>
              </w:rPr>
              <w:t>Herpes zoster</w:t>
            </w:r>
          </w:p>
        </w:tc>
        <w:tc>
          <w:tcPr>
            <w:tcW w:w="1386" w:type="dxa"/>
          </w:tcPr>
          <w:p w14:paraId="33DB2750" w14:textId="77777777" w:rsidR="00436DAA" w:rsidRPr="00330234" w:rsidRDefault="009B4B8E" w:rsidP="00BD109B">
            <w:pPr>
              <w:pStyle w:val="TableParagraph"/>
              <w:widowControl/>
              <w:rPr>
                <w:sz w:val="20"/>
                <w:szCs w:val="20"/>
              </w:rPr>
            </w:pPr>
            <w:r w:rsidRPr="00330234">
              <w:rPr>
                <w:sz w:val="20"/>
                <w:szCs w:val="20"/>
              </w:rPr>
              <w:t>Diverticulitis</w:t>
            </w:r>
          </w:p>
        </w:tc>
        <w:tc>
          <w:tcPr>
            <w:tcW w:w="1344" w:type="dxa"/>
          </w:tcPr>
          <w:p w14:paraId="797FEAF8" w14:textId="77777777" w:rsidR="00436DAA" w:rsidRPr="00330234" w:rsidRDefault="00436DAA" w:rsidP="00BD109B">
            <w:pPr>
              <w:pStyle w:val="TableParagraph"/>
              <w:widowControl/>
              <w:rPr>
                <w:sz w:val="20"/>
                <w:szCs w:val="20"/>
              </w:rPr>
            </w:pPr>
          </w:p>
        </w:tc>
      </w:tr>
      <w:tr w:rsidR="006B7C9C" w:rsidRPr="00330234" w14:paraId="0114FAE6" w14:textId="77777777" w:rsidTr="006B7C9C">
        <w:trPr>
          <w:trHeight w:val="20"/>
        </w:trPr>
        <w:tc>
          <w:tcPr>
            <w:tcW w:w="2557" w:type="dxa"/>
          </w:tcPr>
          <w:p w14:paraId="00BE6764" w14:textId="77777777" w:rsidR="00436DAA" w:rsidRPr="00330234" w:rsidRDefault="009B4B8E" w:rsidP="00BD109B">
            <w:pPr>
              <w:pStyle w:val="TableParagraph"/>
              <w:widowControl/>
              <w:rPr>
                <w:sz w:val="20"/>
                <w:szCs w:val="20"/>
              </w:rPr>
            </w:pPr>
            <w:r w:rsidRPr="00330234">
              <w:rPr>
                <w:sz w:val="20"/>
                <w:szCs w:val="20"/>
              </w:rPr>
              <w:t>Bloed- en lymfestelsel- aandoeningen</w:t>
            </w:r>
          </w:p>
        </w:tc>
        <w:tc>
          <w:tcPr>
            <w:tcW w:w="1988" w:type="dxa"/>
          </w:tcPr>
          <w:p w14:paraId="23911603" w14:textId="77777777" w:rsidR="00436DAA" w:rsidRPr="00330234" w:rsidRDefault="00436DAA" w:rsidP="00BD109B">
            <w:pPr>
              <w:pStyle w:val="TableParagraph"/>
              <w:widowControl/>
              <w:rPr>
                <w:sz w:val="20"/>
                <w:szCs w:val="20"/>
              </w:rPr>
            </w:pPr>
          </w:p>
        </w:tc>
        <w:tc>
          <w:tcPr>
            <w:tcW w:w="1791" w:type="dxa"/>
          </w:tcPr>
          <w:p w14:paraId="57A4411D" w14:textId="24725DDA" w:rsidR="00436DAA" w:rsidRPr="00330234" w:rsidRDefault="009B4B8E" w:rsidP="00391FEC">
            <w:pPr>
              <w:pStyle w:val="TableParagraph"/>
              <w:widowControl/>
              <w:rPr>
                <w:sz w:val="20"/>
                <w:szCs w:val="20"/>
              </w:rPr>
            </w:pPr>
            <w:r w:rsidRPr="00330234">
              <w:rPr>
                <w:sz w:val="20"/>
                <w:szCs w:val="20"/>
              </w:rPr>
              <w:t>Leukopenie, Neutropenie,</w:t>
            </w:r>
            <w:r w:rsidR="00391FEC" w:rsidRPr="00330234">
              <w:rPr>
                <w:sz w:val="20"/>
                <w:szCs w:val="20"/>
              </w:rPr>
              <w:t xml:space="preserve"> </w:t>
            </w:r>
            <w:r w:rsidRPr="00330234">
              <w:rPr>
                <w:sz w:val="20"/>
                <w:szCs w:val="20"/>
              </w:rPr>
              <w:t>Hypofibrinogenemie</w:t>
            </w:r>
          </w:p>
        </w:tc>
        <w:tc>
          <w:tcPr>
            <w:tcW w:w="1386" w:type="dxa"/>
          </w:tcPr>
          <w:p w14:paraId="5362E0CB" w14:textId="77777777" w:rsidR="00436DAA" w:rsidRPr="00330234" w:rsidRDefault="00436DAA" w:rsidP="00BD109B">
            <w:pPr>
              <w:pStyle w:val="TableParagraph"/>
              <w:widowControl/>
              <w:rPr>
                <w:sz w:val="20"/>
                <w:szCs w:val="20"/>
              </w:rPr>
            </w:pPr>
          </w:p>
        </w:tc>
        <w:tc>
          <w:tcPr>
            <w:tcW w:w="1344" w:type="dxa"/>
          </w:tcPr>
          <w:p w14:paraId="1356B972" w14:textId="77777777" w:rsidR="00436DAA" w:rsidRPr="00330234" w:rsidRDefault="00436DAA" w:rsidP="00BD109B">
            <w:pPr>
              <w:pStyle w:val="TableParagraph"/>
              <w:widowControl/>
              <w:rPr>
                <w:sz w:val="20"/>
                <w:szCs w:val="20"/>
              </w:rPr>
            </w:pPr>
          </w:p>
        </w:tc>
      </w:tr>
      <w:tr w:rsidR="006B7C9C" w:rsidRPr="00330234" w14:paraId="347DEF97" w14:textId="77777777" w:rsidTr="006B7C9C">
        <w:trPr>
          <w:trHeight w:val="20"/>
        </w:trPr>
        <w:tc>
          <w:tcPr>
            <w:tcW w:w="2557" w:type="dxa"/>
          </w:tcPr>
          <w:p w14:paraId="1CE9EAAD" w14:textId="1EE2C44B" w:rsidR="00436DAA" w:rsidRPr="00330234" w:rsidRDefault="009B4B8E" w:rsidP="00BD109B">
            <w:pPr>
              <w:pStyle w:val="TableParagraph"/>
              <w:widowControl/>
              <w:rPr>
                <w:sz w:val="20"/>
                <w:szCs w:val="20"/>
              </w:rPr>
            </w:pPr>
            <w:r w:rsidRPr="00330234">
              <w:rPr>
                <w:sz w:val="20"/>
                <w:szCs w:val="20"/>
              </w:rPr>
              <w:t>Immuunsysteemaandoeningen</w:t>
            </w:r>
          </w:p>
        </w:tc>
        <w:tc>
          <w:tcPr>
            <w:tcW w:w="1988" w:type="dxa"/>
          </w:tcPr>
          <w:p w14:paraId="54DCAD43" w14:textId="77777777" w:rsidR="00436DAA" w:rsidRPr="00330234" w:rsidRDefault="00436DAA" w:rsidP="00BD109B">
            <w:pPr>
              <w:pStyle w:val="TableParagraph"/>
              <w:widowControl/>
              <w:rPr>
                <w:sz w:val="20"/>
                <w:szCs w:val="20"/>
              </w:rPr>
            </w:pPr>
          </w:p>
        </w:tc>
        <w:tc>
          <w:tcPr>
            <w:tcW w:w="1791" w:type="dxa"/>
          </w:tcPr>
          <w:p w14:paraId="30EFD472" w14:textId="77777777" w:rsidR="00436DAA" w:rsidRPr="00330234" w:rsidRDefault="00436DAA" w:rsidP="00BD109B">
            <w:pPr>
              <w:pStyle w:val="TableParagraph"/>
              <w:widowControl/>
              <w:rPr>
                <w:sz w:val="20"/>
                <w:szCs w:val="20"/>
              </w:rPr>
            </w:pPr>
          </w:p>
        </w:tc>
        <w:tc>
          <w:tcPr>
            <w:tcW w:w="1386" w:type="dxa"/>
          </w:tcPr>
          <w:p w14:paraId="7BB5E730" w14:textId="77777777" w:rsidR="00436DAA" w:rsidRPr="00330234" w:rsidRDefault="00436DAA" w:rsidP="00BD109B">
            <w:pPr>
              <w:pStyle w:val="TableParagraph"/>
              <w:widowControl/>
              <w:rPr>
                <w:sz w:val="20"/>
                <w:szCs w:val="20"/>
              </w:rPr>
            </w:pPr>
          </w:p>
        </w:tc>
        <w:tc>
          <w:tcPr>
            <w:tcW w:w="1344" w:type="dxa"/>
          </w:tcPr>
          <w:p w14:paraId="0C730B1C" w14:textId="77777777" w:rsidR="00436DAA" w:rsidRPr="00330234" w:rsidRDefault="009B4B8E" w:rsidP="00BD109B">
            <w:pPr>
              <w:pStyle w:val="TableParagraph"/>
              <w:widowControl/>
              <w:rPr>
                <w:sz w:val="20"/>
                <w:szCs w:val="20"/>
              </w:rPr>
            </w:pPr>
            <w:r w:rsidRPr="00330234">
              <w:rPr>
                <w:sz w:val="20"/>
                <w:szCs w:val="20"/>
              </w:rPr>
              <w:t>Anafylaxie (fataal)</w:t>
            </w:r>
            <w:r w:rsidRPr="00330234">
              <w:rPr>
                <w:sz w:val="20"/>
                <w:szCs w:val="20"/>
                <w:vertAlign w:val="superscript"/>
              </w:rPr>
              <w:t>1,2,3</w:t>
            </w:r>
          </w:p>
        </w:tc>
      </w:tr>
      <w:tr w:rsidR="006B7C9C" w:rsidRPr="00330234" w14:paraId="59F8D302" w14:textId="77777777" w:rsidTr="006B7C9C">
        <w:trPr>
          <w:trHeight w:val="20"/>
        </w:trPr>
        <w:tc>
          <w:tcPr>
            <w:tcW w:w="2557" w:type="dxa"/>
          </w:tcPr>
          <w:p w14:paraId="5E5D3318" w14:textId="77777777" w:rsidR="00436DAA" w:rsidRPr="00330234" w:rsidRDefault="009B4B8E" w:rsidP="00BD109B">
            <w:pPr>
              <w:pStyle w:val="TableParagraph"/>
              <w:widowControl/>
              <w:rPr>
                <w:sz w:val="20"/>
                <w:szCs w:val="20"/>
              </w:rPr>
            </w:pPr>
            <w:r w:rsidRPr="00330234">
              <w:rPr>
                <w:sz w:val="20"/>
                <w:szCs w:val="20"/>
              </w:rPr>
              <w:t>Endocriene aandoeningen</w:t>
            </w:r>
          </w:p>
        </w:tc>
        <w:tc>
          <w:tcPr>
            <w:tcW w:w="1988" w:type="dxa"/>
          </w:tcPr>
          <w:p w14:paraId="387E053F" w14:textId="77777777" w:rsidR="00436DAA" w:rsidRPr="00330234" w:rsidRDefault="00436DAA" w:rsidP="00BD109B">
            <w:pPr>
              <w:pStyle w:val="TableParagraph"/>
              <w:widowControl/>
              <w:rPr>
                <w:sz w:val="20"/>
                <w:szCs w:val="20"/>
              </w:rPr>
            </w:pPr>
          </w:p>
        </w:tc>
        <w:tc>
          <w:tcPr>
            <w:tcW w:w="1791" w:type="dxa"/>
          </w:tcPr>
          <w:p w14:paraId="559C2072" w14:textId="77777777" w:rsidR="00436DAA" w:rsidRPr="00330234" w:rsidRDefault="00436DAA" w:rsidP="00BD109B">
            <w:pPr>
              <w:pStyle w:val="TableParagraph"/>
              <w:widowControl/>
              <w:rPr>
                <w:sz w:val="20"/>
                <w:szCs w:val="20"/>
              </w:rPr>
            </w:pPr>
          </w:p>
        </w:tc>
        <w:tc>
          <w:tcPr>
            <w:tcW w:w="1386" w:type="dxa"/>
          </w:tcPr>
          <w:p w14:paraId="61959818" w14:textId="77777777" w:rsidR="00436DAA" w:rsidRPr="00330234" w:rsidRDefault="009B4B8E" w:rsidP="00BD109B">
            <w:pPr>
              <w:pStyle w:val="TableParagraph"/>
              <w:widowControl/>
              <w:rPr>
                <w:sz w:val="20"/>
                <w:szCs w:val="20"/>
              </w:rPr>
            </w:pPr>
            <w:r w:rsidRPr="00330234">
              <w:rPr>
                <w:sz w:val="20"/>
                <w:szCs w:val="20"/>
              </w:rPr>
              <w:t>Hypothyreoïdie</w:t>
            </w:r>
          </w:p>
        </w:tc>
        <w:tc>
          <w:tcPr>
            <w:tcW w:w="1344" w:type="dxa"/>
          </w:tcPr>
          <w:p w14:paraId="42F8B306" w14:textId="77777777" w:rsidR="00436DAA" w:rsidRPr="00330234" w:rsidRDefault="00436DAA" w:rsidP="00BD109B">
            <w:pPr>
              <w:pStyle w:val="TableParagraph"/>
              <w:widowControl/>
              <w:rPr>
                <w:sz w:val="20"/>
                <w:szCs w:val="20"/>
              </w:rPr>
            </w:pPr>
          </w:p>
        </w:tc>
      </w:tr>
      <w:tr w:rsidR="006B7C9C" w:rsidRPr="00330234" w14:paraId="6563A072" w14:textId="77777777" w:rsidTr="006B7C9C">
        <w:trPr>
          <w:trHeight w:val="20"/>
        </w:trPr>
        <w:tc>
          <w:tcPr>
            <w:tcW w:w="2557" w:type="dxa"/>
          </w:tcPr>
          <w:p w14:paraId="39C3C7CC" w14:textId="77777777" w:rsidR="00436DAA" w:rsidRPr="00330234" w:rsidRDefault="009B4B8E" w:rsidP="00BD109B">
            <w:pPr>
              <w:pStyle w:val="TableParagraph"/>
              <w:widowControl/>
              <w:rPr>
                <w:sz w:val="20"/>
                <w:szCs w:val="20"/>
              </w:rPr>
            </w:pPr>
            <w:r w:rsidRPr="00330234">
              <w:rPr>
                <w:color w:val="131313"/>
                <w:sz w:val="20"/>
                <w:szCs w:val="20"/>
              </w:rPr>
              <w:t>Voedings- en stofwisselingsstoornissen</w:t>
            </w:r>
          </w:p>
        </w:tc>
        <w:tc>
          <w:tcPr>
            <w:tcW w:w="1988" w:type="dxa"/>
          </w:tcPr>
          <w:p w14:paraId="26D4AF4F" w14:textId="45932F76" w:rsidR="00436DAA" w:rsidRPr="00330234" w:rsidRDefault="009B4B8E" w:rsidP="00BD109B">
            <w:pPr>
              <w:pStyle w:val="TableParagraph"/>
              <w:widowControl/>
              <w:rPr>
                <w:sz w:val="20"/>
                <w:szCs w:val="20"/>
              </w:rPr>
            </w:pPr>
            <w:r w:rsidRPr="00330234">
              <w:rPr>
                <w:color w:val="131313"/>
                <w:sz w:val="20"/>
                <w:szCs w:val="20"/>
              </w:rPr>
              <w:t>Hypercholesterolemie*</w:t>
            </w:r>
          </w:p>
        </w:tc>
        <w:tc>
          <w:tcPr>
            <w:tcW w:w="1791" w:type="dxa"/>
          </w:tcPr>
          <w:p w14:paraId="48562724" w14:textId="77777777" w:rsidR="00436DAA" w:rsidRPr="00330234" w:rsidRDefault="00436DAA" w:rsidP="00BD109B">
            <w:pPr>
              <w:pStyle w:val="TableParagraph"/>
              <w:widowControl/>
              <w:rPr>
                <w:sz w:val="20"/>
                <w:szCs w:val="20"/>
              </w:rPr>
            </w:pPr>
          </w:p>
        </w:tc>
        <w:tc>
          <w:tcPr>
            <w:tcW w:w="1386" w:type="dxa"/>
          </w:tcPr>
          <w:p w14:paraId="2C2867D2" w14:textId="77777777" w:rsidR="00436DAA" w:rsidRPr="00330234" w:rsidRDefault="009B4B8E" w:rsidP="00BD109B">
            <w:pPr>
              <w:pStyle w:val="TableParagraph"/>
              <w:widowControl/>
              <w:rPr>
                <w:sz w:val="20"/>
                <w:szCs w:val="20"/>
              </w:rPr>
            </w:pPr>
            <w:r w:rsidRPr="00330234">
              <w:rPr>
                <w:color w:val="131313"/>
                <w:sz w:val="20"/>
                <w:szCs w:val="20"/>
              </w:rPr>
              <w:t>Hyper</w:t>
            </w:r>
            <w:r w:rsidRPr="00330234">
              <w:rPr>
                <w:sz w:val="20"/>
                <w:szCs w:val="20"/>
              </w:rPr>
              <w:t xml:space="preserve">- </w:t>
            </w:r>
            <w:r w:rsidRPr="00330234">
              <w:rPr>
                <w:color w:val="131313"/>
                <w:sz w:val="20"/>
                <w:szCs w:val="20"/>
              </w:rPr>
              <w:t>triglyceridemie</w:t>
            </w:r>
          </w:p>
        </w:tc>
        <w:tc>
          <w:tcPr>
            <w:tcW w:w="1344" w:type="dxa"/>
          </w:tcPr>
          <w:p w14:paraId="2523B1AB" w14:textId="77777777" w:rsidR="00436DAA" w:rsidRPr="00330234" w:rsidRDefault="00436DAA" w:rsidP="00BD109B">
            <w:pPr>
              <w:pStyle w:val="TableParagraph"/>
              <w:widowControl/>
              <w:rPr>
                <w:sz w:val="20"/>
                <w:szCs w:val="20"/>
              </w:rPr>
            </w:pPr>
          </w:p>
        </w:tc>
      </w:tr>
      <w:tr w:rsidR="006B7C9C" w:rsidRPr="00330234" w14:paraId="46EA5AA9" w14:textId="77777777" w:rsidTr="006B7C9C">
        <w:trPr>
          <w:trHeight w:val="20"/>
        </w:trPr>
        <w:tc>
          <w:tcPr>
            <w:tcW w:w="2557" w:type="dxa"/>
          </w:tcPr>
          <w:p w14:paraId="3A0F1F83" w14:textId="66BEBC4B" w:rsidR="00436DAA" w:rsidRPr="00330234" w:rsidRDefault="009B4B8E" w:rsidP="00BD109B">
            <w:pPr>
              <w:pStyle w:val="TableParagraph"/>
              <w:widowControl/>
              <w:rPr>
                <w:sz w:val="20"/>
                <w:szCs w:val="20"/>
              </w:rPr>
            </w:pPr>
            <w:r w:rsidRPr="00330234">
              <w:rPr>
                <w:color w:val="131313"/>
                <w:sz w:val="20"/>
                <w:szCs w:val="20"/>
              </w:rPr>
              <w:t>Zenuwstelselaandoeningen</w:t>
            </w:r>
          </w:p>
        </w:tc>
        <w:tc>
          <w:tcPr>
            <w:tcW w:w="1988" w:type="dxa"/>
          </w:tcPr>
          <w:p w14:paraId="7138C638" w14:textId="77777777" w:rsidR="00436DAA" w:rsidRPr="00330234" w:rsidRDefault="00436DAA" w:rsidP="00BD109B">
            <w:pPr>
              <w:pStyle w:val="TableParagraph"/>
              <w:widowControl/>
              <w:rPr>
                <w:sz w:val="20"/>
                <w:szCs w:val="20"/>
              </w:rPr>
            </w:pPr>
          </w:p>
        </w:tc>
        <w:tc>
          <w:tcPr>
            <w:tcW w:w="1791" w:type="dxa"/>
          </w:tcPr>
          <w:p w14:paraId="2A19462F" w14:textId="77777777" w:rsidR="00436DAA" w:rsidRPr="00330234" w:rsidRDefault="009B4B8E" w:rsidP="00BD109B">
            <w:pPr>
              <w:pStyle w:val="TableParagraph"/>
              <w:widowControl/>
              <w:rPr>
                <w:sz w:val="20"/>
                <w:szCs w:val="20"/>
              </w:rPr>
            </w:pPr>
            <w:r w:rsidRPr="00330234">
              <w:rPr>
                <w:color w:val="131313"/>
                <w:sz w:val="20"/>
                <w:szCs w:val="20"/>
              </w:rPr>
              <w:t>Hoofdpijn, Duizeligheid</w:t>
            </w:r>
          </w:p>
        </w:tc>
        <w:tc>
          <w:tcPr>
            <w:tcW w:w="1386" w:type="dxa"/>
          </w:tcPr>
          <w:p w14:paraId="26A64C06" w14:textId="77777777" w:rsidR="00436DAA" w:rsidRPr="00330234" w:rsidRDefault="00436DAA" w:rsidP="00BD109B">
            <w:pPr>
              <w:pStyle w:val="TableParagraph"/>
              <w:widowControl/>
              <w:rPr>
                <w:sz w:val="20"/>
                <w:szCs w:val="20"/>
              </w:rPr>
            </w:pPr>
          </w:p>
        </w:tc>
        <w:tc>
          <w:tcPr>
            <w:tcW w:w="1344" w:type="dxa"/>
          </w:tcPr>
          <w:p w14:paraId="54BF3894" w14:textId="77777777" w:rsidR="00436DAA" w:rsidRPr="00330234" w:rsidRDefault="00436DAA" w:rsidP="00BD109B">
            <w:pPr>
              <w:pStyle w:val="TableParagraph"/>
              <w:widowControl/>
              <w:rPr>
                <w:sz w:val="20"/>
                <w:szCs w:val="20"/>
              </w:rPr>
            </w:pPr>
          </w:p>
        </w:tc>
      </w:tr>
      <w:tr w:rsidR="006B7C9C" w:rsidRPr="00330234" w14:paraId="571E97F8" w14:textId="77777777" w:rsidTr="006B7C9C">
        <w:trPr>
          <w:trHeight w:val="20"/>
        </w:trPr>
        <w:tc>
          <w:tcPr>
            <w:tcW w:w="2557" w:type="dxa"/>
          </w:tcPr>
          <w:p w14:paraId="27A4D785" w14:textId="77777777" w:rsidR="00436DAA" w:rsidRPr="00330234" w:rsidRDefault="009B4B8E" w:rsidP="00BD109B">
            <w:pPr>
              <w:pStyle w:val="TableParagraph"/>
              <w:widowControl/>
              <w:rPr>
                <w:sz w:val="20"/>
                <w:szCs w:val="20"/>
              </w:rPr>
            </w:pPr>
            <w:r w:rsidRPr="00330234">
              <w:rPr>
                <w:sz w:val="20"/>
                <w:szCs w:val="20"/>
              </w:rPr>
              <w:t>Oogaandoeningen</w:t>
            </w:r>
          </w:p>
        </w:tc>
        <w:tc>
          <w:tcPr>
            <w:tcW w:w="1988" w:type="dxa"/>
          </w:tcPr>
          <w:p w14:paraId="79ECBFC9" w14:textId="77777777" w:rsidR="00436DAA" w:rsidRPr="00330234" w:rsidRDefault="00436DAA" w:rsidP="00BD109B">
            <w:pPr>
              <w:pStyle w:val="TableParagraph"/>
              <w:widowControl/>
              <w:rPr>
                <w:sz w:val="20"/>
                <w:szCs w:val="20"/>
              </w:rPr>
            </w:pPr>
          </w:p>
        </w:tc>
        <w:tc>
          <w:tcPr>
            <w:tcW w:w="1791" w:type="dxa"/>
          </w:tcPr>
          <w:p w14:paraId="0A868440" w14:textId="77777777" w:rsidR="00436DAA" w:rsidRPr="00330234" w:rsidRDefault="009B4B8E" w:rsidP="00BD109B">
            <w:pPr>
              <w:pStyle w:val="TableParagraph"/>
              <w:widowControl/>
              <w:rPr>
                <w:sz w:val="20"/>
                <w:szCs w:val="20"/>
              </w:rPr>
            </w:pPr>
            <w:r w:rsidRPr="00330234">
              <w:rPr>
                <w:sz w:val="20"/>
                <w:szCs w:val="20"/>
              </w:rPr>
              <w:t>Conjunctivitis</w:t>
            </w:r>
          </w:p>
        </w:tc>
        <w:tc>
          <w:tcPr>
            <w:tcW w:w="1386" w:type="dxa"/>
          </w:tcPr>
          <w:p w14:paraId="658C3309" w14:textId="77777777" w:rsidR="00436DAA" w:rsidRPr="00330234" w:rsidRDefault="00436DAA" w:rsidP="00BD109B">
            <w:pPr>
              <w:pStyle w:val="TableParagraph"/>
              <w:widowControl/>
              <w:rPr>
                <w:sz w:val="20"/>
                <w:szCs w:val="20"/>
              </w:rPr>
            </w:pPr>
          </w:p>
        </w:tc>
        <w:tc>
          <w:tcPr>
            <w:tcW w:w="1344" w:type="dxa"/>
          </w:tcPr>
          <w:p w14:paraId="4E8ECB6B" w14:textId="77777777" w:rsidR="00436DAA" w:rsidRPr="00330234" w:rsidRDefault="00436DAA" w:rsidP="00BD109B">
            <w:pPr>
              <w:pStyle w:val="TableParagraph"/>
              <w:widowControl/>
              <w:rPr>
                <w:sz w:val="20"/>
                <w:szCs w:val="20"/>
              </w:rPr>
            </w:pPr>
          </w:p>
        </w:tc>
      </w:tr>
      <w:tr w:rsidR="006B7C9C" w:rsidRPr="00330234" w14:paraId="1C391EF1" w14:textId="77777777" w:rsidTr="006B7C9C">
        <w:trPr>
          <w:trHeight w:val="20"/>
        </w:trPr>
        <w:tc>
          <w:tcPr>
            <w:tcW w:w="2557" w:type="dxa"/>
          </w:tcPr>
          <w:p w14:paraId="4BB8E59A" w14:textId="77777777" w:rsidR="00436DAA" w:rsidRPr="00330234" w:rsidRDefault="009B4B8E" w:rsidP="00BD109B">
            <w:pPr>
              <w:pStyle w:val="TableParagraph"/>
              <w:widowControl/>
              <w:rPr>
                <w:sz w:val="20"/>
                <w:szCs w:val="20"/>
              </w:rPr>
            </w:pPr>
            <w:r w:rsidRPr="00330234">
              <w:rPr>
                <w:color w:val="131313"/>
                <w:sz w:val="20"/>
                <w:szCs w:val="20"/>
              </w:rPr>
              <w:t>Bloedvataandoeningen</w:t>
            </w:r>
          </w:p>
        </w:tc>
        <w:tc>
          <w:tcPr>
            <w:tcW w:w="1988" w:type="dxa"/>
          </w:tcPr>
          <w:p w14:paraId="0F4D1CFD" w14:textId="77777777" w:rsidR="00436DAA" w:rsidRPr="00330234" w:rsidRDefault="00436DAA" w:rsidP="00BD109B">
            <w:pPr>
              <w:pStyle w:val="TableParagraph"/>
              <w:widowControl/>
              <w:rPr>
                <w:sz w:val="20"/>
                <w:szCs w:val="20"/>
              </w:rPr>
            </w:pPr>
          </w:p>
        </w:tc>
        <w:tc>
          <w:tcPr>
            <w:tcW w:w="1791" w:type="dxa"/>
          </w:tcPr>
          <w:p w14:paraId="1C5DD9CC" w14:textId="77777777" w:rsidR="00436DAA" w:rsidRPr="00330234" w:rsidRDefault="009B4B8E" w:rsidP="00BD109B">
            <w:pPr>
              <w:pStyle w:val="TableParagraph"/>
              <w:widowControl/>
              <w:rPr>
                <w:sz w:val="20"/>
                <w:szCs w:val="20"/>
              </w:rPr>
            </w:pPr>
            <w:r w:rsidRPr="00330234">
              <w:rPr>
                <w:color w:val="131313"/>
                <w:sz w:val="20"/>
                <w:szCs w:val="20"/>
              </w:rPr>
              <w:t>Hypertensie</w:t>
            </w:r>
          </w:p>
        </w:tc>
        <w:tc>
          <w:tcPr>
            <w:tcW w:w="1386" w:type="dxa"/>
          </w:tcPr>
          <w:p w14:paraId="57793050" w14:textId="77777777" w:rsidR="00436DAA" w:rsidRPr="00330234" w:rsidRDefault="00436DAA" w:rsidP="00BD109B">
            <w:pPr>
              <w:pStyle w:val="TableParagraph"/>
              <w:widowControl/>
              <w:rPr>
                <w:sz w:val="20"/>
                <w:szCs w:val="20"/>
              </w:rPr>
            </w:pPr>
          </w:p>
        </w:tc>
        <w:tc>
          <w:tcPr>
            <w:tcW w:w="1344" w:type="dxa"/>
          </w:tcPr>
          <w:p w14:paraId="5F3F58A8" w14:textId="77777777" w:rsidR="00436DAA" w:rsidRPr="00330234" w:rsidRDefault="00436DAA" w:rsidP="00BD109B">
            <w:pPr>
              <w:pStyle w:val="TableParagraph"/>
              <w:widowControl/>
              <w:rPr>
                <w:sz w:val="20"/>
                <w:szCs w:val="20"/>
              </w:rPr>
            </w:pPr>
          </w:p>
        </w:tc>
      </w:tr>
      <w:tr w:rsidR="006B7C9C" w:rsidRPr="00330234" w14:paraId="543F6BAD" w14:textId="77777777" w:rsidTr="006B7C9C">
        <w:trPr>
          <w:trHeight w:val="20"/>
        </w:trPr>
        <w:tc>
          <w:tcPr>
            <w:tcW w:w="2557" w:type="dxa"/>
          </w:tcPr>
          <w:p w14:paraId="73D9562A" w14:textId="66D5B01D" w:rsidR="00436DAA" w:rsidRPr="00330234" w:rsidRDefault="009B4B8E" w:rsidP="00391FEC">
            <w:pPr>
              <w:pStyle w:val="TableParagraph"/>
              <w:widowControl/>
              <w:rPr>
                <w:sz w:val="20"/>
                <w:szCs w:val="20"/>
              </w:rPr>
            </w:pPr>
            <w:r w:rsidRPr="00330234">
              <w:rPr>
                <w:sz w:val="20"/>
                <w:szCs w:val="20"/>
              </w:rPr>
              <w:t>Ademhalingsstelsel-, borstkas- en mediastinumaandoeningen</w:t>
            </w:r>
          </w:p>
        </w:tc>
        <w:tc>
          <w:tcPr>
            <w:tcW w:w="1988" w:type="dxa"/>
          </w:tcPr>
          <w:p w14:paraId="73CB84BD" w14:textId="77777777" w:rsidR="00436DAA" w:rsidRPr="00330234" w:rsidRDefault="00436DAA" w:rsidP="00BD109B">
            <w:pPr>
              <w:pStyle w:val="TableParagraph"/>
              <w:widowControl/>
              <w:rPr>
                <w:sz w:val="20"/>
                <w:szCs w:val="20"/>
              </w:rPr>
            </w:pPr>
          </w:p>
        </w:tc>
        <w:tc>
          <w:tcPr>
            <w:tcW w:w="1791" w:type="dxa"/>
          </w:tcPr>
          <w:p w14:paraId="61B02DAF" w14:textId="77777777" w:rsidR="00436DAA" w:rsidRPr="00330234" w:rsidRDefault="009B4B8E" w:rsidP="00BD109B">
            <w:pPr>
              <w:pStyle w:val="TableParagraph"/>
              <w:widowControl/>
              <w:rPr>
                <w:sz w:val="20"/>
                <w:szCs w:val="20"/>
              </w:rPr>
            </w:pPr>
            <w:r w:rsidRPr="00330234">
              <w:rPr>
                <w:sz w:val="20"/>
                <w:szCs w:val="20"/>
              </w:rPr>
              <w:t>Hoesten, Dyspneu</w:t>
            </w:r>
          </w:p>
        </w:tc>
        <w:tc>
          <w:tcPr>
            <w:tcW w:w="1386" w:type="dxa"/>
          </w:tcPr>
          <w:p w14:paraId="3ED5897C" w14:textId="77777777" w:rsidR="00436DAA" w:rsidRPr="00330234" w:rsidRDefault="00436DAA" w:rsidP="00BD109B">
            <w:pPr>
              <w:pStyle w:val="TableParagraph"/>
              <w:widowControl/>
              <w:rPr>
                <w:sz w:val="20"/>
                <w:szCs w:val="20"/>
              </w:rPr>
            </w:pPr>
          </w:p>
        </w:tc>
        <w:tc>
          <w:tcPr>
            <w:tcW w:w="1344" w:type="dxa"/>
          </w:tcPr>
          <w:p w14:paraId="21083E01" w14:textId="77777777" w:rsidR="00436DAA" w:rsidRPr="00330234" w:rsidRDefault="00436DAA" w:rsidP="00BD109B">
            <w:pPr>
              <w:pStyle w:val="TableParagraph"/>
              <w:widowControl/>
              <w:rPr>
                <w:sz w:val="20"/>
                <w:szCs w:val="20"/>
              </w:rPr>
            </w:pPr>
          </w:p>
        </w:tc>
      </w:tr>
      <w:tr w:rsidR="006B7C9C" w:rsidRPr="00330234" w14:paraId="7963ACA5" w14:textId="77777777" w:rsidTr="006B7C9C">
        <w:trPr>
          <w:trHeight w:val="20"/>
        </w:trPr>
        <w:tc>
          <w:tcPr>
            <w:tcW w:w="2557" w:type="dxa"/>
          </w:tcPr>
          <w:p w14:paraId="2012B859" w14:textId="77777777" w:rsidR="00436DAA" w:rsidRPr="00330234" w:rsidRDefault="009B4B8E" w:rsidP="00BD109B">
            <w:pPr>
              <w:pStyle w:val="TableParagraph"/>
              <w:widowControl/>
              <w:rPr>
                <w:sz w:val="20"/>
                <w:szCs w:val="20"/>
              </w:rPr>
            </w:pPr>
            <w:r w:rsidRPr="00330234">
              <w:rPr>
                <w:sz w:val="20"/>
                <w:szCs w:val="20"/>
              </w:rPr>
              <w:t>Maagdarmstelsel- aandoeningen</w:t>
            </w:r>
          </w:p>
        </w:tc>
        <w:tc>
          <w:tcPr>
            <w:tcW w:w="1988" w:type="dxa"/>
          </w:tcPr>
          <w:p w14:paraId="0936E269" w14:textId="77777777" w:rsidR="00436DAA" w:rsidRPr="00330234" w:rsidRDefault="00436DAA" w:rsidP="00BD109B">
            <w:pPr>
              <w:pStyle w:val="TableParagraph"/>
              <w:widowControl/>
              <w:rPr>
                <w:sz w:val="20"/>
                <w:szCs w:val="20"/>
              </w:rPr>
            </w:pPr>
          </w:p>
        </w:tc>
        <w:tc>
          <w:tcPr>
            <w:tcW w:w="1791" w:type="dxa"/>
          </w:tcPr>
          <w:p w14:paraId="199892D7" w14:textId="77777777" w:rsidR="00436DAA" w:rsidRPr="00330234" w:rsidRDefault="009B4B8E" w:rsidP="00BD109B">
            <w:pPr>
              <w:pStyle w:val="TableParagraph"/>
              <w:widowControl/>
              <w:rPr>
                <w:sz w:val="20"/>
                <w:szCs w:val="20"/>
              </w:rPr>
            </w:pPr>
            <w:r w:rsidRPr="00330234">
              <w:rPr>
                <w:sz w:val="20"/>
                <w:szCs w:val="20"/>
              </w:rPr>
              <w:t>Buikpijn, Ulceraties in de mond, Gastritis</w:t>
            </w:r>
          </w:p>
        </w:tc>
        <w:tc>
          <w:tcPr>
            <w:tcW w:w="1386" w:type="dxa"/>
          </w:tcPr>
          <w:p w14:paraId="0D45FA88" w14:textId="77777777" w:rsidR="00436DAA" w:rsidRPr="00330234" w:rsidRDefault="009B4B8E" w:rsidP="00BD109B">
            <w:pPr>
              <w:pStyle w:val="TableParagraph"/>
              <w:widowControl/>
              <w:rPr>
                <w:sz w:val="20"/>
                <w:szCs w:val="20"/>
              </w:rPr>
            </w:pPr>
            <w:r w:rsidRPr="00330234">
              <w:rPr>
                <w:sz w:val="20"/>
                <w:szCs w:val="20"/>
              </w:rPr>
              <w:t>Stomatitis, Maagulcus</w:t>
            </w:r>
          </w:p>
        </w:tc>
        <w:tc>
          <w:tcPr>
            <w:tcW w:w="1344" w:type="dxa"/>
          </w:tcPr>
          <w:p w14:paraId="50A8DE44" w14:textId="77777777" w:rsidR="00436DAA" w:rsidRPr="00330234" w:rsidRDefault="00436DAA" w:rsidP="00BD109B">
            <w:pPr>
              <w:pStyle w:val="TableParagraph"/>
              <w:widowControl/>
              <w:rPr>
                <w:sz w:val="20"/>
                <w:szCs w:val="20"/>
              </w:rPr>
            </w:pPr>
          </w:p>
        </w:tc>
      </w:tr>
      <w:tr w:rsidR="006B7C9C" w:rsidRPr="00330234" w14:paraId="6A5489B7" w14:textId="77777777" w:rsidTr="006B7C9C">
        <w:trPr>
          <w:trHeight w:val="20"/>
        </w:trPr>
        <w:tc>
          <w:tcPr>
            <w:tcW w:w="2557" w:type="dxa"/>
          </w:tcPr>
          <w:p w14:paraId="7FE31CE4" w14:textId="77777777" w:rsidR="00436DAA" w:rsidRPr="00330234" w:rsidRDefault="009B4B8E" w:rsidP="00BD109B">
            <w:pPr>
              <w:pStyle w:val="TableParagraph"/>
              <w:widowControl/>
              <w:rPr>
                <w:sz w:val="20"/>
                <w:szCs w:val="20"/>
              </w:rPr>
            </w:pPr>
            <w:r w:rsidRPr="00330234">
              <w:rPr>
                <w:sz w:val="20"/>
                <w:szCs w:val="20"/>
              </w:rPr>
              <w:t>Lever- en galaandoeningen</w:t>
            </w:r>
          </w:p>
        </w:tc>
        <w:tc>
          <w:tcPr>
            <w:tcW w:w="1988" w:type="dxa"/>
          </w:tcPr>
          <w:p w14:paraId="46D846D9" w14:textId="77777777" w:rsidR="00436DAA" w:rsidRPr="00330234" w:rsidRDefault="00436DAA" w:rsidP="00BD109B">
            <w:pPr>
              <w:pStyle w:val="TableParagraph"/>
              <w:widowControl/>
              <w:rPr>
                <w:sz w:val="20"/>
                <w:szCs w:val="20"/>
              </w:rPr>
            </w:pPr>
          </w:p>
        </w:tc>
        <w:tc>
          <w:tcPr>
            <w:tcW w:w="1791" w:type="dxa"/>
          </w:tcPr>
          <w:p w14:paraId="7222BB96" w14:textId="77777777" w:rsidR="00436DAA" w:rsidRPr="00330234" w:rsidRDefault="00436DAA" w:rsidP="00BD109B">
            <w:pPr>
              <w:pStyle w:val="TableParagraph"/>
              <w:widowControl/>
              <w:rPr>
                <w:sz w:val="20"/>
                <w:szCs w:val="20"/>
              </w:rPr>
            </w:pPr>
          </w:p>
        </w:tc>
        <w:tc>
          <w:tcPr>
            <w:tcW w:w="1386" w:type="dxa"/>
          </w:tcPr>
          <w:p w14:paraId="398351A5" w14:textId="77777777" w:rsidR="00436DAA" w:rsidRPr="00330234" w:rsidRDefault="00436DAA" w:rsidP="00BD109B">
            <w:pPr>
              <w:pStyle w:val="TableParagraph"/>
              <w:widowControl/>
              <w:rPr>
                <w:sz w:val="20"/>
                <w:szCs w:val="20"/>
              </w:rPr>
            </w:pPr>
          </w:p>
        </w:tc>
        <w:tc>
          <w:tcPr>
            <w:tcW w:w="1344" w:type="dxa"/>
          </w:tcPr>
          <w:p w14:paraId="7DDFECFF" w14:textId="77777777" w:rsidR="00436DAA" w:rsidRPr="00330234" w:rsidRDefault="009B4B8E" w:rsidP="00BD109B">
            <w:pPr>
              <w:pStyle w:val="TableParagraph"/>
              <w:widowControl/>
              <w:rPr>
                <w:sz w:val="20"/>
                <w:szCs w:val="20"/>
              </w:rPr>
            </w:pPr>
            <w:r w:rsidRPr="00330234">
              <w:rPr>
                <w:sz w:val="20"/>
                <w:szCs w:val="20"/>
              </w:rPr>
              <w:t>Geneesmiddel- geïnduceerde leverschade, Hepatitis, Geelzucht.</w:t>
            </w:r>
          </w:p>
          <w:p w14:paraId="1293EC79" w14:textId="77777777" w:rsidR="00436DAA" w:rsidRPr="00330234" w:rsidRDefault="009B4B8E" w:rsidP="00BD109B">
            <w:pPr>
              <w:pStyle w:val="TableParagraph"/>
              <w:widowControl/>
              <w:rPr>
                <w:sz w:val="20"/>
                <w:szCs w:val="20"/>
              </w:rPr>
            </w:pPr>
            <w:r w:rsidRPr="00330234">
              <w:rPr>
                <w:sz w:val="20"/>
                <w:szCs w:val="20"/>
              </w:rPr>
              <w:t>Zeer zelden:</w:t>
            </w:r>
          </w:p>
          <w:p w14:paraId="4FE39EEB" w14:textId="77777777" w:rsidR="00436DAA" w:rsidRPr="00330234" w:rsidRDefault="009B4B8E" w:rsidP="00BD109B">
            <w:pPr>
              <w:pStyle w:val="TableParagraph"/>
              <w:widowControl/>
              <w:rPr>
                <w:sz w:val="20"/>
                <w:szCs w:val="20"/>
              </w:rPr>
            </w:pPr>
            <w:r w:rsidRPr="00330234">
              <w:rPr>
                <w:sz w:val="20"/>
                <w:szCs w:val="20"/>
              </w:rPr>
              <w:t>Leverfalen</w:t>
            </w:r>
          </w:p>
        </w:tc>
      </w:tr>
      <w:tr w:rsidR="006B7C9C" w:rsidRPr="00330234" w14:paraId="50C776D7" w14:textId="77777777" w:rsidTr="006B7C9C">
        <w:trPr>
          <w:trHeight w:val="20"/>
        </w:trPr>
        <w:tc>
          <w:tcPr>
            <w:tcW w:w="2557" w:type="dxa"/>
          </w:tcPr>
          <w:p w14:paraId="48342458" w14:textId="77777777" w:rsidR="00436DAA" w:rsidRPr="00330234" w:rsidRDefault="009B4B8E" w:rsidP="00BD109B">
            <w:pPr>
              <w:pStyle w:val="TableParagraph"/>
              <w:widowControl/>
              <w:rPr>
                <w:sz w:val="20"/>
                <w:szCs w:val="20"/>
              </w:rPr>
            </w:pPr>
            <w:r w:rsidRPr="00330234">
              <w:rPr>
                <w:sz w:val="20"/>
                <w:szCs w:val="20"/>
              </w:rPr>
              <w:t>Huid- en onderhuidaandoeningen</w:t>
            </w:r>
          </w:p>
        </w:tc>
        <w:tc>
          <w:tcPr>
            <w:tcW w:w="1988" w:type="dxa"/>
          </w:tcPr>
          <w:p w14:paraId="13632F45" w14:textId="77777777" w:rsidR="00436DAA" w:rsidRPr="00330234" w:rsidRDefault="00436DAA" w:rsidP="00BD109B">
            <w:pPr>
              <w:pStyle w:val="TableParagraph"/>
              <w:widowControl/>
              <w:rPr>
                <w:sz w:val="20"/>
                <w:szCs w:val="20"/>
              </w:rPr>
            </w:pPr>
          </w:p>
        </w:tc>
        <w:tc>
          <w:tcPr>
            <w:tcW w:w="1791" w:type="dxa"/>
          </w:tcPr>
          <w:p w14:paraId="5F1921BD" w14:textId="77777777" w:rsidR="00436DAA" w:rsidRPr="00330234" w:rsidRDefault="009B4B8E" w:rsidP="00BD109B">
            <w:pPr>
              <w:pStyle w:val="TableParagraph"/>
              <w:widowControl/>
              <w:rPr>
                <w:sz w:val="20"/>
                <w:szCs w:val="20"/>
              </w:rPr>
            </w:pPr>
            <w:r w:rsidRPr="00330234">
              <w:rPr>
                <w:sz w:val="20"/>
                <w:szCs w:val="20"/>
              </w:rPr>
              <w:t>Huiduitslag, Pruritus, Urticaria</w:t>
            </w:r>
          </w:p>
        </w:tc>
        <w:tc>
          <w:tcPr>
            <w:tcW w:w="1386" w:type="dxa"/>
          </w:tcPr>
          <w:p w14:paraId="623027ED" w14:textId="77777777" w:rsidR="00436DAA" w:rsidRPr="00330234" w:rsidRDefault="00436DAA" w:rsidP="00BD109B">
            <w:pPr>
              <w:pStyle w:val="TableParagraph"/>
              <w:widowControl/>
              <w:rPr>
                <w:sz w:val="20"/>
                <w:szCs w:val="20"/>
              </w:rPr>
            </w:pPr>
          </w:p>
        </w:tc>
        <w:tc>
          <w:tcPr>
            <w:tcW w:w="1344" w:type="dxa"/>
          </w:tcPr>
          <w:p w14:paraId="6C7887E3" w14:textId="77777777" w:rsidR="00436DAA" w:rsidRPr="00330234" w:rsidRDefault="009B4B8E" w:rsidP="00BD109B">
            <w:pPr>
              <w:pStyle w:val="TableParagraph"/>
              <w:widowControl/>
              <w:rPr>
                <w:sz w:val="20"/>
                <w:szCs w:val="20"/>
              </w:rPr>
            </w:pPr>
            <w:r w:rsidRPr="00330234">
              <w:rPr>
                <w:sz w:val="20"/>
                <w:szCs w:val="20"/>
              </w:rPr>
              <w:t>Stevens-</w:t>
            </w:r>
          </w:p>
          <w:p w14:paraId="6701F2AB" w14:textId="7007C161" w:rsidR="00436DAA" w:rsidRPr="00330234" w:rsidRDefault="009B4B8E" w:rsidP="00BD109B">
            <w:pPr>
              <w:pStyle w:val="TableParagraph"/>
              <w:widowControl/>
              <w:rPr>
                <w:sz w:val="20"/>
                <w:szCs w:val="20"/>
              </w:rPr>
            </w:pPr>
            <w:r w:rsidRPr="00330234">
              <w:rPr>
                <w:sz w:val="20"/>
                <w:szCs w:val="20"/>
              </w:rPr>
              <w:t>Johnson-syndroom</w:t>
            </w:r>
            <w:r w:rsidRPr="00330234">
              <w:rPr>
                <w:sz w:val="20"/>
                <w:szCs w:val="20"/>
                <w:vertAlign w:val="superscript"/>
              </w:rPr>
              <w:t>3</w:t>
            </w:r>
          </w:p>
        </w:tc>
      </w:tr>
      <w:tr w:rsidR="006B7C9C" w:rsidRPr="00330234" w14:paraId="2FBED232" w14:textId="77777777" w:rsidTr="006B7C9C">
        <w:trPr>
          <w:trHeight w:val="20"/>
        </w:trPr>
        <w:tc>
          <w:tcPr>
            <w:tcW w:w="2557" w:type="dxa"/>
          </w:tcPr>
          <w:p w14:paraId="0F270574" w14:textId="77777777" w:rsidR="00436DAA" w:rsidRPr="00330234" w:rsidRDefault="009B4B8E" w:rsidP="00BD109B">
            <w:pPr>
              <w:pStyle w:val="TableParagraph"/>
              <w:widowControl/>
              <w:rPr>
                <w:sz w:val="20"/>
                <w:szCs w:val="20"/>
              </w:rPr>
            </w:pPr>
            <w:r w:rsidRPr="00330234">
              <w:rPr>
                <w:sz w:val="20"/>
                <w:szCs w:val="20"/>
              </w:rPr>
              <w:lastRenderedPageBreak/>
              <w:t>Nier- en urinewegaandoeningen</w:t>
            </w:r>
          </w:p>
        </w:tc>
        <w:tc>
          <w:tcPr>
            <w:tcW w:w="1988" w:type="dxa"/>
          </w:tcPr>
          <w:p w14:paraId="6708E378" w14:textId="77777777" w:rsidR="00436DAA" w:rsidRPr="00330234" w:rsidRDefault="00436DAA" w:rsidP="00BD109B">
            <w:pPr>
              <w:pStyle w:val="TableParagraph"/>
              <w:widowControl/>
              <w:rPr>
                <w:sz w:val="20"/>
                <w:szCs w:val="20"/>
              </w:rPr>
            </w:pPr>
          </w:p>
        </w:tc>
        <w:tc>
          <w:tcPr>
            <w:tcW w:w="1791" w:type="dxa"/>
          </w:tcPr>
          <w:p w14:paraId="5B0B5280" w14:textId="77777777" w:rsidR="00436DAA" w:rsidRPr="00330234" w:rsidRDefault="00436DAA" w:rsidP="00BD109B">
            <w:pPr>
              <w:pStyle w:val="TableParagraph"/>
              <w:widowControl/>
              <w:rPr>
                <w:sz w:val="20"/>
                <w:szCs w:val="20"/>
              </w:rPr>
            </w:pPr>
          </w:p>
        </w:tc>
        <w:tc>
          <w:tcPr>
            <w:tcW w:w="1386" w:type="dxa"/>
          </w:tcPr>
          <w:p w14:paraId="5C68E585" w14:textId="77777777" w:rsidR="00436DAA" w:rsidRPr="00330234" w:rsidRDefault="009B4B8E" w:rsidP="00BD109B">
            <w:pPr>
              <w:pStyle w:val="TableParagraph"/>
              <w:widowControl/>
              <w:rPr>
                <w:sz w:val="20"/>
                <w:szCs w:val="20"/>
              </w:rPr>
            </w:pPr>
            <w:r w:rsidRPr="00330234">
              <w:rPr>
                <w:sz w:val="20"/>
                <w:szCs w:val="20"/>
              </w:rPr>
              <w:t>Nefrolithiase</w:t>
            </w:r>
          </w:p>
        </w:tc>
        <w:tc>
          <w:tcPr>
            <w:tcW w:w="1344" w:type="dxa"/>
          </w:tcPr>
          <w:p w14:paraId="3F3A042C" w14:textId="77777777" w:rsidR="00436DAA" w:rsidRPr="00330234" w:rsidRDefault="00436DAA" w:rsidP="00BD109B">
            <w:pPr>
              <w:pStyle w:val="TableParagraph"/>
              <w:widowControl/>
              <w:rPr>
                <w:sz w:val="20"/>
                <w:szCs w:val="20"/>
              </w:rPr>
            </w:pPr>
          </w:p>
        </w:tc>
      </w:tr>
      <w:tr w:rsidR="006B7C9C" w:rsidRPr="00330234" w14:paraId="188FB5B4" w14:textId="77777777" w:rsidTr="006B7C9C">
        <w:trPr>
          <w:trHeight w:val="20"/>
        </w:trPr>
        <w:tc>
          <w:tcPr>
            <w:tcW w:w="2557" w:type="dxa"/>
          </w:tcPr>
          <w:p w14:paraId="46928335" w14:textId="77777777" w:rsidR="00436DAA" w:rsidRPr="00330234" w:rsidRDefault="009B4B8E" w:rsidP="00BD109B">
            <w:pPr>
              <w:pStyle w:val="TableParagraph"/>
              <w:widowControl/>
              <w:rPr>
                <w:sz w:val="20"/>
                <w:szCs w:val="20"/>
              </w:rPr>
            </w:pPr>
            <w:r w:rsidRPr="00330234">
              <w:rPr>
                <w:sz w:val="20"/>
                <w:szCs w:val="20"/>
              </w:rPr>
              <w:t>Algemene aandoeningen en toedieningsplaats-</w:t>
            </w:r>
          </w:p>
          <w:p w14:paraId="7DC0672F" w14:textId="77777777" w:rsidR="00436DAA" w:rsidRPr="00330234" w:rsidRDefault="009B4B8E" w:rsidP="00BD109B">
            <w:pPr>
              <w:pStyle w:val="TableParagraph"/>
              <w:widowControl/>
              <w:rPr>
                <w:sz w:val="20"/>
                <w:szCs w:val="20"/>
              </w:rPr>
            </w:pPr>
            <w:r w:rsidRPr="00330234">
              <w:rPr>
                <w:sz w:val="20"/>
                <w:szCs w:val="20"/>
              </w:rPr>
              <w:t>stoornissen</w:t>
            </w:r>
          </w:p>
        </w:tc>
        <w:tc>
          <w:tcPr>
            <w:tcW w:w="1988" w:type="dxa"/>
          </w:tcPr>
          <w:p w14:paraId="59437B98" w14:textId="77777777" w:rsidR="00436DAA" w:rsidRPr="00330234" w:rsidRDefault="009B4B8E" w:rsidP="00BD109B">
            <w:pPr>
              <w:pStyle w:val="TableParagraph"/>
              <w:widowControl/>
              <w:rPr>
                <w:sz w:val="20"/>
                <w:szCs w:val="20"/>
              </w:rPr>
            </w:pPr>
            <w:r w:rsidRPr="00330234">
              <w:rPr>
                <w:sz w:val="20"/>
                <w:szCs w:val="20"/>
              </w:rPr>
              <w:t>Reacties op de injectieplaats</w:t>
            </w:r>
          </w:p>
        </w:tc>
        <w:tc>
          <w:tcPr>
            <w:tcW w:w="1791" w:type="dxa"/>
          </w:tcPr>
          <w:p w14:paraId="71A4F398" w14:textId="01235275" w:rsidR="00436DAA" w:rsidRPr="00330234" w:rsidRDefault="009B4B8E" w:rsidP="000433F9">
            <w:pPr>
              <w:pStyle w:val="TableParagraph"/>
              <w:widowControl/>
              <w:rPr>
                <w:sz w:val="20"/>
                <w:szCs w:val="20"/>
              </w:rPr>
            </w:pPr>
            <w:r w:rsidRPr="00330234">
              <w:rPr>
                <w:sz w:val="20"/>
                <w:szCs w:val="20"/>
              </w:rPr>
              <w:t>Perifeer oedeem, Overgevoeligheids-reactie</w:t>
            </w:r>
          </w:p>
        </w:tc>
        <w:tc>
          <w:tcPr>
            <w:tcW w:w="1386" w:type="dxa"/>
          </w:tcPr>
          <w:p w14:paraId="6022152A" w14:textId="77777777" w:rsidR="00436DAA" w:rsidRPr="00330234" w:rsidRDefault="00436DAA" w:rsidP="00BD109B">
            <w:pPr>
              <w:pStyle w:val="TableParagraph"/>
              <w:widowControl/>
              <w:rPr>
                <w:sz w:val="20"/>
                <w:szCs w:val="20"/>
              </w:rPr>
            </w:pPr>
          </w:p>
        </w:tc>
        <w:tc>
          <w:tcPr>
            <w:tcW w:w="1344" w:type="dxa"/>
          </w:tcPr>
          <w:p w14:paraId="1692CB58" w14:textId="77777777" w:rsidR="00436DAA" w:rsidRPr="00330234" w:rsidRDefault="00436DAA" w:rsidP="00BD109B">
            <w:pPr>
              <w:pStyle w:val="TableParagraph"/>
              <w:widowControl/>
              <w:rPr>
                <w:sz w:val="20"/>
                <w:szCs w:val="20"/>
              </w:rPr>
            </w:pPr>
          </w:p>
        </w:tc>
      </w:tr>
      <w:tr w:rsidR="006B7C9C" w:rsidRPr="00330234" w14:paraId="06964800" w14:textId="77777777" w:rsidTr="006B7C9C">
        <w:trPr>
          <w:trHeight w:val="20"/>
        </w:trPr>
        <w:tc>
          <w:tcPr>
            <w:tcW w:w="2557" w:type="dxa"/>
          </w:tcPr>
          <w:p w14:paraId="5C3A7FD9" w14:textId="77777777" w:rsidR="00436DAA" w:rsidRPr="00330234" w:rsidRDefault="009B4B8E" w:rsidP="00BD109B">
            <w:pPr>
              <w:pStyle w:val="TableParagraph"/>
              <w:widowControl/>
              <w:rPr>
                <w:sz w:val="20"/>
                <w:szCs w:val="20"/>
              </w:rPr>
            </w:pPr>
            <w:r w:rsidRPr="00330234">
              <w:rPr>
                <w:sz w:val="20"/>
                <w:szCs w:val="20"/>
              </w:rPr>
              <w:t>Onderzoeken</w:t>
            </w:r>
          </w:p>
        </w:tc>
        <w:tc>
          <w:tcPr>
            <w:tcW w:w="1988" w:type="dxa"/>
          </w:tcPr>
          <w:p w14:paraId="4B479048" w14:textId="77777777" w:rsidR="00436DAA" w:rsidRPr="00330234" w:rsidRDefault="00436DAA" w:rsidP="00BD109B">
            <w:pPr>
              <w:pStyle w:val="TableParagraph"/>
              <w:widowControl/>
              <w:rPr>
                <w:sz w:val="20"/>
                <w:szCs w:val="20"/>
              </w:rPr>
            </w:pPr>
          </w:p>
        </w:tc>
        <w:tc>
          <w:tcPr>
            <w:tcW w:w="1791" w:type="dxa"/>
          </w:tcPr>
          <w:p w14:paraId="1376FBF1" w14:textId="77777777" w:rsidR="00436DAA" w:rsidRPr="00330234" w:rsidRDefault="009B4B8E" w:rsidP="00BD109B">
            <w:pPr>
              <w:pStyle w:val="TableParagraph"/>
              <w:widowControl/>
              <w:rPr>
                <w:sz w:val="20"/>
                <w:szCs w:val="20"/>
              </w:rPr>
            </w:pPr>
            <w:r w:rsidRPr="00330234">
              <w:rPr>
                <w:sz w:val="20"/>
                <w:szCs w:val="20"/>
              </w:rPr>
              <w:t>Levertransaminasen- stijging, Gewichtstoename, Stijging totaal</w:t>
            </w:r>
          </w:p>
          <w:p w14:paraId="56AC0199" w14:textId="77777777" w:rsidR="00436DAA" w:rsidRPr="00330234" w:rsidRDefault="009B4B8E" w:rsidP="00BD109B">
            <w:pPr>
              <w:pStyle w:val="TableParagraph"/>
              <w:widowControl/>
              <w:rPr>
                <w:sz w:val="20"/>
                <w:szCs w:val="20"/>
              </w:rPr>
            </w:pPr>
            <w:r w:rsidRPr="00330234">
              <w:rPr>
                <w:sz w:val="20"/>
                <w:szCs w:val="20"/>
              </w:rPr>
              <w:t>bilirubine*</w:t>
            </w:r>
          </w:p>
        </w:tc>
        <w:tc>
          <w:tcPr>
            <w:tcW w:w="1386" w:type="dxa"/>
          </w:tcPr>
          <w:p w14:paraId="1FC63B80" w14:textId="77777777" w:rsidR="00436DAA" w:rsidRPr="00330234" w:rsidRDefault="00436DAA" w:rsidP="00BD109B">
            <w:pPr>
              <w:pStyle w:val="TableParagraph"/>
              <w:widowControl/>
              <w:rPr>
                <w:sz w:val="20"/>
                <w:szCs w:val="20"/>
              </w:rPr>
            </w:pPr>
          </w:p>
        </w:tc>
        <w:tc>
          <w:tcPr>
            <w:tcW w:w="1344" w:type="dxa"/>
          </w:tcPr>
          <w:p w14:paraId="12E56D14" w14:textId="77777777" w:rsidR="00436DAA" w:rsidRPr="00330234" w:rsidRDefault="00436DAA" w:rsidP="00BD109B">
            <w:pPr>
              <w:pStyle w:val="TableParagraph"/>
              <w:widowControl/>
              <w:rPr>
                <w:sz w:val="20"/>
                <w:szCs w:val="20"/>
              </w:rPr>
            </w:pPr>
          </w:p>
        </w:tc>
      </w:tr>
    </w:tbl>
    <w:p w14:paraId="4E54D029" w14:textId="3D112B1C" w:rsidR="00436DAA" w:rsidRPr="00330234" w:rsidRDefault="009B4B8E" w:rsidP="006B7C9C">
      <w:pPr>
        <w:widowControl/>
        <w:ind w:left="284" w:hanging="284"/>
        <w:rPr>
          <w:sz w:val="18"/>
          <w:szCs w:val="18"/>
        </w:rPr>
      </w:pPr>
      <w:r w:rsidRPr="00330234">
        <w:rPr>
          <w:sz w:val="18"/>
          <w:szCs w:val="18"/>
        </w:rPr>
        <w:t>*</w:t>
      </w:r>
      <w:r w:rsidR="006B7C9C" w:rsidRPr="00330234">
        <w:rPr>
          <w:sz w:val="18"/>
          <w:szCs w:val="18"/>
        </w:rPr>
        <w:tab/>
      </w:r>
      <w:r w:rsidRPr="00330234">
        <w:rPr>
          <w:sz w:val="18"/>
          <w:szCs w:val="18"/>
        </w:rPr>
        <w:t>inclusief verhogingen welke verzameld zijn via routinematige controles in een laboratorium (zie tekst hieronder)</w:t>
      </w:r>
    </w:p>
    <w:p w14:paraId="26C29C86" w14:textId="713B4459" w:rsidR="00436DAA" w:rsidRPr="00330234" w:rsidRDefault="009B4B8E" w:rsidP="006B7C9C">
      <w:pPr>
        <w:widowControl/>
        <w:ind w:left="284" w:hanging="284"/>
        <w:rPr>
          <w:sz w:val="18"/>
          <w:szCs w:val="18"/>
        </w:rPr>
      </w:pPr>
      <w:r w:rsidRPr="00330234">
        <w:rPr>
          <w:sz w:val="18"/>
          <w:szCs w:val="18"/>
          <w:vertAlign w:val="superscript"/>
        </w:rPr>
        <w:t>1</w:t>
      </w:r>
      <w:r w:rsidR="006B7C9C" w:rsidRPr="00330234">
        <w:rPr>
          <w:sz w:val="18"/>
          <w:szCs w:val="18"/>
        </w:rPr>
        <w:tab/>
      </w:r>
      <w:r w:rsidRPr="00330234">
        <w:rPr>
          <w:sz w:val="18"/>
          <w:szCs w:val="18"/>
        </w:rPr>
        <w:t>Zie rubriek 4.3</w:t>
      </w:r>
    </w:p>
    <w:p w14:paraId="12FB7C2D" w14:textId="73890DF5" w:rsidR="00436DAA" w:rsidRPr="00330234" w:rsidRDefault="009B4B8E" w:rsidP="006B7C9C">
      <w:pPr>
        <w:widowControl/>
        <w:ind w:left="284" w:hanging="284"/>
        <w:rPr>
          <w:sz w:val="18"/>
          <w:szCs w:val="18"/>
        </w:rPr>
      </w:pPr>
      <w:r w:rsidRPr="00330234">
        <w:rPr>
          <w:sz w:val="18"/>
          <w:szCs w:val="18"/>
          <w:vertAlign w:val="superscript"/>
        </w:rPr>
        <w:t>2</w:t>
      </w:r>
      <w:r w:rsidR="006B7C9C" w:rsidRPr="00330234">
        <w:rPr>
          <w:sz w:val="18"/>
          <w:szCs w:val="18"/>
        </w:rPr>
        <w:tab/>
      </w:r>
      <w:r w:rsidRPr="00330234">
        <w:rPr>
          <w:sz w:val="18"/>
          <w:szCs w:val="18"/>
        </w:rPr>
        <w:t>Zie rubriek 4.4</w:t>
      </w:r>
    </w:p>
    <w:p w14:paraId="54D7865D" w14:textId="1FAA6905" w:rsidR="00436DAA" w:rsidRPr="00330234" w:rsidRDefault="009B4B8E" w:rsidP="006B7C9C">
      <w:pPr>
        <w:widowControl/>
        <w:ind w:left="284" w:hanging="284"/>
        <w:rPr>
          <w:sz w:val="18"/>
          <w:szCs w:val="18"/>
        </w:rPr>
      </w:pPr>
      <w:r w:rsidRPr="00330234">
        <w:rPr>
          <w:sz w:val="18"/>
          <w:szCs w:val="18"/>
          <w:vertAlign w:val="superscript"/>
        </w:rPr>
        <w:t>3</w:t>
      </w:r>
      <w:r w:rsidR="006B7C9C" w:rsidRPr="00330234">
        <w:rPr>
          <w:sz w:val="18"/>
          <w:szCs w:val="18"/>
        </w:rPr>
        <w:tab/>
      </w:r>
      <w:r w:rsidRPr="00330234">
        <w:rPr>
          <w:sz w:val="18"/>
          <w:szCs w:val="18"/>
        </w:rPr>
        <w:t>Deze bijwerking werd gemeld na het in de handel brengen, maar werd niet waargenomen tijdens gecontroleerde klinische onderzoeken. De frequentiecategorie is geschat als de bovengrens van het 95% betrouwbaarheidsinterval berekend op basis van het totaal aantal patiënten blootgesteld aan tocilizumab in klinische onderzoeken.</w:t>
      </w:r>
    </w:p>
    <w:p w14:paraId="6B4A8A94" w14:textId="77777777" w:rsidR="00436DAA" w:rsidRPr="00330234" w:rsidRDefault="00436DAA" w:rsidP="00BD109B">
      <w:pPr>
        <w:pStyle w:val="a3"/>
        <w:widowControl/>
        <w:ind w:left="0"/>
      </w:pPr>
    </w:p>
    <w:p w14:paraId="25B34614" w14:textId="77777777" w:rsidR="00436DAA" w:rsidRPr="00330234" w:rsidRDefault="009B4B8E" w:rsidP="00BD109B">
      <w:pPr>
        <w:pStyle w:val="a3"/>
        <w:widowControl/>
        <w:ind w:left="0"/>
      </w:pPr>
      <w:r w:rsidRPr="00330234">
        <w:rPr>
          <w:u w:val="single"/>
        </w:rPr>
        <w:t>Subcutaan gebruik</w:t>
      </w:r>
    </w:p>
    <w:p w14:paraId="69943FE9" w14:textId="77777777" w:rsidR="00436DAA" w:rsidRPr="000571FE" w:rsidRDefault="009B4B8E" w:rsidP="000571FE">
      <w:pPr>
        <w:rPr>
          <w:b/>
          <w:bCs/>
        </w:rPr>
      </w:pPr>
      <w:r w:rsidRPr="000571FE">
        <w:rPr>
          <w:b/>
          <w:bCs/>
        </w:rPr>
        <w:t>RA</w:t>
      </w:r>
    </w:p>
    <w:p w14:paraId="6042A3BC" w14:textId="7CAC78BE" w:rsidR="00436DAA" w:rsidRPr="00330234" w:rsidRDefault="009B4B8E" w:rsidP="00391FEC">
      <w:pPr>
        <w:pStyle w:val="a3"/>
        <w:widowControl/>
        <w:ind w:left="0"/>
      </w:pPr>
      <w:r w:rsidRPr="00330234">
        <w:t xml:space="preserve">De veiligheid van subcutane </w:t>
      </w:r>
      <w:r w:rsidR="00694B6D" w:rsidRPr="00330234">
        <w:t>tocilizumab</w:t>
      </w:r>
      <w:r w:rsidRPr="00330234">
        <w:t xml:space="preserve"> in RA is onderzocht in een dubbelblinde, gecontroleerde, multicenterstudie, SC-I. SC-I was een non-inferioriteitsstudie waarbij de werkzaamheid en veiligheid van subcutane </w:t>
      </w:r>
      <w:r w:rsidR="00694B6D" w:rsidRPr="00330234">
        <w:t>tocilizumab</w:t>
      </w:r>
      <w:r w:rsidRPr="00330234">
        <w:t xml:space="preserve"> 162 mg, wekelijks toegediend, werd vergeleken met 8 mg/kg intraveneuze</w:t>
      </w:r>
      <w:r w:rsidR="00391FEC" w:rsidRPr="00330234">
        <w:t xml:space="preserve"> </w:t>
      </w:r>
      <w:r w:rsidRPr="00330234">
        <w:t xml:space="preserve">toediening bij 1262 patiënten met RA. Alle patiënten kregen als achtergrondbehandeling </w:t>
      </w:r>
      <w:r w:rsidRPr="00330234">
        <w:rPr>
          <w:i/>
        </w:rPr>
        <w:t xml:space="preserve">non-biologic </w:t>
      </w:r>
      <w:r w:rsidRPr="00330234">
        <w:t xml:space="preserve">DMARD(’s). De veiligheid en immunogeniciteit, waargenomen voor subcutaan toegediende </w:t>
      </w:r>
      <w:r w:rsidR="00694B6D" w:rsidRPr="00330234">
        <w:t>tocilizumab</w:t>
      </w:r>
      <w:r w:rsidRPr="00330234">
        <w:t xml:space="preserve">, was gelijk aan het bekende veiligheidsprofiel van intraveneus toegediende </w:t>
      </w:r>
      <w:r w:rsidR="00694B6D" w:rsidRPr="00330234">
        <w:t>tocilizumab</w:t>
      </w:r>
      <w:r w:rsidRPr="00330234">
        <w:t xml:space="preserve"> en er werden geen nieuwe of onverwachte bijwerkingen waargenomen (zie tabel 1). Een hogere frequentie van reacties op de injectieplaats werd waargenomen in de subcutaan-armen vergeleken met de placebo subcutane injecties in de intraveneus-armen.</w:t>
      </w:r>
    </w:p>
    <w:p w14:paraId="539B8BCB" w14:textId="77777777" w:rsidR="000433F9" w:rsidRPr="00330234" w:rsidRDefault="000433F9" w:rsidP="00391FEC">
      <w:pPr>
        <w:pStyle w:val="a3"/>
        <w:widowControl/>
        <w:ind w:left="0"/>
      </w:pPr>
    </w:p>
    <w:p w14:paraId="77905542" w14:textId="77777777" w:rsidR="00436DAA" w:rsidRPr="00330234" w:rsidRDefault="009B4B8E" w:rsidP="00BD109B">
      <w:pPr>
        <w:widowControl/>
        <w:rPr>
          <w:i/>
        </w:rPr>
      </w:pPr>
      <w:r w:rsidRPr="00330234">
        <w:rPr>
          <w:i/>
        </w:rPr>
        <w:t>Reacties op de injectieplaats</w:t>
      </w:r>
    </w:p>
    <w:p w14:paraId="7723CFBE" w14:textId="7FA11A10" w:rsidR="00436DAA" w:rsidRPr="00330234" w:rsidRDefault="009B4B8E" w:rsidP="00BD109B">
      <w:pPr>
        <w:pStyle w:val="a3"/>
        <w:widowControl/>
        <w:ind w:left="0"/>
      </w:pPr>
      <w:r w:rsidRPr="00330234">
        <w:t xml:space="preserve">Tijdens de 6 maanden durende gecontroleerde periode in SC-I was de frequentie van reacties op de injectieplaats 10,1% (64/631) en 2,4% (15/631) voor respectievelijk de wekelijkse subcutane </w:t>
      </w:r>
      <w:r w:rsidR="00694B6D" w:rsidRPr="00330234">
        <w:t>tocilizumab</w:t>
      </w:r>
      <w:r w:rsidRPr="00330234">
        <w:t>-injecties en de wekelijkse subcutane placebo-injecties (intraveneus-groep). Deze reacties op de injectieplaats (waaronder erytheem, pruritus, pijn en hematoom) waren licht tot matig in ernst. Het merendeel verdween zonder enige behandeling en er was geen noodzaak om het geneesmiddel te staken.</w:t>
      </w:r>
    </w:p>
    <w:p w14:paraId="24C7E7D7" w14:textId="77777777" w:rsidR="000433F9" w:rsidRPr="00330234" w:rsidRDefault="000433F9" w:rsidP="00BD109B">
      <w:pPr>
        <w:pStyle w:val="a3"/>
        <w:widowControl/>
        <w:ind w:left="0"/>
      </w:pPr>
    </w:p>
    <w:p w14:paraId="7D163750" w14:textId="77777777" w:rsidR="000433F9" w:rsidRPr="00330234" w:rsidRDefault="009B4B8E" w:rsidP="00BD109B">
      <w:pPr>
        <w:widowControl/>
        <w:rPr>
          <w:i/>
        </w:rPr>
      </w:pPr>
      <w:r w:rsidRPr="00330234">
        <w:rPr>
          <w:i/>
        </w:rPr>
        <w:t>Hematologische afwijkingen</w:t>
      </w:r>
    </w:p>
    <w:p w14:paraId="0F25E801" w14:textId="791A32A7" w:rsidR="00436DAA" w:rsidRPr="00330234" w:rsidRDefault="009B4B8E" w:rsidP="00BD109B">
      <w:pPr>
        <w:widowControl/>
        <w:rPr>
          <w:i/>
        </w:rPr>
      </w:pPr>
      <w:r w:rsidRPr="00330234">
        <w:rPr>
          <w:i/>
        </w:rPr>
        <w:t>Neutrofielen</w:t>
      </w:r>
    </w:p>
    <w:p w14:paraId="3C423818" w14:textId="4A2C3527" w:rsidR="00436DAA" w:rsidRPr="00330234" w:rsidRDefault="009B4B8E" w:rsidP="00BD109B">
      <w:pPr>
        <w:pStyle w:val="a3"/>
        <w:widowControl/>
        <w:ind w:left="0"/>
      </w:pPr>
      <w:r w:rsidRPr="00330234">
        <w:t xml:space="preserve">Tijdens de 6 maanden durende gecontroleerde SC-I klinische studie met </w:t>
      </w:r>
      <w:r w:rsidR="0004281B" w:rsidRPr="00330234">
        <w:t>tocilizumab</w:t>
      </w:r>
      <w:r w:rsidRPr="00330234">
        <w:t xml:space="preserve"> werd bij routinematig laboratoriumonderzoek bij 2,9% van de patiënten, die werden behandeld met de wekelijkse subcutane dosis, een daling van het aantal neutrofielen gezien tot minder dan 1 × 10</w:t>
      </w:r>
      <w:r w:rsidRPr="00330234">
        <w:rPr>
          <w:vertAlign w:val="superscript"/>
        </w:rPr>
        <w:t>9</w:t>
      </w:r>
      <w:r w:rsidRPr="00330234">
        <w:t>/l.</w:t>
      </w:r>
    </w:p>
    <w:p w14:paraId="536EC05E" w14:textId="77777777" w:rsidR="00436DAA" w:rsidRPr="00330234" w:rsidRDefault="00436DAA" w:rsidP="00BD109B">
      <w:pPr>
        <w:pStyle w:val="a3"/>
        <w:widowControl/>
        <w:ind w:left="0"/>
      </w:pPr>
    </w:p>
    <w:p w14:paraId="5AD6B335" w14:textId="77777777" w:rsidR="00436DAA" w:rsidRPr="00330234" w:rsidRDefault="009B4B8E" w:rsidP="00BD109B">
      <w:pPr>
        <w:pStyle w:val="a3"/>
        <w:widowControl/>
        <w:ind w:left="0"/>
      </w:pPr>
      <w:r w:rsidRPr="00330234">
        <w:t>Er was geen duidelijke relatie tussen de dalingen in het aantal neutrofielen onder 1 × 10</w:t>
      </w:r>
      <w:r w:rsidRPr="00330234">
        <w:rPr>
          <w:vertAlign w:val="superscript"/>
        </w:rPr>
        <w:t>9</w:t>
      </w:r>
      <w:r w:rsidRPr="00330234">
        <w:t>/l en het optreden van ernstige infecties.</w:t>
      </w:r>
    </w:p>
    <w:p w14:paraId="4B610182" w14:textId="77777777" w:rsidR="000433F9" w:rsidRPr="00330234" w:rsidRDefault="000433F9" w:rsidP="00BD109B">
      <w:pPr>
        <w:pStyle w:val="a3"/>
        <w:widowControl/>
        <w:ind w:left="0"/>
      </w:pPr>
    </w:p>
    <w:p w14:paraId="79A5E905" w14:textId="77777777" w:rsidR="00436DAA" w:rsidRPr="00330234" w:rsidRDefault="009B4B8E" w:rsidP="00BD109B">
      <w:pPr>
        <w:widowControl/>
        <w:rPr>
          <w:i/>
        </w:rPr>
      </w:pPr>
      <w:r w:rsidRPr="00330234">
        <w:rPr>
          <w:i/>
        </w:rPr>
        <w:t>Trombocyten</w:t>
      </w:r>
    </w:p>
    <w:p w14:paraId="6CE94CD1" w14:textId="1CFFE320" w:rsidR="00436DAA" w:rsidRPr="00330234" w:rsidRDefault="009B4B8E" w:rsidP="00BD109B">
      <w:pPr>
        <w:pStyle w:val="a3"/>
        <w:widowControl/>
        <w:ind w:left="0"/>
      </w:pPr>
      <w:r w:rsidRPr="00330234">
        <w:t xml:space="preserve">Tijdens de 6 maanden durende gecontroleerde SC-I klinische studie met </w:t>
      </w:r>
      <w:r w:rsidR="004B7D2E" w:rsidRPr="00330234">
        <w:t>tocilizumab</w:t>
      </w:r>
      <w:r w:rsidRPr="00330234">
        <w:t xml:space="preserve"> werd bij routinematig laboratoriumonderzoek bij geen van de patiënten, die werden behandeld met de wekelijkse subcutane dosis, een daling gezien van het aantal trombocyten tot ≤ 50 × 10</w:t>
      </w:r>
      <w:r w:rsidRPr="00330234">
        <w:rPr>
          <w:vertAlign w:val="superscript"/>
        </w:rPr>
        <w:t>3</w:t>
      </w:r>
      <w:r w:rsidRPr="00330234">
        <w:t>/μl.</w:t>
      </w:r>
    </w:p>
    <w:p w14:paraId="4D34CC43" w14:textId="77777777" w:rsidR="00436DAA" w:rsidRPr="00330234" w:rsidRDefault="00436DAA" w:rsidP="00BD109B">
      <w:pPr>
        <w:pStyle w:val="a3"/>
        <w:widowControl/>
        <w:ind w:left="0"/>
      </w:pPr>
    </w:p>
    <w:p w14:paraId="7D8CF430" w14:textId="77777777" w:rsidR="00436DAA" w:rsidRPr="00330234" w:rsidRDefault="009B4B8E" w:rsidP="00BD109B">
      <w:pPr>
        <w:widowControl/>
        <w:rPr>
          <w:i/>
        </w:rPr>
      </w:pPr>
      <w:r w:rsidRPr="00330234">
        <w:rPr>
          <w:i/>
        </w:rPr>
        <w:t>Stijging van levertransaminasen</w:t>
      </w:r>
    </w:p>
    <w:p w14:paraId="2380CB14" w14:textId="1FB900D1" w:rsidR="00436DAA" w:rsidRPr="00330234" w:rsidRDefault="009B4B8E" w:rsidP="00BD109B">
      <w:pPr>
        <w:pStyle w:val="a3"/>
        <w:widowControl/>
        <w:ind w:left="0"/>
      </w:pPr>
      <w:r w:rsidRPr="00330234">
        <w:t xml:space="preserve">Tijdens de 6 maanden durende gecontroleerde SC-I klinische studie met </w:t>
      </w:r>
      <w:r w:rsidR="004B7D2E" w:rsidRPr="00330234">
        <w:t>tocilizumab</w:t>
      </w:r>
      <w:r w:rsidRPr="00330234">
        <w:t xml:space="preserve"> werd bij routinematig laboratoriumonderzoek bij 6,5% en 1,4% van de patiënten, die werden behandeld met de wekelijkse subcutane dosis, respectievelijk een ALAT- of ASAT-verhoging gezien van ≥ 3 x ULN.</w:t>
      </w:r>
    </w:p>
    <w:p w14:paraId="1EFB78A3" w14:textId="77777777" w:rsidR="00436DAA" w:rsidRPr="00330234" w:rsidRDefault="00436DAA" w:rsidP="00BD109B">
      <w:pPr>
        <w:pStyle w:val="a3"/>
        <w:widowControl/>
        <w:ind w:left="0"/>
      </w:pPr>
    </w:p>
    <w:p w14:paraId="304FCBCC" w14:textId="77777777" w:rsidR="00436DAA" w:rsidRPr="00330234" w:rsidRDefault="009B4B8E" w:rsidP="00BD109B">
      <w:pPr>
        <w:widowControl/>
        <w:rPr>
          <w:i/>
        </w:rPr>
      </w:pPr>
      <w:r w:rsidRPr="00330234">
        <w:rPr>
          <w:i/>
        </w:rPr>
        <w:lastRenderedPageBreak/>
        <w:t>Lipideparameters</w:t>
      </w:r>
    </w:p>
    <w:p w14:paraId="004A2F00" w14:textId="176122A0" w:rsidR="00436DAA" w:rsidRPr="00330234" w:rsidRDefault="009B4B8E" w:rsidP="00BD109B">
      <w:pPr>
        <w:pStyle w:val="a3"/>
        <w:widowControl/>
        <w:ind w:left="0"/>
      </w:pPr>
      <w:r w:rsidRPr="00330234">
        <w:t xml:space="preserve">Tijdens de 6 maanden durende gecontroleerde SC-I klinische studie met </w:t>
      </w:r>
      <w:r w:rsidR="004B7D2E" w:rsidRPr="00330234">
        <w:t>tocilizumab</w:t>
      </w:r>
      <w:r w:rsidRPr="00330234">
        <w:t xml:space="preserve"> werd bij routinematig laboratoriumonderzoek bij 19% van de patiënten, die werden behandeld met de wekelijkse subcutane dosis, aanhoudend een verhoogd totaalcholesterol gezien van &gt; 6,2 mmol/l (240</w:t>
      </w:r>
      <w:r w:rsidR="000433F9" w:rsidRPr="00330234">
        <w:t> </w:t>
      </w:r>
      <w:r w:rsidRPr="00330234">
        <w:t xml:space="preserve">mg/dl), waarvan 9% een blijvende toename van LDL had tot </w:t>
      </w:r>
      <w:r w:rsidR="000433F9" w:rsidRPr="00330234">
        <w:t>≥</w:t>
      </w:r>
      <w:r w:rsidRPr="00330234">
        <w:t xml:space="preserve"> 4,1 mmol/l (160 mg/dl).</w:t>
      </w:r>
    </w:p>
    <w:p w14:paraId="2A8DA595" w14:textId="77777777" w:rsidR="000433F9" w:rsidRPr="00330234" w:rsidRDefault="000433F9" w:rsidP="00BD109B">
      <w:pPr>
        <w:pStyle w:val="a3"/>
        <w:widowControl/>
        <w:ind w:left="0"/>
      </w:pPr>
    </w:p>
    <w:p w14:paraId="5EED02C3" w14:textId="77777777" w:rsidR="00436DAA" w:rsidRPr="000571FE" w:rsidRDefault="009B4B8E" w:rsidP="000571FE">
      <w:pPr>
        <w:rPr>
          <w:b/>
          <w:bCs/>
        </w:rPr>
      </w:pPr>
      <w:r w:rsidRPr="000571FE">
        <w:rPr>
          <w:b/>
          <w:bCs/>
        </w:rPr>
        <w:t>sJIA (SC)</w:t>
      </w:r>
    </w:p>
    <w:p w14:paraId="458FE3AF" w14:textId="047A1FA8" w:rsidR="00436DAA" w:rsidRPr="00330234" w:rsidRDefault="009B4B8E" w:rsidP="00BD109B">
      <w:pPr>
        <w:pStyle w:val="a3"/>
        <w:widowControl/>
        <w:ind w:left="0"/>
      </w:pPr>
      <w:r w:rsidRPr="00330234">
        <w:t xml:space="preserve">Het veiligheidsprofiel van de subcutane formulering van </w:t>
      </w:r>
      <w:r w:rsidR="004B7D2E" w:rsidRPr="00330234">
        <w:t>tocilizumab</w:t>
      </w:r>
      <w:r w:rsidRPr="00330234">
        <w:t xml:space="preserve"> is onderzocht bij 51 pediatrische patiënten (leeftijd 1 - 17 jaar) met sJIA. Over het algemeen kwamen de bijwerkingen bij patiënten met sJIA overeen met het soort bijwerkingen dat bij patiënten met RA werd waargenomen (zie bijwerkingen hierboven).</w:t>
      </w:r>
    </w:p>
    <w:p w14:paraId="461C485C" w14:textId="77777777" w:rsidR="000433F9" w:rsidRPr="00330234" w:rsidRDefault="000433F9" w:rsidP="00BD109B">
      <w:pPr>
        <w:pStyle w:val="a3"/>
        <w:widowControl/>
        <w:ind w:left="0"/>
      </w:pPr>
    </w:p>
    <w:p w14:paraId="3C1E792E" w14:textId="77777777" w:rsidR="00436DAA" w:rsidRPr="00330234" w:rsidRDefault="009B4B8E" w:rsidP="00BD109B">
      <w:pPr>
        <w:widowControl/>
        <w:rPr>
          <w:i/>
        </w:rPr>
      </w:pPr>
      <w:r w:rsidRPr="00330234">
        <w:rPr>
          <w:i/>
        </w:rPr>
        <w:t>Infecties</w:t>
      </w:r>
    </w:p>
    <w:p w14:paraId="781BB3EC" w14:textId="6571FDB0" w:rsidR="00436DAA" w:rsidRPr="00330234" w:rsidRDefault="009B4B8E" w:rsidP="00BD109B">
      <w:pPr>
        <w:pStyle w:val="a3"/>
        <w:widowControl/>
        <w:ind w:left="0"/>
      </w:pPr>
      <w:r w:rsidRPr="00330234">
        <w:t xml:space="preserve">Het aantal infecties bij sJIA-patiënten die behandeld werden met subcutaan </w:t>
      </w:r>
      <w:r w:rsidR="004B7D2E" w:rsidRPr="00330234">
        <w:t>tocilizumab</w:t>
      </w:r>
      <w:r w:rsidRPr="00330234">
        <w:t xml:space="preserve"> was vergelijkbaar met sJIA-patiënten die behandeld werden met intraveneus </w:t>
      </w:r>
      <w:r w:rsidR="004B7D2E" w:rsidRPr="00330234">
        <w:t>tocilizumab</w:t>
      </w:r>
      <w:r w:rsidRPr="00330234">
        <w:t>.</w:t>
      </w:r>
    </w:p>
    <w:p w14:paraId="59D2593F" w14:textId="77777777" w:rsidR="00436DAA" w:rsidRPr="00330234" w:rsidRDefault="00436DAA" w:rsidP="00BD109B">
      <w:pPr>
        <w:pStyle w:val="a3"/>
        <w:widowControl/>
        <w:ind w:left="0"/>
      </w:pPr>
    </w:p>
    <w:p w14:paraId="75B6B11B" w14:textId="77777777" w:rsidR="00436DAA" w:rsidRPr="00330234" w:rsidRDefault="009B4B8E" w:rsidP="00BD109B">
      <w:pPr>
        <w:widowControl/>
        <w:rPr>
          <w:i/>
        </w:rPr>
      </w:pPr>
      <w:r w:rsidRPr="00330234">
        <w:rPr>
          <w:i/>
        </w:rPr>
        <w:t>Reacties op de injectieplaats</w:t>
      </w:r>
    </w:p>
    <w:p w14:paraId="7CB5563C" w14:textId="611E42B2" w:rsidR="00436DAA" w:rsidRPr="00330234" w:rsidRDefault="009B4B8E" w:rsidP="00BD109B">
      <w:pPr>
        <w:pStyle w:val="a3"/>
        <w:widowControl/>
        <w:ind w:left="0"/>
      </w:pPr>
      <w:r w:rsidRPr="00330234">
        <w:t xml:space="preserve">In het subcutaan onderzoek (WA28118) kregen in totaal 41,2% (21/51) van de sJIA-patiënten die behandeld werden met </w:t>
      </w:r>
      <w:r w:rsidR="004B7D2E" w:rsidRPr="00330234">
        <w:t>tocilizumab</w:t>
      </w:r>
      <w:r w:rsidRPr="00330234">
        <w:t xml:space="preserve"> subcutaan reacties op de injectieplaats. De meest gemelde reacties waren erytheem, pruritus, pijn en zwelling op de injectieplaats. Het merendeel van de gemelde reacties op de injectieplaats waren graad 1-voorvallen; geen van allen was ernstig of vereiste het staken of onderbreken van de behandeling.</w:t>
      </w:r>
    </w:p>
    <w:p w14:paraId="13C56C5F" w14:textId="77777777" w:rsidR="000433F9" w:rsidRPr="00330234" w:rsidRDefault="000433F9" w:rsidP="00BD109B">
      <w:pPr>
        <w:pStyle w:val="a3"/>
        <w:widowControl/>
        <w:ind w:left="0"/>
      </w:pPr>
    </w:p>
    <w:p w14:paraId="57436CCF" w14:textId="77777777" w:rsidR="00436DAA" w:rsidRPr="00330234" w:rsidRDefault="009B4B8E" w:rsidP="00BD109B">
      <w:pPr>
        <w:widowControl/>
        <w:rPr>
          <w:i/>
        </w:rPr>
      </w:pPr>
      <w:r w:rsidRPr="00330234">
        <w:rPr>
          <w:i/>
        </w:rPr>
        <w:t>Laboratoriumafwijkingen</w:t>
      </w:r>
    </w:p>
    <w:p w14:paraId="50B218CA" w14:textId="19F0DF7B" w:rsidR="00436DAA" w:rsidRPr="00330234" w:rsidRDefault="009B4B8E" w:rsidP="00BD109B">
      <w:pPr>
        <w:pStyle w:val="a3"/>
        <w:widowControl/>
        <w:ind w:left="0"/>
      </w:pPr>
      <w:r w:rsidRPr="00330234">
        <w:t>In het 52 weken durend, open-label, subcutaan onderzoek (WA28118) trad een verlaging van het aantal neutrofielen tot onder de 1 x 10</w:t>
      </w:r>
      <w:r w:rsidRPr="00330234">
        <w:rPr>
          <w:vertAlign w:val="superscript"/>
        </w:rPr>
        <w:t>9</w:t>
      </w:r>
      <w:r w:rsidRPr="00330234">
        <w:t xml:space="preserve">/l op bij 23,5% van de patiënten die behandeld werden met </w:t>
      </w:r>
      <w:r w:rsidR="004B7D2E" w:rsidRPr="00330234">
        <w:t>tocilizumab</w:t>
      </w:r>
      <w:r w:rsidRPr="00330234">
        <w:t xml:space="preserve"> subcutaan. Een verlaging van het aantal trombocyten tot onder de 100 x 10</w:t>
      </w:r>
      <w:r w:rsidRPr="00330234">
        <w:rPr>
          <w:vertAlign w:val="superscript"/>
        </w:rPr>
        <w:t>3</w:t>
      </w:r>
      <w:r w:rsidRPr="00330234">
        <w:t xml:space="preserve">/μl trad op bij 2% van de patiënten die werden behandeld met </w:t>
      </w:r>
      <w:r w:rsidR="004B7D2E" w:rsidRPr="00330234">
        <w:t>tocilizumab</w:t>
      </w:r>
      <w:r w:rsidRPr="00330234">
        <w:t xml:space="preserve"> subcutaan. Een verhoging van ALAT of ASAT tot ≥3 x ULN trad op bij respectievelijk 9,8% en 4,0% van de patiënten die werden behandeld met </w:t>
      </w:r>
      <w:r w:rsidR="004B7D2E" w:rsidRPr="00330234">
        <w:t>tocilizumab</w:t>
      </w:r>
      <w:r w:rsidRPr="00330234">
        <w:t xml:space="preserve"> subcutaan.</w:t>
      </w:r>
    </w:p>
    <w:p w14:paraId="5B6DE42F" w14:textId="77777777" w:rsidR="00436DAA" w:rsidRPr="00330234" w:rsidRDefault="00436DAA" w:rsidP="00BD109B">
      <w:pPr>
        <w:pStyle w:val="a3"/>
        <w:widowControl/>
        <w:ind w:left="0"/>
      </w:pPr>
    </w:p>
    <w:p w14:paraId="21D7C102" w14:textId="77777777" w:rsidR="00436DAA" w:rsidRPr="00330234" w:rsidRDefault="009B4B8E" w:rsidP="00BD109B">
      <w:pPr>
        <w:widowControl/>
        <w:rPr>
          <w:i/>
        </w:rPr>
      </w:pPr>
      <w:r w:rsidRPr="00330234">
        <w:rPr>
          <w:i/>
        </w:rPr>
        <w:t>Lipideparameters</w:t>
      </w:r>
    </w:p>
    <w:p w14:paraId="6D142CB6" w14:textId="48BA31F9" w:rsidR="00436DAA" w:rsidRPr="00330234" w:rsidRDefault="009B4B8E" w:rsidP="00BD109B">
      <w:pPr>
        <w:pStyle w:val="a3"/>
        <w:widowControl/>
        <w:ind w:left="0"/>
      </w:pPr>
      <w:r w:rsidRPr="00330234">
        <w:t xml:space="preserve">In het 52 weken durend, open-label, subcutaan </w:t>
      </w:r>
      <w:r w:rsidR="004B7D2E" w:rsidRPr="00330234">
        <w:t>tocilizumab</w:t>
      </w:r>
      <w:r w:rsidRPr="00330234">
        <w:t>-onderzoek (WA28118) had 23,4% en 35,4% van de patiënten een verhoging ten opzichte van baseline van respectievelijk hun LDL- cholesterolwaarde tot ≥ 130 mg/dl en totaal cholesterolwaarde tot ≥ 200 mg/dl op enig moment gedurende de onderzoeksbehandeling.</w:t>
      </w:r>
    </w:p>
    <w:p w14:paraId="3A042ACB" w14:textId="77777777" w:rsidR="00436DAA" w:rsidRPr="00330234" w:rsidRDefault="00436DAA" w:rsidP="00BD109B">
      <w:pPr>
        <w:pStyle w:val="a3"/>
        <w:widowControl/>
        <w:ind w:left="0"/>
      </w:pPr>
    </w:p>
    <w:p w14:paraId="4CEA7E25" w14:textId="77777777" w:rsidR="00436DAA" w:rsidRPr="000571FE" w:rsidRDefault="009B4B8E" w:rsidP="000571FE">
      <w:pPr>
        <w:rPr>
          <w:b/>
          <w:bCs/>
        </w:rPr>
      </w:pPr>
      <w:r w:rsidRPr="000571FE">
        <w:rPr>
          <w:b/>
          <w:bCs/>
        </w:rPr>
        <w:t>pJIA (SC)</w:t>
      </w:r>
    </w:p>
    <w:p w14:paraId="3054A16D" w14:textId="64500044" w:rsidR="00436DAA" w:rsidRPr="00330234" w:rsidRDefault="009B4B8E" w:rsidP="000433F9">
      <w:pPr>
        <w:pStyle w:val="a3"/>
        <w:keepNext/>
        <w:keepLines/>
        <w:widowControl/>
        <w:ind w:left="0"/>
      </w:pPr>
      <w:r w:rsidRPr="00330234">
        <w:t xml:space="preserve">Het veiligheidsprofiel van de subcutane formulering van </w:t>
      </w:r>
      <w:r w:rsidR="004B7D2E" w:rsidRPr="00330234">
        <w:t>tocilizumab</w:t>
      </w:r>
      <w:r w:rsidRPr="00330234">
        <w:t xml:space="preserve"> is ook onderzocht bij</w:t>
      </w:r>
      <w:r w:rsidR="000433F9" w:rsidRPr="00330234">
        <w:t xml:space="preserve"> </w:t>
      </w:r>
      <w:r w:rsidRPr="00330234">
        <w:t>52</w:t>
      </w:r>
      <w:r w:rsidR="000433F9" w:rsidRPr="00330234">
        <w:t> </w:t>
      </w:r>
      <w:r w:rsidRPr="00330234">
        <w:t xml:space="preserve">pediatrische patiënten met pJIA. De totale blootstelling bij patiënten in de pJIA-populatie die werden behandeld met </w:t>
      </w:r>
      <w:r w:rsidR="004B7D2E" w:rsidRPr="00330234">
        <w:t>tocilizumab</w:t>
      </w:r>
      <w:r w:rsidRPr="00330234">
        <w:t xml:space="preserve"> was 184,4 patiëntjaren voor intraveneus en 50,4 patiëntjaren voor subcutaan tocilizumab. Over het algemeen kwam het veiligheidsprofiel waargenomen bij patiënten met pJIA overeen met het bekende veiligheidsprofiel van </w:t>
      </w:r>
      <w:r w:rsidR="004B7D2E" w:rsidRPr="00330234">
        <w:t>tocilizumab</w:t>
      </w:r>
      <w:r w:rsidRPr="00330234">
        <w:t xml:space="preserve">, met uitzondering van reacties op de injectieplaats (zie tabel 1). Een hoger percentage van de pJIA-patiënten kreeg reacties op de injectieplaats na subcutane injecties van </w:t>
      </w:r>
      <w:r w:rsidR="004B7D2E" w:rsidRPr="00330234">
        <w:t>tocilizumab</w:t>
      </w:r>
      <w:r w:rsidRPr="00330234">
        <w:t xml:space="preserve"> vergeleken met volwassen RA-patiënten.</w:t>
      </w:r>
    </w:p>
    <w:p w14:paraId="29114CAB" w14:textId="77777777" w:rsidR="00391FEC" w:rsidRPr="00330234" w:rsidRDefault="00391FEC" w:rsidP="00BD109B">
      <w:pPr>
        <w:pStyle w:val="a3"/>
        <w:widowControl/>
        <w:ind w:left="0"/>
      </w:pPr>
    </w:p>
    <w:p w14:paraId="39C197FB" w14:textId="77777777" w:rsidR="00436DAA" w:rsidRPr="00330234" w:rsidRDefault="009B4B8E" w:rsidP="00BD109B">
      <w:pPr>
        <w:widowControl/>
        <w:rPr>
          <w:i/>
        </w:rPr>
      </w:pPr>
      <w:r w:rsidRPr="00330234">
        <w:rPr>
          <w:i/>
        </w:rPr>
        <w:t>Infecties</w:t>
      </w:r>
    </w:p>
    <w:p w14:paraId="52F059AA" w14:textId="6832368D" w:rsidR="00436DAA" w:rsidRPr="00330234" w:rsidRDefault="009B4B8E" w:rsidP="00BD109B">
      <w:pPr>
        <w:pStyle w:val="a3"/>
        <w:widowControl/>
        <w:ind w:left="0"/>
      </w:pPr>
      <w:r w:rsidRPr="00330234">
        <w:t xml:space="preserve">Bij het onderzoek met </w:t>
      </w:r>
      <w:r w:rsidR="004B7D2E" w:rsidRPr="00330234">
        <w:t>tocilizumab</w:t>
      </w:r>
      <w:r w:rsidRPr="00330234">
        <w:t xml:space="preserve"> subcutaan was het aantal infecties bij pJIA-patiënten die behandeld werden met </w:t>
      </w:r>
      <w:r w:rsidR="004B7D2E" w:rsidRPr="00330234">
        <w:t>tocilizumab</w:t>
      </w:r>
      <w:r w:rsidRPr="00330234">
        <w:t xml:space="preserve"> subcutaan vergelijkbaar met pJIA-patiënten die behandeld werden met intraveneus </w:t>
      </w:r>
      <w:r w:rsidR="004B7D2E" w:rsidRPr="00330234">
        <w:t>tocilizumab</w:t>
      </w:r>
      <w:r w:rsidRPr="00330234">
        <w:t>.</w:t>
      </w:r>
    </w:p>
    <w:p w14:paraId="1DCF552A" w14:textId="77777777" w:rsidR="00391FEC" w:rsidRPr="00330234" w:rsidRDefault="00391FEC" w:rsidP="00BD109B">
      <w:pPr>
        <w:pStyle w:val="a3"/>
        <w:widowControl/>
        <w:ind w:left="0"/>
      </w:pPr>
    </w:p>
    <w:p w14:paraId="219B926F" w14:textId="77777777" w:rsidR="00436DAA" w:rsidRPr="00330234" w:rsidRDefault="009B4B8E" w:rsidP="00BD109B">
      <w:pPr>
        <w:widowControl/>
        <w:rPr>
          <w:i/>
        </w:rPr>
      </w:pPr>
      <w:r w:rsidRPr="00330234">
        <w:rPr>
          <w:i/>
        </w:rPr>
        <w:t>Reacties op de injectieplaats</w:t>
      </w:r>
    </w:p>
    <w:p w14:paraId="7F5D7F3B" w14:textId="084C0DED" w:rsidR="00436DAA" w:rsidRPr="00330234" w:rsidRDefault="009B4B8E" w:rsidP="00DC7F6F">
      <w:pPr>
        <w:pStyle w:val="a3"/>
        <w:widowControl/>
        <w:ind w:left="0"/>
      </w:pPr>
      <w:r w:rsidRPr="00330234">
        <w:t xml:space="preserve">In totaal 28,8% (15/52) van de pJIA-patiënten die behandeld werden met </w:t>
      </w:r>
      <w:r w:rsidR="004B7D2E" w:rsidRPr="00330234">
        <w:t>tocilizumab</w:t>
      </w:r>
      <w:r w:rsidRPr="00330234">
        <w:t xml:space="preserve"> subcutaan kreeg een reactie op de injectieplaats. Deze reacties op de injectieplaats traden op bij 44% van de patiënten</w:t>
      </w:r>
      <w:r w:rsidR="00C01A27" w:rsidRPr="00330234">
        <w:t xml:space="preserve"> ≥ </w:t>
      </w:r>
      <w:r w:rsidRPr="00330234">
        <w:t xml:space="preserve">30 kg vergeleken met 14,8% van de patiënten &lt; 30 kg. De meest gemelde reacties op de injectieplaats waren erytheem, zwelling, hematoom, pijn en pruritus. Alle gemelde reacties op de </w:t>
      </w:r>
      <w:r w:rsidRPr="00330234">
        <w:lastRenderedPageBreak/>
        <w:t>injectieplaats waren niet-ernstige graad 1-voorvallen, die bij geen enkele patiënt het staken of onderbreken van de behandeling vereisten.</w:t>
      </w:r>
    </w:p>
    <w:p w14:paraId="6C8BC62F" w14:textId="77777777" w:rsidR="000433F9" w:rsidRPr="00330234" w:rsidRDefault="000433F9" w:rsidP="00BD109B">
      <w:pPr>
        <w:pStyle w:val="a3"/>
        <w:widowControl/>
        <w:ind w:left="0"/>
      </w:pPr>
    </w:p>
    <w:p w14:paraId="4F7CF9BA" w14:textId="77777777" w:rsidR="00436DAA" w:rsidRPr="00330234" w:rsidRDefault="009B4B8E" w:rsidP="00BD109B">
      <w:pPr>
        <w:widowControl/>
        <w:rPr>
          <w:i/>
        </w:rPr>
      </w:pPr>
      <w:r w:rsidRPr="00330234">
        <w:rPr>
          <w:i/>
        </w:rPr>
        <w:t>Laboratoriumafwijkingen</w:t>
      </w:r>
    </w:p>
    <w:p w14:paraId="088529D8" w14:textId="725D409F" w:rsidR="00436DAA" w:rsidRPr="00330234" w:rsidRDefault="009B4B8E" w:rsidP="00BD109B">
      <w:pPr>
        <w:pStyle w:val="a3"/>
        <w:widowControl/>
        <w:ind w:left="0"/>
      </w:pPr>
      <w:r w:rsidRPr="00330234">
        <w:t xml:space="preserve">Bij routinematig laboratoriumonderzoek bij de totale populatie die werd behandeld met </w:t>
      </w:r>
      <w:r w:rsidR="004B7D2E" w:rsidRPr="00330234">
        <w:t>tocilizumab</w:t>
      </w:r>
      <w:r w:rsidRPr="00330234">
        <w:t xml:space="preserve"> trad een verlaging van het aantal neutrofielen tot onder de 1 x 10</w:t>
      </w:r>
      <w:r w:rsidRPr="00330234">
        <w:rPr>
          <w:vertAlign w:val="superscript"/>
        </w:rPr>
        <w:t>9</w:t>
      </w:r>
      <w:r w:rsidRPr="00330234">
        <w:t xml:space="preserve">/l op bij 15,4% van de patiënten die behandeld werden met </w:t>
      </w:r>
      <w:r w:rsidR="004B7D2E" w:rsidRPr="00330234">
        <w:t>tocilizumab</w:t>
      </w:r>
      <w:r w:rsidRPr="00330234">
        <w:t xml:space="preserve"> subcutaan. Een verhoging van ALAT of ASAT van ≥ 3 x ULN trad op bij respectievelijk 9,6% en 3,8% van de patiënten die werden behandeld met </w:t>
      </w:r>
      <w:r w:rsidR="004B7D2E" w:rsidRPr="00330234">
        <w:t>tocilizumab</w:t>
      </w:r>
      <w:r w:rsidRPr="00330234">
        <w:t xml:space="preserve"> subcutaan. Geen van de patiënten die behandeld werden met </w:t>
      </w:r>
      <w:r w:rsidR="004B7D2E" w:rsidRPr="00330234">
        <w:t>tocilizumab</w:t>
      </w:r>
      <w:r w:rsidRPr="00330234">
        <w:t xml:space="preserve"> subcutaan had een verlaging van het aantal trombocyten tot </w:t>
      </w:r>
      <w:r w:rsidR="004A723A" w:rsidRPr="00330234">
        <w:t>≤</w:t>
      </w:r>
      <w:r w:rsidRPr="00330234">
        <w:t xml:space="preserve"> 50 x 10</w:t>
      </w:r>
      <w:r w:rsidRPr="00330234">
        <w:rPr>
          <w:vertAlign w:val="superscript"/>
        </w:rPr>
        <w:t>3</w:t>
      </w:r>
      <w:r w:rsidRPr="00330234">
        <w:t>/μl.</w:t>
      </w:r>
    </w:p>
    <w:p w14:paraId="0EF3D5B8" w14:textId="77777777" w:rsidR="000433F9" w:rsidRPr="00330234" w:rsidRDefault="000433F9" w:rsidP="00BD109B">
      <w:pPr>
        <w:pStyle w:val="a3"/>
        <w:widowControl/>
        <w:ind w:left="0"/>
      </w:pPr>
    </w:p>
    <w:p w14:paraId="77A2EBB4" w14:textId="77777777" w:rsidR="00436DAA" w:rsidRPr="00330234" w:rsidRDefault="009B4B8E" w:rsidP="00BD109B">
      <w:pPr>
        <w:widowControl/>
        <w:rPr>
          <w:i/>
        </w:rPr>
      </w:pPr>
      <w:r w:rsidRPr="00330234">
        <w:rPr>
          <w:i/>
        </w:rPr>
        <w:t>Lipideparameters</w:t>
      </w:r>
    </w:p>
    <w:p w14:paraId="403946FC" w14:textId="7E8518E8" w:rsidR="00436DAA" w:rsidRPr="00330234" w:rsidRDefault="009B4B8E" w:rsidP="00BD109B">
      <w:pPr>
        <w:pStyle w:val="a3"/>
        <w:widowControl/>
        <w:ind w:left="0"/>
      </w:pPr>
      <w:r w:rsidRPr="00330234">
        <w:t xml:space="preserve">In het subcutaan </w:t>
      </w:r>
      <w:r w:rsidR="000A7E61" w:rsidRPr="00330234">
        <w:t>tocilizumab</w:t>
      </w:r>
      <w:r w:rsidRPr="00330234">
        <w:t>-onderzoek had 14,3% en 12,8% van de patiënten een verhoging ten opzichte van baseline van respectievelijk hun LDL-cholesterolwaarde tot ≥ 130 mg/dl en totaal cholesterolwaarde tot ≥ 200 mg/dl op enig moment gedurende de onderzoeksbehandeling.</w:t>
      </w:r>
    </w:p>
    <w:p w14:paraId="70650F48" w14:textId="77777777" w:rsidR="00436DAA" w:rsidRPr="00330234" w:rsidRDefault="00436DAA" w:rsidP="00BD109B">
      <w:pPr>
        <w:pStyle w:val="a3"/>
        <w:widowControl/>
        <w:ind w:left="0"/>
      </w:pPr>
    </w:p>
    <w:p w14:paraId="70081FE9" w14:textId="77777777" w:rsidR="00436DAA" w:rsidRPr="000571FE" w:rsidRDefault="009B4B8E" w:rsidP="000571FE">
      <w:pPr>
        <w:rPr>
          <w:b/>
          <w:bCs/>
        </w:rPr>
      </w:pPr>
      <w:r w:rsidRPr="000571FE">
        <w:rPr>
          <w:b/>
          <w:bCs/>
        </w:rPr>
        <w:t>GCA (SC)</w:t>
      </w:r>
    </w:p>
    <w:p w14:paraId="02BD1713" w14:textId="3F6C3CCC" w:rsidR="00436DAA" w:rsidRPr="00330234" w:rsidRDefault="009B4B8E" w:rsidP="00BD109B">
      <w:pPr>
        <w:pStyle w:val="a3"/>
        <w:widowControl/>
        <w:ind w:left="0"/>
      </w:pPr>
      <w:r w:rsidRPr="00330234">
        <w:t xml:space="preserve">De veiligheid van de subcutane formulering van </w:t>
      </w:r>
      <w:r w:rsidR="004B7D2E" w:rsidRPr="00330234">
        <w:t>tocilizumab</w:t>
      </w:r>
      <w:r w:rsidRPr="00330234">
        <w:t xml:space="preserve"> is onderzocht in één fase III-onderzoek (WA28119) met 251 GCA-patiënten. Het totale aantal patiëntjaren in de totale populatie die werd behandeld met </w:t>
      </w:r>
      <w:r w:rsidR="004B7D2E" w:rsidRPr="00330234">
        <w:t>tocilizumab</w:t>
      </w:r>
      <w:r w:rsidRPr="00330234">
        <w:t xml:space="preserve"> was 138,5 patiëntjaren gedurende de 12 maanden van de dubbelblinde, placebogecontroleerde fase van het onderzoek. Het algehele veiligheidsprofiel waargenomen in de </w:t>
      </w:r>
      <w:r w:rsidR="004B7D2E" w:rsidRPr="00330234">
        <w:t>tocilizumab</w:t>
      </w:r>
      <w:r w:rsidRPr="00330234">
        <w:t xml:space="preserve">-behandelarmen kwam overeen met het bekende veiligheidsprofiel van </w:t>
      </w:r>
      <w:r w:rsidR="004B7D2E" w:rsidRPr="00330234">
        <w:t>tocilizumab</w:t>
      </w:r>
      <w:r w:rsidRPr="00330234">
        <w:t xml:space="preserve"> (zie tabel 1).</w:t>
      </w:r>
    </w:p>
    <w:p w14:paraId="2F64C941" w14:textId="77777777" w:rsidR="004A723A" w:rsidRPr="00330234" w:rsidRDefault="004A723A" w:rsidP="00BD109B">
      <w:pPr>
        <w:pStyle w:val="a3"/>
        <w:widowControl/>
        <w:ind w:left="0"/>
      </w:pPr>
    </w:p>
    <w:p w14:paraId="2B2AD6E5" w14:textId="77777777" w:rsidR="00436DAA" w:rsidRPr="00330234" w:rsidRDefault="009B4B8E" w:rsidP="00BD109B">
      <w:pPr>
        <w:widowControl/>
        <w:rPr>
          <w:i/>
        </w:rPr>
      </w:pPr>
      <w:r w:rsidRPr="00330234">
        <w:rPr>
          <w:i/>
        </w:rPr>
        <w:t>Infecties</w:t>
      </w:r>
    </w:p>
    <w:p w14:paraId="2582E25E" w14:textId="36653C12" w:rsidR="00436DAA" w:rsidRPr="00330234" w:rsidRDefault="009B4B8E" w:rsidP="00BD109B">
      <w:pPr>
        <w:pStyle w:val="a3"/>
        <w:widowControl/>
        <w:ind w:left="0"/>
      </w:pPr>
      <w:r w:rsidRPr="00330234">
        <w:t xml:space="preserve">Het aantal infecties/ernstige infecties was vergelijkbaar tussen de groep wekelijks behandeld met </w:t>
      </w:r>
      <w:r w:rsidR="004B7D2E" w:rsidRPr="00330234">
        <w:t>tocilizumab</w:t>
      </w:r>
      <w:r w:rsidRPr="00330234">
        <w:t xml:space="preserve"> (200,2/9,7 voorvallen per 100 patiëntjaren) en de groep met placebo plus de in 26 weken afbouwende prednisonbehandeling (156,0/4,2 voorvallen per 100 patiëntjaren) en de groep met placebo plus de in 52 weken afbouwende prednisonbehandeling (210,2/12,5 voorvallen per</w:t>
      </w:r>
    </w:p>
    <w:p w14:paraId="2932EC18" w14:textId="77777777" w:rsidR="00436DAA" w:rsidRPr="00330234" w:rsidRDefault="009B4B8E" w:rsidP="00BD109B">
      <w:pPr>
        <w:pStyle w:val="a3"/>
        <w:widowControl/>
        <w:ind w:left="0"/>
      </w:pPr>
      <w:r w:rsidRPr="00330234">
        <w:t>100 patiëntjaren).</w:t>
      </w:r>
    </w:p>
    <w:p w14:paraId="2198142F" w14:textId="77777777" w:rsidR="00436DAA" w:rsidRPr="00330234" w:rsidRDefault="00436DAA" w:rsidP="00BD109B">
      <w:pPr>
        <w:pStyle w:val="a3"/>
        <w:widowControl/>
        <w:ind w:left="0"/>
      </w:pPr>
    </w:p>
    <w:p w14:paraId="624B2324" w14:textId="77777777" w:rsidR="00436DAA" w:rsidRPr="00330234" w:rsidRDefault="009B4B8E" w:rsidP="004A723A">
      <w:pPr>
        <w:keepNext/>
        <w:keepLines/>
        <w:widowControl/>
        <w:rPr>
          <w:i/>
        </w:rPr>
      </w:pPr>
      <w:r w:rsidRPr="00330234">
        <w:rPr>
          <w:i/>
        </w:rPr>
        <w:t>Reacties op de injectieplaats</w:t>
      </w:r>
    </w:p>
    <w:p w14:paraId="779014A2" w14:textId="64BE4FD6" w:rsidR="00436DAA" w:rsidRPr="00330234" w:rsidRDefault="009B4B8E" w:rsidP="004A723A">
      <w:pPr>
        <w:pStyle w:val="a3"/>
        <w:keepNext/>
        <w:keepLines/>
        <w:widowControl/>
        <w:ind w:left="0"/>
      </w:pPr>
      <w:r w:rsidRPr="00330234">
        <w:t xml:space="preserve">In de groep met wekelijks </w:t>
      </w:r>
      <w:r w:rsidR="00C44D4F" w:rsidRPr="00330234">
        <w:t>tocilizumab</w:t>
      </w:r>
      <w:r w:rsidRPr="00330234">
        <w:t xml:space="preserve"> subcutaan werd bij in totaal 6% (6/100) van de patiënten een reactie waargenomen op de plaats van de subcutane injectie. Geen van de reacties op de injectieplaats werd gemeld als ernstige bijwerking of vereiste het staken van de behandeling.</w:t>
      </w:r>
    </w:p>
    <w:p w14:paraId="0C77C11A" w14:textId="77777777" w:rsidR="004A723A" w:rsidRPr="00330234" w:rsidRDefault="004A723A" w:rsidP="00BD109B">
      <w:pPr>
        <w:pStyle w:val="a3"/>
        <w:widowControl/>
        <w:ind w:left="0"/>
      </w:pPr>
    </w:p>
    <w:p w14:paraId="01496DB7" w14:textId="77777777" w:rsidR="00436DAA" w:rsidRPr="00330234" w:rsidRDefault="009B4B8E" w:rsidP="00BD109B">
      <w:pPr>
        <w:widowControl/>
        <w:rPr>
          <w:i/>
        </w:rPr>
      </w:pPr>
      <w:r w:rsidRPr="00330234">
        <w:rPr>
          <w:i/>
        </w:rPr>
        <w:t>Hematologische afwijkingen:</w:t>
      </w:r>
    </w:p>
    <w:p w14:paraId="7902C517" w14:textId="77777777" w:rsidR="00436DAA" w:rsidRPr="00330234" w:rsidRDefault="009B4B8E" w:rsidP="00BD109B">
      <w:pPr>
        <w:widowControl/>
        <w:rPr>
          <w:i/>
        </w:rPr>
      </w:pPr>
      <w:r w:rsidRPr="00330234">
        <w:rPr>
          <w:i/>
        </w:rPr>
        <w:t>Neutrofielen</w:t>
      </w:r>
    </w:p>
    <w:p w14:paraId="59AEAD64" w14:textId="564C74B2" w:rsidR="00436DAA" w:rsidRPr="00330234" w:rsidRDefault="009B4B8E" w:rsidP="004A723A">
      <w:pPr>
        <w:pStyle w:val="a3"/>
        <w:widowControl/>
        <w:ind w:left="0"/>
      </w:pPr>
      <w:r w:rsidRPr="00330234">
        <w:t xml:space="preserve">Bij routinematig laboratoriumonderzoek tijdens het 12 maanden durende gecontroleerde klinische onderzoek met </w:t>
      </w:r>
      <w:r w:rsidR="00C44D4F" w:rsidRPr="00330234">
        <w:t>tocilizumab</w:t>
      </w:r>
      <w:r w:rsidRPr="00330234">
        <w:t xml:space="preserve">, had 4% van de patiënten in de wekelijks met </w:t>
      </w:r>
      <w:r w:rsidR="00C44D4F" w:rsidRPr="00330234">
        <w:t>tocilizumab</w:t>
      </w:r>
      <w:r w:rsidRPr="00330234">
        <w:t xml:space="preserve"> subcutaan</w:t>
      </w:r>
      <w:r w:rsidR="004A723A" w:rsidRPr="00330234">
        <w:t xml:space="preserve"> </w:t>
      </w:r>
      <w:r w:rsidRPr="00330234">
        <w:t>behandelde groep een verlaagd aantal neutrofielen van onder de 1 x 10</w:t>
      </w:r>
      <w:r w:rsidRPr="00330234">
        <w:rPr>
          <w:vertAlign w:val="superscript"/>
        </w:rPr>
        <w:t>9</w:t>
      </w:r>
      <w:r w:rsidRPr="00330234">
        <w:t>/l. Dit werd in geen van de groepen met placebo plus afbouwende prednisonbehandeling waargenomen.</w:t>
      </w:r>
    </w:p>
    <w:p w14:paraId="1D3EBE9B" w14:textId="77777777" w:rsidR="00436DAA" w:rsidRPr="00330234" w:rsidRDefault="00436DAA" w:rsidP="00BD109B">
      <w:pPr>
        <w:pStyle w:val="a3"/>
        <w:widowControl/>
        <w:ind w:left="0"/>
      </w:pPr>
    </w:p>
    <w:p w14:paraId="0B22FBA8" w14:textId="77777777" w:rsidR="00436DAA" w:rsidRPr="00330234" w:rsidRDefault="009B4B8E" w:rsidP="00BD109B">
      <w:pPr>
        <w:widowControl/>
        <w:rPr>
          <w:i/>
        </w:rPr>
      </w:pPr>
      <w:r w:rsidRPr="00330234">
        <w:rPr>
          <w:i/>
        </w:rPr>
        <w:t>Trombocyten</w:t>
      </w:r>
    </w:p>
    <w:p w14:paraId="581D0A1C" w14:textId="14B1F80F" w:rsidR="00436DAA" w:rsidRPr="00330234" w:rsidRDefault="009B4B8E" w:rsidP="00BD109B">
      <w:pPr>
        <w:pStyle w:val="a3"/>
        <w:widowControl/>
        <w:ind w:left="0"/>
      </w:pPr>
      <w:r w:rsidRPr="00330234">
        <w:t xml:space="preserve">Bij routinematig laboratoriumonderzoek tijdens het 12 maanden durende gecontroleerde klinische onderzoek met </w:t>
      </w:r>
      <w:r w:rsidR="00C44D4F" w:rsidRPr="00330234">
        <w:t>tocilizumab</w:t>
      </w:r>
      <w:r w:rsidRPr="00330234">
        <w:t xml:space="preserve">, had één patiënt (1%, 1/100) in de groep met wekelijks </w:t>
      </w:r>
      <w:r w:rsidR="00C44D4F" w:rsidRPr="00330234">
        <w:t>tocilizumab</w:t>
      </w:r>
      <w:r w:rsidRPr="00330234">
        <w:t xml:space="preserve"> subcutaan eenmalig een tijdelijk verlaagd aantal trombocyten van &lt; 100 x 10</w:t>
      </w:r>
      <w:r w:rsidRPr="00330234">
        <w:rPr>
          <w:vertAlign w:val="superscript"/>
        </w:rPr>
        <w:t>3</w:t>
      </w:r>
      <w:r w:rsidRPr="00330234">
        <w:t>/µl zonder geassocieerde bloedingen. Een verlaagd aantal trombocyten van onder de 100 x 10</w:t>
      </w:r>
      <w:r w:rsidRPr="00330234">
        <w:rPr>
          <w:vertAlign w:val="superscript"/>
        </w:rPr>
        <w:t>3</w:t>
      </w:r>
      <w:r w:rsidRPr="00330234">
        <w:t>/µl werd in geen van de groepen met placebo plus afbouwende prednisonbehandeling waargenomen.</w:t>
      </w:r>
    </w:p>
    <w:p w14:paraId="6D19C935" w14:textId="77777777" w:rsidR="00436DAA" w:rsidRPr="00330234" w:rsidRDefault="00436DAA" w:rsidP="006B7C9C">
      <w:pPr>
        <w:pStyle w:val="a3"/>
        <w:widowControl/>
        <w:ind w:left="0"/>
      </w:pPr>
    </w:p>
    <w:p w14:paraId="1148EBD2" w14:textId="77777777" w:rsidR="00436DAA" w:rsidRPr="00330234" w:rsidRDefault="009B4B8E" w:rsidP="006B7C9C">
      <w:pPr>
        <w:keepNext/>
        <w:keepLines/>
        <w:widowControl/>
        <w:rPr>
          <w:i/>
        </w:rPr>
      </w:pPr>
      <w:r w:rsidRPr="00330234">
        <w:rPr>
          <w:i/>
        </w:rPr>
        <w:t>Stijging van levertransaminasen</w:t>
      </w:r>
    </w:p>
    <w:p w14:paraId="358B8A9E" w14:textId="21E974BD" w:rsidR="00436DAA" w:rsidRPr="00330234" w:rsidRDefault="009B4B8E" w:rsidP="001B3E1E">
      <w:pPr>
        <w:pStyle w:val="a3"/>
        <w:widowControl/>
        <w:ind w:left="0"/>
      </w:pPr>
      <w:r w:rsidRPr="00330234">
        <w:t xml:space="preserve">Bij routinematig laboratoriumonderzoek tijdens het 12 maanden durende gecontroleerde klinische onderzoek met </w:t>
      </w:r>
      <w:r w:rsidR="00C44D4F" w:rsidRPr="00330234">
        <w:t>tocilizumab</w:t>
      </w:r>
      <w:r w:rsidRPr="00330234">
        <w:t xml:space="preserve"> had 3% van de patiënten in de groep die wekelijks werd behandeld met </w:t>
      </w:r>
      <w:r w:rsidR="00C44D4F" w:rsidRPr="00330234">
        <w:t>tocilizumab</w:t>
      </w:r>
      <w:r w:rsidRPr="00330234">
        <w:t xml:space="preserve"> subcutaan een verhoging van ALAT ≥ 3x ULN, vergeleken met 2% in de groep met placebo plus in 52 weken afbouwende prednisonbehandeling en geen patiënten in de groep met placebo plus in 26 weken afbouwende prednisonbehandeling. Bij 1% van de patiënten in de groep met </w:t>
      </w:r>
      <w:r w:rsidRPr="00330234">
        <w:lastRenderedPageBreak/>
        <w:t xml:space="preserve">wekelijks </w:t>
      </w:r>
      <w:r w:rsidR="00C44D4F" w:rsidRPr="00330234">
        <w:t>tocilizumab</w:t>
      </w:r>
      <w:r w:rsidRPr="00330234">
        <w:t xml:space="preserve"> subcutaan vond een verhoging van ASAT &gt; 3x ULN plaats vergeleken met geen patiënten in beide groepen met placebo plus afbouwende prednisonbehandeling.</w:t>
      </w:r>
    </w:p>
    <w:p w14:paraId="5A9F27A0" w14:textId="77777777" w:rsidR="004A723A" w:rsidRPr="00330234" w:rsidRDefault="004A723A" w:rsidP="00BD109B">
      <w:pPr>
        <w:pStyle w:val="a3"/>
        <w:widowControl/>
        <w:ind w:left="0"/>
      </w:pPr>
    </w:p>
    <w:p w14:paraId="45519322" w14:textId="77777777" w:rsidR="00436DAA" w:rsidRPr="00330234" w:rsidRDefault="009B4B8E" w:rsidP="00BD109B">
      <w:pPr>
        <w:widowControl/>
        <w:rPr>
          <w:i/>
        </w:rPr>
      </w:pPr>
      <w:r w:rsidRPr="00330234">
        <w:rPr>
          <w:i/>
        </w:rPr>
        <w:t>Lipideparameters</w:t>
      </w:r>
    </w:p>
    <w:p w14:paraId="658660FB" w14:textId="17546C50" w:rsidR="00436DAA" w:rsidRPr="00330234" w:rsidRDefault="009B4B8E" w:rsidP="00BD109B">
      <w:pPr>
        <w:pStyle w:val="a3"/>
        <w:widowControl/>
        <w:ind w:left="0"/>
      </w:pPr>
      <w:r w:rsidRPr="00330234">
        <w:t xml:space="preserve">Bij routinematig laboratoriumonderzoek tijdens het 12 maanden durende gecontroleerde klinische onderzoek met </w:t>
      </w:r>
      <w:r w:rsidR="00C44D4F" w:rsidRPr="00330234">
        <w:t>tocilizumab</w:t>
      </w:r>
      <w:r w:rsidRPr="00330234">
        <w:t xml:space="preserve"> had 34% van de patiënten een blijvend verhoogd cholesterol &gt; 6,2 mmol/l (240 mg/dl), waarvan 15% een blijvend verhoogd LDL had tot ≥ 4,1 mmol/l (160 mg/dl) in de groep wekelijks behandeld met </w:t>
      </w:r>
      <w:r w:rsidR="00C44D4F" w:rsidRPr="00330234">
        <w:t>tocilizumab</w:t>
      </w:r>
      <w:r w:rsidRPr="00330234">
        <w:t xml:space="preserve"> subcutaan.</w:t>
      </w:r>
    </w:p>
    <w:p w14:paraId="6F437105" w14:textId="77777777" w:rsidR="00436DAA" w:rsidRPr="00330234" w:rsidRDefault="00436DAA" w:rsidP="00BD109B">
      <w:pPr>
        <w:pStyle w:val="a3"/>
        <w:widowControl/>
        <w:ind w:left="0"/>
      </w:pPr>
    </w:p>
    <w:p w14:paraId="0953C5FB" w14:textId="77777777" w:rsidR="00436DAA" w:rsidRPr="001B3E1E" w:rsidRDefault="009B4B8E" w:rsidP="00BD109B">
      <w:pPr>
        <w:widowControl/>
        <w:rPr>
          <w:iCs/>
        </w:rPr>
      </w:pPr>
      <w:r w:rsidRPr="001B3E1E">
        <w:rPr>
          <w:iCs/>
          <w:u w:val="single"/>
        </w:rPr>
        <w:t>Intraveneus gebruik</w:t>
      </w:r>
    </w:p>
    <w:p w14:paraId="6DDED6B8" w14:textId="77777777" w:rsidR="00436DAA" w:rsidRPr="000571FE" w:rsidRDefault="009B4B8E" w:rsidP="000571FE">
      <w:pPr>
        <w:rPr>
          <w:b/>
          <w:bCs/>
        </w:rPr>
      </w:pPr>
      <w:r w:rsidRPr="000571FE">
        <w:rPr>
          <w:b/>
          <w:bCs/>
        </w:rPr>
        <w:t>RA</w:t>
      </w:r>
    </w:p>
    <w:p w14:paraId="18E034F3" w14:textId="1CCBEA38" w:rsidR="00436DAA" w:rsidRPr="00330234" w:rsidRDefault="009B4B8E" w:rsidP="00BD109B">
      <w:pPr>
        <w:pStyle w:val="a3"/>
        <w:widowControl/>
        <w:ind w:left="0"/>
      </w:pPr>
      <w:r w:rsidRPr="00330234">
        <w:t xml:space="preserve">De veiligheid van </w:t>
      </w:r>
      <w:r w:rsidR="00C44D4F" w:rsidRPr="00330234">
        <w:t>tocilizumab</w:t>
      </w:r>
      <w:r w:rsidRPr="00330234">
        <w:t xml:space="preserve"> is onderzocht in 5 dubbelblind gecontroleerde fase III-onderzoeken en hun extensieperiodes.</w:t>
      </w:r>
    </w:p>
    <w:p w14:paraId="2DDBE475" w14:textId="77777777" w:rsidR="004A723A" w:rsidRPr="00330234" w:rsidRDefault="004A723A" w:rsidP="00BD109B">
      <w:pPr>
        <w:pStyle w:val="a3"/>
        <w:widowControl/>
        <w:ind w:left="0"/>
      </w:pPr>
    </w:p>
    <w:p w14:paraId="6C5C1B87" w14:textId="3E74F403" w:rsidR="00436DAA" w:rsidRPr="00330234" w:rsidRDefault="009B4B8E" w:rsidP="00BD109B">
      <w:pPr>
        <w:pStyle w:val="a3"/>
        <w:widowControl/>
        <w:ind w:left="0"/>
      </w:pPr>
      <w:r w:rsidRPr="00330234">
        <w:t xml:space="preserve">De totale populatie die werd gecontroleerd omvatte alle patiënten uit de dubbelblind gecontroleerde fases van ieder hoofdonderzoek vanaf randomisatie tot, ofwel de eerste verandering in behandelregime, of tot 2 jaar werd bereikt. De gecontroleerde periode was 6 maanden bij vier onderzoeken en was maximaal 2 jaar bij één onderzoek. In de dubbelblind gecontroleerde onderzoeken kregen 774 patiënten </w:t>
      </w:r>
      <w:r w:rsidR="00C44D4F" w:rsidRPr="00330234">
        <w:t>tocilizumab</w:t>
      </w:r>
      <w:r w:rsidRPr="00330234">
        <w:t xml:space="preserve"> 4 mg/kg in combinatie met MTX, 1870 patiënten kregen </w:t>
      </w:r>
      <w:r w:rsidR="000A7E61" w:rsidRPr="00330234">
        <w:t>tocilizumab</w:t>
      </w:r>
      <w:r w:rsidRPr="00330234">
        <w:t xml:space="preserve"> 8 mg/kg in combinatie met MTX of andere DMARD</w:t>
      </w:r>
      <w:r w:rsidR="00753185" w:rsidRPr="00330234">
        <w:t>’</w:t>
      </w:r>
      <w:r w:rsidRPr="00330234">
        <w:t xml:space="preserve">s en 288 patiënten kregen </w:t>
      </w:r>
      <w:r w:rsidR="000A7E61" w:rsidRPr="00330234">
        <w:t>tocilizumab</w:t>
      </w:r>
      <w:r w:rsidRPr="00330234">
        <w:t xml:space="preserve"> 8 mg/kg als monotherapie.</w:t>
      </w:r>
    </w:p>
    <w:p w14:paraId="69D5403A" w14:textId="77777777" w:rsidR="004A723A" w:rsidRPr="00330234" w:rsidRDefault="004A723A" w:rsidP="00BD109B">
      <w:pPr>
        <w:pStyle w:val="a3"/>
        <w:widowControl/>
        <w:ind w:left="0"/>
      </w:pPr>
    </w:p>
    <w:p w14:paraId="2498EE4D" w14:textId="53452EA9" w:rsidR="00436DAA" w:rsidRPr="00330234" w:rsidRDefault="009B4B8E" w:rsidP="00BD109B">
      <w:pPr>
        <w:pStyle w:val="a3"/>
        <w:widowControl/>
        <w:ind w:left="0"/>
      </w:pPr>
      <w:r w:rsidRPr="00330234">
        <w:t xml:space="preserve">De totale populatie die werd behandeld met </w:t>
      </w:r>
      <w:r w:rsidR="000A7E61" w:rsidRPr="00330234">
        <w:t>tocilizumab</w:t>
      </w:r>
      <w:r w:rsidRPr="00330234">
        <w:t xml:space="preserve"> omvatte alle patiënten die ten minste één dosis </w:t>
      </w:r>
      <w:r w:rsidR="00C44D4F" w:rsidRPr="00330234">
        <w:t>tocilizumab</w:t>
      </w:r>
      <w:r w:rsidRPr="00330234">
        <w:t xml:space="preserve"> hadden ontvangen, of in de dubbelblinde gecontroleerde periode of in de open-label- extensiefase van de onderzoeken. Van de 4009 patiënten in deze populatie kregen 3577 patiënten een behandeling gedurende ten minste 6 maanden, 3296 gedurende ten minste één jaar, 2806 gedurende ten minste 2 jaar en 1222 gedurende 3 jaar.</w:t>
      </w:r>
    </w:p>
    <w:p w14:paraId="73441838" w14:textId="77777777" w:rsidR="004A723A" w:rsidRPr="00330234" w:rsidRDefault="004A723A" w:rsidP="00BD109B">
      <w:pPr>
        <w:pStyle w:val="a3"/>
        <w:widowControl/>
        <w:ind w:left="0"/>
      </w:pPr>
    </w:p>
    <w:p w14:paraId="19FAB4F3" w14:textId="77777777" w:rsidR="00436DAA" w:rsidRPr="00330234" w:rsidRDefault="009B4B8E" w:rsidP="00BD109B">
      <w:pPr>
        <w:pStyle w:val="a3"/>
        <w:widowControl/>
        <w:ind w:left="0"/>
      </w:pPr>
      <w:r w:rsidRPr="00330234">
        <w:rPr>
          <w:u w:val="single"/>
        </w:rPr>
        <w:t>Beschrijving van geselecteerde bijwerkingen</w:t>
      </w:r>
    </w:p>
    <w:p w14:paraId="3FE555BF" w14:textId="77777777" w:rsidR="00D635EC" w:rsidRPr="00330234" w:rsidRDefault="00D635EC" w:rsidP="00BD109B">
      <w:pPr>
        <w:pStyle w:val="a3"/>
        <w:widowControl/>
        <w:ind w:left="0"/>
      </w:pPr>
    </w:p>
    <w:p w14:paraId="41FC91DD" w14:textId="77777777" w:rsidR="00436DAA" w:rsidRPr="00330234" w:rsidRDefault="009B4B8E" w:rsidP="00BD109B">
      <w:pPr>
        <w:widowControl/>
        <w:rPr>
          <w:i/>
        </w:rPr>
      </w:pPr>
      <w:r w:rsidRPr="00330234">
        <w:rPr>
          <w:i/>
        </w:rPr>
        <w:t>Infecties</w:t>
      </w:r>
    </w:p>
    <w:p w14:paraId="11749EFC" w14:textId="6CC33A1C" w:rsidR="00436DAA" w:rsidRPr="00330234" w:rsidRDefault="009B4B8E" w:rsidP="00753185">
      <w:pPr>
        <w:pStyle w:val="a3"/>
        <w:widowControl/>
        <w:ind w:left="0"/>
      </w:pPr>
      <w:r w:rsidRPr="00330234">
        <w:t xml:space="preserve">In de 6 maanden durende gecontroleerde studies was het aantal van alle gemelde infecties bij de behandeling met </w:t>
      </w:r>
      <w:r w:rsidR="00C44D4F" w:rsidRPr="00330234">
        <w:t>tocilizumab</w:t>
      </w:r>
      <w:r w:rsidRPr="00330234">
        <w:t xml:space="preserve"> 8 mg/kg plus DMARD</w:t>
      </w:r>
      <w:r w:rsidR="00753185" w:rsidRPr="00330234">
        <w:t>’</w:t>
      </w:r>
      <w:r w:rsidRPr="00330234">
        <w:t>s 127 voorvallen per 100 patiëntjaren vergeleken met 112 voorvallen per 100 patiëntjaren bij placebo plus DMARD</w:t>
      </w:r>
      <w:r w:rsidR="00753185" w:rsidRPr="00330234">
        <w:t>’</w:t>
      </w:r>
      <w:r w:rsidRPr="00330234">
        <w:t xml:space="preserve">s. In de populatie met langdurige blootstelling was het totale aantal infecties met </w:t>
      </w:r>
      <w:r w:rsidR="00C44D4F" w:rsidRPr="00330234">
        <w:t>tocilizumab</w:t>
      </w:r>
      <w:r w:rsidRPr="00330234">
        <w:t xml:space="preserve"> 108 voorvallen per 100 patiëntjaren blootstelling.</w:t>
      </w:r>
    </w:p>
    <w:p w14:paraId="4203D8E7" w14:textId="77777777" w:rsidR="00436DAA" w:rsidRPr="00330234" w:rsidRDefault="00436DAA" w:rsidP="00BD109B">
      <w:pPr>
        <w:pStyle w:val="a3"/>
        <w:widowControl/>
        <w:ind w:left="0"/>
      </w:pPr>
    </w:p>
    <w:p w14:paraId="637A0190" w14:textId="45F30152" w:rsidR="00436DAA" w:rsidRPr="00330234" w:rsidRDefault="009B4B8E" w:rsidP="00753185">
      <w:pPr>
        <w:pStyle w:val="a3"/>
        <w:widowControl/>
        <w:ind w:left="0"/>
      </w:pPr>
      <w:r w:rsidRPr="00330234">
        <w:t xml:space="preserve">In de 6 maanden durende gecontroleerde klinische studies, was het aantal gemelde ernstige infecties met </w:t>
      </w:r>
      <w:r w:rsidR="00C44D4F" w:rsidRPr="00330234">
        <w:t>tocilizumab</w:t>
      </w:r>
      <w:r w:rsidRPr="00330234">
        <w:t xml:space="preserve"> 8 mg/kg plus DMARD</w:t>
      </w:r>
      <w:r w:rsidR="00753185" w:rsidRPr="00330234">
        <w:t>’</w:t>
      </w:r>
      <w:r w:rsidRPr="00330234">
        <w:t>s 5,3 voorvallen per 100 patiëntjaren blootstelling vergeleken met 3,9 voorvallen per 100 patiëntjaren blootstelling bij de placebo plus DMARD-groep. In het monotherapie onderzoek was het aantal gemelde ernstige infecties 3,6 voorvallen per 100 patiëntjaren</w:t>
      </w:r>
      <w:r w:rsidR="004A723A" w:rsidRPr="00330234">
        <w:t xml:space="preserve"> </w:t>
      </w:r>
      <w:r w:rsidRPr="00330234">
        <w:t xml:space="preserve">blootstelling in de </w:t>
      </w:r>
      <w:r w:rsidR="00C44D4F" w:rsidRPr="00330234">
        <w:t>tocilizumab</w:t>
      </w:r>
      <w:r w:rsidRPr="00330234">
        <w:t>-groep en 1,5 voorvallen per 100 patiëntjaren blootstelling bij de MTX- groep.</w:t>
      </w:r>
    </w:p>
    <w:p w14:paraId="5A9AE54D" w14:textId="77777777" w:rsidR="00436DAA" w:rsidRPr="00330234" w:rsidRDefault="00436DAA" w:rsidP="00BD109B">
      <w:pPr>
        <w:pStyle w:val="a3"/>
        <w:widowControl/>
        <w:ind w:left="0"/>
      </w:pPr>
    </w:p>
    <w:p w14:paraId="6C713555" w14:textId="16868640" w:rsidR="00436DAA" w:rsidRPr="00330234" w:rsidRDefault="009B4B8E" w:rsidP="004A723A">
      <w:pPr>
        <w:pStyle w:val="a3"/>
        <w:widowControl/>
        <w:ind w:left="0"/>
      </w:pPr>
      <w:r w:rsidRPr="00330234">
        <w:t xml:space="preserve">Bij de totale populatie die werd behandeld met </w:t>
      </w:r>
      <w:r w:rsidR="000A7E61" w:rsidRPr="00330234">
        <w:t>tocilizumab</w:t>
      </w:r>
      <w:r w:rsidRPr="00330234">
        <w:t xml:space="preserve"> was het totale aantal ernstige infecties</w:t>
      </w:r>
      <w:r w:rsidR="004A723A" w:rsidRPr="00330234">
        <w:t xml:space="preserve"> </w:t>
      </w:r>
      <w:r w:rsidRPr="00330234">
        <w:t>4,7</w:t>
      </w:r>
      <w:r w:rsidR="004A723A" w:rsidRPr="00330234">
        <w:t> </w:t>
      </w:r>
      <w:r w:rsidRPr="00330234">
        <w:t>voorvallen per 100 patiëntjaren. De gemelde ernstige infecties, enkele met fatale afloop, waren o.a. pneumonie, cellulitis, herpes zoster, gastro-enteritis, diverticulitis, sepsis en bacteriële artritis.</w:t>
      </w:r>
    </w:p>
    <w:p w14:paraId="487F0009" w14:textId="77777777" w:rsidR="000F2820" w:rsidRPr="00330234" w:rsidRDefault="000F2820" w:rsidP="004A723A">
      <w:pPr>
        <w:pStyle w:val="a3"/>
        <w:widowControl/>
        <w:ind w:left="0"/>
      </w:pPr>
    </w:p>
    <w:p w14:paraId="4E180220" w14:textId="77777777" w:rsidR="00436DAA" w:rsidRPr="00330234" w:rsidRDefault="009B4B8E" w:rsidP="00BD109B">
      <w:pPr>
        <w:pStyle w:val="a3"/>
        <w:widowControl/>
        <w:ind w:left="0"/>
      </w:pPr>
      <w:r w:rsidRPr="00330234">
        <w:t>Gevallen van opportunistische infecties zijn ook gemeld.</w:t>
      </w:r>
    </w:p>
    <w:p w14:paraId="0A167665" w14:textId="77777777" w:rsidR="00436DAA" w:rsidRPr="00330234" w:rsidRDefault="00436DAA" w:rsidP="00BD109B">
      <w:pPr>
        <w:pStyle w:val="a3"/>
        <w:widowControl/>
        <w:ind w:left="0"/>
      </w:pPr>
    </w:p>
    <w:p w14:paraId="1AC8C255" w14:textId="77777777" w:rsidR="00436DAA" w:rsidRPr="00330234" w:rsidRDefault="009B4B8E" w:rsidP="006B7C9C">
      <w:pPr>
        <w:keepNext/>
        <w:keepLines/>
        <w:widowControl/>
        <w:rPr>
          <w:i/>
        </w:rPr>
      </w:pPr>
      <w:r w:rsidRPr="00330234">
        <w:rPr>
          <w:i/>
        </w:rPr>
        <w:t>Interstitiële longziekte</w:t>
      </w:r>
    </w:p>
    <w:p w14:paraId="22D3EEDA" w14:textId="77777777" w:rsidR="00436DAA" w:rsidRPr="00330234" w:rsidRDefault="009B4B8E" w:rsidP="001B3E1E">
      <w:pPr>
        <w:pStyle w:val="a3"/>
        <w:widowControl/>
        <w:ind w:left="0"/>
      </w:pPr>
      <w:r w:rsidRPr="00330234">
        <w:t>Het risico op het ontwikkelen van infecties kan toenemen bij een verminderde longfunctie. Er zijn postmarketingmeldingen van interstitiële longziekten (waaronder pneumonitis en longfibrose), waarvan sommige een fatale afloop hadden.</w:t>
      </w:r>
    </w:p>
    <w:p w14:paraId="377EEEF9" w14:textId="77777777" w:rsidR="00436DAA" w:rsidRPr="00330234" w:rsidRDefault="00436DAA" w:rsidP="00BD109B">
      <w:pPr>
        <w:pStyle w:val="a3"/>
        <w:widowControl/>
        <w:ind w:left="0"/>
      </w:pPr>
    </w:p>
    <w:p w14:paraId="1BA28EC4" w14:textId="77777777" w:rsidR="00436DAA" w:rsidRPr="00330234" w:rsidRDefault="009B4B8E" w:rsidP="001B3E1E">
      <w:pPr>
        <w:keepNext/>
        <w:keepLines/>
        <w:widowControl/>
        <w:rPr>
          <w:i/>
        </w:rPr>
      </w:pPr>
      <w:r w:rsidRPr="00330234">
        <w:rPr>
          <w:i/>
        </w:rPr>
        <w:lastRenderedPageBreak/>
        <w:t>Gastro-intestinale perforatie</w:t>
      </w:r>
    </w:p>
    <w:p w14:paraId="6133BA21" w14:textId="3E266E16" w:rsidR="00436DAA" w:rsidRPr="00330234" w:rsidRDefault="009B4B8E" w:rsidP="004A723A">
      <w:pPr>
        <w:pStyle w:val="a3"/>
        <w:widowControl/>
        <w:ind w:left="0"/>
      </w:pPr>
      <w:r w:rsidRPr="00330234">
        <w:t xml:space="preserve">Tijdens de 6 maanden durende gecontroleerde klinische studies was het totale aantal gastro-intestinale perforaties 0,26 voorvallen per 100 patiëntjaren bij behandeling met </w:t>
      </w:r>
      <w:r w:rsidR="00C44D4F" w:rsidRPr="00330234">
        <w:t>tocilizumab</w:t>
      </w:r>
      <w:r w:rsidRPr="00330234">
        <w:t>. Bij de populatie met langdurige blootstelling was het totaal aantal gastro-intestinale perforaties 0,28 voorvallen per</w:t>
      </w:r>
      <w:r w:rsidR="004A723A" w:rsidRPr="00330234">
        <w:t xml:space="preserve"> </w:t>
      </w:r>
      <w:r w:rsidRPr="00330234">
        <w:t>100</w:t>
      </w:r>
      <w:r w:rsidR="004A723A" w:rsidRPr="00330234">
        <w:t> </w:t>
      </w:r>
      <w:r w:rsidRPr="00330234">
        <w:t xml:space="preserve">patiëntjaren. Gastro-intestinale perforaties bij gebruik van </w:t>
      </w:r>
      <w:r w:rsidR="00C44D4F" w:rsidRPr="00330234">
        <w:t>tocilizumab</w:t>
      </w:r>
      <w:r w:rsidRPr="00330234">
        <w:t xml:space="preserve"> werden voornamelijk gemeld als complicaties van diverticulitis, waaronder gegeneraliseerde purulente peritonitis, lage gastro-intestinale perforaties, fistels en abcessen.</w:t>
      </w:r>
    </w:p>
    <w:p w14:paraId="3F514CEB" w14:textId="77777777" w:rsidR="004A723A" w:rsidRPr="00330234" w:rsidRDefault="004A723A" w:rsidP="00BD109B">
      <w:pPr>
        <w:pStyle w:val="a3"/>
        <w:widowControl/>
        <w:ind w:left="0"/>
      </w:pPr>
    </w:p>
    <w:p w14:paraId="18786DA4" w14:textId="77777777" w:rsidR="00436DAA" w:rsidRPr="00330234" w:rsidRDefault="009B4B8E" w:rsidP="00BD109B">
      <w:pPr>
        <w:widowControl/>
        <w:rPr>
          <w:i/>
        </w:rPr>
      </w:pPr>
      <w:r w:rsidRPr="00330234">
        <w:rPr>
          <w:i/>
        </w:rPr>
        <w:t>Infusiegerelateerde reacties</w:t>
      </w:r>
    </w:p>
    <w:p w14:paraId="5F12E466" w14:textId="77777777" w:rsidR="00436DAA" w:rsidRPr="00330234" w:rsidRDefault="009B4B8E" w:rsidP="00BD109B">
      <w:pPr>
        <w:pStyle w:val="a3"/>
        <w:widowControl/>
        <w:ind w:left="0"/>
      </w:pPr>
      <w:r w:rsidRPr="00330234">
        <w:t>In de 6 maanden durende gecontroleerde studies zijn infusiegerelateerde bijwerkingen (specifieke gebeurtenissen die voorkomen gedurende of binnen 24 uur na infusie) bij 6,9% van de patiënten in de tocilizumab 8 mg/kg plus DMARD-groep en bij 5,1% van de patiënten in de placebo plus DMARD- groep gemeld. Bijwerkingen die tijdens de infusie zijn gemeld waren voornamelijk episoden van hypertensie; bijwerkingen die binnen 24 uur na de infusie zijn gemeld waren hoofdpijn en huidreacties (uitslag en urticaria). Deze gebeurtenissen hadden geen gevolgen voor de behandeling.</w:t>
      </w:r>
    </w:p>
    <w:p w14:paraId="62FC0257" w14:textId="77777777" w:rsidR="004A723A" w:rsidRPr="00330234" w:rsidRDefault="004A723A" w:rsidP="00BD109B">
      <w:pPr>
        <w:pStyle w:val="a3"/>
        <w:widowControl/>
        <w:ind w:left="0"/>
      </w:pPr>
    </w:p>
    <w:p w14:paraId="5776CB86" w14:textId="27E2F228" w:rsidR="00436DAA" w:rsidRPr="00330234" w:rsidRDefault="009B4B8E" w:rsidP="004A723A">
      <w:pPr>
        <w:pStyle w:val="a3"/>
        <w:widowControl/>
        <w:ind w:left="0"/>
      </w:pPr>
      <w:r w:rsidRPr="00330234">
        <w:t>Het aantal anafylactische reacties (die voorkwamen bij in totaal 6 van de 3</w:t>
      </w:r>
      <w:r w:rsidR="00D5552B">
        <w:t>.</w:t>
      </w:r>
      <w:r w:rsidRPr="00330234">
        <w:t xml:space="preserve">778 patiënten) was verscheidene malen hoger bij de 4 mg/kg dosering vergeleken met de 8 mg/kg dosering. Klinisch significante overgevoeligheidsreacties geassocieerd met </w:t>
      </w:r>
      <w:r w:rsidR="00C44D4F" w:rsidRPr="00330234">
        <w:t>tocilizumab</w:t>
      </w:r>
      <w:r w:rsidRPr="00330234">
        <w:t xml:space="preserve"> waarbij staken van de behandeling noodzakelijk was, zijn bij in totaal 13 van de 3</w:t>
      </w:r>
      <w:r w:rsidR="00D5552B">
        <w:t>.</w:t>
      </w:r>
      <w:r w:rsidRPr="00330234">
        <w:t xml:space="preserve">778 (0,3%) patiënten gemeld die tijdens de gecontroleerde en open-label klinische studies werden behandeld met </w:t>
      </w:r>
      <w:r w:rsidR="00C44D4F" w:rsidRPr="00330234">
        <w:t>tocilizumab</w:t>
      </w:r>
      <w:r w:rsidRPr="00330234">
        <w:t>. Deze reacties werden over het algemeen bij de 2</w:t>
      </w:r>
      <w:r w:rsidRPr="00330234">
        <w:rPr>
          <w:vertAlign w:val="superscript"/>
        </w:rPr>
        <w:t>e</w:t>
      </w:r>
      <w:r w:rsidRPr="00330234">
        <w:t xml:space="preserve"> tot aan de 5</w:t>
      </w:r>
      <w:r w:rsidRPr="00330234">
        <w:rPr>
          <w:vertAlign w:val="superscript"/>
        </w:rPr>
        <w:t>e</w:t>
      </w:r>
      <w:r w:rsidRPr="00330234">
        <w:t xml:space="preserve"> infusie van tocilizumab waargenomen (zie</w:t>
      </w:r>
      <w:r w:rsidR="004A723A" w:rsidRPr="00330234">
        <w:t xml:space="preserve"> </w:t>
      </w:r>
      <w:r w:rsidRPr="00330234">
        <w:t xml:space="preserve">rubriek 4.4). Anafylaxie met fatale afloop is gemeld tijdens behandeling met </w:t>
      </w:r>
      <w:r w:rsidR="00C44D4F" w:rsidRPr="00330234">
        <w:t>tocilizumab</w:t>
      </w:r>
      <w:r w:rsidRPr="00330234">
        <w:t xml:space="preserve"> intraveneus na het toekennen van de handelsvergunning (zie rubriek 4.4).</w:t>
      </w:r>
    </w:p>
    <w:p w14:paraId="6B553C6D" w14:textId="77777777" w:rsidR="00436DAA" w:rsidRPr="00330234" w:rsidRDefault="00436DAA" w:rsidP="00BD109B">
      <w:pPr>
        <w:pStyle w:val="a3"/>
        <w:widowControl/>
        <w:ind w:left="0"/>
      </w:pPr>
    </w:p>
    <w:p w14:paraId="6E146F56" w14:textId="77777777" w:rsidR="004A723A" w:rsidRPr="00330234" w:rsidRDefault="009B4B8E" w:rsidP="001B3E1E">
      <w:pPr>
        <w:keepNext/>
        <w:keepLines/>
        <w:widowControl/>
        <w:rPr>
          <w:i/>
        </w:rPr>
      </w:pPr>
      <w:r w:rsidRPr="00330234">
        <w:rPr>
          <w:i/>
        </w:rPr>
        <w:t>Hematologische afwijkingen</w:t>
      </w:r>
    </w:p>
    <w:p w14:paraId="3FFC22C6" w14:textId="0B12DF7D" w:rsidR="00436DAA" w:rsidRPr="00330234" w:rsidRDefault="009B4B8E" w:rsidP="001B3E1E">
      <w:pPr>
        <w:keepNext/>
        <w:keepLines/>
        <w:widowControl/>
        <w:rPr>
          <w:i/>
        </w:rPr>
      </w:pPr>
      <w:r w:rsidRPr="00330234">
        <w:rPr>
          <w:i/>
        </w:rPr>
        <w:t>Neutrofielen</w:t>
      </w:r>
    </w:p>
    <w:p w14:paraId="0A45D06A" w14:textId="67AD1B3D" w:rsidR="00436DAA" w:rsidRPr="00330234" w:rsidRDefault="009B4B8E" w:rsidP="001B3E1E">
      <w:pPr>
        <w:pStyle w:val="a3"/>
        <w:keepNext/>
        <w:keepLines/>
        <w:widowControl/>
        <w:ind w:left="0"/>
      </w:pPr>
      <w:r w:rsidRPr="00330234">
        <w:t>Bij de 6 maanden durende gecontroleerde studies werd een afname van het neutrofielenaantal onder 1</w:t>
      </w:r>
      <w:r w:rsidR="004A723A" w:rsidRPr="00330234">
        <w:t> </w:t>
      </w:r>
      <w:r w:rsidRPr="00330234">
        <w:t>x 10</w:t>
      </w:r>
      <w:r w:rsidRPr="00330234">
        <w:rPr>
          <w:vertAlign w:val="superscript"/>
        </w:rPr>
        <w:t>9</w:t>
      </w:r>
      <w:r w:rsidRPr="00330234">
        <w:t xml:space="preserve">/l gezien bij 3,4% van de patiënten die behandeld werden met </w:t>
      </w:r>
      <w:r w:rsidR="00C44D4F" w:rsidRPr="00330234">
        <w:t>tocilizumab</w:t>
      </w:r>
      <w:r w:rsidRPr="00330234">
        <w:t xml:space="preserve"> 8 mg/kg plus DMARD</w:t>
      </w:r>
      <w:r w:rsidR="00753185" w:rsidRPr="00330234">
        <w:t>’</w:t>
      </w:r>
      <w:r w:rsidRPr="00330234">
        <w:t>s vergeleken met &lt; 0,1% van de patiënten die behandeld werden met placebo plus DMARD</w:t>
      </w:r>
      <w:r w:rsidR="00753185" w:rsidRPr="00330234">
        <w:t>’</w:t>
      </w:r>
      <w:r w:rsidRPr="00330234">
        <w:t>s. Bij ongeveer de helft van de patiënten die een absoluut neutrofielenaantal van &lt; 1 x 10</w:t>
      </w:r>
      <w:r w:rsidRPr="00330234">
        <w:rPr>
          <w:vertAlign w:val="superscript"/>
        </w:rPr>
        <w:t>9</w:t>
      </w:r>
      <w:r w:rsidRPr="00330234">
        <w:t>/l</w:t>
      </w:r>
      <w:r w:rsidR="004A723A" w:rsidRPr="00330234">
        <w:t xml:space="preserve"> </w:t>
      </w:r>
      <w:r w:rsidRPr="00330234">
        <w:t>ontwikkelde, gebeurde dit binnen 8 weken na het starten van de therapie. Afname onder de 0,5 x 10</w:t>
      </w:r>
      <w:r w:rsidRPr="00330234">
        <w:rPr>
          <w:vertAlign w:val="superscript"/>
        </w:rPr>
        <w:t>9</w:t>
      </w:r>
      <w:r w:rsidRPr="00330234">
        <w:t xml:space="preserve">/l is gemeld bij 0,3% van de patiënten die </w:t>
      </w:r>
      <w:r w:rsidR="00C44D4F" w:rsidRPr="00330234">
        <w:t>tocilizumab</w:t>
      </w:r>
      <w:r w:rsidRPr="00330234">
        <w:t xml:space="preserve"> 8 mg/kg plus DMARD’s kregen. Infecties met neutropenie zijn gemeld.</w:t>
      </w:r>
    </w:p>
    <w:p w14:paraId="6EA6C9D1" w14:textId="77777777" w:rsidR="00391FEC" w:rsidRPr="00330234" w:rsidRDefault="00391FEC" w:rsidP="00BD109B">
      <w:pPr>
        <w:pStyle w:val="a3"/>
        <w:widowControl/>
        <w:ind w:left="0"/>
      </w:pPr>
    </w:p>
    <w:p w14:paraId="76213192" w14:textId="4192670F" w:rsidR="00436DAA" w:rsidRPr="00330234" w:rsidRDefault="009B4B8E" w:rsidP="004A723A">
      <w:pPr>
        <w:pStyle w:val="a3"/>
        <w:widowControl/>
        <w:ind w:left="0"/>
      </w:pPr>
      <w:r w:rsidRPr="00330234">
        <w:t>Tijdens de dubbelblinde gecontroleerde periode en bij langdurige blootstelling bleven het patroon en de incidentie van de daling van het aantal neutrofielen gelijk aan wat werd waargenomen bij de</w:t>
      </w:r>
      <w:r w:rsidR="004A723A" w:rsidRPr="00330234">
        <w:t xml:space="preserve"> </w:t>
      </w:r>
      <w:r w:rsidRPr="00330234">
        <w:t>6</w:t>
      </w:r>
      <w:r w:rsidR="004A723A" w:rsidRPr="00330234">
        <w:t> </w:t>
      </w:r>
      <w:r w:rsidRPr="00330234">
        <w:t>maanden durende gecontroleerde klinische studies.</w:t>
      </w:r>
    </w:p>
    <w:p w14:paraId="7277A758" w14:textId="77777777" w:rsidR="00436DAA" w:rsidRPr="00330234" w:rsidRDefault="00436DAA" w:rsidP="00BD109B">
      <w:pPr>
        <w:pStyle w:val="a3"/>
        <w:widowControl/>
        <w:ind w:left="0"/>
      </w:pPr>
    </w:p>
    <w:p w14:paraId="735BDE2A" w14:textId="77777777" w:rsidR="00436DAA" w:rsidRPr="00330234" w:rsidRDefault="009B4B8E" w:rsidP="00BD109B">
      <w:pPr>
        <w:widowControl/>
        <w:rPr>
          <w:i/>
        </w:rPr>
      </w:pPr>
      <w:r w:rsidRPr="00330234">
        <w:rPr>
          <w:i/>
        </w:rPr>
        <w:t>Trombocyten</w:t>
      </w:r>
    </w:p>
    <w:p w14:paraId="569A89FE" w14:textId="76FAEFC3" w:rsidR="00436DAA" w:rsidRPr="00330234" w:rsidRDefault="009B4B8E" w:rsidP="004A723A">
      <w:pPr>
        <w:pStyle w:val="a3"/>
        <w:widowControl/>
        <w:ind w:left="0"/>
      </w:pPr>
      <w:r w:rsidRPr="00330234">
        <w:t>In de 6 maanden durende gecontroleerde studies daalde het aantal trombocyten onder 100 x 10</w:t>
      </w:r>
      <w:r w:rsidRPr="00330234">
        <w:rPr>
          <w:vertAlign w:val="superscript"/>
        </w:rPr>
        <w:t>3</w:t>
      </w:r>
      <w:r w:rsidRPr="00330234">
        <w:t xml:space="preserve">/μl bij 1,7% van de patiënten die behandeld werden met </w:t>
      </w:r>
      <w:r w:rsidR="00C44D4F" w:rsidRPr="00330234">
        <w:t>tocilizumab</w:t>
      </w:r>
      <w:r w:rsidRPr="00330234">
        <w:t xml:space="preserve"> 8 mg/kg plus DMARD</w:t>
      </w:r>
      <w:r w:rsidR="00753185" w:rsidRPr="00330234">
        <w:t>’</w:t>
      </w:r>
      <w:r w:rsidRPr="00330234">
        <w:t>s vergeleken met</w:t>
      </w:r>
      <w:r w:rsidR="004A723A" w:rsidRPr="00330234">
        <w:t xml:space="preserve"> </w:t>
      </w:r>
      <w:r w:rsidRPr="00330234">
        <w:t>&lt;</w:t>
      </w:r>
      <w:r w:rsidR="004A723A" w:rsidRPr="00330234">
        <w:t> </w:t>
      </w:r>
      <w:r w:rsidRPr="00330234">
        <w:t>1% bij de patiënten die behandeld werden met placebo plus DMARD</w:t>
      </w:r>
      <w:r w:rsidR="00753185" w:rsidRPr="00330234">
        <w:t>’</w:t>
      </w:r>
      <w:r w:rsidRPr="00330234">
        <w:t>s. Deze afname ging niet gepaard met geassocieerde bloedingen.</w:t>
      </w:r>
    </w:p>
    <w:p w14:paraId="1A16A7BC" w14:textId="77777777" w:rsidR="004A723A" w:rsidRPr="00330234" w:rsidRDefault="004A723A" w:rsidP="00BD109B">
      <w:pPr>
        <w:pStyle w:val="a3"/>
        <w:widowControl/>
        <w:ind w:left="0"/>
      </w:pPr>
    </w:p>
    <w:p w14:paraId="59B55279" w14:textId="0005F8A5" w:rsidR="00436DAA" w:rsidRPr="00330234" w:rsidRDefault="009B4B8E" w:rsidP="004A723A">
      <w:pPr>
        <w:pStyle w:val="a3"/>
        <w:widowControl/>
        <w:ind w:left="0"/>
      </w:pPr>
      <w:r w:rsidRPr="00330234">
        <w:t>Tijdens de dubbelblinde gecontroleerde periode en bij langdurige blootstelling bleven het patroon en de incidentie van de daling van het aantal trombocyten gelijk aan wat werd waargenomen bij de</w:t>
      </w:r>
      <w:r w:rsidR="004A723A" w:rsidRPr="00330234">
        <w:t xml:space="preserve"> </w:t>
      </w:r>
      <w:r w:rsidRPr="00330234">
        <w:t>6</w:t>
      </w:r>
      <w:r w:rsidR="004A723A" w:rsidRPr="00330234">
        <w:t> </w:t>
      </w:r>
      <w:r w:rsidRPr="00330234">
        <w:t>maanden durende gecontroleerde klinische studies.</w:t>
      </w:r>
    </w:p>
    <w:p w14:paraId="1C29C893" w14:textId="77777777" w:rsidR="00436DAA" w:rsidRPr="00330234" w:rsidRDefault="00436DAA" w:rsidP="00BD109B">
      <w:pPr>
        <w:pStyle w:val="a3"/>
        <w:widowControl/>
        <w:ind w:left="0"/>
      </w:pPr>
    </w:p>
    <w:p w14:paraId="0A006701" w14:textId="77777777" w:rsidR="00436DAA" w:rsidRPr="00330234" w:rsidRDefault="009B4B8E" w:rsidP="00BD109B">
      <w:pPr>
        <w:pStyle w:val="a3"/>
        <w:widowControl/>
        <w:ind w:left="0"/>
      </w:pPr>
      <w:r w:rsidRPr="00330234">
        <w:t>Na het in de handel brengen zijn zeer zelden gevallen van pancytopenie voorgekomen.</w:t>
      </w:r>
    </w:p>
    <w:p w14:paraId="4C7C3C4C" w14:textId="77777777" w:rsidR="00436DAA" w:rsidRPr="00330234" w:rsidRDefault="00436DAA" w:rsidP="00BD109B">
      <w:pPr>
        <w:pStyle w:val="a3"/>
        <w:widowControl/>
        <w:ind w:left="0"/>
      </w:pPr>
    </w:p>
    <w:p w14:paraId="55220C85" w14:textId="77777777" w:rsidR="00436DAA" w:rsidRPr="00330234" w:rsidRDefault="009B4B8E" w:rsidP="00BD109B">
      <w:pPr>
        <w:widowControl/>
        <w:rPr>
          <w:i/>
        </w:rPr>
      </w:pPr>
      <w:r w:rsidRPr="00330234">
        <w:rPr>
          <w:i/>
        </w:rPr>
        <w:t>Stijging van levertransaminasen</w:t>
      </w:r>
    </w:p>
    <w:p w14:paraId="16472D26" w14:textId="3CB86F4B" w:rsidR="00436DAA" w:rsidRPr="00330234" w:rsidRDefault="009B4B8E" w:rsidP="00BD109B">
      <w:pPr>
        <w:pStyle w:val="a3"/>
        <w:widowControl/>
        <w:ind w:left="0"/>
      </w:pPr>
      <w:r w:rsidRPr="00330234">
        <w:t>Tijdens de 6 maanden durende gecontroleerde studies is een kortstondige stijging van ALAT/ASAT &gt;</w:t>
      </w:r>
      <w:r w:rsidR="004A723A" w:rsidRPr="00330234">
        <w:t> </w:t>
      </w:r>
      <w:r w:rsidRPr="00330234">
        <w:t xml:space="preserve">3 x ULN waargenomen bij 2,1% van de patiënten die behandeld werden met </w:t>
      </w:r>
      <w:r w:rsidR="00C44D4F" w:rsidRPr="00330234">
        <w:t>tocilizumab</w:t>
      </w:r>
      <w:r w:rsidRPr="00330234">
        <w:t xml:space="preserve"> 8 mg/kg vergeleken met 4,9% van de patiënten die behandeld werden met MTX en bij 6,5% van de patiënten met 8 mg/kg </w:t>
      </w:r>
      <w:r w:rsidR="00C44D4F" w:rsidRPr="00330234">
        <w:t>tocilizumab</w:t>
      </w:r>
      <w:r w:rsidRPr="00330234">
        <w:t xml:space="preserve"> plus DMARD</w:t>
      </w:r>
      <w:r w:rsidR="00753185" w:rsidRPr="00330234">
        <w:t>’</w:t>
      </w:r>
      <w:r w:rsidRPr="00330234">
        <w:t>s vergeleken met 1,5% van de patiënten die behandeld werden met placebo plus DMARD</w:t>
      </w:r>
      <w:r w:rsidR="00753185" w:rsidRPr="00330234">
        <w:t>’</w:t>
      </w:r>
      <w:r w:rsidRPr="00330234">
        <w:t>s.</w:t>
      </w:r>
    </w:p>
    <w:p w14:paraId="439BD4AF" w14:textId="77777777" w:rsidR="00436DAA" w:rsidRPr="00330234" w:rsidRDefault="00436DAA" w:rsidP="00BD109B">
      <w:pPr>
        <w:pStyle w:val="a3"/>
        <w:widowControl/>
        <w:ind w:left="0"/>
      </w:pPr>
    </w:p>
    <w:p w14:paraId="6459DFA2" w14:textId="34BF03A7" w:rsidR="00436DAA" w:rsidRPr="00330234" w:rsidRDefault="009B4B8E" w:rsidP="004A723A">
      <w:pPr>
        <w:pStyle w:val="a3"/>
        <w:widowControl/>
        <w:ind w:left="0"/>
      </w:pPr>
      <w:r w:rsidRPr="00330234">
        <w:t xml:space="preserve">Toevoeging van potentieel hepatotoxische geneesmiddelen (bijv. MTX) aan </w:t>
      </w:r>
      <w:r w:rsidR="00C44D4F" w:rsidRPr="00330234">
        <w:t>tocilizumab</w:t>
      </w:r>
      <w:r w:rsidRPr="00330234">
        <w:t xml:space="preserve"> monotherapie resulteerde in een toename van de frequentie van deze stijgingen. Stijging van ALAT/ASAT &gt;</w:t>
      </w:r>
      <w:r w:rsidR="004A723A" w:rsidRPr="00330234">
        <w:t xml:space="preserve"> </w:t>
      </w:r>
      <w:r w:rsidRPr="00330234">
        <w:t xml:space="preserve">5 x ULN werd gezien bij 0,7% van de patiënten die behandeld werden met </w:t>
      </w:r>
      <w:r w:rsidR="000A7E61" w:rsidRPr="00330234">
        <w:t>tocilizumab</w:t>
      </w:r>
      <w:r w:rsidRPr="00330234">
        <w:t xml:space="preserve"> monotherapie en bij 1,4% van de patiënten die behandeld werden met </w:t>
      </w:r>
      <w:r w:rsidR="00C44D4F" w:rsidRPr="00330234">
        <w:t>tocilizumab</w:t>
      </w:r>
      <w:r w:rsidRPr="00330234">
        <w:t xml:space="preserve"> plus DMARD. Het merendeel van hen staakte de behandeling met tocilizumab definitief. Gedurende de dubbelblinde gecontroleerde periode was de incidentie van indirect bilirubine die hoger is dan de ULN, verzameld als routinematige laboratoriumparameter, 6,2% bij patiënten die behandeld werden met </w:t>
      </w:r>
      <w:r w:rsidR="00C44D4F" w:rsidRPr="00330234">
        <w:t>tocilizumab</w:t>
      </w:r>
      <w:r w:rsidR="004A723A" w:rsidRPr="00330234">
        <w:t xml:space="preserve"> </w:t>
      </w:r>
      <w:r w:rsidRPr="00330234">
        <w:t>8</w:t>
      </w:r>
      <w:r w:rsidR="004A723A" w:rsidRPr="00330234">
        <w:t> </w:t>
      </w:r>
      <w:r w:rsidRPr="00330234">
        <w:t>mg/kg plus DMARD. Een totaal van 5,8% van de patiënten had een verhoging van indirect bilirubine van &gt; 1 tot 2 x ULN en 0,4% had een verhoging van &gt; 2 x ULN.</w:t>
      </w:r>
    </w:p>
    <w:p w14:paraId="1E9EE10D" w14:textId="77777777" w:rsidR="004A723A" w:rsidRPr="00330234" w:rsidRDefault="004A723A" w:rsidP="004A723A">
      <w:pPr>
        <w:pStyle w:val="a3"/>
        <w:widowControl/>
        <w:ind w:left="0"/>
      </w:pPr>
    </w:p>
    <w:p w14:paraId="00A822B1" w14:textId="545FA413" w:rsidR="00436DAA" w:rsidRPr="00330234" w:rsidRDefault="009B4B8E" w:rsidP="004A723A">
      <w:pPr>
        <w:pStyle w:val="a3"/>
        <w:widowControl/>
        <w:ind w:left="0"/>
      </w:pPr>
      <w:r w:rsidRPr="00330234">
        <w:t>Tijdens de dubbelblinde gecontroleerde periode en bij langdurige blootstelling bleven het patroon en de incidentie van de stijging van ALAT/ASAT gelijk aan wat werd waargenomen tijdens de</w:t>
      </w:r>
      <w:r w:rsidR="004A723A" w:rsidRPr="00330234">
        <w:t xml:space="preserve"> </w:t>
      </w:r>
      <w:r w:rsidRPr="00330234">
        <w:t>6</w:t>
      </w:r>
      <w:r w:rsidR="004A723A" w:rsidRPr="00330234">
        <w:t> </w:t>
      </w:r>
      <w:r w:rsidRPr="00330234">
        <w:t>maanden durende gecontroleerde klinische studies.</w:t>
      </w:r>
    </w:p>
    <w:p w14:paraId="4D478B76" w14:textId="77777777" w:rsidR="00436DAA" w:rsidRPr="00330234" w:rsidRDefault="00436DAA" w:rsidP="00BD109B">
      <w:pPr>
        <w:pStyle w:val="a3"/>
        <w:widowControl/>
        <w:ind w:left="0"/>
      </w:pPr>
    </w:p>
    <w:p w14:paraId="4CBDF952" w14:textId="77777777" w:rsidR="00436DAA" w:rsidRPr="00330234" w:rsidRDefault="009B4B8E" w:rsidP="00BD109B">
      <w:pPr>
        <w:widowControl/>
        <w:rPr>
          <w:i/>
        </w:rPr>
      </w:pPr>
      <w:r w:rsidRPr="00330234">
        <w:rPr>
          <w:i/>
        </w:rPr>
        <w:t>Lipideparameters</w:t>
      </w:r>
    </w:p>
    <w:p w14:paraId="78AC9C31" w14:textId="1EFBF08A" w:rsidR="00436DAA" w:rsidRPr="00330234" w:rsidRDefault="009B4B8E" w:rsidP="004A723A">
      <w:pPr>
        <w:pStyle w:val="a3"/>
        <w:widowControl/>
        <w:ind w:left="0"/>
      </w:pPr>
      <w:r w:rsidRPr="00330234">
        <w:t xml:space="preserve">Tijdens de 6 maanden durende gecontroleerde onderzoeken, is een toename van de lipideparameters zoals totaal cholesterol, triglyceriden, LDL-cholesterol en/of HDL-cholesterol vaak gemeld. Met routinematige controles in het laboratorium werd waargenomen dat ongeveer 24% van de patiënten die bij klinische studies </w:t>
      </w:r>
      <w:r w:rsidR="00C44D4F" w:rsidRPr="00330234">
        <w:t>tocilizumab</w:t>
      </w:r>
      <w:r w:rsidRPr="00330234">
        <w:t xml:space="preserve"> kregen, een aanhoudende stijging van de totaal cholesterol</w:t>
      </w:r>
      <w:r w:rsidR="004A723A" w:rsidRPr="00330234">
        <w:t xml:space="preserve"> </w:t>
      </w:r>
      <w:r w:rsidRPr="00330234">
        <w:t>≥</w:t>
      </w:r>
      <w:r w:rsidR="004A723A" w:rsidRPr="00330234">
        <w:t> </w:t>
      </w:r>
      <w:r w:rsidRPr="00330234">
        <w:t>6,2</w:t>
      </w:r>
      <w:r w:rsidR="004A723A" w:rsidRPr="00330234">
        <w:t> </w:t>
      </w:r>
      <w:r w:rsidRPr="00330234">
        <w:t>mmol/l had, waarvan 15% een aanhoudende stijging van LDL-cholesterol tot ≥ 4,1 mmol/l ervaarde. Stijgingen van lipideparameters reageerden op behandeling met lipideverlagende middelen.</w:t>
      </w:r>
    </w:p>
    <w:p w14:paraId="48601CFB" w14:textId="77777777" w:rsidR="004A723A" w:rsidRPr="00330234" w:rsidRDefault="004A723A" w:rsidP="004A723A">
      <w:pPr>
        <w:pStyle w:val="a3"/>
        <w:widowControl/>
        <w:ind w:left="0"/>
      </w:pPr>
    </w:p>
    <w:p w14:paraId="05ACD4B9" w14:textId="050C1B5A" w:rsidR="00436DAA" w:rsidRPr="00330234" w:rsidRDefault="009B4B8E" w:rsidP="004A723A">
      <w:pPr>
        <w:pStyle w:val="a3"/>
        <w:widowControl/>
        <w:ind w:left="0"/>
      </w:pPr>
      <w:r w:rsidRPr="00330234">
        <w:t>Tijdens de dubbelblinde gecontroleerde periode en bij langdurige blootstelling bleven het patroon en de incidentie van de stijging van de lipideparameters gelijk aan wat werd waargenomen tijdens de</w:t>
      </w:r>
      <w:r w:rsidR="004A723A" w:rsidRPr="00330234">
        <w:t xml:space="preserve"> </w:t>
      </w:r>
      <w:r w:rsidRPr="00330234">
        <w:t>6</w:t>
      </w:r>
      <w:r w:rsidR="004A723A" w:rsidRPr="00330234">
        <w:t> </w:t>
      </w:r>
      <w:r w:rsidRPr="00330234">
        <w:t>maanden durende gecontroleerde klinische studies.</w:t>
      </w:r>
    </w:p>
    <w:p w14:paraId="289BD2EB" w14:textId="77777777" w:rsidR="004A723A" w:rsidRPr="00330234" w:rsidRDefault="004A723A" w:rsidP="00BD109B">
      <w:pPr>
        <w:pStyle w:val="a3"/>
        <w:widowControl/>
        <w:ind w:left="0"/>
      </w:pPr>
    </w:p>
    <w:p w14:paraId="52696CDC" w14:textId="77777777" w:rsidR="00436DAA" w:rsidRPr="00330234" w:rsidRDefault="009B4B8E" w:rsidP="00BD109B">
      <w:pPr>
        <w:widowControl/>
        <w:rPr>
          <w:i/>
        </w:rPr>
      </w:pPr>
      <w:r w:rsidRPr="00330234">
        <w:rPr>
          <w:i/>
        </w:rPr>
        <w:t>Maligniteiten</w:t>
      </w:r>
    </w:p>
    <w:p w14:paraId="318221D8" w14:textId="4247B3ED" w:rsidR="00436DAA" w:rsidRPr="00330234" w:rsidRDefault="009B4B8E" w:rsidP="00BD109B">
      <w:pPr>
        <w:pStyle w:val="a3"/>
        <w:widowControl/>
        <w:ind w:left="0"/>
      </w:pPr>
      <w:r w:rsidRPr="00330234">
        <w:t xml:space="preserve">Er zijn onvoldoende klinische gegevens beschikbaar om de potentiële incidentie van maligniteiten als gevolg van blootstelling aan </w:t>
      </w:r>
      <w:r w:rsidR="00C44D4F" w:rsidRPr="00330234">
        <w:t>tocilizumab</w:t>
      </w:r>
      <w:r w:rsidRPr="00330234">
        <w:t xml:space="preserve"> te bepalen. Langetermijnveiligheidsevaluaties zijn nog gaande.</w:t>
      </w:r>
    </w:p>
    <w:p w14:paraId="685920DA" w14:textId="77777777" w:rsidR="00436DAA" w:rsidRPr="00330234" w:rsidRDefault="00436DAA" w:rsidP="00BD109B">
      <w:pPr>
        <w:pStyle w:val="a3"/>
        <w:widowControl/>
        <w:ind w:left="0"/>
      </w:pPr>
    </w:p>
    <w:p w14:paraId="3E4E2CAD" w14:textId="77777777" w:rsidR="00436DAA" w:rsidRPr="00330234" w:rsidRDefault="009B4B8E" w:rsidP="00BD109B">
      <w:pPr>
        <w:widowControl/>
        <w:rPr>
          <w:i/>
        </w:rPr>
      </w:pPr>
      <w:r w:rsidRPr="00330234">
        <w:rPr>
          <w:i/>
        </w:rPr>
        <w:t>Huidreacties</w:t>
      </w:r>
    </w:p>
    <w:p w14:paraId="5814CEC0" w14:textId="77777777" w:rsidR="00436DAA" w:rsidRPr="00330234" w:rsidRDefault="009B4B8E" w:rsidP="00BD109B">
      <w:pPr>
        <w:pStyle w:val="a3"/>
        <w:widowControl/>
        <w:ind w:left="0"/>
      </w:pPr>
      <w:r w:rsidRPr="00330234">
        <w:t>Na het in de handel brengen is zelden melding gedaan van stevens-johnsonsyndroom.</w:t>
      </w:r>
    </w:p>
    <w:p w14:paraId="3B6EB647" w14:textId="77777777" w:rsidR="00C44D4F" w:rsidRPr="00330234" w:rsidRDefault="00C44D4F" w:rsidP="00BD109B">
      <w:pPr>
        <w:pStyle w:val="a3"/>
        <w:widowControl/>
        <w:ind w:left="0"/>
      </w:pPr>
    </w:p>
    <w:p w14:paraId="784F6F9B" w14:textId="77777777" w:rsidR="00F226A8" w:rsidRPr="00330234" w:rsidRDefault="00F226A8" w:rsidP="00F226A8">
      <w:pPr>
        <w:pStyle w:val="a3"/>
        <w:keepNext/>
        <w:keepLines/>
        <w:widowControl/>
        <w:ind w:left="0"/>
        <w:rPr>
          <w:u w:val="single"/>
        </w:rPr>
      </w:pPr>
      <w:r w:rsidRPr="00330234">
        <w:rPr>
          <w:u w:val="single"/>
        </w:rPr>
        <w:t>Immunogeniciteit</w:t>
      </w:r>
    </w:p>
    <w:p w14:paraId="55AB80B4" w14:textId="0D6345D1" w:rsidR="00C44D4F" w:rsidRPr="00330234" w:rsidRDefault="00F226A8" w:rsidP="00BD109B">
      <w:pPr>
        <w:pStyle w:val="a3"/>
        <w:widowControl/>
        <w:ind w:left="0"/>
      </w:pPr>
      <w:r w:rsidRPr="00330234">
        <w:t>Tijdens de behandeling met tocilizumab kunnen zich anti-tocilizumabantilichamen ontwikkelen. Er kan een correlatie worden waargenomen tussen de ontwikkeling van antilichamen en de klinische respons of bijwerkingen.</w:t>
      </w:r>
    </w:p>
    <w:p w14:paraId="05EA5E9C" w14:textId="77777777" w:rsidR="00391FEC" w:rsidRPr="00330234" w:rsidRDefault="00391FEC" w:rsidP="00BD109B">
      <w:pPr>
        <w:pStyle w:val="a3"/>
        <w:widowControl/>
        <w:ind w:left="0"/>
      </w:pPr>
    </w:p>
    <w:p w14:paraId="5D75F175" w14:textId="77777777" w:rsidR="00436DAA" w:rsidRPr="00330234" w:rsidRDefault="009B4B8E" w:rsidP="00BD109B">
      <w:pPr>
        <w:pStyle w:val="a3"/>
        <w:widowControl/>
        <w:ind w:left="0"/>
      </w:pPr>
      <w:r w:rsidRPr="00330234">
        <w:rPr>
          <w:u w:val="single"/>
        </w:rPr>
        <w:t>Melding van vermoedelijke bijwerkingen</w:t>
      </w:r>
    </w:p>
    <w:p w14:paraId="10BCF9B0" w14:textId="6699C145" w:rsidR="00436DAA" w:rsidRPr="00330234" w:rsidRDefault="009B4B8E" w:rsidP="00BD109B">
      <w:pPr>
        <w:pStyle w:val="a3"/>
        <w:widowControl/>
        <w:ind w:left="0"/>
      </w:pPr>
      <w:r w:rsidRPr="00330234">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color w:val="000000"/>
          <w:highlight w:val="lightGray"/>
          <w:shd w:val="pct35" w:color="auto" w:fill="auto"/>
        </w:rPr>
        <w:t>het nationale meldsysteem zoals vermeld in</w:t>
      </w:r>
      <w:hyperlink r:id="rId16">
        <w:r>
          <w:rPr>
            <w:color w:val="0000FF"/>
            <w:highlight w:val="lightGray"/>
            <w:u w:val="single" w:color="0000FF"/>
            <w:shd w:val="pct35" w:color="auto" w:fill="auto"/>
          </w:rPr>
          <w:t xml:space="preserve"> aanhangsel V</w:t>
        </w:r>
      </w:hyperlink>
      <w:r w:rsidR="006B7C9C" w:rsidRPr="00330234">
        <w:t>.</w:t>
      </w:r>
    </w:p>
    <w:p w14:paraId="3CC382CB" w14:textId="77777777" w:rsidR="00436DAA" w:rsidRPr="00330234" w:rsidRDefault="00436DAA" w:rsidP="00BD109B">
      <w:pPr>
        <w:pStyle w:val="a3"/>
        <w:widowControl/>
        <w:ind w:left="0"/>
      </w:pPr>
    </w:p>
    <w:p w14:paraId="337D85E1" w14:textId="26AA50FD" w:rsidR="00436DAA" w:rsidRPr="00330234" w:rsidRDefault="005328BF" w:rsidP="006B7C9C">
      <w:pPr>
        <w:pStyle w:val="2"/>
        <w:keepNext/>
        <w:keepLines/>
      </w:pPr>
      <w:r w:rsidRPr="00330234">
        <w:t>4.9</w:t>
      </w:r>
      <w:r w:rsidRPr="00330234">
        <w:tab/>
      </w:r>
      <w:r w:rsidR="009B4B8E" w:rsidRPr="00330234">
        <w:t>Overdosering</w:t>
      </w:r>
    </w:p>
    <w:p w14:paraId="3736C684" w14:textId="77777777" w:rsidR="004A723A" w:rsidRPr="00330234" w:rsidRDefault="004A723A" w:rsidP="006B7C9C">
      <w:pPr>
        <w:pStyle w:val="a3"/>
        <w:keepNext/>
        <w:keepLines/>
        <w:widowControl/>
        <w:ind w:left="0"/>
      </w:pPr>
    </w:p>
    <w:p w14:paraId="7185E44C" w14:textId="53CE641D" w:rsidR="00436DAA" w:rsidRPr="00330234" w:rsidRDefault="009B4B8E" w:rsidP="006B7C9C">
      <w:pPr>
        <w:pStyle w:val="a3"/>
        <w:keepNext/>
        <w:keepLines/>
        <w:widowControl/>
        <w:ind w:left="0"/>
      </w:pPr>
      <w:r w:rsidRPr="00330234">
        <w:t xml:space="preserve">Er zijn beperkte gegevens beschikbaar van overdosering met </w:t>
      </w:r>
      <w:r w:rsidR="00D16AF1" w:rsidRPr="00330234">
        <w:t>tocilizumab</w:t>
      </w:r>
      <w:r w:rsidRPr="00330234">
        <w:t>. Eén geval van overdosering is gemeld bij een patiënt met multipel myeloom die een enkelvoudige dosis van 40 mg/kg intraveneus toegediend kreeg. Er zijn geen bijwerkingen waargenomen.</w:t>
      </w:r>
    </w:p>
    <w:p w14:paraId="50FBBD5A" w14:textId="77777777" w:rsidR="004A723A" w:rsidRPr="00330234" w:rsidRDefault="004A723A" w:rsidP="00BD109B">
      <w:pPr>
        <w:pStyle w:val="a3"/>
        <w:widowControl/>
        <w:ind w:left="0"/>
      </w:pPr>
    </w:p>
    <w:p w14:paraId="38943677" w14:textId="4B6A884D" w:rsidR="00436DAA" w:rsidRPr="00330234" w:rsidRDefault="009B4B8E" w:rsidP="00BD109B">
      <w:pPr>
        <w:pStyle w:val="a3"/>
        <w:widowControl/>
        <w:ind w:left="0"/>
      </w:pPr>
      <w:r w:rsidRPr="00330234">
        <w:t>Er zijn geen ernstige bijwerkingen waargenomen bij gezonde vrijwilligers die een enkelvoudige dosering tot 28 mg/kg kregen. Hierbij trad echter wel een dosisbeperkende neutropenie op.</w:t>
      </w:r>
    </w:p>
    <w:p w14:paraId="28FA3AA4" w14:textId="77777777" w:rsidR="00436DAA" w:rsidRPr="00330234" w:rsidRDefault="00436DAA" w:rsidP="00BD109B">
      <w:pPr>
        <w:pStyle w:val="a3"/>
        <w:widowControl/>
        <w:ind w:left="0"/>
      </w:pPr>
    </w:p>
    <w:p w14:paraId="22A85D07" w14:textId="77777777" w:rsidR="00436DAA" w:rsidRPr="00330234" w:rsidRDefault="00436DAA" w:rsidP="00BD109B">
      <w:pPr>
        <w:pStyle w:val="a3"/>
        <w:widowControl/>
        <w:ind w:left="0"/>
      </w:pPr>
    </w:p>
    <w:p w14:paraId="300598E8" w14:textId="6E1B4170" w:rsidR="00436DAA" w:rsidRPr="00330234" w:rsidRDefault="005328BF" w:rsidP="001B3E1E">
      <w:pPr>
        <w:pStyle w:val="1"/>
        <w:keepNext/>
        <w:keepLines/>
      </w:pPr>
      <w:r w:rsidRPr="00330234">
        <w:lastRenderedPageBreak/>
        <w:t>5.</w:t>
      </w:r>
      <w:r w:rsidRPr="00330234">
        <w:tab/>
      </w:r>
      <w:r w:rsidR="009B4B8E" w:rsidRPr="00330234">
        <w:t>FARMACOLOGISCHE EIGENSCHAPPEN</w:t>
      </w:r>
    </w:p>
    <w:p w14:paraId="61C7BB12" w14:textId="77777777" w:rsidR="00436DAA" w:rsidRPr="00330234" w:rsidRDefault="00436DAA" w:rsidP="001B3E1E">
      <w:pPr>
        <w:pStyle w:val="a3"/>
        <w:keepNext/>
        <w:keepLines/>
        <w:widowControl/>
        <w:ind w:left="0"/>
        <w:rPr>
          <w:bCs/>
        </w:rPr>
      </w:pPr>
    </w:p>
    <w:p w14:paraId="4660839F" w14:textId="0EB919B1" w:rsidR="00436DAA" w:rsidRPr="00330234" w:rsidRDefault="005328BF" w:rsidP="001B3E1E">
      <w:pPr>
        <w:pStyle w:val="2"/>
        <w:keepNext/>
        <w:keepLines/>
      </w:pPr>
      <w:r w:rsidRPr="00330234">
        <w:t>5.1</w:t>
      </w:r>
      <w:r w:rsidRPr="00330234">
        <w:tab/>
      </w:r>
      <w:r w:rsidR="009B4B8E" w:rsidRPr="00330234">
        <w:t>Farmacodynamische eigenschappen</w:t>
      </w:r>
    </w:p>
    <w:p w14:paraId="4E1A4E4A" w14:textId="77777777" w:rsidR="004A723A" w:rsidRPr="00330234" w:rsidRDefault="004A723A" w:rsidP="001B3E1E">
      <w:pPr>
        <w:pStyle w:val="a3"/>
        <w:keepNext/>
        <w:keepLines/>
        <w:widowControl/>
        <w:ind w:left="0"/>
      </w:pPr>
    </w:p>
    <w:p w14:paraId="6FA4054B" w14:textId="77777777" w:rsidR="004A723A" w:rsidRPr="00330234" w:rsidRDefault="009B4B8E" w:rsidP="00BD109B">
      <w:pPr>
        <w:pStyle w:val="a3"/>
        <w:widowControl/>
        <w:ind w:left="0"/>
      </w:pPr>
      <w:r w:rsidRPr="00330234">
        <w:t xml:space="preserve">Farmacotherapeutische categorie: immunosuppressiva, interleukineremmers; ATC-code: L04AC07. </w:t>
      </w:r>
    </w:p>
    <w:p w14:paraId="026E11D4" w14:textId="77777777" w:rsidR="004A723A" w:rsidRPr="00330234" w:rsidRDefault="004A723A" w:rsidP="00BD109B">
      <w:pPr>
        <w:pStyle w:val="a3"/>
        <w:widowControl/>
        <w:ind w:left="0"/>
      </w:pPr>
    </w:p>
    <w:p w14:paraId="7CA33BDF" w14:textId="77777777" w:rsidR="00D16AF1" w:rsidRPr="00330234" w:rsidRDefault="00D16AF1" w:rsidP="00D16AF1">
      <w:pPr>
        <w:pStyle w:val="a3"/>
        <w:widowControl/>
        <w:ind w:left="0"/>
      </w:pPr>
      <w:r w:rsidRPr="00330234">
        <w:t>Avtozma is een biosimilar. Gedetailleerde informatie is beschikbaar op de website van het Europees Geneesmiddelenbureau (</w:t>
      </w:r>
      <w:hyperlink r:id="rId17" w:history="1">
        <w:r w:rsidRPr="00330234">
          <w:rPr>
            <w:rStyle w:val="ab"/>
          </w:rPr>
          <w:t>https://www.ema.europa.eu</w:t>
        </w:r>
      </w:hyperlink>
      <w:r w:rsidRPr="00330234">
        <w:t>).</w:t>
      </w:r>
    </w:p>
    <w:p w14:paraId="2138D920" w14:textId="77777777" w:rsidR="00D16AF1" w:rsidRPr="00330234" w:rsidRDefault="00D16AF1" w:rsidP="00BD109B">
      <w:pPr>
        <w:pStyle w:val="a3"/>
        <w:widowControl/>
        <w:ind w:left="0"/>
      </w:pPr>
    </w:p>
    <w:p w14:paraId="7FA63BAE" w14:textId="026BF3A1" w:rsidR="00436DAA" w:rsidRPr="00330234" w:rsidRDefault="009B4B8E" w:rsidP="00BD109B">
      <w:pPr>
        <w:pStyle w:val="a3"/>
        <w:widowControl/>
        <w:ind w:left="0"/>
      </w:pPr>
      <w:r w:rsidRPr="00330234">
        <w:rPr>
          <w:u w:val="single"/>
        </w:rPr>
        <w:t>Werkingsmechanisme</w:t>
      </w:r>
    </w:p>
    <w:p w14:paraId="3E30E2E0" w14:textId="6BEAB424" w:rsidR="00436DAA" w:rsidRPr="00330234" w:rsidRDefault="009B4B8E" w:rsidP="004A723A">
      <w:pPr>
        <w:pStyle w:val="a3"/>
        <w:widowControl/>
        <w:ind w:left="0"/>
      </w:pPr>
      <w:r w:rsidRPr="00330234">
        <w:t>Tocilizumab bindt specifiek aan zowel oplosbare als membraangebonden IL-6 receptoren (sIL-6R en</w:t>
      </w:r>
      <w:r w:rsidR="004A723A" w:rsidRPr="00330234">
        <w:t xml:space="preserve"> </w:t>
      </w:r>
      <w:r w:rsidRPr="00330234">
        <w:t>mIL-6R). Voor tocilizumab is aangetoond dat het de sIL-6R- en de mIL-6R-gemedieerde signalering remt. IL-6 is een pleiotroop pro-inflammatoir cytokine geproduceerd door verschillende typen cellen waaronder T- en B-cellen, monocyten en fibroblasten. IL-6 is betrokken bij verschillende fysiologische processen zoals T-cel-activatie, inductie van immunoglobuline secretie, inductie van hepatische acutefase-eiwitsynthese en stimulering van hemopoëse. IL-6 is betrokken bij de pathogenese van ziekten waaronder inflammatoire ziekten, osteoporose en neoplasie.</w:t>
      </w:r>
    </w:p>
    <w:p w14:paraId="747C7A59" w14:textId="77777777" w:rsidR="00436DAA" w:rsidRPr="00330234" w:rsidRDefault="00436DAA" w:rsidP="00BD109B">
      <w:pPr>
        <w:pStyle w:val="a3"/>
        <w:widowControl/>
        <w:ind w:left="0"/>
      </w:pPr>
    </w:p>
    <w:p w14:paraId="666E9367" w14:textId="77777777" w:rsidR="00436DAA" w:rsidRPr="00330234" w:rsidRDefault="009B4B8E" w:rsidP="00BD109B">
      <w:pPr>
        <w:pStyle w:val="a3"/>
        <w:widowControl/>
        <w:ind w:left="0"/>
      </w:pPr>
      <w:r w:rsidRPr="00330234">
        <w:rPr>
          <w:u w:val="single"/>
        </w:rPr>
        <w:t>Farmacodynamische effecten</w:t>
      </w:r>
    </w:p>
    <w:p w14:paraId="3B19C5FD" w14:textId="63880593" w:rsidR="00436DAA" w:rsidRPr="00330234" w:rsidRDefault="009B4B8E" w:rsidP="00BD109B">
      <w:pPr>
        <w:pStyle w:val="a3"/>
        <w:widowControl/>
        <w:ind w:left="0"/>
      </w:pPr>
      <w:r w:rsidRPr="00330234">
        <w:t xml:space="preserve">In klinische onderzoeken met </w:t>
      </w:r>
      <w:r w:rsidR="00D16AF1" w:rsidRPr="00330234">
        <w:t>tocilizumab</w:t>
      </w:r>
      <w:r w:rsidRPr="00330234">
        <w:t xml:space="preserve">, zijn snelle afnames van C-reactieve proteïne (CRP), erytrocytensedimentatiesnelheid (ESR), serum amyloïde A (SAA) en fibrinogeen waargenomen. Analoog aan de effecten op de acutefase-reactiecomponenten, is behandeling met </w:t>
      </w:r>
      <w:r w:rsidR="00D16AF1" w:rsidRPr="00330234">
        <w:t>tocilizumab</w:t>
      </w:r>
      <w:r w:rsidRPr="00330234">
        <w:t xml:space="preserve"> geassocieerd met reductie van het gehalte aan trombocyten tot binnen de normaalwaarden. Een stijging van de hemoglobinespiegels is geconstateerd, doordat </w:t>
      </w:r>
      <w:r w:rsidR="00D16AF1" w:rsidRPr="00330234">
        <w:t>tocilizumab</w:t>
      </w:r>
      <w:r w:rsidRPr="00330234">
        <w:t xml:space="preserve"> de IL-6-gestuurde effecten op de hepcidineproductie verlaagt en daarmee de beschikbaarheid van ijzer verhoogt. Bij patiënten die behandeld zijn met </w:t>
      </w:r>
      <w:r w:rsidR="00D16AF1" w:rsidRPr="00330234">
        <w:t>tocilizumab</w:t>
      </w:r>
      <w:r w:rsidRPr="00330234">
        <w:t xml:space="preserve"> zijn al in de tweede week dalingen van de CRP-spiegels gezien tot binnen het normale bereik en deze dalingen hielden tijdens de behandeling aan.</w:t>
      </w:r>
    </w:p>
    <w:p w14:paraId="418B6B89" w14:textId="77777777" w:rsidR="004A723A" w:rsidRPr="00330234" w:rsidRDefault="004A723A" w:rsidP="00BD109B">
      <w:pPr>
        <w:pStyle w:val="a3"/>
        <w:widowControl/>
        <w:ind w:left="0"/>
      </w:pPr>
    </w:p>
    <w:p w14:paraId="6B229EFC" w14:textId="637A9F66" w:rsidR="00436DAA" w:rsidRPr="00330234" w:rsidRDefault="009B4B8E" w:rsidP="00BD109B">
      <w:pPr>
        <w:pStyle w:val="a3"/>
        <w:widowControl/>
        <w:ind w:left="0"/>
      </w:pPr>
      <w:r w:rsidRPr="00330234">
        <w:t>In het klinische GCA-onderzoek WA28119 werd een vergelijkbare snelle afname van CRP en ESR waargenomen, tezamen met lichte verhogingen van de gemiddelde concentratie van hemoglobine per rode bloedcel (</w:t>
      </w:r>
      <w:r w:rsidRPr="00330234">
        <w:rPr>
          <w:i/>
        </w:rPr>
        <w:t>mean corpuscular haemoglobin concentration</w:t>
      </w:r>
      <w:r w:rsidRPr="00330234">
        <w:t xml:space="preserve">, MCHC). Bij gezonde vrijwilligers aan wie doses </w:t>
      </w:r>
      <w:r w:rsidR="00D16AF1" w:rsidRPr="00330234">
        <w:t>tocilizumab</w:t>
      </w:r>
      <w:r w:rsidRPr="00330234">
        <w:t xml:space="preserve"> van 2 tot 28 mg/kg intraveneus en 81 tot 162 mg subcutaan werden toegediend, bereikte het absolute aantal neutrofielen het laagste niveau op dag 2 tot 5 na toediening. Daarna herstelden de neutrofielen zich tot de baselinewaarde; dit was dosisafhankelijk.</w:t>
      </w:r>
      <w:r w:rsidR="00504D37" w:rsidRPr="00330234">
        <w:t xml:space="preserve"> </w:t>
      </w:r>
      <w:r w:rsidRPr="00330234">
        <w:t xml:space="preserve">Patiënten lieten na toediening van </w:t>
      </w:r>
      <w:r w:rsidR="00D16AF1" w:rsidRPr="00330234">
        <w:t>tocilizumab</w:t>
      </w:r>
      <w:r w:rsidRPr="00330234">
        <w:t xml:space="preserve"> een vergelijkbare verlaging van het absolute aantal neutrofielen zien, ten opzichte van gezonde vrijwilligers (zie rubriek 4.8).</w:t>
      </w:r>
    </w:p>
    <w:p w14:paraId="2A3A17B1" w14:textId="77777777" w:rsidR="00436DAA" w:rsidRPr="00330234" w:rsidRDefault="00436DAA" w:rsidP="00BD109B">
      <w:pPr>
        <w:pStyle w:val="a3"/>
        <w:widowControl/>
        <w:ind w:left="0"/>
      </w:pPr>
    </w:p>
    <w:p w14:paraId="11ABBBBE" w14:textId="77777777" w:rsidR="00436DAA" w:rsidRPr="00330234" w:rsidRDefault="009B4B8E" w:rsidP="00BD109B">
      <w:pPr>
        <w:pStyle w:val="a3"/>
        <w:widowControl/>
        <w:ind w:left="0"/>
      </w:pPr>
      <w:r w:rsidRPr="00330234">
        <w:rPr>
          <w:u w:val="single"/>
        </w:rPr>
        <w:t>Subcutaan-gebruik</w:t>
      </w:r>
    </w:p>
    <w:p w14:paraId="044E24B8" w14:textId="77777777" w:rsidR="00436DAA" w:rsidRPr="00330234" w:rsidRDefault="009B4B8E" w:rsidP="00BD109B">
      <w:pPr>
        <w:widowControl/>
        <w:rPr>
          <w:b/>
        </w:rPr>
      </w:pPr>
      <w:r w:rsidRPr="00330234">
        <w:rPr>
          <w:b/>
          <w:u w:val="single"/>
        </w:rPr>
        <w:t>RA</w:t>
      </w:r>
    </w:p>
    <w:p w14:paraId="44E35F44" w14:textId="77777777" w:rsidR="00436DAA" w:rsidRPr="00330234" w:rsidRDefault="009B4B8E" w:rsidP="00BD109B">
      <w:pPr>
        <w:pStyle w:val="a3"/>
        <w:widowControl/>
        <w:ind w:left="0"/>
      </w:pPr>
      <w:r w:rsidRPr="00330234">
        <w:rPr>
          <w:u w:val="single"/>
        </w:rPr>
        <w:t>Klinische werkzaamheid</w:t>
      </w:r>
    </w:p>
    <w:p w14:paraId="7070BC95" w14:textId="72420848" w:rsidR="00436DAA" w:rsidRPr="00330234" w:rsidRDefault="009B4B8E" w:rsidP="004A723A">
      <w:pPr>
        <w:pStyle w:val="a3"/>
        <w:widowControl/>
        <w:ind w:left="0"/>
      </w:pPr>
      <w:r w:rsidRPr="00330234">
        <w:t xml:space="preserve">De werkzaamheid van subcutaan toegediende </w:t>
      </w:r>
      <w:r w:rsidR="00D16AF1" w:rsidRPr="00330234">
        <w:t>tocilizumab</w:t>
      </w:r>
      <w:r w:rsidRPr="00330234">
        <w:t xml:space="preserve"> in het verlichten van de klachten en symptomen van RA en de radiografische respons is onderzocht in 2 gerandomiseerde, dubbelblinde, gecontroleerde, multicenter studies. Voor studie I (SC-I) moesten de patiënten </w:t>
      </w:r>
      <w:r w:rsidR="004A723A" w:rsidRPr="00330234">
        <w:t>≥</w:t>
      </w:r>
      <w:r w:rsidRPr="00330234">
        <w:t xml:space="preserve"> 18 jaar zijn met een</w:t>
      </w:r>
      <w:r w:rsidR="004A723A" w:rsidRPr="00330234">
        <w:t xml:space="preserve"> </w:t>
      </w:r>
      <w:r w:rsidRPr="00330234">
        <w:t>matige tot ernstig actieve RA, die volgens de ACR-criteria gediagnosticeerd was en die op baseline ten minste 4 gevoelige en 4 gezwollen gewrichten hadden. Alle patiënten kregen als achtergrondbehandeling</w:t>
      </w:r>
      <w:r w:rsidR="004A723A" w:rsidRPr="00330234">
        <w:t xml:space="preserve"> </w:t>
      </w:r>
      <w:r w:rsidRPr="00330234">
        <w:rPr>
          <w:i/>
        </w:rPr>
        <w:t xml:space="preserve">non-biologic </w:t>
      </w:r>
      <w:r w:rsidRPr="00330234">
        <w:t xml:space="preserve">DMARD(’s). Voor studie II (SC-II) moesten de patiënten </w:t>
      </w:r>
      <w:r w:rsidR="004A723A" w:rsidRPr="00330234">
        <w:t>≥ </w:t>
      </w:r>
      <w:r w:rsidRPr="00330234">
        <w:t>18</w:t>
      </w:r>
      <w:r w:rsidR="004A723A" w:rsidRPr="00330234">
        <w:t> </w:t>
      </w:r>
      <w:r w:rsidRPr="00330234">
        <w:t>jaar zijn met een matige tot ernstige actieve RA die volgens de ACR-criteria gediagnosticeerd was en die op baseline ten minste 8 gevoelige en 6 gezwollen gewrichten hadden.</w:t>
      </w:r>
    </w:p>
    <w:p w14:paraId="2FFF9000" w14:textId="77777777" w:rsidR="00436DAA" w:rsidRPr="00330234" w:rsidRDefault="00436DAA" w:rsidP="00BD109B">
      <w:pPr>
        <w:pStyle w:val="a3"/>
        <w:widowControl/>
        <w:ind w:left="0"/>
      </w:pPr>
    </w:p>
    <w:p w14:paraId="7A440AD1" w14:textId="77777777" w:rsidR="00436DAA" w:rsidRPr="00330234" w:rsidRDefault="009B4B8E" w:rsidP="00BD109B">
      <w:pPr>
        <w:pStyle w:val="a3"/>
        <w:widowControl/>
        <w:ind w:left="0"/>
      </w:pPr>
      <w:r w:rsidRPr="00330234">
        <w:t>Overschakelen van 8 mg/kg intraveneus eenmaal per 4 weken naar 162 mg subcutaan eenmaal per week zal de blootstelling bij de patiënt veranderen. De mate van verandering is afhankelijk van het lichaamsgewicht van de patiënt (meer bij lichte patiënten en minder bij zware patiënten) maar het klinische resultaat komt overeen met het resultaat dat werd waargenomen bij intraveneus behandelde patiënten.</w:t>
      </w:r>
    </w:p>
    <w:p w14:paraId="3FCDCC8F" w14:textId="77777777" w:rsidR="004A723A" w:rsidRPr="00330234" w:rsidRDefault="004A723A" w:rsidP="00BD109B">
      <w:pPr>
        <w:pStyle w:val="a3"/>
        <w:widowControl/>
        <w:ind w:left="0"/>
      </w:pPr>
    </w:p>
    <w:p w14:paraId="1F5FE452" w14:textId="77777777" w:rsidR="00436DAA" w:rsidRPr="00330234" w:rsidRDefault="009B4B8E" w:rsidP="001B3E1E">
      <w:pPr>
        <w:pStyle w:val="a3"/>
        <w:keepNext/>
        <w:keepLines/>
        <w:widowControl/>
        <w:ind w:left="0"/>
      </w:pPr>
      <w:r w:rsidRPr="00330234">
        <w:rPr>
          <w:u w:val="single"/>
        </w:rPr>
        <w:lastRenderedPageBreak/>
        <w:t>Klinische respons</w:t>
      </w:r>
    </w:p>
    <w:p w14:paraId="4CB9DBD0" w14:textId="6966FA90" w:rsidR="00504D37" w:rsidRPr="00330234" w:rsidRDefault="009B4B8E" w:rsidP="00BD109B">
      <w:pPr>
        <w:pStyle w:val="a3"/>
        <w:widowControl/>
        <w:ind w:left="0"/>
      </w:pPr>
      <w:r w:rsidRPr="00330234">
        <w:t>Tijdens studie SC-I werden patiënten met een matige tot ernstige actieve RA geëvalueerd die een onvoldoende klinische respons hadden op hun bestaande anti-reumatische behandeling, waaronder één of meerdere DMARD(’s). Van deze patiënten had ongeveer 20% een voorgeschiedenis van onvoldoende respons op ten minste één TNF-remmer. In SC-I werden 1262 patiënten 1:1</w:t>
      </w:r>
      <w:r w:rsidR="004A723A" w:rsidRPr="00330234">
        <w:t> </w:t>
      </w:r>
      <w:r w:rsidRPr="00330234">
        <w:t xml:space="preserve">gerandomiseerd naar </w:t>
      </w:r>
      <w:r w:rsidR="00D16AF1" w:rsidRPr="00330234">
        <w:t>tocilizumab</w:t>
      </w:r>
      <w:r w:rsidRPr="00330234">
        <w:t xml:space="preserve"> subcutaan 162 mg per week of </w:t>
      </w:r>
      <w:r w:rsidR="00D16AF1" w:rsidRPr="00330234">
        <w:t>tocilizumab</w:t>
      </w:r>
      <w:r w:rsidRPr="00330234">
        <w:t xml:space="preserve"> intraveneus 8 mg/kg een maal per 4 weken, in combinatie met </w:t>
      </w:r>
      <w:r w:rsidRPr="00330234">
        <w:rPr>
          <w:i/>
        </w:rPr>
        <w:t xml:space="preserve">non-biologic </w:t>
      </w:r>
      <w:r w:rsidRPr="00330234">
        <w:t xml:space="preserve">DMARD(’s). Het primaire eindpunt van de studie was het verschil in het percentage patiënten dat een ACR20-respons bereikte op week 24. </w:t>
      </w:r>
    </w:p>
    <w:p w14:paraId="283EA741" w14:textId="77777777" w:rsidR="00504D37" w:rsidRPr="00330234" w:rsidRDefault="00504D37" w:rsidP="00BD109B">
      <w:pPr>
        <w:pStyle w:val="a3"/>
        <w:widowControl/>
        <w:ind w:left="0"/>
      </w:pPr>
    </w:p>
    <w:p w14:paraId="3CC6E2F3" w14:textId="3B2226FE" w:rsidR="00436DAA" w:rsidRPr="00330234" w:rsidRDefault="009B4B8E" w:rsidP="00BD109B">
      <w:pPr>
        <w:pStyle w:val="a3"/>
        <w:widowControl/>
        <w:ind w:left="0"/>
      </w:pPr>
      <w:r w:rsidRPr="00330234">
        <w:t>De resultaten van studie SC-I zijn weergegeven in tabel 2.</w:t>
      </w:r>
    </w:p>
    <w:p w14:paraId="1F3D8696" w14:textId="77777777" w:rsidR="004A723A" w:rsidRPr="00330234" w:rsidRDefault="004A723A" w:rsidP="00BD109B">
      <w:pPr>
        <w:pStyle w:val="a3"/>
        <w:widowControl/>
        <w:ind w:left="0"/>
      </w:pPr>
    </w:p>
    <w:p w14:paraId="34FD50DB" w14:textId="5D83B200" w:rsidR="00436DAA" w:rsidRPr="00330234" w:rsidRDefault="009B4B8E" w:rsidP="006B7C9C">
      <w:pPr>
        <w:widowControl/>
        <w:ind w:left="1134" w:hanging="1134"/>
        <w:rPr>
          <w:i/>
        </w:rPr>
      </w:pPr>
      <w:r w:rsidRPr="00330234">
        <w:rPr>
          <w:i/>
        </w:rPr>
        <w:t>Tabel 2.</w:t>
      </w:r>
      <w:r w:rsidR="006B7C9C" w:rsidRPr="00330234">
        <w:rPr>
          <w:i/>
        </w:rPr>
        <w:tab/>
      </w:r>
      <w:r w:rsidRPr="00330234">
        <w:rPr>
          <w:i/>
        </w:rPr>
        <w:t>ACR-respons in studie SC-I (% patiënten) op week 24</w:t>
      </w:r>
    </w:p>
    <w:p w14:paraId="7513AD75" w14:textId="77777777" w:rsidR="00436DAA" w:rsidRPr="00330234" w:rsidRDefault="00436DAA" w:rsidP="00BD109B">
      <w:pPr>
        <w:pStyle w:val="a3"/>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2968"/>
        <w:gridCol w:w="2842"/>
      </w:tblGrid>
      <w:tr w:rsidR="00436DAA" w:rsidRPr="00330234" w14:paraId="61974EE0" w14:textId="77777777" w:rsidTr="004A723A">
        <w:trPr>
          <w:trHeight w:val="20"/>
        </w:trPr>
        <w:tc>
          <w:tcPr>
            <w:tcW w:w="3256" w:type="dxa"/>
          </w:tcPr>
          <w:p w14:paraId="0EF261C9" w14:textId="77777777" w:rsidR="00436DAA" w:rsidRPr="00330234" w:rsidRDefault="00436DAA" w:rsidP="004A723A">
            <w:pPr>
              <w:pStyle w:val="TableParagraph"/>
              <w:widowControl/>
              <w:jc w:val="right"/>
            </w:pPr>
          </w:p>
        </w:tc>
        <w:tc>
          <w:tcPr>
            <w:tcW w:w="5810" w:type="dxa"/>
            <w:gridSpan w:val="2"/>
          </w:tcPr>
          <w:p w14:paraId="039E0E4D" w14:textId="77777777" w:rsidR="00436DAA" w:rsidRPr="00330234" w:rsidRDefault="009B4B8E" w:rsidP="004A723A">
            <w:pPr>
              <w:pStyle w:val="TableParagraph"/>
              <w:widowControl/>
              <w:jc w:val="center"/>
              <w:rPr>
                <w:b/>
                <w:bCs/>
              </w:rPr>
            </w:pPr>
            <w:r w:rsidRPr="00330234">
              <w:rPr>
                <w:b/>
                <w:bCs/>
              </w:rPr>
              <w:t>SC-I</w:t>
            </w:r>
            <w:r w:rsidRPr="00330234">
              <w:rPr>
                <w:b/>
                <w:bCs/>
                <w:vertAlign w:val="superscript"/>
              </w:rPr>
              <w:t>a</w:t>
            </w:r>
          </w:p>
        </w:tc>
      </w:tr>
      <w:tr w:rsidR="00436DAA" w:rsidRPr="00330234" w14:paraId="5234D50E" w14:textId="77777777" w:rsidTr="004A723A">
        <w:trPr>
          <w:trHeight w:val="20"/>
        </w:trPr>
        <w:tc>
          <w:tcPr>
            <w:tcW w:w="3256" w:type="dxa"/>
          </w:tcPr>
          <w:p w14:paraId="04B9DC58" w14:textId="77777777" w:rsidR="00436DAA" w:rsidRPr="00330234" w:rsidRDefault="00436DAA" w:rsidP="004A723A">
            <w:pPr>
              <w:pStyle w:val="TableParagraph"/>
              <w:widowControl/>
              <w:jc w:val="right"/>
            </w:pPr>
          </w:p>
        </w:tc>
        <w:tc>
          <w:tcPr>
            <w:tcW w:w="2968" w:type="dxa"/>
          </w:tcPr>
          <w:p w14:paraId="6946BDD6" w14:textId="77777777" w:rsidR="00436DAA" w:rsidRPr="00330234" w:rsidRDefault="009B4B8E" w:rsidP="004A723A">
            <w:pPr>
              <w:pStyle w:val="TableParagraph"/>
              <w:widowControl/>
              <w:jc w:val="center"/>
              <w:rPr>
                <w:b/>
                <w:bCs/>
              </w:rPr>
            </w:pPr>
            <w:r w:rsidRPr="00330234">
              <w:rPr>
                <w:b/>
                <w:bCs/>
              </w:rPr>
              <w:t>TCZ s.c. 162 mg elke week</w:t>
            </w:r>
          </w:p>
          <w:p w14:paraId="7E2E26F6" w14:textId="77777777" w:rsidR="004851F4" w:rsidRPr="00330234" w:rsidRDefault="009B4B8E" w:rsidP="004A723A">
            <w:pPr>
              <w:pStyle w:val="TableParagraph"/>
              <w:widowControl/>
              <w:jc w:val="center"/>
              <w:rPr>
                <w:rFonts w:eastAsia="SimSun"/>
                <w:b/>
                <w:bCs/>
                <w:lang w:eastAsia="zh-CN"/>
              </w:rPr>
            </w:pPr>
            <w:r w:rsidRPr="00330234">
              <w:rPr>
                <w:b/>
                <w:bCs/>
              </w:rPr>
              <w:t>+ DMARD</w:t>
            </w:r>
          </w:p>
          <w:p w14:paraId="59ED987A" w14:textId="2B1CDCCF" w:rsidR="00436DAA" w:rsidRPr="00330234" w:rsidRDefault="009B4B8E" w:rsidP="004A723A">
            <w:pPr>
              <w:pStyle w:val="TableParagraph"/>
              <w:widowControl/>
              <w:jc w:val="center"/>
              <w:rPr>
                <w:b/>
                <w:bCs/>
              </w:rPr>
            </w:pPr>
            <w:r w:rsidRPr="00330234">
              <w:rPr>
                <w:b/>
                <w:bCs/>
              </w:rPr>
              <w:t>N = 558</w:t>
            </w:r>
          </w:p>
        </w:tc>
        <w:tc>
          <w:tcPr>
            <w:tcW w:w="2842" w:type="dxa"/>
          </w:tcPr>
          <w:p w14:paraId="0AFF6314" w14:textId="77777777" w:rsidR="00436DAA" w:rsidRPr="00330234" w:rsidRDefault="009B4B8E" w:rsidP="004A723A">
            <w:pPr>
              <w:pStyle w:val="TableParagraph"/>
              <w:widowControl/>
              <w:jc w:val="center"/>
              <w:rPr>
                <w:b/>
                <w:bCs/>
              </w:rPr>
            </w:pPr>
            <w:r w:rsidRPr="00330234">
              <w:rPr>
                <w:b/>
                <w:bCs/>
              </w:rPr>
              <w:t>TCZ i.v. 8 mg/kg</w:t>
            </w:r>
          </w:p>
          <w:p w14:paraId="02483E94" w14:textId="0D4FC87F" w:rsidR="004851F4" w:rsidRPr="00330234" w:rsidRDefault="009B4B8E" w:rsidP="004A723A">
            <w:pPr>
              <w:pStyle w:val="TableParagraph"/>
              <w:widowControl/>
              <w:jc w:val="center"/>
              <w:rPr>
                <w:rFonts w:eastAsia="SimSun"/>
                <w:b/>
                <w:bCs/>
                <w:lang w:eastAsia="zh-CN"/>
              </w:rPr>
            </w:pPr>
            <w:r w:rsidRPr="00330234">
              <w:rPr>
                <w:b/>
                <w:bCs/>
              </w:rPr>
              <w:t>+ DMARD</w:t>
            </w:r>
          </w:p>
          <w:p w14:paraId="0288B92E" w14:textId="2F7DA5A4" w:rsidR="00436DAA" w:rsidRPr="00330234" w:rsidRDefault="009B4B8E" w:rsidP="004A723A">
            <w:pPr>
              <w:pStyle w:val="TableParagraph"/>
              <w:widowControl/>
              <w:jc w:val="center"/>
              <w:rPr>
                <w:b/>
                <w:bCs/>
              </w:rPr>
            </w:pPr>
            <w:r w:rsidRPr="00330234">
              <w:rPr>
                <w:b/>
                <w:bCs/>
              </w:rPr>
              <w:t>N = 537</w:t>
            </w:r>
          </w:p>
        </w:tc>
      </w:tr>
      <w:tr w:rsidR="00436DAA" w:rsidRPr="00330234" w14:paraId="30677511" w14:textId="77777777" w:rsidTr="004A723A">
        <w:trPr>
          <w:trHeight w:val="20"/>
        </w:trPr>
        <w:tc>
          <w:tcPr>
            <w:tcW w:w="3256" w:type="dxa"/>
          </w:tcPr>
          <w:p w14:paraId="4FDE4E88" w14:textId="77777777" w:rsidR="00436DAA" w:rsidRPr="00330234" w:rsidRDefault="009B4B8E" w:rsidP="004A723A">
            <w:pPr>
              <w:pStyle w:val="TableParagraph"/>
              <w:widowControl/>
              <w:jc w:val="right"/>
            </w:pPr>
            <w:r w:rsidRPr="00330234">
              <w:t>ACR20 – week 24</w:t>
            </w:r>
          </w:p>
        </w:tc>
        <w:tc>
          <w:tcPr>
            <w:tcW w:w="2968" w:type="dxa"/>
          </w:tcPr>
          <w:p w14:paraId="1E779D16" w14:textId="77777777" w:rsidR="00436DAA" w:rsidRPr="00330234" w:rsidRDefault="009B4B8E" w:rsidP="004A723A">
            <w:pPr>
              <w:pStyle w:val="TableParagraph"/>
              <w:widowControl/>
              <w:jc w:val="center"/>
            </w:pPr>
            <w:r w:rsidRPr="00330234">
              <w:t>69,4%</w:t>
            </w:r>
          </w:p>
        </w:tc>
        <w:tc>
          <w:tcPr>
            <w:tcW w:w="2842" w:type="dxa"/>
          </w:tcPr>
          <w:p w14:paraId="6DD21B1F" w14:textId="77777777" w:rsidR="00436DAA" w:rsidRPr="00330234" w:rsidRDefault="009B4B8E" w:rsidP="004A723A">
            <w:pPr>
              <w:pStyle w:val="TableParagraph"/>
              <w:widowControl/>
              <w:jc w:val="center"/>
            </w:pPr>
            <w:r w:rsidRPr="00330234">
              <w:t>73,4%</w:t>
            </w:r>
          </w:p>
        </w:tc>
      </w:tr>
      <w:tr w:rsidR="00436DAA" w:rsidRPr="00330234" w14:paraId="35ED6570" w14:textId="77777777" w:rsidTr="004A723A">
        <w:trPr>
          <w:trHeight w:val="20"/>
        </w:trPr>
        <w:tc>
          <w:tcPr>
            <w:tcW w:w="3256" w:type="dxa"/>
          </w:tcPr>
          <w:p w14:paraId="0C02C9F2" w14:textId="77777777" w:rsidR="00436DAA" w:rsidRPr="00330234" w:rsidRDefault="009B4B8E" w:rsidP="004A723A">
            <w:pPr>
              <w:pStyle w:val="TableParagraph"/>
              <w:widowControl/>
              <w:jc w:val="right"/>
            </w:pPr>
            <w:r w:rsidRPr="00330234">
              <w:t>Gewogen verschil (95%-BI)</w:t>
            </w:r>
          </w:p>
        </w:tc>
        <w:tc>
          <w:tcPr>
            <w:tcW w:w="5810" w:type="dxa"/>
            <w:gridSpan w:val="2"/>
          </w:tcPr>
          <w:p w14:paraId="620A084D" w14:textId="77777777" w:rsidR="00436DAA" w:rsidRPr="00330234" w:rsidRDefault="009B4B8E" w:rsidP="004A723A">
            <w:pPr>
              <w:pStyle w:val="TableParagraph"/>
              <w:widowControl/>
              <w:jc w:val="center"/>
            </w:pPr>
            <w:r w:rsidRPr="00330234">
              <w:t>-4,0 (-9,2 - 1,2)</w:t>
            </w:r>
          </w:p>
        </w:tc>
      </w:tr>
      <w:tr w:rsidR="00436DAA" w:rsidRPr="00330234" w14:paraId="5D727B93" w14:textId="77777777" w:rsidTr="004A723A">
        <w:trPr>
          <w:trHeight w:val="20"/>
        </w:trPr>
        <w:tc>
          <w:tcPr>
            <w:tcW w:w="3256" w:type="dxa"/>
          </w:tcPr>
          <w:p w14:paraId="6F595001" w14:textId="77777777" w:rsidR="00436DAA" w:rsidRPr="00330234" w:rsidRDefault="009B4B8E" w:rsidP="004A723A">
            <w:pPr>
              <w:pStyle w:val="TableParagraph"/>
              <w:widowControl/>
              <w:jc w:val="right"/>
            </w:pPr>
            <w:r w:rsidRPr="00330234">
              <w:t>ACR50 – week 24</w:t>
            </w:r>
          </w:p>
        </w:tc>
        <w:tc>
          <w:tcPr>
            <w:tcW w:w="2968" w:type="dxa"/>
          </w:tcPr>
          <w:p w14:paraId="505F19CB" w14:textId="77777777" w:rsidR="00436DAA" w:rsidRPr="00330234" w:rsidRDefault="009B4B8E" w:rsidP="004A723A">
            <w:pPr>
              <w:pStyle w:val="TableParagraph"/>
              <w:widowControl/>
              <w:jc w:val="center"/>
            </w:pPr>
            <w:r w:rsidRPr="00330234">
              <w:t>47,0%</w:t>
            </w:r>
          </w:p>
        </w:tc>
        <w:tc>
          <w:tcPr>
            <w:tcW w:w="2842" w:type="dxa"/>
          </w:tcPr>
          <w:p w14:paraId="6B6D5C15" w14:textId="77777777" w:rsidR="00436DAA" w:rsidRPr="00330234" w:rsidRDefault="009B4B8E" w:rsidP="004A723A">
            <w:pPr>
              <w:pStyle w:val="TableParagraph"/>
              <w:widowControl/>
              <w:jc w:val="center"/>
            </w:pPr>
            <w:r w:rsidRPr="00330234">
              <w:t>48,6%</w:t>
            </w:r>
          </w:p>
        </w:tc>
      </w:tr>
      <w:tr w:rsidR="00436DAA" w:rsidRPr="00330234" w14:paraId="62EB4451" w14:textId="77777777" w:rsidTr="004A723A">
        <w:trPr>
          <w:trHeight w:val="20"/>
        </w:trPr>
        <w:tc>
          <w:tcPr>
            <w:tcW w:w="3256" w:type="dxa"/>
          </w:tcPr>
          <w:p w14:paraId="0BFBB09D" w14:textId="77777777" w:rsidR="00436DAA" w:rsidRPr="00330234" w:rsidRDefault="009B4B8E" w:rsidP="004A723A">
            <w:pPr>
              <w:pStyle w:val="TableParagraph"/>
              <w:widowControl/>
              <w:jc w:val="right"/>
            </w:pPr>
            <w:r w:rsidRPr="00330234">
              <w:t>Gewogen verschil (95%-BI)</w:t>
            </w:r>
          </w:p>
        </w:tc>
        <w:tc>
          <w:tcPr>
            <w:tcW w:w="5810" w:type="dxa"/>
            <w:gridSpan w:val="2"/>
          </w:tcPr>
          <w:p w14:paraId="51B33453" w14:textId="77777777" w:rsidR="00436DAA" w:rsidRPr="00330234" w:rsidRDefault="009B4B8E" w:rsidP="004A723A">
            <w:pPr>
              <w:pStyle w:val="TableParagraph"/>
              <w:widowControl/>
              <w:jc w:val="center"/>
            </w:pPr>
            <w:r w:rsidRPr="00330234">
              <w:t>-1,8 (-7,5 - 4,0)</w:t>
            </w:r>
          </w:p>
        </w:tc>
      </w:tr>
      <w:tr w:rsidR="00436DAA" w:rsidRPr="00330234" w14:paraId="47D3A0E5" w14:textId="77777777" w:rsidTr="004A723A">
        <w:trPr>
          <w:trHeight w:val="20"/>
        </w:trPr>
        <w:tc>
          <w:tcPr>
            <w:tcW w:w="3256" w:type="dxa"/>
          </w:tcPr>
          <w:p w14:paraId="76A8D467" w14:textId="77777777" w:rsidR="00436DAA" w:rsidRPr="00330234" w:rsidRDefault="009B4B8E" w:rsidP="004A723A">
            <w:pPr>
              <w:pStyle w:val="TableParagraph"/>
              <w:widowControl/>
              <w:jc w:val="right"/>
            </w:pPr>
            <w:r w:rsidRPr="00330234">
              <w:t>ACR70 – week 24</w:t>
            </w:r>
          </w:p>
        </w:tc>
        <w:tc>
          <w:tcPr>
            <w:tcW w:w="2968" w:type="dxa"/>
          </w:tcPr>
          <w:p w14:paraId="45E972B9" w14:textId="77777777" w:rsidR="00436DAA" w:rsidRPr="00330234" w:rsidRDefault="009B4B8E" w:rsidP="004A723A">
            <w:pPr>
              <w:pStyle w:val="TableParagraph"/>
              <w:widowControl/>
              <w:jc w:val="center"/>
            </w:pPr>
            <w:r w:rsidRPr="00330234">
              <w:t>24,0%</w:t>
            </w:r>
          </w:p>
        </w:tc>
        <w:tc>
          <w:tcPr>
            <w:tcW w:w="2842" w:type="dxa"/>
          </w:tcPr>
          <w:p w14:paraId="27E2EE10" w14:textId="77777777" w:rsidR="00436DAA" w:rsidRPr="00330234" w:rsidRDefault="009B4B8E" w:rsidP="004A723A">
            <w:pPr>
              <w:pStyle w:val="TableParagraph"/>
              <w:widowControl/>
              <w:jc w:val="center"/>
            </w:pPr>
            <w:r w:rsidRPr="00330234">
              <w:t>27,9%</w:t>
            </w:r>
          </w:p>
        </w:tc>
      </w:tr>
      <w:tr w:rsidR="00436DAA" w:rsidRPr="00330234" w14:paraId="1E4C77B3" w14:textId="77777777" w:rsidTr="004A723A">
        <w:trPr>
          <w:trHeight w:val="20"/>
        </w:trPr>
        <w:tc>
          <w:tcPr>
            <w:tcW w:w="3256" w:type="dxa"/>
          </w:tcPr>
          <w:p w14:paraId="1CD05D2A" w14:textId="77777777" w:rsidR="00436DAA" w:rsidRPr="00330234" w:rsidRDefault="009B4B8E" w:rsidP="004A723A">
            <w:pPr>
              <w:pStyle w:val="TableParagraph"/>
              <w:widowControl/>
              <w:jc w:val="right"/>
            </w:pPr>
            <w:r w:rsidRPr="00330234">
              <w:t>Gewogen verschil (95%-BI)</w:t>
            </w:r>
          </w:p>
        </w:tc>
        <w:tc>
          <w:tcPr>
            <w:tcW w:w="5810" w:type="dxa"/>
            <w:gridSpan w:val="2"/>
          </w:tcPr>
          <w:p w14:paraId="0092E449" w14:textId="77777777" w:rsidR="00436DAA" w:rsidRPr="00330234" w:rsidRDefault="009B4B8E" w:rsidP="004A723A">
            <w:pPr>
              <w:pStyle w:val="TableParagraph"/>
              <w:widowControl/>
              <w:jc w:val="center"/>
            </w:pPr>
            <w:r w:rsidRPr="00330234">
              <w:t>-3,8 (-9,0 - 1,3)</w:t>
            </w:r>
          </w:p>
        </w:tc>
      </w:tr>
    </w:tbl>
    <w:p w14:paraId="7698C3D3" w14:textId="77777777" w:rsidR="00436DAA" w:rsidRPr="00330234" w:rsidRDefault="009B4B8E" w:rsidP="00BD109B">
      <w:pPr>
        <w:widowControl/>
        <w:rPr>
          <w:sz w:val="18"/>
          <w:szCs w:val="18"/>
        </w:rPr>
      </w:pPr>
      <w:r w:rsidRPr="00330234">
        <w:rPr>
          <w:sz w:val="18"/>
          <w:szCs w:val="18"/>
        </w:rPr>
        <w:t>TCZ = tocilizumab</w:t>
      </w:r>
    </w:p>
    <w:p w14:paraId="5D9D6B07" w14:textId="77777777" w:rsidR="00436DAA" w:rsidRPr="00330234" w:rsidRDefault="009B4B8E" w:rsidP="00BD109B">
      <w:pPr>
        <w:widowControl/>
        <w:rPr>
          <w:sz w:val="18"/>
          <w:szCs w:val="18"/>
        </w:rPr>
      </w:pPr>
      <w:r w:rsidRPr="00330234">
        <w:rPr>
          <w:sz w:val="18"/>
          <w:szCs w:val="18"/>
        </w:rPr>
        <w:t>a = per protocol populatie</w:t>
      </w:r>
    </w:p>
    <w:p w14:paraId="7B1FC707" w14:textId="77777777" w:rsidR="00436DAA" w:rsidRPr="00330234" w:rsidRDefault="00436DAA" w:rsidP="00BD109B">
      <w:pPr>
        <w:pStyle w:val="a3"/>
        <w:widowControl/>
        <w:ind w:left="0"/>
      </w:pPr>
    </w:p>
    <w:p w14:paraId="0D234F6F" w14:textId="77777777" w:rsidR="00436DAA" w:rsidRPr="00330234" w:rsidRDefault="009B4B8E" w:rsidP="00BD109B">
      <w:pPr>
        <w:pStyle w:val="a3"/>
        <w:widowControl/>
        <w:ind w:left="0"/>
      </w:pPr>
      <w:r w:rsidRPr="00330234">
        <w:t xml:space="preserve">Patiënten in studie SC-I hadden een gemiddelde </w:t>
      </w:r>
      <w:r w:rsidRPr="00330234">
        <w:rPr>
          <w:i/>
        </w:rPr>
        <w:t xml:space="preserve">Disease Activity Score </w:t>
      </w:r>
      <w:r w:rsidRPr="00330234">
        <w:t>(DAS28) op baseline van respectievelijk 6,6 en 6,7 in de subcutane en intraveneuze arm. Op week 24 werd een significante vermindering van de DAS28 (gemiddelde verbetering) van 3,5 ten opzichte van baseline waargenomen in beide behandelingsgroepen. Een vergelijkbaar percentage patiënten bereikte een DAS28 klinische remissie (DAS28 &lt; 2,6) in de subcutane (38,4%) en intraveneuze (36,9%) armen.</w:t>
      </w:r>
    </w:p>
    <w:p w14:paraId="1EAAFA6B" w14:textId="77777777" w:rsidR="00436DAA" w:rsidRPr="00330234" w:rsidRDefault="00436DAA" w:rsidP="00BD109B">
      <w:pPr>
        <w:pStyle w:val="a3"/>
        <w:widowControl/>
        <w:ind w:left="0"/>
      </w:pPr>
    </w:p>
    <w:p w14:paraId="20558AFA" w14:textId="77777777" w:rsidR="00436DAA" w:rsidRPr="00330234" w:rsidRDefault="009B4B8E" w:rsidP="00BD109B">
      <w:pPr>
        <w:widowControl/>
        <w:rPr>
          <w:i/>
        </w:rPr>
      </w:pPr>
      <w:r w:rsidRPr="00330234">
        <w:rPr>
          <w:i/>
        </w:rPr>
        <w:t>Radiografische respons</w:t>
      </w:r>
    </w:p>
    <w:p w14:paraId="721F68AC" w14:textId="6368B1EA" w:rsidR="00436DAA" w:rsidRPr="00330234" w:rsidRDefault="009B4B8E" w:rsidP="004A723A">
      <w:pPr>
        <w:pStyle w:val="a3"/>
        <w:widowControl/>
        <w:ind w:left="0"/>
      </w:pPr>
      <w:r w:rsidRPr="00330234">
        <w:t xml:space="preserve">De radiografische respons van subcutaan toegediend </w:t>
      </w:r>
      <w:r w:rsidR="00B431B0" w:rsidRPr="00330234">
        <w:t>tocilizumab</w:t>
      </w:r>
      <w:r w:rsidRPr="00330234">
        <w:t xml:space="preserve"> werd beoordeeld in een dubbelblinde, gecontroleerde, multicenter studie bij patiënten met actieve RA (SC-II). Tijdens studie SC-II werden patiënten geëvalueerd met matige tot ernstige actieve RA die een onvoldoende klinische respons hadden op hun bestaande anti-reumatische therapie, inclusief één of meerdere DMARD(’s). Van deze patiënten had ongeveer 20% een voorgeschiedenis van onvoldoende respons op ten minste één TNF- remmer. De patiënten moesten &gt; 18 jaar zijn, met actieve RA gediagnosticeerd volgens de ACR- criteria en met ten minste 8 gevoelige en 6 gezwollen gewrichten op baseline. In SC-II werden</w:t>
      </w:r>
      <w:r w:rsidR="004A723A" w:rsidRPr="00330234">
        <w:t xml:space="preserve"> </w:t>
      </w:r>
      <w:r w:rsidRPr="00330234">
        <w:t>656</w:t>
      </w:r>
      <w:r w:rsidR="004A723A" w:rsidRPr="00330234">
        <w:t> </w:t>
      </w:r>
      <w:r w:rsidRPr="00330234">
        <w:t xml:space="preserve">patiënten 2:1 gerandomiseerd naar het krijgen van </w:t>
      </w:r>
      <w:r w:rsidR="00B431B0" w:rsidRPr="00330234">
        <w:t>tocilizumab</w:t>
      </w:r>
      <w:r w:rsidRPr="00330234">
        <w:t xml:space="preserve"> subcutaan 162 mg om de week of placebo, in combinatie met </w:t>
      </w:r>
      <w:r w:rsidRPr="00330234">
        <w:rPr>
          <w:i/>
        </w:rPr>
        <w:t xml:space="preserve">non-biologic </w:t>
      </w:r>
      <w:r w:rsidRPr="00330234">
        <w:t>DMARD(’s).</w:t>
      </w:r>
    </w:p>
    <w:p w14:paraId="73311EF4" w14:textId="77777777" w:rsidR="00391FEC" w:rsidRPr="00330234" w:rsidRDefault="00391FEC" w:rsidP="00BD109B">
      <w:pPr>
        <w:pStyle w:val="a3"/>
        <w:widowControl/>
        <w:ind w:left="0"/>
      </w:pPr>
    </w:p>
    <w:p w14:paraId="17CD78D5" w14:textId="7FDAE9DF" w:rsidR="00436DAA" w:rsidRPr="00330234" w:rsidRDefault="009B4B8E" w:rsidP="00BD109B">
      <w:pPr>
        <w:pStyle w:val="a3"/>
        <w:widowControl/>
        <w:ind w:left="0"/>
      </w:pPr>
      <w:r w:rsidRPr="00330234">
        <w:t xml:space="preserve">Tijdens studie SC-II werd de remming van de structurele gewrichtsschade radiografisch bepaald en uitgedrukt als een verandering in de van der Heijde </w:t>
      </w:r>
      <w:r w:rsidRPr="00330234">
        <w:rPr>
          <w:i/>
        </w:rPr>
        <w:t>modified mean total Sharp-</w:t>
      </w:r>
      <w:r w:rsidRPr="00330234">
        <w:t xml:space="preserve">score (mTSS) ten opzichte van baseline. Op week 24 werd de remming van structurele schade aangetoond, met significant minder radiografische progressie bij patiënten die met subcutane </w:t>
      </w:r>
      <w:r w:rsidR="00B431B0" w:rsidRPr="00330234">
        <w:t>tocilizumab</w:t>
      </w:r>
      <w:r w:rsidRPr="00330234">
        <w:t xml:space="preserve"> werden behandeld, vergeleken met placebo (gemiddelde mTSS van 0,62 versus 1,23; p = 0,0149 (van Elteren)). Deze resultaten zijn consistent met die waargenomen bij patiënten die werden behandeld met intraveneuze </w:t>
      </w:r>
      <w:r w:rsidR="00B431B0" w:rsidRPr="00330234">
        <w:t>tocilizumab</w:t>
      </w:r>
      <w:r w:rsidRPr="00330234">
        <w:t>.</w:t>
      </w:r>
    </w:p>
    <w:p w14:paraId="40A1367B" w14:textId="77777777" w:rsidR="00436DAA" w:rsidRPr="00330234" w:rsidRDefault="00436DAA" w:rsidP="00BD109B">
      <w:pPr>
        <w:pStyle w:val="a3"/>
        <w:widowControl/>
        <w:ind w:left="0"/>
      </w:pPr>
    </w:p>
    <w:p w14:paraId="26ED3C5F" w14:textId="0C4B02CE" w:rsidR="00436DAA" w:rsidRPr="00330234" w:rsidRDefault="009B4B8E" w:rsidP="004A723A">
      <w:pPr>
        <w:pStyle w:val="a3"/>
        <w:widowControl/>
        <w:ind w:left="0"/>
      </w:pPr>
      <w:r w:rsidRPr="00330234">
        <w:t xml:space="preserve">Tijdens studie SC-II was er op week 24 een ACR20 van 60,9%, ACR50 van 39,8% en ACR70 van 19,7% voor patiënten behandeld met om de week </w:t>
      </w:r>
      <w:r w:rsidR="00B431B0" w:rsidRPr="00330234">
        <w:t>tocilizumab</w:t>
      </w:r>
      <w:r w:rsidRPr="00330234">
        <w:t xml:space="preserve"> subcutaan. Voor de placebo-arm was dit een ACR20 van 31,5%, ACR50 van 12,3% en ACR70 van 5,0%. Patiënten hadden een gemiddelde DAS28 op baseline van 6,7 in de subcutaan-arm en 6,6 in de placebo-arm. Er werd op week 24 een significante vermindering waargenomen in DAS28, ten opzichte van baseline, van 3,1 in de</w:t>
      </w:r>
      <w:r w:rsidR="004A723A" w:rsidRPr="00330234">
        <w:t xml:space="preserve"> </w:t>
      </w:r>
      <w:r w:rsidRPr="00330234">
        <w:lastRenderedPageBreak/>
        <w:t>subcutaan-arm en 1,7 in de placebo-arm, en een DAS28 &lt; 2,6 werd waargenomen bij 32,0% in de subcutaan-arm en 4,0% in de placebo-arm.</w:t>
      </w:r>
    </w:p>
    <w:p w14:paraId="3AB89018" w14:textId="77777777" w:rsidR="004A723A" w:rsidRPr="00330234" w:rsidRDefault="004A723A" w:rsidP="004A723A">
      <w:pPr>
        <w:pStyle w:val="a3"/>
        <w:widowControl/>
        <w:ind w:left="0"/>
      </w:pPr>
    </w:p>
    <w:p w14:paraId="7631D4DC" w14:textId="77777777" w:rsidR="00436DAA" w:rsidRPr="00330234" w:rsidRDefault="009B4B8E" w:rsidP="00BD109B">
      <w:pPr>
        <w:widowControl/>
        <w:rPr>
          <w:i/>
        </w:rPr>
      </w:pPr>
      <w:r w:rsidRPr="00330234">
        <w:rPr>
          <w:i/>
        </w:rPr>
        <w:t>Resultaten gerelateerd aan gezondheid en kwaliteit van leven</w:t>
      </w:r>
    </w:p>
    <w:p w14:paraId="70BFFFA5" w14:textId="09DE4699" w:rsidR="00436DAA" w:rsidRPr="00330234" w:rsidRDefault="009B4B8E" w:rsidP="00BD109B">
      <w:pPr>
        <w:pStyle w:val="a3"/>
        <w:widowControl/>
        <w:ind w:left="0"/>
      </w:pPr>
      <w:r w:rsidRPr="00330234">
        <w:t>Tijdens studie SC-I was de gemiddelde daling van de HAQ-DI, van baseline tot week 24, 0,6 in zowel de subcutane als de intraveneuze arm. Het percentage patiënten met een klinisch relevante verbetering in HAQ-DI op week 24 (verandering ten opzichte van baseline van ≥ 0,3 eenheden) was ook vergelijkbaar tussen de subcutane (65,2%) en intraveneuze (67,4%) armen, met een gewogen verschil in percentages van 2,3% (95%-BI, -8,1-3,4). Voor de SF-36 was de gemiddelde verandering in de mentale componentscore ten opzichte van baseline op week 24, 6,22 voor de subcutane arm en 6,54</w:t>
      </w:r>
      <w:r w:rsidR="004A723A" w:rsidRPr="00330234">
        <w:t> </w:t>
      </w:r>
      <w:r w:rsidRPr="00330234">
        <w:t>voor de intraveneuze arm, en was ook vergelijkbaar in de fysieke componentscores, met 9,49</w:t>
      </w:r>
      <w:r w:rsidR="004A723A" w:rsidRPr="00330234">
        <w:t> </w:t>
      </w:r>
      <w:r w:rsidRPr="00330234">
        <w:t>voor de subcutane arm en 9,65 voor de intraveneuze arm.</w:t>
      </w:r>
    </w:p>
    <w:p w14:paraId="2B77D9B2" w14:textId="77777777" w:rsidR="004A723A" w:rsidRPr="00330234" w:rsidRDefault="004A723A" w:rsidP="00BD109B">
      <w:pPr>
        <w:pStyle w:val="a3"/>
        <w:widowControl/>
        <w:ind w:left="0"/>
      </w:pPr>
    </w:p>
    <w:p w14:paraId="10BF435F" w14:textId="5B487061" w:rsidR="00436DAA" w:rsidRPr="00330234" w:rsidRDefault="009B4B8E" w:rsidP="00BD109B">
      <w:pPr>
        <w:pStyle w:val="a3"/>
        <w:widowControl/>
        <w:ind w:left="0"/>
      </w:pPr>
      <w:r w:rsidRPr="00330234">
        <w:t xml:space="preserve">Tijdens studie SC-II was de gemiddelde daling in HAQ-DI van baseline tot week 24 significant hoger bij patiënten die werden behandeld met om de week </w:t>
      </w:r>
      <w:r w:rsidR="00B431B0" w:rsidRPr="00330234">
        <w:t>tocilizumab</w:t>
      </w:r>
      <w:r w:rsidRPr="00330234">
        <w:t xml:space="preserve"> subcutaan (0,4) versus placebo (0,3). Het percentage patiënten met een klinisch relevante verbetering in HAQ-DI op week 24 (verandering ten opzichte van baseline van ≥ 0,3 eenheden) was hoger voor om de week </w:t>
      </w:r>
      <w:r w:rsidR="00B431B0" w:rsidRPr="00330234">
        <w:t>tocilizumab</w:t>
      </w:r>
      <w:r w:rsidRPr="00330234">
        <w:t xml:space="preserve"> subcutaan (58%) versus placebo (46,8%). SF-36 (gemiddelde verandering in de mentale en fysieke componentscores) was significant hoger in de </w:t>
      </w:r>
      <w:r w:rsidR="00B431B0" w:rsidRPr="00330234">
        <w:t>tocilizumab</w:t>
      </w:r>
      <w:r w:rsidRPr="00330234">
        <w:t xml:space="preserve"> subcutaan-arm (6,5 en 5,3) versus placebo (3,8 en 2,9).</w:t>
      </w:r>
    </w:p>
    <w:p w14:paraId="148852AE" w14:textId="77777777" w:rsidR="00436DAA" w:rsidRPr="00330234" w:rsidRDefault="00436DAA" w:rsidP="00BD109B">
      <w:pPr>
        <w:pStyle w:val="a3"/>
        <w:widowControl/>
        <w:ind w:left="0"/>
      </w:pPr>
    </w:p>
    <w:p w14:paraId="4CD89568" w14:textId="77777777" w:rsidR="00436DAA" w:rsidRPr="00330234" w:rsidRDefault="009B4B8E" w:rsidP="00BD109B">
      <w:pPr>
        <w:widowControl/>
        <w:rPr>
          <w:b/>
        </w:rPr>
      </w:pPr>
      <w:r w:rsidRPr="00330234">
        <w:rPr>
          <w:b/>
          <w:u w:val="single"/>
        </w:rPr>
        <w:t>sJIA (SC)</w:t>
      </w:r>
    </w:p>
    <w:p w14:paraId="2BE89977" w14:textId="77777777" w:rsidR="00436DAA" w:rsidRPr="00330234" w:rsidRDefault="009B4B8E" w:rsidP="00BD109B">
      <w:pPr>
        <w:pStyle w:val="a3"/>
        <w:widowControl/>
        <w:ind w:left="0"/>
      </w:pPr>
      <w:r w:rsidRPr="00330234">
        <w:rPr>
          <w:u w:val="single"/>
        </w:rPr>
        <w:t>Klinische werkzaamheid</w:t>
      </w:r>
    </w:p>
    <w:p w14:paraId="1554262D" w14:textId="050C15A1" w:rsidR="00436DAA" w:rsidRPr="00330234" w:rsidRDefault="009B4B8E" w:rsidP="00BD109B">
      <w:pPr>
        <w:pStyle w:val="a3"/>
        <w:widowControl/>
        <w:ind w:left="0"/>
      </w:pPr>
      <w:r w:rsidRPr="00330234">
        <w:t xml:space="preserve">Een 52 weken durend, open-label, multicenter onderzoek naar farmacokinetische/farmacodynamische (PK/PD) effecten en veiligheid (WA28118) werd uitgevoerd bij pediatrische patiënten met sJIA in de leeftijd van 1 - 17 jaar, om de juiste subcutane dosering van </w:t>
      </w:r>
      <w:r w:rsidR="00B431B0" w:rsidRPr="00330234">
        <w:t>tocilizumab</w:t>
      </w:r>
      <w:r w:rsidRPr="00330234">
        <w:t xml:space="preserve"> te bepalen waarbij een vergelijkbaar PK/PD- en veiligheidsprofiel werd behaald als bij het intraveneuze regime.</w:t>
      </w:r>
    </w:p>
    <w:p w14:paraId="5486BF35" w14:textId="77777777" w:rsidR="004A723A" w:rsidRPr="00330234" w:rsidRDefault="004A723A" w:rsidP="00BD109B">
      <w:pPr>
        <w:pStyle w:val="a3"/>
        <w:widowControl/>
        <w:ind w:left="0"/>
      </w:pPr>
    </w:p>
    <w:p w14:paraId="64E59F0C" w14:textId="08365E1B" w:rsidR="00436DAA" w:rsidRPr="00330234" w:rsidRDefault="009B4B8E" w:rsidP="004A723A">
      <w:pPr>
        <w:pStyle w:val="a3"/>
        <w:widowControl/>
        <w:ind w:left="0"/>
      </w:pPr>
      <w:r w:rsidRPr="00330234">
        <w:t xml:space="preserve">Patiënten die in aanmerking kwamen kregen </w:t>
      </w:r>
      <w:r w:rsidR="00B431B0" w:rsidRPr="00330234">
        <w:t>tocilizumab</w:t>
      </w:r>
      <w:r w:rsidRPr="00330234">
        <w:t xml:space="preserve"> gedoseerd op basis van het lichaamsgewicht, waarbij patiënten die 30 kg of meer wogen (n = 26) 162 mg </w:t>
      </w:r>
      <w:r w:rsidR="00B431B0" w:rsidRPr="00330234">
        <w:t>tocilizumab</w:t>
      </w:r>
      <w:r w:rsidRPr="00330234">
        <w:t xml:space="preserve"> kregen eenmaal per week (QW) en patiënten die minder dan 30 kg wogen (n = 25) 162 mg </w:t>
      </w:r>
      <w:r w:rsidR="00B431B0" w:rsidRPr="00330234">
        <w:t>tocilizumab</w:t>
      </w:r>
      <w:r w:rsidRPr="00330234">
        <w:t xml:space="preserve"> kregen eenmaal per</w:t>
      </w:r>
      <w:r w:rsidR="004A723A" w:rsidRPr="00330234">
        <w:t xml:space="preserve"> </w:t>
      </w:r>
      <w:r w:rsidRPr="00330234">
        <w:t>10</w:t>
      </w:r>
      <w:r w:rsidR="004A723A" w:rsidRPr="00330234">
        <w:t> </w:t>
      </w:r>
      <w:r w:rsidRPr="00330234">
        <w:t>dagen (Q10D, n = 8) of eenmaal per 2 weken (Q2W, n = 17) gedurende 52 weken. Van deze</w:t>
      </w:r>
      <w:r w:rsidR="004A723A" w:rsidRPr="00330234">
        <w:t xml:space="preserve"> </w:t>
      </w:r>
      <w:r w:rsidRPr="00330234">
        <w:t>51</w:t>
      </w:r>
      <w:r w:rsidR="004A723A" w:rsidRPr="00330234">
        <w:t> </w:t>
      </w:r>
      <w:r w:rsidRPr="00330234">
        <w:t xml:space="preserve">patiënten waren 26 (51%) niet eerder behandeld met </w:t>
      </w:r>
      <w:r w:rsidR="00B431B0" w:rsidRPr="00330234">
        <w:t>tocilizumab</w:t>
      </w:r>
      <w:r w:rsidRPr="00330234">
        <w:t xml:space="preserve"> en 25 (49%) waren behandeld met intraveneus </w:t>
      </w:r>
      <w:r w:rsidR="00B431B0" w:rsidRPr="00330234">
        <w:t>tocilizumab</w:t>
      </w:r>
      <w:r w:rsidRPr="00330234">
        <w:t xml:space="preserve"> en werden op baseline overgezet op </w:t>
      </w:r>
      <w:r w:rsidR="00B431B0" w:rsidRPr="00330234">
        <w:t>tocilizumab</w:t>
      </w:r>
      <w:r w:rsidRPr="00330234">
        <w:t xml:space="preserve"> subcutaan.</w:t>
      </w:r>
    </w:p>
    <w:p w14:paraId="653EBF93" w14:textId="77777777" w:rsidR="004A723A" w:rsidRPr="00330234" w:rsidRDefault="004A723A" w:rsidP="004A723A">
      <w:pPr>
        <w:pStyle w:val="a3"/>
        <w:widowControl/>
        <w:ind w:left="0"/>
      </w:pPr>
    </w:p>
    <w:p w14:paraId="5813732A" w14:textId="3FD20ACA" w:rsidR="00436DAA" w:rsidRPr="00330234" w:rsidRDefault="009B4B8E" w:rsidP="00BD109B">
      <w:pPr>
        <w:pStyle w:val="a3"/>
        <w:widowControl/>
        <w:ind w:left="0"/>
      </w:pPr>
      <w:r w:rsidRPr="00330234">
        <w:t xml:space="preserve">Exploratieve werkzaamheidsresultaten toonden aan dat </w:t>
      </w:r>
      <w:r w:rsidR="00B431B0" w:rsidRPr="00330234">
        <w:t>tocilizumab</w:t>
      </w:r>
      <w:r w:rsidRPr="00330234">
        <w:t xml:space="preserve"> subcutaan alle exploratieve werkzaamheidsparameters, waaronder de mediane juveniele artritis activiteitsscore (JADAS)-71, verbeterde bij patiënten die niet eerder waren behandeld met </w:t>
      </w:r>
      <w:r w:rsidR="00B431B0" w:rsidRPr="00330234">
        <w:t>tocilizumab</w:t>
      </w:r>
      <w:r w:rsidRPr="00330234">
        <w:t xml:space="preserve"> en alle exploratieve werkzaamheidsparameters handhaafde bij patiënten die van intraveneus overgezet waren op behandeling met </w:t>
      </w:r>
      <w:r w:rsidR="00B431B0" w:rsidRPr="00330234">
        <w:t>tocilizumab</w:t>
      </w:r>
      <w:r w:rsidRPr="00330234">
        <w:t xml:space="preserve"> subcutaan. Dit was gedurende het gehele onderzoek bij patiënten in beide gewichtsgroepen (minder dan 30 kg en 30 kg of meer).</w:t>
      </w:r>
    </w:p>
    <w:p w14:paraId="775A8596" w14:textId="77777777" w:rsidR="004A723A" w:rsidRPr="00330234" w:rsidRDefault="004A723A" w:rsidP="00BD109B">
      <w:pPr>
        <w:pStyle w:val="a3"/>
        <w:widowControl/>
        <w:ind w:left="0"/>
      </w:pPr>
    </w:p>
    <w:p w14:paraId="185ED061" w14:textId="77777777" w:rsidR="00436DAA" w:rsidRPr="00330234" w:rsidRDefault="009B4B8E" w:rsidP="00BD109B">
      <w:pPr>
        <w:widowControl/>
        <w:rPr>
          <w:b/>
        </w:rPr>
      </w:pPr>
      <w:r w:rsidRPr="00330234">
        <w:rPr>
          <w:b/>
          <w:u w:val="single"/>
        </w:rPr>
        <w:t>pJIA (SC</w:t>
      </w:r>
      <w:r w:rsidRPr="00330234">
        <w:rPr>
          <w:b/>
        </w:rPr>
        <w:t>)</w:t>
      </w:r>
    </w:p>
    <w:p w14:paraId="086CCCB8" w14:textId="77F4AF76" w:rsidR="00436DAA" w:rsidRPr="00330234" w:rsidRDefault="009B4B8E" w:rsidP="00BD109B">
      <w:pPr>
        <w:pStyle w:val="a3"/>
        <w:widowControl/>
        <w:ind w:left="0"/>
      </w:pPr>
      <w:r w:rsidRPr="00330234">
        <w:t xml:space="preserve">Een 52 weken durend, open-label, multicenter, PK/PD- en veiligheidsonderzoek werd uitgevoerd bij pediatrische patiënten met pJIA in de leeftijd van 1 tot 17 jaar, om de juiste subcutane dosering van </w:t>
      </w:r>
      <w:r w:rsidR="00B431B0" w:rsidRPr="00330234">
        <w:t>tocilizumab</w:t>
      </w:r>
      <w:r w:rsidRPr="00330234">
        <w:t xml:space="preserve"> te bepalen waarbij een vergelijkbaar PK/PD- en veiligheidsprofiel werd behaald als bij het intraveneuze regime.</w:t>
      </w:r>
    </w:p>
    <w:p w14:paraId="0172B184" w14:textId="77777777" w:rsidR="004A723A" w:rsidRPr="00330234" w:rsidRDefault="004A723A" w:rsidP="00BD109B">
      <w:pPr>
        <w:pStyle w:val="a3"/>
        <w:widowControl/>
        <w:ind w:left="0"/>
      </w:pPr>
    </w:p>
    <w:p w14:paraId="15ED638F" w14:textId="39A6992F" w:rsidR="00436DAA" w:rsidRPr="00330234" w:rsidRDefault="009B4B8E" w:rsidP="00DC7F6F">
      <w:pPr>
        <w:pStyle w:val="a3"/>
        <w:widowControl/>
        <w:ind w:left="0"/>
      </w:pPr>
      <w:r w:rsidRPr="00330234">
        <w:t xml:space="preserve">Patiënten die in aanmerking kwamen kregen tocilizumab gedoseerd op basis van het lichaamsgewicht, waarbij patiënten die 30 kg of meer wogen (n = 25) 162 mg </w:t>
      </w:r>
      <w:r w:rsidR="00B431B0" w:rsidRPr="00330234">
        <w:t>tocilizumab</w:t>
      </w:r>
      <w:r w:rsidRPr="00330234">
        <w:t xml:space="preserve"> kregen eenmaal per 2 weken (Q2W) en patiënten die minder dan 30 kg wogen (n = 27) 162 mg </w:t>
      </w:r>
      <w:r w:rsidR="00B431B0" w:rsidRPr="00330234">
        <w:t>tocilizumab</w:t>
      </w:r>
      <w:r w:rsidRPr="00330234">
        <w:t xml:space="preserve"> kregen eenmaal per</w:t>
      </w:r>
      <w:r w:rsidR="00D635EC" w:rsidRPr="00330234">
        <w:t xml:space="preserve"> </w:t>
      </w:r>
      <w:r w:rsidRPr="00330234">
        <w:t>3</w:t>
      </w:r>
      <w:r w:rsidR="00202D75" w:rsidRPr="00330234">
        <w:t> </w:t>
      </w:r>
      <w:r w:rsidRPr="00330234">
        <w:t xml:space="preserve">weken (Q3W) gedurende 52 weken. Van deze 52 patiënten waren 37 (71%) niet eerder behandeld met </w:t>
      </w:r>
      <w:r w:rsidR="00B431B0" w:rsidRPr="00330234">
        <w:t>tocilizumab</w:t>
      </w:r>
      <w:r w:rsidRPr="00330234">
        <w:t xml:space="preserve"> en 15 (29%) waren behandeld met intraveneus </w:t>
      </w:r>
      <w:r w:rsidR="00B431B0" w:rsidRPr="00330234">
        <w:t>tocilizumab</w:t>
      </w:r>
      <w:r w:rsidRPr="00330234">
        <w:t xml:space="preserve"> en werden op baseline overgezet op </w:t>
      </w:r>
      <w:r w:rsidR="00B431B0" w:rsidRPr="00330234">
        <w:t>tocilizumab</w:t>
      </w:r>
      <w:r w:rsidRPr="00330234">
        <w:t xml:space="preserve"> subcutaan.</w:t>
      </w:r>
    </w:p>
    <w:p w14:paraId="4F11332C" w14:textId="77777777" w:rsidR="00436DAA" w:rsidRPr="00330234" w:rsidRDefault="00436DAA" w:rsidP="00BD109B">
      <w:pPr>
        <w:pStyle w:val="a3"/>
        <w:widowControl/>
        <w:ind w:left="0"/>
      </w:pPr>
    </w:p>
    <w:p w14:paraId="61E51119" w14:textId="4BD19C8A" w:rsidR="00436DAA" w:rsidRPr="00330234" w:rsidRDefault="009B4B8E" w:rsidP="00BD109B">
      <w:pPr>
        <w:pStyle w:val="a3"/>
        <w:widowControl/>
        <w:ind w:left="0"/>
      </w:pPr>
      <w:r w:rsidRPr="00330234">
        <w:t xml:space="preserve">De </w:t>
      </w:r>
      <w:r w:rsidR="00B431B0" w:rsidRPr="00330234">
        <w:t>tocilizumab</w:t>
      </w:r>
      <w:r w:rsidRPr="00330234">
        <w:t xml:space="preserve"> subcutane regimes van respectievelijk 162 mg Q3W bij patiënten die minder dan 30 kg wegen en 162 mg Q2W bij patiënten die 30 kg of meer wegen resulteren in PK-blootstelling en PD- </w:t>
      </w:r>
      <w:r w:rsidRPr="00330234">
        <w:lastRenderedPageBreak/>
        <w:t xml:space="preserve">responsen die werkzaamheids- en veiligheidsuitkomsten ondersteunen, die vergelijkbaar zijn met die van de goedgekeurde intraveneuze </w:t>
      </w:r>
      <w:r w:rsidR="00B431B0" w:rsidRPr="00330234">
        <w:t>tocilizumab</w:t>
      </w:r>
      <w:r w:rsidRPr="00330234">
        <w:t xml:space="preserve"> regimes bij pJIA.</w:t>
      </w:r>
    </w:p>
    <w:p w14:paraId="2BCDDE6D" w14:textId="77777777" w:rsidR="00436DAA" w:rsidRPr="00330234" w:rsidRDefault="00436DAA" w:rsidP="00BD109B">
      <w:pPr>
        <w:pStyle w:val="a3"/>
        <w:widowControl/>
        <w:ind w:left="0"/>
      </w:pPr>
    </w:p>
    <w:p w14:paraId="13DAB61F" w14:textId="13743893" w:rsidR="00436DAA" w:rsidRPr="00330234" w:rsidRDefault="009B4B8E" w:rsidP="00BD109B">
      <w:pPr>
        <w:pStyle w:val="a3"/>
        <w:widowControl/>
        <w:ind w:left="0"/>
      </w:pPr>
      <w:r w:rsidRPr="00330234">
        <w:t xml:space="preserve">Exploratieve werkzaamheidsresultaten toonden aan dat </w:t>
      </w:r>
      <w:r w:rsidR="00B431B0" w:rsidRPr="00330234">
        <w:t>tocilizumab</w:t>
      </w:r>
      <w:r w:rsidRPr="00330234">
        <w:t xml:space="preserve"> subcutaan de mediane juveniele artritis activiteitsscore (JADAS)-71 verbeterde bij patiënten die niet eerder waren behandeld met </w:t>
      </w:r>
      <w:r w:rsidR="00B431B0" w:rsidRPr="00330234">
        <w:t>tocilizumab</w:t>
      </w:r>
      <w:r w:rsidRPr="00330234">
        <w:t xml:space="preserve"> en de mediane JADAS-71 handhaafde bij patiënten die van intraveneus overgezet waren op behandeling met </w:t>
      </w:r>
      <w:r w:rsidR="00B431B0" w:rsidRPr="00330234">
        <w:t>tocilizumab</w:t>
      </w:r>
      <w:r w:rsidRPr="00330234">
        <w:t xml:space="preserve"> subcutaan. Dit was gedurende het gehele onderzoek bij patiënten in beide gewichtsgroepen (minder dan 30 kg en 30 kg of meer).</w:t>
      </w:r>
    </w:p>
    <w:p w14:paraId="4889716B" w14:textId="77777777" w:rsidR="00436DAA" w:rsidRPr="00330234" w:rsidRDefault="00436DAA" w:rsidP="00BD109B">
      <w:pPr>
        <w:pStyle w:val="a3"/>
        <w:widowControl/>
        <w:ind w:left="0"/>
      </w:pPr>
    </w:p>
    <w:p w14:paraId="5BD0EB83" w14:textId="77777777" w:rsidR="00436DAA" w:rsidRPr="00330234" w:rsidRDefault="009B4B8E" w:rsidP="00BD109B">
      <w:pPr>
        <w:widowControl/>
        <w:rPr>
          <w:b/>
        </w:rPr>
      </w:pPr>
      <w:r w:rsidRPr="00330234">
        <w:rPr>
          <w:b/>
          <w:u w:val="single"/>
        </w:rPr>
        <w:t>GCA (SC)</w:t>
      </w:r>
    </w:p>
    <w:p w14:paraId="78E7F207" w14:textId="77777777" w:rsidR="00436DAA" w:rsidRPr="00330234" w:rsidRDefault="009B4B8E" w:rsidP="00BD109B">
      <w:pPr>
        <w:pStyle w:val="a3"/>
        <w:widowControl/>
        <w:ind w:left="0"/>
      </w:pPr>
      <w:r w:rsidRPr="00330234">
        <w:rPr>
          <w:u w:val="single"/>
        </w:rPr>
        <w:t>Klinische werkzaamheid</w:t>
      </w:r>
    </w:p>
    <w:p w14:paraId="753CF6E4" w14:textId="6CAB2E4D" w:rsidR="00436DAA" w:rsidRPr="00330234" w:rsidRDefault="009B4B8E" w:rsidP="00BD109B">
      <w:pPr>
        <w:pStyle w:val="a3"/>
        <w:widowControl/>
        <w:ind w:left="0"/>
      </w:pPr>
      <w:r w:rsidRPr="00330234">
        <w:t xml:space="preserve">Onderzoek WA28119 was een gerandomiseerd, multicenter, dubbelblind placebogecontroleerd fase III-superioriteitsonderzoek dat uitgevoerd werd om de werkzaamheid en veiligheid van </w:t>
      </w:r>
      <w:r w:rsidR="00B431B0" w:rsidRPr="00330234">
        <w:t>tocilizumab</w:t>
      </w:r>
      <w:r w:rsidRPr="00330234">
        <w:t xml:space="preserve"> bij patiënten met GCA te onderzoeken.</w:t>
      </w:r>
    </w:p>
    <w:p w14:paraId="3ED88EE0" w14:textId="77777777" w:rsidR="00436DAA" w:rsidRPr="00330234" w:rsidRDefault="00436DAA" w:rsidP="00BD109B">
      <w:pPr>
        <w:pStyle w:val="a3"/>
        <w:widowControl/>
        <w:ind w:left="0"/>
      </w:pPr>
    </w:p>
    <w:p w14:paraId="14EDFF92" w14:textId="6ED20C48" w:rsidR="00436DAA" w:rsidRPr="00330234" w:rsidRDefault="009B4B8E" w:rsidP="00BD109B">
      <w:pPr>
        <w:pStyle w:val="a3"/>
        <w:widowControl/>
        <w:ind w:left="0"/>
      </w:pPr>
      <w:r w:rsidRPr="00330234">
        <w:t xml:space="preserve">Er werden 251 patiënten met beginnende of recidiverende GCA geïncludeerd en ingedeeld bij één van vier behandelarmen. Het onderzoek bestond uit een 52 weken durende geblindeerde periode (deel 1), gevolgd door een open-label extensie van 104 weken (deel 2). Het doel van deel 2 was om de veiligheid op lange termijn en om het voortduren van de werkzaamheid na 52 weken </w:t>
      </w:r>
      <w:r w:rsidR="00DC594B" w:rsidRPr="00330234">
        <w:t>tocilizumab</w:t>
      </w:r>
      <w:r w:rsidRPr="00330234">
        <w:t xml:space="preserve">- behandeling te beschrijven, om de tijd tot relapse en benodigde </w:t>
      </w:r>
      <w:r w:rsidR="00DC594B" w:rsidRPr="00330234">
        <w:t>tocilizumab</w:t>
      </w:r>
      <w:r w:rsidRPr="00330234">
        <w:t xml:space="preserve">-behandeling na 52 weken te onderzoeken en om inzicht te krijgen in het mogelijke steroïdebesparende effect van </w:t>
      </w:r>
      <w:r w:rsidR="00DC594B" w:rsidRPr="00330234">
        <w:t>tocilizumab</w:t>
      </w:r>
      <w:r w:rsidRPr="00330234">
        <w:t xml:space="preserve"> op de lange termijn.</w:t>
      </w:r>
    </w:p>
    <w:p w14:paraId="288C82A0" w14:textId="77777777" w:rsidR="004A723A" w:rsidRPr="00330234" w:rsidRDefault="004A723A" w:rsidP="00BD109B">
      <w:pPr>
        <w:pStyle w:val="a3"/>
        <w:widowControl/>
        <w:ind w:left="0"/>
      </w:pPr>
    </w:p>
    <w:p w14:paraId="09722F80" w14:textId="0B2E0851" w:rsidR="00436DAA" w:rsidRPr="00330234" w:rsidRDefault="009B4B8E" w:rsidP="00BD109B">
      <w:pPr>
        <w:pStyle w:val="a3"/>
        <w:widowControl/>
        <w:ind w:left="0"/>
      </w:pPr>
      <w:r w:rsidRPr="00330234">
        <w:t xml:space="preserve">Twee subcutane doses van </w:t>
      </w:r>
      <w:r w:rsidR="00DC594B" w:rsidRPr="00330234">
        <w:t>tocilizumab</w:t>
      </w:r>
      <w:r w:rsidRPr="00330234">
        <w:t xml:space="preserve"> (elke week 162 mg en om de week 162 mg) werden vergeleken met twee verschillende placebogecontroleerde groepen, gerandomiseerd in een verhouding van 2:1:1:1.</w:t>
      </w:r>
    </w:p>
    <w:p w14:paraId="7C950276" w14:textId="77777777" w:rsidR="00436DAA" w:rsidRPr="00330234" w:rsidRDefault="00436DAA" w:rsidP="00BD109B">
      <w:pPr>
        <w:pStyle w:val="a3"/>
        <w:widowControl/>
        <w:ind w:left="0"/>
      </w:pPr>
    </w:p>
    <w:p w14:paraId="7B8C5536" w14:textId="0001BD1C" w:rsidR="00436DAA" w:rsidRPr="00330234" w:rsidRDefault="009B4B8E" w:rsidP="00BD109B">
      <w:pPr>
        <w:pStyle w:val="a3"/>
        <w:widowControl/>
        <w:ind w:left="0"/>
      </w:pPr>
      <w:r w:rsidRPr="00330234">
        <w:t xml:space="preserve">Alle patiënten kregen een glucocorticoïden (prednison)-behandeling. Elke </w:t>
      </w:r>
      <w:r w:rsidR="00DC594B" w:rsidRPr="00330234">
        <w:t>tocilizumab</w:t>
      </w:r>
      <w:r w:rsidRPr="00330234">
        <w:t>-behandelgroep en één van de placebogroepen kregen een vooraf vastgestelde afbouwende prednisonbehandeling gedurende 26 weken, terwijl de tweede placebogroep een vooraf vastgestelde afbouwende prednisonbehandeling gedurende 52 weken kreeg, opgezet als meer in lijn met de standaardbehandeling.</w:t>
      </w:r>
    </w:p>
    <w:p w14:paraId="7C4C5FB3" w14:textId="77777777" w:rsidR="004A723A" w:rsidRPr="00330234" w:rsidRDefault="004A723A" w:rsidP="00BD109B">
      <w:pPr>
        <w:pStyle w:val="a3"/>
        <w:widowControl/>
        <w:ind w:left="0"/>
      </w:pPr>
    </w:p>
    <w:p w14:paraId="51ADEBA2" w14:textId="5DC078B1" w:rsidR="00436DAA" w:rsidRPr="00330234" w:rsidRDefault="009B4B8E" w:rsidP="00BD109B">
      <w:pPr>
        <w:pStyle w:val="a3"/>
        <w:widowControl/>
        <w:ind w:left="0"/>
      </w:pPr>
      <w:r w:rsidRPr="00330234">
        <w:t xml:space="preserve">De duur van de glucocorticoïdenbehandeling gedurende screening en voordat </w:t>
      </w:r>
      <w:r w:rsidR="00DC594B" w:rsidRPr="00330234">
        <w:t>tocilizumab</w:t>
      </w:r>
      <w:r w:rsidRPr="00330234">
        <w:t xml:space="preserve"> (of placebo) werd gestart, was vergelijkbaar voor alle 4 de behandelgroepen (zie tabel 3).</w:t>
      </w:r>
    </w:p>
    <w:p w14:paraId="3DD4CD40" w14:textId="77777777" w:rsidR="004A723A" w:rsidRPr="00330234" w:rsidRDefault="004A723A" w:rsidP="00BD109B">
      <w:pPr>
        <w:pStyle w:val="a3"/>
        <w:widowControl/>
        <w:ind w:left="0"/>
      </w:pPr>
    </w:p>
    <w:p w14:paraId="566806DF" w14:textId="4177EBEE" w:rsidR="00436DAA" w:rsidRPr="00330234" w:rsidRDefault="009B4B8E" w:rsidP="006B7C9C">
      <w:pPr>
        <w:widowControl/>
        <w:ind w:left="1134" w:hanging="1134"/>
        <w:rPr>
          <w:i/>
        </w:rPr>
      </w:pPr>
      <w:r w:rsidRPr="00330234">
        <w:rPr>
          <w:i/>
        </w:rPr>
        <w:t>Tabel 3.</w:t>
      </w:r>
      <w:r w:rsidR="006B7C9C" w:rsidRPr="00330234">
        <w:rPr>
          <w:i/>
        </w:rPr>
        <w:tab/>
      </w:r>
      <w:r w:rsidR="006B7C9C" w:rsidRPr="00330234">
        <w:rPr>
          <w:i/>
        </w:rPr>
        <w:tab/>
      </w:r>
      <w:r w:rsidRPr="00330234">
        <w:rPr>
          <w:i/>
        </w:rPr>
        <w:t>Duur van corticosteroïdebehandeling gedurende screening in onderzoek WA28119</w:t>
      </w:r>
    </w:p>
    <w:p w14:paraId="6FDC6DE7" w14:textId="77777777" w:rsidR="00436DAA" w:rsidRPr="00330234" w:rsidRDefault="00436DAA" w:rsidP="00BD109B">
      <w:pPr>
        <w:pStyle w:val="a3"/>
        <w:widowControl/>
        <w:ind w:left="0"/>
        <w:rPr>
          <w:i/>
        </w:rPr>
      </w:pPr>
    </w:p>
    <w:tbl>
      <w:tblPr>
        <w:tblW w:w="9066" w:type="dxa"/>
        <w:tblLayout w:type="fixed"/>
        <w:tblCellMar>
          <w:left w:w="85" w:type="dxa"/>
          <w:right w:w="85" w:type="dxa"/>
        </w:tblCellMar>
        <w:tblLook w:val="01E0" w:firstRow="1" w:lastRow="1" w:firstColumn="1" w:lastColumn="1" w:noHBand="0" w:noVBand="0"/>
      </w:tblPr>
      <w:tblGrid>
        <w:gridCol w:w="1871"/>
        <w:gridCol w:w="1694"/>
        <w:gridCol w:w="1484"/>
        <w:gridCol w:w="2043"/>
        <w:gridCol w:w="1974"/>
      </w:tblGrid>
      <w:tr w:rsidR="001F2891" w:rsidRPr="00330234" w14:paraId="4684A555" w14:textId="77777777" w:rsidTr="006B7C9C">
        <w:trPr>
          <w:trHeight w:val="20"/>
        </w:trPr>
        <w:tc>
          <w:tcPr>
            <w:tcW w:w="1871" w:type="dxa"/>
            <w:tcBorders>
              <w:top w:val="single" w:sz="4" w:space="0" w:color="000000"/>
              <w:left w:val="single" w:sz="4" w:space="0" w:color="000000"/>
              <w:bottom w:val="single" w:sz="4" w:space="0" w:color="000000"/>
            </w:tcBorders>
          </w:tcPr>
          <w:p w14:paraId="0D5146BE" w14:textId="4074F337" w:rsidR="001F2891" w:rsidRPr="00330234" w:rsidRDefault="001F2891" w:rsidP="004A723A">
            <w:pPr>
              <w:pStyle w:val="TableParagraph"/>
              <w:widowControl/>
              <w:jc w:val="center"/>
              <w:rPr>
                <w:b/>
                <w:sz w:val="20"/>
                <w:szCs w:val="20"/>
              </w:rPr>
            </w:pPr>
          </w:p>
        </w:tc>
        <w:tc>
          <w:tcPr>
            <w:tcW w:w="1694" w:type="dxa"/>
            <w:tcBorders>
              <w:top w:val="single" w:sz="4" w:space="0" w:color="000000"/>
              <w:left w:val="nil"/>
              <w:bottom w:val="single" w:sz="4" w:space="0" w:color="000000"/>
            </w:tcBorders>
          </w:tcPr>
          <w:p w14:paraId="3D964642" w14:textId="36521B27" w:rsidR="001F2891" w:rsidRPr="00330234" w:rsidRDefault="001F2891" w:rsidP="004A723A">
            <w:pPr>
              <w:pStyle w:val="TableParagraph"/>
              <w:widowControl/>
              <w:jc w:val="center"/>
              <w:rPr>
                <w:b/>
                <w:sz w:val="20"/>
                <w:szCs w:val="20"/>
              </w:rPr>
            </w:pPr>
            <w:r w:rsidRPr="00330234">
              <w:rPr>
                <w:b/>
                <w:sz w:val="20"/>
                <w:szCs w:val="20"/>
              </w:rPr>
              <w:t>Placebo + 26 weken afbouwend prednison</w:t>
            </w:r>
          </w:p>
          <w:p w14:paraId="6F345F40" w14:textId="53D56BD2" w:rsidR="001F2891" w:rsidRPr="00330234" w:rsidRDefault="001F2891" w:rsidP="004A723A">
            <w:pPr>
              <w:pStyle w:val="TableParagraph"/>
              <w:widowControl/>
              <w:jc w:val="center"/>
              <w:rPr>
                <w:b/>
                <w:sz w:val="20"/>
                <w:szCs w:val="20"/>
              </w:rPr>
            </w:pPr>
            <w:r w:rsidRPr="00330234">
              <w:rPr>
                <w:b/>
                <w:sz w:val="20"/>
                <w:szCs w:val="20"/>
              </w:rPr>
              <w:t>N = 50</w:t>
            </w:r>
          </w:p>
        </w:tc>
        <w:tc>
          <w:tcPr>
            <w:tcW w:w="1484" w:type="dxa"/>
            <w:tcBorders>
              <w:top w:val="single" w:sz="4" w:space="0" w:color="000000"/>
              <w:bottom w:val="single" w:sz="4" w:space="0" w:color="000000"/>
            </w:tcBorders>
          </w:tcPr>
          <w:p w14:paraId="47371C8D" w14:textId="1F5C8A67" w:rsidR="001F2891" w:rsidRPr="00330234" w:rsidRDefault="001F2891" w:rsidP="004A723A">
            <w:pPr>
              <w:pStyle w:val="TableParagraph"/>
              <w:widowControl/>
              <w:jc w:val="center"/>
              <w:rPr>
                <w:b/>
                <w:sz w:val="20"/>
                <w:szCs w:val="20"/>
              </w:rPr>
            </w:pPr>
            <w:r w:rsidRPr="00330234">
              <w:rPr>
                <w:b/>
                <w:sz w:val="20"/>
                <w:szCs w:val="20"/>
              </w:rPr>
              <w:t>Placebo + 52 weken afbouwend prednison</w:t>
            </w:r>
          </w:p>
          <w:p w14:paraId="284F2245" w14:textId="77777777" w:rsidR="001F2891" w:rsidRPr="00330234" w:rsidRDefault="001F2891" w:rsidP="004A723A">
            <w:pPr>
              <w:pStyle w:val="TableParagraph"/>
              <w:widowControl/>
              <w:jc w:val="center"/>
              <w:rPr>
                <w:b/>
                <w:sz w:val="20"/>
                <w:szCs w:val="20"/>
              </w:rPr>
            </w:pPr>
            <w:r w:rsidRPr="00330234">
              <w:rPr>
                <w:b/>
                <w:sz w:val="20"/>
                <w:szCs w:val="20"/>
              </w:rPr>
              <w:t>N = 51</w:t>
            </w:r>
          </w:p>
        </w:tc>
        <w:tc>
          <w:tcPr>
            <w:tcW w:w="2043" w:type="dxa"/>
            <w:tcBorders>
              <w:top w:val="single" w:sz="4" w:space="0" w:color="000000"/>
              <w:bottom w:val="single" w:sz="4" w:space="0" w:color="000000"/>
            </w:tcBorders>
          </w:tcPr>
          <w:p w14:paraId="15597203" w14:textId="3BE30DDF" w:rsidR="001F2891" w:rsidRPr="00330234" w:rsidRDefault="00DC594B" w:rsidP="001F2891">
            <w:pPr>
              <w:pStyle w:val="TableParagraph"/>
              <w:widowControl/>
              <w:jc w:val="center"/>
              <w:rPr>
                <w:b/>
                <w:sz w:val="20"/>
                <w:szCs w:val="20"/>
              </w:rPr>
            </w:pPr>
            <w:r w:rsidRPr="00330234">
              <w:rPr>
                <w:b/>
                <w:sz w:val="20"/>
                <w:szCs w:val="20"/>
              </w:rPr>
              <w:t xml:space="preserve">Tocilizumab </w:t>
            </w:r>
            <w:r w:rsidR="001F2891" w:rsidRPr="00330234">
              <w:rPr>
                <w:b/>
                <w:sz w:val="20"/>
                <w:szCs w:val="20"/>
              </w:rPr>
              <w:t>162 mg s.c. wekelijks + 26 weken afbouwend prednison</w:t>
            </w:r>
          </w:p>
          <w:p w14:paraId="2377AB04" w14:textId="77777777" w:rsidR="001F2891" w:rsidRPr="00330234" w:rsidRDefault="001F2891" w:rsidP="004A723A">
            <w:pPr>
              <w:pStyle w:val="TableParagraph"/>
              <w:widowControl/>
              <w:jc w:val="center"/>
              <w:rPr>
                <w:b/>
                <w:sz w:val="20"/>
                <w:szCs w:val="20"/>
              </w:rPr>
            </w:pPr>
            <w:r w:rsidRPr="00330234">
              <w:rPr>
                <w:b/>
                <w:sz w:val="20"/>
                <w:szCs w:val="20"/>
              </w:rPr>
              <w:t>N = 100</w:t>
            </w:r>
          </w:p>
        </w:tc>
        <w:tc>
          <w:tcPr>
            <w:tcW w:w="1974" w:type="dxa"/>
            <w:tcBorders>
              <w:top w:val="single" w:sz="4" w:space="0" w:color="000000"/>
              <w:bottom w:val="single" w:sz="4" w:space="0" w:color="000000"/>
              <w:right w:val="single" w:sz="4" w:space="0" w:color="000000"/>
            </w:tcBorders>
          </w:tcPr>
          <w:p w14:paraId="70B12B26" w14:textId="1097F71C" w:rsidR="001F2891" w:rsidRPr="00330234" w:rsidRDefault="00DC594B" w:rsidP="001F2891">
            <w:pPr>
              <w:pStyle w:val="TableParagraph"/>
              <w:widowControl/>
              <w:jc w:val="center"/>
              <w:rPr>
                <w:b/>
                <w:sz w:val="20"/>
                <w:szCs w:val="20"/>
              </w:rPr>
            </w:pPr>
            <w:r w:rsidRPr="00330234">
              <w:rPr>
                <w:b/>
                <w:sz w:val="20"/>
                <w:szCs w:val="20"/>
              </w:rPr>
              <w:t xml:space="preserve">Tocilizumab </w:t>
            </w:r>
            <w:r w:rsidR="001F2891" w:rsidRPr="00330234">
              <w:rPr>
                <w:b/>
                <w:sz w:val="20"/>
                <w:szCs w:val="20"/>
              </w:rPr>
              <w:t>162 mg s.c. om de week + 26 weken afbouwend Prednison</w:t>
            </w:r>
          </w:p>
          <w:p w14:paraId="7031EE02" w14:textId="6A7A4B8C" w:rsidR="001F2891" w:rsidRPr="00330234" w:rsidRDefault="001F2891" w:rsidP="004A723A">
            <w:pPr>
              <w:pStyle w:val="TableParagraph"/>
              <w:widowControl/>
              <w:jc w:val="center"/>
              <w:rPr>
                <w:b/>
                <w:sz w:val="20"/>
                <w:szCs w:val="20"/>
              </w:rPr>
            </w:pPr>
            <w:r w:rsidRPr="00330234">
              <w:rPr>
                <w:b/>
                <w:sz w:val="20"/>
                <w:szCs w:val="20"/>
              </w:rPr>
              <w:t>N = 49</w:t>
            </w:r>
          </w:p>
        </w:tc>
      </w:tr>
      <w:tr w:rsidR="00D635EC" w:rsidRPr="00330234" w14:paraId="71CCF479" w14:textId="77777777" w:rsidTr="001B3E1E">
        <w:trPr>
          <w:trHeight w:val="20"/>
        </w:trPr>
        <w:tc>
          <w:tcPr>
            <w:tcW w:w="9066" w:type="dxa"/>
            <w:gridSpan w:val="5"/>
            <w:tcBorders>
              <w:top w:val="single" w:sz="4" w:space="0" w:color="000000"/>
              <w:left w:val="single" w:sz="4" w:space="0" w:color="000000"/>
              <w:bottom w:val="single" w:sz="4" w:space="0" w:color="auto"/>
              <w:right w:val="single" w:sz="4" w:space="0" w:color="000000"/>
            </w:tcBorders>
          </w:tcPr>
          <w:p w14:paraId="5B65F74C" w14:textId="30ECC0E2" w:rsidR="00D635EC" w:rsidRPr="00330234" w:rsidRDefault="00D635EC" w:rsidP="001B3E1E">
            <w:pPr>
              <w:pStyle w:val="TableParagraph"/>
              <w:widowControl/>
              <w:rPr>
                <w:sz w:val="20"/>
                <w:szCs w:val="20"/>
              </w:rPr>
            </w:pPr>
            <w:r w:rsidRPr="001B3E1E">
              <w:rPr>
                <w:b/>
                <w:bCs/>
                <w:sz w:val="20"/>
                <w:szCs w:val="20"/>
              </w:rPr>
              <w:t>Duur (dagen)</w:t>
            </w:r>
          </w:p>
        </w:tc>
      </w:tr>
      <w:tr w:rsidR="006B7C9C" w:rsidRPr="00330234" w14:paraId="15C8CAA9" w14:textId="77777777" w:rsidTr="001B3E1E">
        <w:trPr>
          <w:trHeight w:val="20"/>
        </w:trPr>
        <w:tc>
          <w:tcPr>
            <w:tcW w:w="1871" w:type="dxa"/>
            <w:tcBorders>
              <w:top w:val="single" w:sz="4" w:space="0" w:color="auto"/>
              <w:left w:val="single" w:sz="4" w:space="0" w:color="auto"/>
              <w:bottom w:val="single" w:sz="4" w:space="0" w:color="auto"/>
              <w:right w:val="single" w:sz="4" w:space="0" w:color="auto"/>
            </w:tcBorders>
          </w:tcPr>
          <w:p w14:paraId="5ECBCC4D" w14:textId="77777777" w:rsidR="00436DAA" w:rsidRPr="00330234" w:rsidRDefault="009B4B8E" w:rsidP="001F2891">
            <w:pPr>
              <w:pStyle w:val="TableParagraph"/>
              <w:widowControl/>
              <w:ind w:left="284"/>
              <w:rPr>
                <w:sz w:val="20"/>
                <w:szCs w:val="20"/>
              </w:rPr>
            </w:pPr>
            <w:r w:rsidRPr="00330234">
              <w:rPr>
                <w:sz w:val="20"/>
                <w:szCs w:val="20"/>
              </w:rPr>
              <w:t>Gemiddelde (SD)</w:t>
            </w:r>
          </w:p>
        </w:tc>
        <w:tc>
          <w:tcPr>
            <w:tcW w:w="1694" w:type="dxa"/>
            <w:tcBorders>
              <w:top w:val="single" w:sz="4" w:space="0" w:color="auto"/>
              <w:left w:val="single" w:sz="4" w:space="0" w:color="auto"/>
              <w:bottom w:val="single" w:sz="4" w:space="0" w:color="auto"/>
              <w:right w:val="single" w:sz="4" w:space="0" w:color="auto"/>
            </w:tcBorders>
          </w:tcPr>
          <w:p w14:paraId="4B699A09" w14:textId="77777777" w:rsidR="00436DAA" w:rsidRPr="00330234" w:rsidRDefault="009B4B8E" w:rsidP="001F2891">
            <w:pPr>
              <w:pStyle w:val="TableParagraph"/>
              <w:widowControl/>
              <w:jc w:val="center"/>
              <w:rPr>
                <w:sz w:val="20"/>
                <w:szCs w:val="20"/>
              </w:rPr>
            </w:pPr>
            <w:r w:rsidRPr="00330234">
              <w:rPr>
                <w:sz w:val="20"/>
                <w:szCs w:val="20"/>
              </w:rPr>
              <w:t>35,7 (11,5)</w:t>
            </w:r>
          </w:p>
        </w:tc>
        <w:tc>
          <w:tcPr>
            <w:tcW w:w="1484" w:type="dxa"/>
            <w:tcBorders>
              <w:top w:val="single" w:sz="4" w:space="0" w:color="auto"/>
              <w:left w:val="single" w:sz="4" w:space="0" w:color="auto"/>
              <w:bottom w:val="single" w:sz="4" w:space="0" w:color="auto"/>
              <w:right w:val="single" w:sz="4" w:space="0" w:color="auto"/>
            </w:tcBorders>
          </w:tcPr>
          <w:p w14:paraId="2D4732F9" w14:textId="77777777" w:rsidR="00436DAA" w:rsidRPr="00330234" w:rsidRDefault="009B4B8E" w:rsidP="001F2891">
            <w:pPr>
              <w:pStyle w:val="TableParagraph"/>
              <w:widowControl/>
              <w:jc w:val="center"/>
              <w:rPr>
                <w:sz w:val="20"/>
                <w:szCs w:val="20"/>
              </w:rPr>
            </w:pPr>
            <w:r w:rsidRPr="00330234">
              <w:rPr>
                <w:sz w:val="20"/>
                <w:szCs w:val="20"/>
              </w:rPr>
              <w:t>36,3 (12,5)</w:t>
            </w:r>
          </w:p>
        </w:tc>
        <w:tc>
          <w:tcPr>
            <w:tcW w:w="2043" w:type="dxa"/>
            <w:tcBorders>
              <w:top w:val="single" w:sz="4" w:space="0" w:color="auto"/>
              <w:left w:val="single" w:sz="4" w:space="0" w:color="auto"/>
              <w:bottom w:val="single" w:sz="4" w:space="0" w:color="auto"/>
              <w:right w:val="single" w:sz="4" w:space="0" w:color="auto"/>
            </w:tcBorders>
          </w:tcPr>
          <w:p w14:paraId="1F7B3CEC" w14:textId="77777777" w:rsidR="00436DAA" w:rsidRPr="00330234" w:rsidRDefault="009B4B8E" w:rsidP="001F2891">
            <w:pPr>
              <w:pStyle w:val="TableParagraph"/>
              <w:widowControl/>
              <w:jc w:val="center"/>
              <w:rPr>
                <w:sz w:val="20"/>
                <w:szCs w:val="20"/>
              </w:rPr>
            </w:pPr>
            <w:r w:rsidRPr="00330234">
              <w:rPr>
                <w:sz w:val="20"/>
                <w:szCs w:val="20"/>
              </w:rPr>
              <w:t>35,6 (13,2)</w:t>
            </w:r>
          </w:p>
        </w:tc>
        <w:tc>
          <w:tcPr>
            <w:tcW w:w="1974" w:type="dxa"/>
            <w:tcBorders>
              <w:top w:val="single" w:sz="4" w:space="0" w:color="auto"/>
              <w:left w:val="single" w:sz="4" w:space="0" w:color="auto"/>
              <w:bottom w:val="single" w:sz="4" w:space="0" w:color="auto"/>
              <w:right w:val="single" w:sz="4" w:space="0" w:color="auto"/>
            </w:tcBorders>
          </w:tcPr>
          <w:p w14:paraId="55DCE1A1" w14:textId="77777777" w:rsidR="00436DAA" w:rsidRPr="00330234" w:rsidRDefault="009B4B8E" w:rsidP="001F2891">
            <w:pPr>
              <w:pStyle w:val="TableParagraph"/>
              <w:widowControl/>
              <w:jc w:val="center"/>
              <w:rPr>
                <w:sz w:val="20"/>
                <w:szCs w:val="20"/>
              </w:rPr>
            </w:pPr>
            <w:r w:rsidRPr="00330234">
              <w:rPr>
                <w:sz w:val="20"/>
                <w:szCs w:val="20"/>
              </w:rPr>
              <w:t>37,4 (14,4)</w:t>
            </w:r>
          </w:p>
        </w:tc>
      </w:tr>
      <w:tr w:rsidR="006B7C9C" w:rsidRPr="00330234" w14:paraId="1AF1B72C" w14:textId="77777777" w:rsidTr="001B3E1E">
        <w:trPr>
          <w:trHeight w:val="20"/>
        </w:trPr>
        <w:tc>
          <w:tcPr>
            <w:tcW w:w="1871" w:type="dxa"/>
            <w:tcBorders>
              <w:top w:val="single" w:sz="4" w:space="0" w:color="auto"/>
              <w:left w:val="single" w:sz="4" w:space="0" w:color="auto"/>
              <w:bottom w:val="single" w:sz="4" w:space="0" w:color="auto"/>
              <w:right w:val="single" w:sz="4" w:space="0" w:color="auto"/>
            </w:tcBorders>
          </w:tcPr>
          <w:p w14:paraId="531381D2" w14:textId="77777777" w:rsidR="00436DAA" w:rsidRPr="00330234" w:rsidRDefault="009B4B8E" w:rsidP="001F2891">
            <w:pPr>
              <w:pStyle w:val="TableParagraph"/>
              <w:widowControl/>
              <w:ind w:left="284"/>
              <w:rPr>
                <w:sz w:val="20"/>
                <w:szCs w:val="20"/>
              </w:rPr>
            </w:pPr>
            <w:r w:rsidRPr="00330234">
              <w:rPr>
                <w:sz w:val="20"/>
                <w:szCs w:val="20"/>
              </w:rPr>
              <w:t>Mediaan</w:t>
            </w:r>
          </w:p>
        </w:tc>
        <w:tc>
          <w:tcPr>
            <w:tcW w:w="1694" w:type="dxa"/>
            <w:tcBorders>
              <w:top w:val="single" w:sz="4" w:space="0" w:color="auto"/>
              <w:left w:val="single" w:sz="4" w:space="0" w:color="auto"/>
              <w:bottom w:val="single" w:sz="4" w:space="0" w:color="auto"/>
              <w:right w:val="single" w:sz="4" w:space="0" w:color="auto"/>
            </w:tcBorders>
          </w:tcPr>
          <w:p w14:paraId="2E68399F" w14:textId="77777777" w:rsidR="00436DAA" w:rsidRPr="00330234" w:rsidRDefault="009B4B8E" w:rsidP="001F2891">
            <w:pPr>
              <w:pStyle w:val="TableParagraph"/>
              <w:widowControl/>
              <w:jc w:val="center"/>
              <w:rPr>
                <w:sz w:val="20"/>
                <w:szCs w:val="20"/>
              </w:rPr>
            </w:pPr>
            <w:r w:rsidRPr="00330234">
              <w:rPr>
                <w:sz w:val="20"/>
                <w:szCs w:val="20"/>
              </w:rPr>
              <w:t>42,0</w:t>
            </w:r>
          </w:p>
        </w:tc>
        <w:tc>
          <w:tcPr>
            <w:tcW w:w="1484" w:type="dxa"/>
            <w:tcBorders>
              <w:top w:val="single" w:sz="4" w:space="0" w:color="auto"/>
              <w:left w:val="single" w:sz="4" w:space="0" w:color="auto"/>
              <w:bottom w:val="single" w:sz="4" w:space="0" w:color="auto"/>
              <w:right w:val="single" w:sz="4" w:space="0" w:color="auto"/>
            </w:tcBorders>
          </w:tcPr>
          <w:p w14:paraId="6F77448D" w14:textId="77777777" w:rsidR="00436DAA" w:rsidRPr="00330234" w:rsidRDefault="009B4B8E" w:rsidP="001F2891">
            <w:pPr>
              <w:pStyle w:val="TableParagraph"/>
              <w:widowControl/>
              <w:jc w:val="center"/>
              <w:rPr>
                <w:sz w:val="20"/>
                <w:szCs w:val="20"/>
              </w:rPr>
            </w:pPr>
            <w:r w:rsidRPr="00330234">
              <w:rPr>
                <w:sz w:val="20"/>
                <w:szCs w:val="20"/>
              </w:rPr>
              <w:t>41,0</w:t>
            </w:r>
          </w:p>
        </w:tc>
        <w:tc>
          <w:tcPr>
            <w:tcW w:w="2043" w:type="dxa"/>
            <w:tcBorders>
              <w:top w:val="single" w:sz="4" w:space="0" w:color="auto"/>
              <w:left w:val="single" w:sz="4" w:space="0" w:color="auto"/>
              <w:bottom w:val="single" w:sz="4" w:space="0" w:color="auto"/>
              <w:right w:val="single" w:sz="4" w:space="0" w:color="auto"/>
            </w:tcBorders>
          </w:tcPr>
          <w:p w14:paraId="4D8DD37A" w14:textId="77777777" w:rsidR="00436DAA" w:rsidRPr="00330234" w:rsidRDefault="009B4B8E" w:rsidP="001F2891">
            <w:pPr>
              <w:pStyle w:val="TableParagraph"/>
              <w:widowControl/>
              <w:jc w:val="center"/>
              <w:rPr>
                <w:sz w:val="20"/>
                <w:szCs w:val="20"/>
              </w:rPr>
            </w:pPr>
            <w:r w:rsidRPr="00330234">
              <w:rPr>
                <w:sz w:val="20"/>
                <w:szCs w:val="20"/>
              </w:rPr>
              <w:t>41,0</w:t>
            </w:r>
          </w:p>
        </w:tc>
        <w:tc>
          <w:tcPr>
            <w:tcW w:w="1974" w:type="dxa"/>
            <w:tcBorders>
              <w:top w:val="single" w:sz="4" w:space="0" w:color="auto"/>
              <w:left w:val="single" w:sz="4" w:space="0" w:color="auto"/>
              <w:bottom w:val="single" w:sz="4" w:space="0" w:color="auto"/>
              <w:right w:val="single" w:sz="4" w:space="0" w:color="auto"/>
            </w:tcBorders>
          </w:tcPr>
          <w:p w14:paraId="54F6CBB5" w14:textId="77777777" w:rsidR="00436DAA" w:rsidRPr="00330234" w:rsidRDefault="009B4B8E" w:rsidP="001F2891">
            <w:pPr>
              <w:pStyle w:val="TableParagraph"/>
              <w:widowControl/>
              <w:jc w:val="center"/>
              <w:rPr>
                <w:sz w:val="20"/>
                <w:szCs w:val="20"/>
              </w:rPr>
            </w:pPr>
            <w:r w:rsidRPr="00330234">
              <w:rPr>
                <w:sz w:val="20"/>
                <w:szCs w:val="20"/>
              </w:rPr>
              <w:t>42,0</w:t>
            </w:r>
          </w:p>
        </w:tc>
      </w:tr>
      <w:tr w:rsidR="006B7C9C" w:rsidRPr="00330234" w14:paraId="061DB60D" w14:textId="77777777" w:rsidTr="001B3E1E">
        <w:trPr>
          <w:trHeight w:val="20"/>
        </w:trPr>
        <w:tc>
          <w:tcPr>
            <w:tcW w:w="1871" w:type="dxa"/>
            <w:tcBorders>
              <w:top w:val="single" w:sz="4" w:space="0" w:color="auto"/>
              <w:left w:val="single" w:sz="4" w:space="0" w:color="auto"/>
              <w:bottom w:val="single" w:sz="4" w:space="0" w:color="auto"/>
              <w:right w:val="single" w:sz="4" w:space="0" w:color="auto"/>
            </w:tcBorders>
          </w:tcPr>
          <w:p w14:paraId="460CD359" w14:textId="77777777" w:rsidR="00436DAA" w:rsidRPr="00330234" w:rsidRDefault="009B4B8E" w:rsidP="001F2891">
            <w:pPr>
              <w:pStyle w:val="TableParagraph"/>
              <w:widowControl/>
              <w:ind w:left="284"/>
              <w:rPr>
                <w:sz w:val="20"/>
                <w:szCs w:val="20"/>
              </w:rPr>
            </w:pPr>
            <w:r w:rsidRPr="00330234">
              <w:rPr>
                <w:sz w:val="20"/>
                <w:szCs w:val="20"/>
              </w:rPr>
              <w:t>Min - Max</w:t>
            </w:r>
          </w:p>
        </w:tc>
        <w:tc>
          <w:tcPr>
            <w:tcW w:w="1694" w:type="dxa"/>
            <w:tcBorders>
              <w:top w:val="single" w:sz="4" w:space="0" w:color="auto"/>
              <w:left w:val="single" w:sz="4" w:space="0" w:color="auto"/>
              <w:bottom w:val="single" w:sz="4" w:space="0" w:color="auto"/>
              <w:right w:val="single" w:sz="4" w:space="0" w:color="auto"/>
            </w:tcBorders>
          </w:tcPr>
          <w:p w14:paraId="7514D84B" w14:textId="77777777" w:rsidR="00436DAA" w:rsidRPr="00330234" w:rsidRDefault="009B4B8E" w:rsidP="001F2891">
            <w:pPr>
              <w:pStyle w:val="TableParagraph"/>
              <w:widowControl/>
              <w:jc w:val="center"/>
              <w:rPr>
                <w:sz w:val="20"/>
                <w:szCs w:val="20"/>
              </w:rPr>
            </w:pPr>
            <w:r w:rsidRPr="00330234">
              <w:rPr>
                <w:sz w:val="20"/>
                <w:szCs w:val="20"/>
              </w:rPr>
              <w:t>6 - 63</w:t>
            </w:r>
          </w:p>
        </w:tc>
        <w:tc>
          <w:tcPr>
            <w:tcW w:w="1484" w:type="dxa"/>
            <w:tcBorders>
              <w:top w:val="single" w:sz="4" w:space="0" w:color="auto"/>
              <w:left w:val="single" w:sz="4" w:space="0" w:color="auto"/>
              <w:bottom w:val="single" w:sz="4" w:space="0" w:color="auto"/>
              <w:right w:val="single" w:sz="4" w:space="0" w:color="auto"/>
            </w:tcBorders>
          </w:tcPr>
          <w:p w14:paraId="3BBAA2B8" w14:textId="193BDB95" w:rsidR="00436DAA" w:rsidRPr="00330234" w:rsidRDefault="009B4B8E" w:rsidP="001F2891">
            <w:pPr>
              <w:pStyle w:val="TableParagraph"/>
              <w:widowControl/>
              <w:jc w:val="center"/>
              <w:rPr>
                <w:sz w:val="20"/>
                <w:szCs w:val="20"/>
              </w:rPr>
            </w:pPr>
            <w:r w:rsidRPr="00330234">
              <w:rPr>
                <w:sz w:val="20"/>
                <w:szCs w:val="20"/>
              </w:rPr>
              <w:t>12</w:t>
            </w:r>
            <w:r w:rsidR="001F2891" w:rsidRPr="00330234">
              <w:rPr>
                <w:sz w:val="20"/>
                <w:szCs w:val="20"/>
              </w:rPr>
              <w:t xml:space="preserve"> - </w:t>
            </w:r>
            <w:r w:rsidRPr="00330234">
              <w:rPr>
                <w:sz w:val="20"/>
                <w:szCs w:val="20"/>
              </w:rPr>
              <w:t>82</w:t>
            </w:r>
          </w:p>
        </w:tc>
        <w:tc>
          <w:tcPr>
            <w:tcW w:w="2043" w:type="dxa"/>
            <w:tcBorders>
              <w:top w:val="single" w:sz="4" w:space="0" w:color="auto"/>
              <w:left w:val="single" w:sz="4" w:space="0" w:color="auto"/>
              <w:bottom w:val="single" w:sz="4" w:space="0" w:color="auto"/>
              <w:right w:val="single" w:sz="4" w:space="0" w:color="auto"/>
            </w:tcBorders>
          </w:tcPr>
          <w:p w14:paraId="02012EDC" w14:textId="77777777" w:rsidR="00436DAA" w:rsidRPr="00330234" w:rsidRDefault="009B4B8E" w:rsidP="001F2891">
            <w:pPr>
              <w:pStyle w:val="TableParagraph"/>
              <w:widowControl/>
              <w:jc w:val="center"/>
              <w:rPr>
                <w:sz w:val="20"/>
                <w:szCs w:val="20"/>
              </w:rPr>
            </w:pPr>
            <w:r w:rsidRPr="00330234">
              <w:rPr>
                <w:sz w:val="20"/>
                <w:szCs w:val="20"/>
              </w:rPr>
              <w:t>1 - 87</w:t>
            </w:r>
          </w:p>
        </w:tc>
        <w:tc>
          <w:tcPr>
            <w:tcW w:w="1974" w:type="dxa"/>
            <w:tcBorders>
              <w:top w:val="single" w:sz="4" w:space="0" w:color="auto"/>
              <w:left w:val="single" w:sz="4" w:space="0" w:color="auto"/>
              <w:bottom w:val="single" w:sz="4" w:space="0" w:color="auto"/>
              <w:right w:val="single" w:sz="4" w:space="0" w:color="auto"/>
            </w:tcBorders>
          </w:tcPr>
          <w:p w14:paraId="026F6260" w14:textId="77777777" w:rsidR="00436DAA" w:rsidRPr="00330234" w:rsidRDefault="009B4B8E" w:rsidP="001F2891">
            <w:pPr>
              <w:pStyle w:val="TableParagraph"/>
              <w:widowControl/>
              <w:jc w:val="center"/>
              <w:rPr>
                <w:sz w:val="20"/>
                <w:szCs w:val="20"/>
              </w:rPr>
            </w:pPr>
            <w:r w:rsidRPr="00330234">
              <w:rPr>
                <w:sz w:val="20"/>
                <w:szCs w:val="20"/>
              </w:rPr>
              <w:t>9 - 87</w:t>
            </w:r>
          </w:p>
        </w:tc>
      </w:tr>
    </w:tbl>
    <w:p w14:paraId="6AFC7C14" w14:textId="77777777" w:rsidR="001F2891" w:rsidRPr="00330234" w:rsidRDefault="001F2891" w:rsidP="00BD109B">
      <w:pPr>
        <w:pStyle w:val="a3"/>
        <w:widowControl/>
        <w:ind w:left="0"/>
      </w:pPr>
    </w:p>
    <w:p w14:paraId="3CDDCB8A" w14:textId="30EFB182" w:rsidR="00436DAA" w:rsidRPr="00330234" w:rsidRDefault="009B4B8E" w:rsidP="00BD109B">
      <w:pPr>
        <w:pStyle w:val="a3"/>
        <w:widowControl/>
        <w:ind w:left="0"/>
      </w:pPr>
      <w:r w:rsidRPr="00330234">
        <w:t xml:space="preserve">Het primaire werkzaamheidseindpunt beoordeeld aan de hand van het deel van de patiënten dat een blijvende remissie zonder steroïden in week 52 bereikte met </w:t>
      </w:r>
      <w:r w:rsidR="00DC594B" w:rsidRPr="00330234">
        <w:t>tocilizumab</w:t>
      </w:r>
      <w:r w:rsidRPr="00330234">
        <w:t xml:space="preserve"> plus in 26 weken afbouwende prednisonbehandeling vergeleken met placebo plus in 52 weken afbouwende prednisonbehandeling, werd behaald (zie tabel 4).</w:t>
      </w:r>
    </w:p>
    <w:p w14:paraId="37B21909" w14:textId="77777777" w:rsidR="001F2891" w:rsidRPr="00330234" w:rsidRDefault="001F2891" w:rsidP="00BD109B">
      <w:pPr>
        <w:pStyle w:val="a3"/>
        <w:widowControl/>
        <w:ind w:left="0"/>
      </w:pPr>
    </w:p>
    <w:p w14:paraId="23D62F89" w14:textId="77777777" w:rsidR="00436DAA" w:rsidRPr="00330234" w:rsidRDefault="009B4B8E" w:rsidP="00BD109B">
      <w:pPr>
        <w:pStyle w:val="a3"/>
        <w:widowControl/>
        <w:ind w:left="0"/>
      </w:pPr>
      <w:r w:rsidRPr="00330234">
        <w:t>Het belangrijke secundaire werkzaamheidseindpunt, ook gebaseerd op het deel van de patiënten dat een blijvende remissie in week 52 bereikte, waarbij tocilizumab plus in 26 weken afbouwende prednisonbehandeling werd vergeleken met placebo plus in 52 weken afbouwende prednisonbehandeling, werd ook behaald (zie tabel 4).</w:t>
      </w:r>
    </w:p>
    <w:p w14:paraId="65B7D2A4" w14:textId="77777777" w:rsidR="001F2891" w:rsidRPr="00330234" w:rsidRDefault="001F2891" w:rsidP="00BD109B">
      <w:pPr>
        <w:pStyle w:val="a3"/>
        <w:widowControl/>
        <w:ind w:left="0"/>
      </w:pPr>
    </w:p>
    <w:p w14:paraId="6AEA628C" w14:textId="31514E9C" w:rsidR="00436DAA" w:rsidRPr="00330234" w:rsidRDefault="009B4B8E" w:rsidP="00BD109B">
      <w:pPr>
        <w:pStyle w:val="a3"/>
        <w:widowControl/>
        <w:ind w:left="0"/>
      </w:pPr>
      <w:r w:rsidRPr="00330234">
        <w:lastRenderedPageBreak/>
        <w:t xml:space="preserve">Een statistisch significant superioriteitseffect werd waargenomen voor </w:t>
      </w:r>
      <w:r w:rsidR="00DC594B" w:rsidRPr="00330234">
        <w:t>tocilizumab</w:t>
      </w:r>
      <w:r w:rsidRPr="00330234">
        <w:t xml:space="preserve"> ten opzichte van placebo door het bereiken van blijvende remissie zonder steroïden in week 52 met </w:t>
      </w:r>
      <w:r w:rsidR="00DC594B" w:rsidRPr="00330234">
        <w:t>tocilizumab</w:t>
      </w:r>
      <w:r w:rsidRPr="00330234">
        <w:t xml:space="preserve"> plus in 26 weken afbouwende prednisonbehandeling vergeleken met placebo plus in 26 weken afbouwende prednisonbehandeling en placebo plus in 52 weken afbouwende prednisonbehandeling.</w:t>
      </w:r>
    </w:p>
    <w:p w14:paraId="3CD39583" w14:textId="77777777" w:rsidR="00436DAA" w:rsidRPr="00330234" w:rsidRDefault="00436DAA" w:rsidP="00BD109B">
      <w:pPr>
        <w:pStyle w:val="a3"/>
        <w:widowControl/>
        <w:ind w:left="0"/>
      </w:pPr>
    </w:p>
    <w:p w14:paraId="1C1B97C9" w14:textId="77777777" w:rsidR="00436DAA" w:rsidRPr="00330234" w:rsidRDefault="009B4B8E" w:rsidP="00BD109B">
      <w:pPr>
        <w:pStyle w:val="a3"/>
        <w:widowControl/>
        <w:ind w:left="0"/>
      </w:pPr>
      <w:r w:rsidRPr="00330234">
        <w:t>Het percentage van de patiënten dat blijvende remissie in week 52 bereikte, is weergegeven in tabel 4.</w:t>
      </w:r>
    </w:p>
    <w:p w14:paraId="699AC1A6" w14:textId="77777777" w:rsidR="00436DAA" w:rsidRPr="00330234" w:rsidRDefault="00436DAA" w:rsidP="00BD109B">
      <w:pPr>
        <w:pStyle w:val="a3"/>
        <w:widowControl/>
        <w:ind w:left="0"/>
      </w:pPr>
    </w:p>
    <w:p w14:paraId="7103F004" w14:textId="77777777" w:rsidR="00436DAA" w:rsidRPr="00330234" w:rsidRDefault="009B4B8E" w:rsidP="00BD109B">
      <w:pPr>
        <w:widowControl/>
        <w:rPr>
          <w:i/>
        </w:rPr>
      </w:pPr>
      <w:r w:rsidRPr="00330234">
        <w:rPr>
          <w:i/>
        </w:rPr>
        <w:t>Secundaire eindpunten</w:t>
      </w:r>
    </w:p>
    <w:p w14:paraId="3F1BCD2D" w14:textId="7A6F3869" w:rsidR="00436DAA" w:rsidRPr="00330234" w:rsidRDefault="009B4B8E" w:rsidP="00BD109B">
      <w:pPr>
        <w:pStyle w:val="a3"/>
        <w:widowControl/>
        <w:ind w:left="0"/>
      </w:pPr>
      <w:r w:rsidRPr="00330234">
        <w:t xml:space="preserve">De beoordeling van tijd tot eerste GCA ‘flare’ liet een significant lager risico op een ‘flare’ zien voor de wekelijks met </w:t>
      </w:r>
      <w:r w:rsidR="00DC594B" w:rsidRPr="00330234">
        <w:t>tocilizumab</w:t>
      </w:r>
      <w:r w:rsidRPr="00330234">
        <w:t xml:space="preserve"> subcutaan behandelde groep vergeleken met de groepen met placebo plus in 26 of 52 weken afbouwende prednisonbehandeling, en voor de om de week met </w:t>
      </w:r>
      <w:r w:rsidR="00DC594B" w:rsidRPr="00330234">
        <w:t>tocilizumab</w:t>
      </w:r>
      <w:r w:rsidRPr="00330234">
        <w:t xml:space="preserve"> subcutaan behandelde groep vergeleken met de placebo plus in 26 weken afbouwende prednisonbehandelgroep (bij vergelijking met 0,01 significantieniveau). Bij patiënten die het onderzoek begonnen met terugkerende GCA alsmede bij patiënten met beginnende ziekte liet de groep met wekelijks </w:t>
      </w:r>
      <w:r w:rsidR="00DC594B" w:rsidRPr="00330234">
        <w:t>tocilizumab</w:t>
      </w:r>
      <w:r w:rsidRPr="00330234">
        <w:t xml:space="preserve"> subcutane behandeling ook een klinisch relevante daling van het risico op ‘flares’ zien vergeleken met placebo plus in 26 weken afbouwende prednisonbehandeling (zie tabel 4).</w:t>
      </w:r>
    </w:p>
    <w:p w14:paraId="289B1DC7" w14:textId="77777777" w:rsidR="00436DAA" w:rsidRPr="00330234" w:rsidRDefault="00436DAA" w:rsidP="00BD109B">
      <w:pPr>
        <w:pStyle w:val="a3"/>
        <w:widowControl/>
        <w:ind w:left="0"/>
      </w:pPr>
    </w:p>
    <w:p w14:paraId="61D21A61" w14:textId="77777777" w:rsidR="00436DAA" w:rsidRPr="00330234" w:rsidRDefault="009B4B8E" w:rsidP="00BD109B">
      <w:pPr>
        <w:widowControl/>
        <w:rPr>
          <w:i/>
        </w:rPr>
      </w:pPr>
      <w:r w:rsidRPr="00330234">
        <w:rPr>
          <w:i/>
        </w:rPr>
        <w:t>Cumulatieve glucocorticoïdendosis</w:t>
      </w:r>
    </w:p>
    <w:p w14:paraId="544AF931" w14:textId="3F343F76" w:rsidR="00436DAA" w:rsidRPr="00330234" w:rsidRDefault="009B4B8E" w:rsidP="00BD109B">
      <w:pPr>
        <w:pStyle w:val="a3"/>
        <w:widowControl/>
        <w:ind w:left="0"/>
      </w:pPr>
      <w:r w:rsidRPr="00330234">
        <w:t xml:space="preserve">De cumulatieve prednisondosis op week 52 was significant lager in de twee </w:t>
      </w:r>
      <w:r w:rsidR="00DC594B" w:rsidRPr="00330234">
        <w:t>tocilizumab</w:t>
      </w:r>
      <w:r w:rsidRPr="00330234">
        <w:t xml:space="preserve">-dosisgroepen vergeleken met de twee placebogroepen (zie tabel 4). In een losstaande analyse bij patiënten die ‘escape’ prednison ontvingen om GCA ‘flares’ te behandelen gedurende de eerste 52 weken, varieerde de cumulatieve prednisondosis sterk. De mediane doses voor ‘escape’ patiënten in de groep met wekelijks en om de week </w:t>
      </w:r>
      <w:r w:rsidR="00DC594B" w:rsidRPr="00330234">
        <w:t>tocilizumab</w:t>
      </w:r>
      <w:r w:rsidRPr="00330234">
        <w:t xml:space="preserve"> waren respectievelijk 3</w:t>
      </w:r>
      <w:r w:rsidR="008037C1" w:rsidRPr="00330234">
        <w:t>.</w:t>
      </w:r>
      <w:r w:rsidRPr="00330234">
        <w:t>129,75 mg en 3</w:t>
      </w:r>
      <w:r w:rsidR="008037C1" w:rsidRPr="00330234">
        <w:t>.</w:t>
      </w:r>
      <w:r w:rsidRPr="00330234">
        <w:t>847 mg. Beide aanzienlijk lager dan in de placebogroep plus in 26 weken en de placebogroep plus in 52 weken afbouwende prednisonbehandeling, respectievelijk 4</w:t>
      </w:r>
      <w:r w:rsidR="008037C1" w:rsidRPr="00330234">
        <w:t>.</w:t>
      </w:r>
      <w:r w:rsidRPr="00330234">
        <w:t>023,5 mg en 5</w:t>
      </w:r>
      <w:r w:rsidR="008037C1" w:rsidRPr="00330234">
        <w:t>.</w:t>
      </w:r>
      <w:r w:rsidRPr="00330234">
        <w:t>389,5 mg.</w:t>
      </w:r>
    </w:p>
    <w:p w14:paraId="487D8751" w14:textId="77777777" w:rsidR="001F2891" w:rsidRPr="00330234" w:rsidRDefault="001F2891" w:rsidP="00BD109B">
      <w:pPr>
        <w:pStyle w:val="a3"/>
        <w:widowControl/>
        <w:ind w:left="0"/>
      </w:pPr>
    </w:p>
    <w:p w14:paraId="4264FCE0" w14:textId="01E191D4" w:rsidR="00436DAA" w:rsidRPr="00330234" w:rsidRDefault="009B4B8E" w:rsidP="006B7C9C">
      <w:pPr>
        <w:keepNext/>
        <w:keepLines/>
        <w:widowControl/>
        <w:ind w:left="1134" w:hanging="1134"/>
        <w:rPr>
          <w:i/>
        </w:rPr>
      </w:pPr>
      <w:r w:rsidRPr="00330234">
        <w:rPr>
          <w:i/>
        </w:rPr>
        <w:t>Tabel 4.</w:t>
      </w:r>
      <w:r w:rsidR="006B7C9C" w:rsidRPr="00330234">
        <w:rPr>
          <w:i/>
        </w:rPr>
        <w:tab/>
      </w:r>
      <w:r w:rsidRPr="00330234">
        <w:rPr>
          <w:i/>
        </w:rPr>
        <w:t>Werkzaamheidsresultaten van onderzoek WA28119</w:t>
      </w:r>
    </w:p>
    <w:p w14:paraId="374606BA" w14:textId="77777777" w:rsidR="00436DAA" w:rsidRPr="00330234" w:rsidRDefault="00436DAA" w:rsidP="001F2891">
      <w:pPr>
        <w:pStyle w:val="a3"/>
        <w:keepNext/>
        <w:keepLines/>
        <w:widowControl/>
        <w:ind w:left="0"/>
        <w:rPr>
          <w:i/>
        </w:rPr>
      </w:pPr>
    </w:p>
    <w:tbl>
      <w:tblPr>
        <w:tblW w:w="9086" w:type="dxa"/>
        <w:tblInd w:w="-5" w:type="dxa"/>
        <w:tblLayout w:type="fixed"/>
        <w:tblLook w:val="01E0" w:firstRow="1" w:lastRow="1" w:firstColumn="1" w:lastColumn="1" w:noHBand="0" w:noVBand="0"/>
      </w:tblPr>
      <w:tblGrid>
        <w:gridCol w:w="3533"/>
        <w:gridCol w:w="1170"/>
        <w:gridCol w:w="1170"/>
        <w:gridCol w:w="1656"/>
        <w:gridCol w:w="1557"/>
      </w:tblGrid>
      <w:tr w:rsidR="00731162" w:rsidRPr="00330234" w14:paraId="6DFAC308" w14:textId="77777777" w:rsidTr="001B3E1E">
        <w:trPr>
          <w:trHeight w:val="20"/>
          <w:tblHeader/>
        </w:trPr>
        <w:tc>
          <w:tcPr>
            <w:tcW w:w="3533" w:type="dxa"/>
            <w:tcBorders>
              <w:top w:val="single" w:sz="4" w:space="0" w:color="000000"/>
              <w:left w:val="single" w:sz="4" w:space="0" w:color="000000"/>
              <w:bottom w:val="single" w:sz="4" w:space="0" w:color="000000"/>
              <w:right w:val="single" w:sz="4" w:space="0" w:color="auto"/>
            </w:tcBorders>
          </w:tcPr>
          <w:p w14:paraId="147CCFE3" w14:textId="77777777" w:rsidR="00436DAA" w:rsidRPr="00330234" w:rsidRDefault="00436DAA" w:rsidP="001F2891">
            <w:pPr>
              <w:pStyle w:val="TableParagraph"/>
              <w:keepNext/>
              <w:keepLines/>
              <w:widowControl/>
              <w:rPr>
                <w:sz w:val="20"/>
                <w:szCs w:val="20"/>
              </w:rPr>
            </w:pPr>
          </w:p>
        </w:tc>
        <w:tc>
          <w:tcPr>
            <w:tcW w:w="1170" w:type="dxa"/>
            <w:tcBorders>
              <w:top w:val="single" w:sz="4" w:space="0" w:color="auto"/>
              <w:left w:val="single" w:sz="4" w:space="0" w:color="auto"/>
              <w:bottom w:val="single" w:sz="4" w:space="0" w:color="auto"/>
              <w:right w:val="single" w:sz="4" w:space="0" w:color="auto"/>
            </w:tcBorders>
          </w:tcPr>
          <w:p w14:paraId="102A75D6" w14:textId="378874A4" w:rsidR="001F2891" w:rsidRPr="00330234" w:rsidRDefault="009B4B8E" w:rsidP="001F2891">
            <w:pPr>
              <w:pStyle w:val="TableParagraph"/>
              <w:keepNext/>
              <w:keepLines/>
              <w:widowControl/>
              <w:jc w:val="center"/>
              <w:rPr>
                <w:b/>
                <w:sz w:val="20"/>
                <w:szCs w:val="20"/>
              </w:rPr>
            </w:pPr>
            <w:r w:rsidRPr="00330234">
              <w:rPr>
                <w:b/>
                <w:sz w:val="20"/>
                <w:szCs w:val="20"/>
              </w:rPr>
              <w:t>Placebo + 26</w:t>
            </w:r>
            <w:r w:rsidR="001F2891" w:rsidRPr="00330234">
              <w:rPr>
                <w:b/>
                <w:sz w:val="20"/>
                <w:szCs w:val="20"/>
              </w:rPr>
              <w:t> </w:t>
            </w:r>
            <w:r w:rsidRPr="00330234">
              <w:rPr>
                <w:b/>
                <w:sz w:val="20"/>
                <w:szCs w:val="20"/>
              </w:rPr>
              <w:t>weken afbouwend prednison</w:t>
            </w:r>
          </w:p>
          <w:p w14:paraId="133FE16E" w14:textId="4BAEE8EC" w:rsidR="00436DAA" w:rsidRPr="00330234" w:rsidRDefault="009B4B8E" w:rsidP="001F2891">
            <w:pPr>
              <w:pStyle w:val="TableParagraph"/>
              <w:keepNext/>
              <w:keepLines/>
              <w:widowControl/>
              <w:jc w:val="center"/>
              <w:rPr>
                <w:b/>
                <w:sz w:val="20"/>
                <w:szCs w:val="20"/>
              </w:rPr>
            </w:pPr>
            <w:r w:rsidRPr="00330234">
              <w:rPr>
                <w:b/>
                <w:sz w:val="20"/>
                <w:szCs w:val="20"/>
              </w:rPr>
              <w:t>N = 50</w:t>
            </w:r>
          </w:p>
        </w:tc>
        <w:tc>
          <w:tcPr>
            <w:tcW w:w="1170" w:type="dxa"/>
            <w:tcBorders>
              <w:top w:val="single" w:sz="4" w:space="0" w:color="auto"/>
              <w:left w:val="single" w:sz="4" w:space="0" w:color="auto"/>
              <w:bottom w:val="single" w:sz="4" w:space="0" w:color="auto"/>
              <w:right w:val="single" w:sz="4" w:space="0" w:color="auto"/>
            </w:tcBorders>
          </w:tcPr>
          <w:p w14:paraId="10016239" w14:textId="499904E5" w:rsidR="001F2891" w:rsidRPr="00330234" w:rsidRDefault="009B4B8E" w:rsidP="001F2891">
            <w:pPr>
              <w:pStyle w:val="TableParagraph"/>
              <w:keepNext/>
              <w:keepLines/>
              <w:widowControl/>
              <w:jc w:val="center"/>
              <w:rPr>
                <w:b/>
                <w:sz w:val="20"/>
                <w:szCs w:val="20"/>
              </w:rPr>
            </w:pPr>
            <w:r w:rsidRPr="00330234">
              <w:rPr>
                <w:b/>
                <w:sz w:val="20"/>
                <w:szCs w:val="20"/>
              </w:rPr>
              <w:t>Placebo + 52</w:t>
            </w:r>
            <w:r w:rsidR="001F2891" w:rsidRPr="00330234">
              <w:rPr>
                <w:b/>
                <w:sz w:val="20"/>
                <w:szCs w:val="20"/>
              </w:rPr>
              <w:t> </w:t>
            </w:r>
            <w:r w:rsidRPr="00330234">
              <w:rPr>
                <w:b/>
                <w:sz w:val="20"/>
                <w:szCs w:val="20"/>
              </w:rPr>
              <w:t>weken afbouwend prednison</w:t>
            </w:r>
          </w:p>
          <w:p w14:paraId="14B7E1A6" w14:textId="635005F5" w:rsidR="00436DAA" w:rsidRPr="00330234" w:rsidRDefault="009B4B8E" w:rsidP="001F2891">
            <w:pPr>
              <w:pStyle w:val="TableParagraph"/>
              <w:keepNext/>
              <w:keepLines/>
              <w:widowControl/>
              <w:jc w:val="center"/>
              <w:rPr>
                <w:b/>
                <w:sz w:val="20"/>
                <w:szCs w:val="20"/>
              </w:rPr>
            </w:pPr>
            <w:r w:rsidRPr="00330234">
              <w:rPr>
                <w:b/>
                <w:sz w:val="20"/>
                <w:szCs w:val="20"/>
              </w:rPr>
              <w:t>N = 51</w:t>
            </w:r>
          </w:p>
        </w:tc>
        <w:tc>
          <w:tcPr>
            <w:tcW w:w="1656" w:type="dxa"/>
            <w:tcBorders>
              <w:top w:val="single" w:sz="4" w:space="0" w:color="auto"/>
              <w:left w:val="single" w:sz="4" w:space="0" w:color="auto"/>
              <w:bottom w:val="single" w:sz="4" w:space="0" w:color="auto"/>
              <w:right w:val="single" w:sz="4" w:space="0" w:color="auto"/>
            </w:tcBorders>
          </w:tcPr>
          <w:p w14:paraId="6D5868FB" w14:textId="52735B25" w:rsidR="00436DAA" w:rsidRPr="00330234" w:rsidRDefault="00DC594B" w:rsidP="001F2891">
            <w:pPr>
              <w:pStyle w:val="TableParagraph"/>
              <w:keepNext/>
              <w:keepLines/>
              <w:widowControl/>
              <w:jc w:val="center"/>
              <w:rPr>
                <w:b/>
                <w:sz w:val="20"/>
                <w:szCs w:val="20"/>
              </w:rPr>
            </w:pPr>
            <w:r w:rsidRPr="00330234">
              <w:rPr>
                <w:b/>
                <w:sz w:val="20"/>
                <w:szCs w:val="20"/>
              </w:rPr>
              <w:t xml:space="preserve">Tocilizumab </w:t>
            </w:r>
            <w:r w:rsidR="009B4B8E" w:rsidRPr="00330234">
              <w:rPr>
                <w:b/>
                <w:sz w:val="20"/>
                <w:szCs w:val="20"/>
              </w:rPr>
              <w:t>wekelijks 162</w:t>
            </w:r>
            <w:r w:rsidR="001F2891" w:rsidRPr="00330234">
              <w:rPr>
                <w:b/>
                <w:sz w:val="20"/>
                <w:szCs w:val="20"/>
              </w:rPr>
              <w:t> </w:t>
            </w:r>
            <w:r w:rsidR="009B4B8E" w:rsidRPr="00330234">
              <w:rPr>
                <w:b/>
                <w:sz w:val="20"/>
                <w:szCs w:val="20"/>
              </w:rPr>
              <w:t>mg s.c. + 26</w:t>
            </w:r>
            <w:r w:rsidR="001F2891" w:rsidRPr="00330234">
              <w:rPr>
                <w:b/>
                <w:sz w:val="20"/>
                <w:szCs w:val="20"/>
              </w:rPr>
              <w:t> </w:t>
            </w:r>
            <w:r w:rsidR="009B4B8E" w:rsidRPr="00330234">
              <w:rPr>
                <w:b/>
                <w:sz w:val="20"/>
                <w:szCs w:val="20"/>
              </w:rPr>
              <w:t>weken afbouwend prednison</w:t>
            </w:r>
          </w:p>
          <w:p w14:paraId="73C0508E" w14:textId="77777777" w:rsidR="00436DAA" w:rsidRPr="00330234" w:rsidRDefault="009B4B8E" w:rsidP="001F2891">
            <w:pPr>
              <w:pStyle w:val="TableParagraph"/>
              <w:keepNext/>
              <w:keepLines/>
              <w:widowControl/>
              <w:jc w:val="center"/>
              <w:rPr>
                <w:b/>
                <w:sz w:val="20"/>
                <w:szCs w:val="20"/>
              </w:rPr>
            </w:pPr>
            <w:r w:rsidRPr="00330234">
              <w:rPr>
                <w:b/>
                <w:sz w:val="20"/>
                <w:szCs w:val="20"/>
              </w:rPr>
              <w:t>N = 100</w:t>
            </w:r>
          </w:p>
        </w:tc>
        <w:tc>
          <w:tcPr>
            <w:tcW w:w="1557" w:type="dxa"/>
            <w:tcBorders>
              <w:top w:val="single" w:sz="4" w:space="0" w:color="auto"/>
              <w:left w:val="single" w:sz="4" w:space="0" w:color="auto"/>
              <w:bottom w:val="single" w:sz="4" w:space="0" w:color="auto"/>
              <w:right w:val="single" w:sz="4" w:space="0" w:color="auto"/>
            </w:tcBorders>
          </w:tcPr>
          <w:p w14:paraId="162720F3" w14:textId="2E7C8D02" w:rsidR="00436DAA" w:rsidRPr="00330234" w:rsidRDefault="00DC594B" w:rsidP="001F2891">
            <w:pPr>
              <w:pStyle w:val="TableParagraph"/>
              <w:keepNext/>
              <w:keepLines/>
              <w:widowControl/>
              <w:jc w:val="center"/>
              <w:rPr>
                <w:b/>
                <w:sz w:val="20"/>
                <w:szCs w:val="20"/>
              </w:rPr>
            </w:pPr>
            <w:r w:rsidRPr="00330234">
              <w:rPr>
                <w:b/>
                <w:sz w:val="20"/>
                <w:szCs w:val="20"/>
              </w:rPr>
              <w:t xml:space="preserve">Tocilizumab </w:t>
            </w:r>
            <w:r w:rsidR="009B4B8E" w:rsidRPr="00330234">
              <w:rPr>
                <w:b/>
                <w:sz w:val="20"/>
                <w:szCs w:val="20"/>
              </w:rPr>
              <w:t>om de week 162 mg</w:t>
            </w:r>
            <w:r w:rsidR="001F2891" w:rsidRPr="00330234">
              <w:rPr>
                <w:b/>
                <w:sz w:val="20"/>
                <w:szCs w:val="20"/>
              </w:rPr>
              <w:t xml:space="preserve"> </w:t>
            </w:r>
            <w:r w:rsidR="009B4B8E" w:rsidRPr="00330234">
              <w:rPr>
                <w:b/>
                <w:sz w:val="20"/>
                <w:szCs w:val="20"/>
              </w:rPr>
              <w:t>s.c. + 26 weken afbouwend prednison</w:t>
            </w:r>
          </w:p>
          <w:p w14:paraId="7627BFEC" w14:textId="77777777" w:rsidR="00436DAA" w:rsidRPr="00330234" w:rsidRDefault="009B4B8E" w:rsidP="001F2891">
            <w:pPr>
              <w:pStyle w:val="TableParagraph"/>
              <w:keepNext/>
              <w:keepLines/>
              <w:widowControl/>
              <w:jc w:val="center"/>
              <w:rPr>
                <w:b/>
                <w:sz w:val="20"/>
                <w:szCs w:val="20"/>
              </w:rPr>
            </w:pPr>
            <w:r w:rsidRPr="00330234">
              <w:rPr>
                <w:b/>
                <w:sz w:val="20"/>
                <w:szCs w:val="20"/>
              </w:rPr>
              <w:t>N = 49</w:t>
            </w:r>
          </w:p>
        </w:tc>
      </w:tr>
      <w:tr w:rsidR="00436DAA" w:rsidRPr="00330234" w14:paraId="02EDAE33" w14:textId="77777777" w:rsidTr="001B3E1E">
        <w:trPr>
          <w:trHeight w:val="20"/>
        </w:trPr>
        <w:tc>
          <w:tcPr>
            <w:tcW w:w="9086" w:type="dxa"/>
            <w:gridSpan w:val="5"/>
            <w:tcBorders>
              <w:top w:val="single" w:sz="4" w:space="0" w:color="000000"/>
              <w:left w:val="single" w:sz="4" w:space="0" w:color="000000"/>
              <w:bottom w:val="single" w:sz="4" w:space="0" w:color="000000"/>
              <w:right w:val="single" w:sz="4" w:space="0" w:color="000000"/>
            </w:tcBorders>
          </w:tcPr>
          <w:p w14:paraId="48190550" w14:textId="77777777" w:rsidR="00436DAA" w:rsidRPr="00330234" w:rsidRDefault="009B4B8E" w:rsidP="001F2891">
            <w:pPr>
              <w:pStyle w:val="TableParagraph"/>
              <w:keepNext/>
              <w:keepLines/>
              <w:widowControl/>
              <w:rPr>
                <w:b/>
                <w:sz w:val="20"/>
                <w:szCs w:val="20"/>
              </w:rPr>
            </w:pPr>
            <w:r w:rsidRPr="00330234">
              <w:rPr>
                <w:b/>
                <w:sz w:val="20"/>
                <w:szCs w:val="20"/>
              </w:rPr>
              <w:t>Primair eindpunt</w:t>
            </w:r>
          </w:p>
        </w:tc>
      </w:tr>
      <w:tr w:rsidR="00AA4894" w:rsidRPr="00330234" w14:paraId="74C9200C" w14:textId="77777777" w:rsidTr="001B3E1E">
        <w:trPr>
          <w:trHeight w:val="20"/>
        </w:trPr>
        <w:tc>
          <w:tcPr>
            <w:tcW w:w="9086" w:type="dxa"/>
            <w:gridSpan w:val="5"/>
            <w:tcBorders>
              <w:top w:val="single" w:sz="4" w:space="0" w:color="000000"/>
              <w:left w:val="single" w:sz="4" w:space="0" w:color="000000"/>
              <w:bottom w:val="single" w:sz="4" w:space="0" w:color="auto"/>
              <w:right w:val="single" w:sz="4" w:space="0" w:color="000000"/>
            </w:tcBorders>
          </w:tcPr>
          <w:p w14:paraId="33CA591B" w14:textId="3E58D38E" w:rsidR="00AA4894" w:rsidRPr="00330234" w:rsidRDefault="00AA4894" w:rsidP="00AA4894">
            <w:pPr>
              <w:pStyle w:val="TableParagraph"/>
              <w:keepNext/>
              <w:keepLines/>
              <w:widowControl/>
              <w:rPr>
                <w:sz w:val="20"/>
                <w:szCs w:val="20"/>
              </w:rPr>
            </w:pPr>
            <w:r w:rsidRPr="00330234">
              <w:rPr>
                <w:sz w:val="20"/>
                <w:szCs w:val="20"/>
              </w:rPr>
              <w:t>****Blijvende remissie (tocilizumabgroepen versus placebo+26)</w:t>
            </w:r>
          </w:p>
        </w:tc>
      </w:tr>
      <w:tr w:rsidR="00DE36C7" w:rsidRPr="00330234" w14:paraId="2C3902FF" w14:textId="77777777" w:rsidTr="00D72515">
        <w:trPr>
          <w:trHeight w:val="20"/>
        </w:trPr>
        <w:tc>
          <w:tcPr>
            <w:tcW w:w="3533" w:type="dxa"/>
            <w:tcBorders>
              <w:top w:val="single" w:sz="4" w:space="0" w:color="auto"/>
              <w:left w:val="single" w:sz="4" w:space="0" w:color="auto"/>
              <w:bottom w:val="single" w:sz="4" w:space="0" w:color="auto"/>
              <w:right w:val="single" w:sz="4" w:space="0" w:color="auto"/>
            </w:tcBorders>
          </w:tcPr>
          <w:p w14:paraId="62DF51E3" w14:textId="77777777" w:rsidR="00436DAA" w:rsidRPr="00330234" w:rsidRDefault="009B4B8E" w:rsidP="00AA4894">
            <w:pPr>
              <w:pStyle w:val="TableParagraph"/>
              <w:widowControl/>
              <w:ind w:left="284"/>
              <w:rPr>
                <w:sz w:val="20"/>
                <w:szCs w:val="20"/>
              </w:rPr>
            </w:pPr>
            <w:r w:rsidRPr="00330234">
              <w:rPr>
                <w:sz w:val="20"/>
                <w:szCs w:val="20"/>
              </w:rPr>
              <w:t>Responders in week 52, n (%)</w:t>
            </w:r>
          </w:p>
        </w:tc>
        <w:tc>
          <w:tcPr>
            <w:tcW w:w="1170" w:type="dxa"/>
            <w:tcBorders>
              <w:top w:val="single" w:sz="4" w:space="0" w:color="auto"/>
              <w:left w:val="single" w:sz="4" w:space="0" w:color="auto"/>
              <w:bottom w:val="single" w:sz="4" w:space="0" w:color="auto"/>
              <w:right w:val="single" w:sz="4" w:space="0" w:color="auto"/>
            </w:tcBorders>
          </w:tcPr>
          <w:p w14:paraId="2C55501A" w14:textId="77777777" w:rsidR="00436DAA" w:rsidRPr="00330234" w:rsidRDefault="009B4B8E" w:rsidP="001F2891">
            <w:pPr>
              <w:pStyle w:val="TableParagraph"/>
              <w:widowControl/>
              <w:jc w:val="center"/>
              <w:rPr>
                <w:sz w:val="20"/>
                <w:szCs w:val="20"/>
              </w:rPr>
            </w:pPr>
            <w:r w:rsidRPr="00330234">
              <w:rPr>
                <w:sz w:val="20"/>
                <w:szCs w:val="20"/>
              </w:rPr>
              <w:t>7 (14%)</w:t>
            </w:r>
          </w:p>
        </w:tc>
        <w:tc>
          <w:tcPr>
            <w:tcW w:w="1170" w:type="dxa"/>
            <w:tcBorders>
              <w:top w:val="single" w:sz="4" w:space="0" w:color="auto"/>
              <w:left w:val="single" w:sz="4" w:space="0" w:color="auto"/>
              <w:bottom w:val="single" w:sz="4" w:space="0" w:color="auto"/>
              <w:right w:val="single" w:sz="4" w:space="0" w:color="auto"/>
            </w:tcBorders>
          </w:tcPr>
          <w:p w14:paraId="5FEEB8BB" w14:textId="77777777" w:rsidR="00436DAA" w:rsidRPr="00330234" w:rsidRDefault="009B4B8E" w:rsidP="001F2891">
            <w:pPr>
              <w:pStyle w:val="TableParagraph"/>
              <w:widowControl/>
              <w:jc w:val="center"/>
              <w:rPr>
                <w:sz w:val="20"/>
                <w:szCs w:val="20"/>
              </w:rPr>
            </w:pPr>
            <w:r w:rsidRPr="00330234">
              <w:rPr>
                <w:sz w:val="20"/>
                <w:szCs w:val="20"/>
              </w:rPr>
              <w:t>9 (17,6%)</w:t>
            </w:r>
          </w:p>
        </w:tc>
        <w:tc>
          <w:tcPr>
            <w:tcW w:w="1656" w:type="dxa"/>
            <w:tcBorders>
              <w:top w:val="single" w:sz="4" w:space="0" w:color="auto"/>
              <w:left w:val="single" w:sz="4" w:space="0" w:color="auto"/>
              <w:bottom w:val="single" w:sz="4" w:space="0" w:color="auto"/>
              <w:right w:val="single" w:sz="4" w:space="0" w:color="auto"/>
            </w:tcBorders>
          </w:tcPr>
          <w:p w14:paraId="6431BC1E" w14:textId="77777777" w:rsidR="00436DAA" w:rsidRPr="00330234" w:rsidRDefault="009B4B8E" w:rsidP="001F2891">
            <w:pPr>
              <w:pStyle w:val="TableParagraph"/>
              <w:widowControl/>
              <w:jc w:val="center"/>
              <w:rPr>
                <w:sz w:val="20"/>
                <w:szCs w:val="20"/>
              </w:rPr>
            </w:pPr>
            <w:r w:rsidRPr="00330234">
              <w:rPr>
                <w:sz w:val="20"/>
                <w:szCs w:val="20"/>
              </w:rPr>
              <w:t>56 (56%)</w:t>
            </w:r>
          </w:p>
        </w:tc>
        <w:tc>
          <w:tcPr>
            <w:tcW w:w="1557" w:type="dxa"/>
            <w:tcBorders>
              <w:top w:val="single" w:sz="4" w:space="0" w:color="auto"/>
              <w:left w:val="single" w:sz="4" w:space="0" w:color="auto"/>
              <w:bottom w:val="single" w:sz="4" w:space="0" w:color="auto"/>
              <w:right w:val="single" w:sz="4" w:space="0" w:color="auto"/>
            </w:tcBorders>
          </w:tcPr>
          <w:p w14:paraId="630AB119" w14:textId="77777777" w:rsidR="00436DAA" w:rsidRPr="00330234" w:rsidRDefault="009B4B8E" w:rsidP="001F2891">
            <w:pPr>
              <w:pStyle w:val="TableParagraph"/>
              <w:widowControl/>
              <w:jc w:val="center"/>
              <w:rPr>
                <w:sz w:val="20"/>
                <w:szCs w:val="20"/>
              </w:rPr>
            </w:pPr>
            <w:r w:rsidRPr="00330234">
              <w:rPr>
                <w:sz w:val="20"/>
                <w:szCs w:val="20"/>
              </w:rPr>
              <w:t>26 (53,1%)</w:t>
            </w:r>
          </w:p>
        </w:tc>
      </w:tr>
      <w:tr w:rsidR="00DE36C7" w:rsidRPr="00330234" w14:paraId="4740785F" w14:textId="77777777" w:rsidTr="00D72515">
        <w:trPr>
          <w:trHeight w:val="20"/>
        </w:trPr>
        <w:tc>
          <w:tcPr>
            <w:tcW w:w="3533" w:type="dxa"/>
            <w:tcBorders>
              <w:top w:val="single" w:sz="4" w:space="0" w:color="auto"/>
              <w:left w:val="single" w:sz="4" w:space="0" w:color="auto"/>
              <w:right w:val="single" w:sz="4" w:space="0" w:color="auto"/>
            </w:tcBorders>
          </w:tcPr>
          <w:p w14:paraId="2234AE3B" w14:textId="5A21A345" w:rsidR="00AA4894" w:rsidRPr="00330234" w:rsidRDefault="00AA4894" w:rsidP="00AA4894">
            <w:pPr>
              <w:pStyle w:val="TableParagraph"/>
              <w:widowControl/>
              <w:ind w:left="284"/>
              <w:rPr>
                <w:sz w:val="20"/>
                <w:szCs w:val="20"/>
              </w:rPr>
            </w:pPr>
            <w:r w:rsidRPr="00330234">
              <w:rPr>
                <w:sz w:val="20"/>
                <w:szCs w:val="20"/>
              </w:rPr>
              <w:t>Ongecorrigeerd verschil in proporties (99,5%-BI)</w:t>
            </w:r>
          </w:p>
        </w:tc>
        <w:tc>
          <w:tcPr>
            <w:tcW w:w="1170" w:type="dxa"/>
            <w:tcBorders>
              <w:top w:val="single" w:sz="4" w:space="0" w:color="auto"/>
              <w:left w:val="single" w:sz="4" w:space="0" w:color="auto"/>
              <w:right w:val="single" w:sz="4" w:space="0" w:color="auto"/>
            </w:tcBorders>
          </w:tcPr>
          <w:p w14:paraId="5A0CCCBF" w14:textId="77777777" w:rsidR="00AA4894" w:rsidRPr="00330234" w:rsidRDefault="00AA4894" w:rsidP="001F2891">
            <w:pPr>
              <w:pStyle w:val="TableParagraph"/>
              <w:widowControl/>
              <w:jc w:val="center"/>
              <w:rPr>
                <w:sz w:val="20"/>
                <w:szCs w:val="20"/>
              </w:rPr>
            </w:pPr>
            <w:r w:rsidRPr="00330234">
              <w:rPr>
                <w:sz w:val="20"/>
                <w:szCs w:val="20"/>
              </w:rPr>
              <w:t>N/A</w:t>
            </w:r>
          </w:p>
        </w:tc>
        <w:tc>
          <w:tcPr>
            <w:tcW w:w="1170" w:type="dxa"/>
            <w:tcBorders>
              <w:top w:val="single" w:sz="4" w:space="0" w:color="auto"/>
              <w:left w:val="single" w:sz="4" w:space="0" w:color="auto"/>
              <w:right w:val="single" w:sz="4" w:space="0" w:color="auto"/>
            </w:tcBorders>
          </w:tcPr>
          <w:p w14:paraId="3817A7E2" w14:textId="77777777" w:rsidR="00AA4894" w:rsidRPr="00330234" w:rsidRDefault="00AA4894" w:rsidP="001F2891">
            <w:pPr>
              <w:pStyle w:val="TableParagraph"/>
              <w:widowControl/>
              <w:jc w:val="center"/>
              <w:rPr>
                <w:sz w:val="20"/>
                <w:szCs w:val="20"/>
              </w:rPr>
            </w:pPr>
            <w:r w:rsidRPr="00330234">
              <w:rPr>
                <w:sz w:val="20"/>
                <w:szCs w:val="20"/>
              </w:rPr>
              <w:t>N/A</w:t>
            </w:r>
          </w:p>
        </w:tc>
        <w:tc>
          <w:tcPr>
            <w:tcW w:w="1656" w:type="dxa"/>
            <w:tcBorders>
              <w:top w:val="single" w:sz="4" w:space="0" w:color="auto"/>
              <w:left w:val="single" w:sz="4" w:space="0" w:color="auto"/>
              <w:right w:val="single" w:sz="4" w:space="0" w:color="auto"/>
            </w:tcBorders>
          </w:tcPr>
          <w:p w14:paraId="11B09CE1" w14:textId="77777777" w:rsidR="00AA4894" w:rsidRPr="00330234" w:rsidRDefault="00AA4894" w:rsidP="001F2891">
            <w:pPr>
              <w:pStyle w:val="TableParagraph"/>
              <w:widowControl/>
              <w:jc w:val="center"/>
              <w:rPr>
                <w:sz w:val="20"/>
                <w:szCs w:val="20"/>
              </w:rPr>
            </w:pPr>
            <w:r w:rsidRPr="00330234">
              <w:rPr>
                <w:sz w:val="20"/>
                <w:szCs w:val="20"/>
              </w:rPr>
              <w:t>42%*</w:t>
            </w:r>
          </w:p>
          <w:p w14:paraId="7E906389" w14:textId="3F7F154E" w:rsidR="00AA4894" w:rsidRPr="00330234" w:rsidRDefault="00AA4894" w:rsidP="001F2891">
            <w:pPr>
              <w:pStyle w:val="TableParagraph"/>
              <w:widowControl/>
              <w:jc w:val="center"/>
              <w:rPr>
                <w:sz w:val="20"/>
                <w:szCs w:val="20"/>
              </w:rPr>
            </w:pPr>
            <w:r w:rsidRPr="00330234">
              <w:rPr>
                <w:sz w:val="20"/>
                <w:szCs w:val="20"/>
              </w:rPr>
              <w:t>(18,00 ; 66,00)</w:t>
            </w:r>
          </w:p>
        </w:tc>
        <w:tc>
          <w:tcPr>
            <w:tcW w:w="1557" w:type="dxa"/>
            <w:tcBorders>
              <w:top w:val="single" w:sz="4" w:space="0" w:color="auto"/>
              <w:left w:val="single" w:sz="4" w:space="0" w:color="auto"/>
              <w:right w:val="single" w:sz="4" w:space="0" w:color="auto"/>
            </w:tcBorders>
          </w:tcPr>
          <w:p w14:paraId="005C92AF" w14:textId="77777777" w:rsidR="00AA4894" w:rsidRPr="00330234" w:rsidRDefault="00AA4894" w:rsidP="001F2891">
            <w:pPr>
              <w:pStyle w:val="TableParagraph"/>
              <w:widowControl/>
              <w:jc w:val="center"/>
              <w:rPr>
                <w:sz w:val="20"/>
                <w:szCs w:val="20"/>
              </w:rPr>
            </w:pPr>
            <w:r w:rsidRPr="00330234">
              <w:rPr>
                <w:sz w:val="20"/>
                <w:szCs w:val="20"/>
              </w:rPr>
              <w:t>39,06%*</w:t>
            </w:r>
          </w:p>
          <w:p w14:paraId="04478831" w14:textId="7A73F7F2" w:rsidR="00AA4894" w:rsidRPr="00330234" w:rsidRDefault="00AA4894" w:rsidP="001F2891">
            <w:pPr>
              <w:pStyle w:val="TableParagraph"/>
              <w:widowControl/>
              <w:jc w:val="center"/>
              <w:rPr>
                <w:sz w:val="20"/>
                <w:szCs w:val="20"/>
              </w:rPr>
            </w:pPr>
            <w:r w:rsidRPr="00330234">
              <w:rPr>
                <w:sz w:val="20"/>
                <w:szCs w:val="20"/>
              </w:rPr>
              <w:t>(12,46 ; 65,66)</w:t>
            </w:r>
          </w:p>
        </w:tc>
      </w:tr>
      <w:tr w:rsidR="00436DAA" w:rsidRPr="00330234" w14:paraId="55C96611" w14:textId="77777777" w:rsidTr="001B3E1E">
        <w:trPr>
          <w:trHeight w:val="20"/>
        </w:trPr>
        <w:tc>
          <w:tcPr>
            <w:tcW w:w="9086" w:type="dxa"/>
            <w:gridSpan w:val="5"/>
            <w:tcBorders>
              <w:top w:val="single" w:sz="4" w:space="0" w:color="auto"/>
              <w:left w:val="single" w:sz="4" w:space="0" w:color="000000"/>
              <w:bottom w:val="single" w:sz="4" w:space="0" w:color="000000"/>
              <w:right w:val="single" w:sz="4" w:space="0" w:color="000000"/>
            </w:tcBorders>
          </w:tcPr>
          <w:p w14:paraId="7E426FD6" w14:textId="77777777" w:rsidR="00436DAA" w:rsidRPr="00330234" w:rsidRDefault="009B4B8E" w:rsidP="00BD109B">
            <w:pPr>
              <w:pStyle w:val="TableParagraph"/>
              <w:widowControl/>
              <w:rPr>
                <w:b/>
                <w:sz w:val="20"/>
                <w:szCs w:val="20"/>
              </w:rPr>
            </w:pPr>
            <w:r w:rsidRPr="00330234">
              <w:rPr>
                <w:b/>
                <w:sz w:val="20"/>
                <w:szCs w:val="20"/>
              </w:rPr>
              <w:t>Belangrijk secundair eindpunt</w:t>
            </w:r>
          </w:p>
        </w:tc>
      </w:tr>
      <w:tr w:rsidR="00AA4894" w:rsidRPr="00330234" w14:paraId="20B0C56A" w14:textId="77777777" w:rsidTr="001B3E1E">
        <w:trPr>
          <w:trHeight w:val="20"/>
        </w:trPr>
        <w:tc>
          <w:tcPr>
            <w:tcW w:w="9086" w:type="dxa"/>
            <w:gridSpan w:val="5"/>
            <w:tcBorders>
              <w:top w:val="single" w:sz="4" w:space="0" w:color="000000"/>
              <w:left w:val="single" w:sz="4" w:space="0" w:color="000000"/>
              <w:bottom w:val="single" w:sz="4" w:space="0" w:color="auto"/>
              <w:right w:val="single" w:sz="4" w:space="0" w:color="000000"/>
            </w:tcBorders>
          </w:tcPr>
          <w:p w14:paraId="3F404C02" w14:textId="7BB133C5" w:rsidR="00AA4894" w:rsidRPr="00330234" w:rsidRDefault="00AA4894" w:rsidP="00AA4894">
            <w:pPr>
              <w:pStyle w:val="TableParagraph"/>
              <w:widowControl/>
              <w:rPr>
                <w:sz w:val="20"/>
                <w:szCs w:val="20"/>
              </w:rPr>
            </w:pPr>
            <w:r w:rsidRPr="00330234">
              <w:rPr>
                <w:sz w:val="20"/>
                <w:szCs w:val="20"/>
              </w:rPr>
              <w:t>Blijvende remissie (tocilizumabgroepen versus placebo+52)</w:t>
            </w:r>
          </w:p>
        </w:tc>
      </w:tr>
      <w:tr w:rsidR="00DE36C7" w:rsidRPr="00330234" w14:paraId="61955E46" w14:textId="77777777" w:rsidTr="00D72515">
        <w:trPr>
          <w:trHeight w:val="20"/>
        </w:trPr>
        <w:tc>
          <w:tcPr>
            <w:tcW w:w="3533" w:type="dxa"/>
            <w:tcBorders>
              <w:top w:val="single" w:sz="4" w:space="0" w:color="auto"/>
              <w:left w:val="single" w:sz="4" w:space="0" w:color="auto"/>
              <w:bottom w:val="single" w:sz="4" w:space="0" w:color="auto"/>
              <w:right w:val="single" w:sz="4" w:space="0" w:color="auto"/>
            </w:tcBorders>
          </w:tcPr>
          <w:p w14:paraId="3892416F" w14:textId="77777777" w:rsidR="00436DAA" w:rsidRPr="00330234" w:rsidRDefault="009B4B8E" w:rsidP="00AA4894">
            <w:pPr>
              <w:pStyle w:val="TableParagraph"/>
              <w:widowControl/>
              <w:ind w:left="284"/>
              <w:rPr>
                <w:sz w:val="20"/>
                <w:szCs w:val="20"/>
              </w:rPr>
            </w:pPr>
            <w:r w:rsidRPr="00330234">
              <w:rPr>
                <w:sz w:val="20"/>
                <w:szCs w:val="20"/>
              </w:rPr>
              <w:t>Responders in week 52, n (%)</w:t>
            </w:r>
          </w:p>
        </w:tc>
        <w:tc>
          <w:tcPr>
            <w:tcW w:w="1170" w:type="dxa"/>
            <w:tcBorders>
              <w:top w:val="single" w:sz="4" w:space="0" w:color="auto"/>
              <w:left w:val="single" w:sz="4" w:space="0" w:color="auto"/>
              <w:bottom w:val="single" w:sz="4" w:space="0" w:color="auto"/>
              <w:right w:val="single" w:sz="4" w:space="0" w:color="auto"/>
            </w:tcBorders>
          </w:tcPr>
          <w:p w14:paraId="5DE51591" w14:textId="77777777" w:rsidR="00436DAA" w:rsidRPr="00330234" w:rsidRDefault="009B4B8E" w:rsidP="001F2891">
            <w:pPr>
              <w:pStyle w:val="TableParagraph"/>
              <w:widowControl/>
              <w:jc w:val="center"/>
              <w:rPr>
                <w:sz w:val="20"/>
                <w:szCs w:val="20"/>
              </w:rPr>
            </w:pPr>
            <w:r w:rsidRPr="00330234">
              <w:rPr>
                <w:sz w:val="20"/>
                <w:szCs w:val="20"/>
              </w:rPr>
              <w:t>7 (14%)</w:t>
            </w:r>
          </w:p>
        </w:tc>
        <w:tc>
          <w:tcPr>
            <w:tcW w:w="1170" w:type="dxa"/>
            <w:tcBorders>
              <w:top w:val="single" w:sz="4" w:space="0" w:color="auto"/>
              <w:left w:val="single" w:sz="4" w:space="0" w:color="auto"/>
              <w:bottom w:val="single" w:sz="4" w:space="0" w:color="auto"/>
              <w:right w:val="single" w:sz="4" w:space="0" w:color="auto"/>
            </w:tcBorders>
          </w:tcPr>
          <w:p w14:paraId="38793823" w14:textId="77777777" w:rsidR="00436DAA" w:rsidRPr="00330234" w:rsidRDefault="009B4B8E" w:rsidP="001F2891">
            <w:pPr>
              <w:pStyle w:val="TableParagraph"/>
              <w:widowControl/>
              <w:jc w:val="center"/>
              <w:rPr>
                <w:sz w:val="20"/>
                <w:szCs w:val="20"/>
              </w:rPr>
            </w:pPr>
            <w:r w:rsidRPr="00330234">
              <w:rPr>
                <w:sz w:val="20"/>
                <w:szCs w:val="20"/>
              </w:rPr>
              <w:t>9 (17,6%)</w:t>
            </w:r>
          </w:p>
        </w:tc>
        <w:tc>
          <w:tcPr>
            <w:tcW w:w="1656" w:type="dxa"/>
            <w:tcBorders>
              <w:top w:val="single" w:sz="4" w:space="0" w:color="auto"/>
              <w:left w:val="single" w:sz="4" w:space="0" w:color="auto"/>
              <w:bottom w:val="single" w:sz="4" w:space="0" w:color="auto"/>
              <w:right w:val="single" w:sz="4" w:space="0" w:color="auto"/>
            </w:tcBorders>
          </w:tcPr>
          <w:p w14:paraId="1D6B761A" w14:textId="77777777" w:rsidR="00436DAA" w:rsidRPr="00330234" w:rsidRDefault="009B4B8E" w:rsidP="001F2891">
            <w:pPr>
              <w:pStyle w:val="TableParagraph"/>
              <w:widowControl/>
              <w:jc w:val="center"/>
              <w:rPr>
                <w:sz w:val="20"/>
                <w:szCs w:val="20"/>
              </w:rPr>
            </w:pPr>
            <w:r w:rsidRPr="00330234">
              <w:rPr>
                <w:sz w:val="20"/>
                <w:szCs w:val="20"/>
              </w:rPr>
              <w:t>56 (56%)</w:t>
            </w:r>
          </w:p>
        </w:tc>
        <w:tc>
          <w:tcPr>
            <w:tcW w:w="1557" w:type="dxa"/>
            <w:tcBorders>
              <w:top w:val="single" w:sz="4" w:space="0" w:color="auto"/>
              <w:left w:val="single" w:sz="4" w:space="0" w:color="auto"/>
              <w:bottom w:val="single" w:sz="4" w:space="0" w:color="auto"/>
              <w:right w:val="single" w:sz="4" w:space="0" w:color="auto"/>
            </w:tcBorders>
          </w:tcPr>
          <w:p w14:paraId="3E9E7FB0" w14:textId="77777777" w:rsidR="00436DAA" w:rsidRPr="00330234" w:rsidRDefault="009B4B8E" w:rsidP="001F2891">
            <w:pPr>
              <w:pStyle w:val="TableParagraph"/>
              <w:widowControl/>
              <w:jc w:val="center"/>
              <w:rPr>
                <w:sz w:val="20"/>
                <w:szCs w:val="20"/>
              </w:rPr>
            </w:pPr>
            <w:r w:rsidRPr="00330234">
              <w:rPr>
                <w:sz w:val="20"/>
                <w:szCs w:val="20"/>
              </w:rPr>
              <w:t>26 (53,1%)</w:t>
            </w:r>
          </w:p>
        </w:tc>
      </w:tr>
      <w:tr w:rsidR="00DE36C7" w:rsidRPr="00330234" w14:paraId="73CFAAA3" w14:textId="77777777" w:rsidTr="00D72515">
        <w:trPr>
          <w:trHeight w:val="20"/>
        </w:trPr>
        <w:tc>
          <w:tcPr>
            <w:tcW w:w="3533" w:type="dxa"/>
            <w:tcBorders>
              <w:top w:val="single" w:sz="4" w:space="0" w:color="auto"/>
              <w:left w:val="single" w:sz="4" w:space="0" w:color="auto"/>
              <w:bottom w:val="single" w:sz="4" w:space="0" w:color="auto"/>
              <w:right w:val="single" w:sz="4" w:space="0" w:color="auto"/>
            </w:tcBorders>
          </w:tcPr>
          <w:p w14:paraId="3A4E8D61" w14:textId="0B4CF151" w:rsidR="00AA4894" w:rsidRPr="00330234" w:rsidRDefault="00AA4894" w:rsidP="00AA4894">
            <w:pPr>
              <w:pStyle w:val="TableParagraph"/>
              <w:widowControl/>
              <w:ind w:left="284"/>
              <w:rPr>
                <w:sz w:val="20"/>
                <w:szCs w:val="20"/>
              </w:rPr>
            </w:pPr>
            <w:r w:rsidRPr="00330234">
              <w:rPr>
                <w:sz w:val="20"/>
                <w:szCs w:val="20"/>
              </w:rPr>
              <w:t>Ongecorrigeerd verschil in proporties (99,5%-BI)</w:t>
            </w:r>
          </w:p>
        </w:tc>
        <w:tc>
          <w:tcPr>
            <w:tcW w:w="1170" w:type="dxa"/>
            <w:tcBorders>
              <w:top w:val="single" w:sz="4" w:space="0" w:color="auto"/>
              <w:left w:val="single" w:sz="4" w:space="0" w:color="auto"/>
              <w:bottom w:val="single" w:sz="4" w:space="0" w:color="auto"/>
              <w:right w:val="single" w:sz="4" w:space="0" w:color="auto"/>
            </w:tcBorders>
          </w:tcPr>
          <w:p w14:paraId="729295EE" w14:textId="77777777" w:rsidR="00AA4894" w:rsidRPr="00330234" w:rsidRDefault="00AA4894" w:rsidP="001F2891">
            <w:pPr>
              <w:pStyle w:val="TableParagraph"/>
              <w:widowControl/>
              <w:jc w:val="center"/>
              <w:rPr>
                <w:sz w:val="20"/>
                <w:szCs w:val="20"/>
              </w:rPr>
            </w:pPr>
            <w:r w:rsidRPr="00330234">
              <w:rPr>
                <w:sz w:val="20"/>
                <w:szCs w:val="20"/>
              </w:rPr>
              <w:t>N/A</w:t>
            </w:r>
          </w:p>
        </w:tc>
        <w:tc>
          <w:tcPr>
            <w:tcW w:w="1170" w:type="dxa"/>
            <w:tcBorders>
              <w:top w:val="single" w:sz="4" w:space="0" w:color="auto"/>
              <w:left w:val="single" w:sz="4" w:space="0" w:color="auto"/>
              <w:bottom w:val="single" w:sz="4" w:space="0" w:color="auto"/>
              <w:right w:val="single" w:sz="4" w:space="0" w:color="auto"/>
            </w:tcBorders>
          </w:tcPr>
          <w:p w14:paraId="7C8EC78A" w14:textId="77777777" w:rsidR="00AA4894" w:rsidRPr="00330234" w:rsidRDefault="00AA4894" w:rsidP="001F2891">
            <w:pPr>
              <w:pStyle w:val="TableParagraph"/>
              <w:widowControl/>
              <w:jc w:val="center"/>
              <w:rPr>
                <w:sz w:val="20"/>
                <w:szCs w:val="20"/>
              </w:rPr>
            </w:pPr>
            <w:r w:rsidRPr="00330234">
              <w:rPr>
                <w:sz w:val="20"/>
                <w:szCs w:val="20"/>
              </w:rPr>
              <w:t>N/A</w:t>
            </w:r>
          </w:p>
        </w:tc>
        <w:tc>
          <w:tcPr>
            <w:tcW w:w="1656" w:type="dxa"/>
            <w:tcBorders>
              <w:top w:val="single" w:sz="4" w:space="0" w:color="auto"/>
              <w:left w:val="single" w:sz="4" w:space="0" w:color="auto"/>
              <w:bottom w:val="single" w:sz="4" w:space="0" w:color="auto"/>
              <w:right w:val="single" w:sz="4" w:space="0" w:color="auto"/>
            </w:tcBorders>
          </w:tcPr>
          <w:p w14:paraId="6DD5440D" w14:textId="77777777" w:rsidR="00AA4894" w:rsidRPr="00330234" w:rsidRDefault="00AA4894" w:rsidP="001F2891">
            <w:pPr>
              <w:pStyle w:val="TableParagraph"/>
              <w:widowControl/>
              <w:jc w:val="center"/>
              <w:rPr>
                <w:sz w:val="20"/>
                <w:szCs w:val="20"/>
              </w:rPr>
            </w:pPr>
            <w:r w:rsidRPr="00330234">
              <w:rPr>
                <w:sz w:val="20"/>
                <w:szCs w:val="20"/>
              </w:rPr>
              <w:t>38,35%*</w:t>
            </w:r>
          </w:p>
          <w:p w14:paraId="0C89F18C" w14:textId="29A0947F" w:rsidR="00AA4894" w:rsidRPr="00330234" w:rsidRDefault="00AA4894" w:rsidP="001F2891">
            <w:pPr>
              <w:pStyle w:val="TableParagraph"/>
              <w:widowControl/>
              <w:jc w:val="center"/>
              <w:rPr>
                <w:sz w:val="20"/>
                <w:szCs w:val="20"/>
              </w:rPr>
            </w:pPr>
            <w:r w:rsidRPr="00330234">
              <w:rPr>
                <w:sz w:val="20"/>
                <w:szCs w:val="20"/>
              </w:rPr>
              <w:t>(17,89 ; 58,81)</w:t>
            </w:r>
          </w:p>
        </w:tc>
        <w:tc>
          <w:tcPr>
            <w:tcW w:w="1557" w:type="dxa"/>
            <w:tcBorders>
              <w:top w:val="single" w:sz="4" w:space="0" w:color="auto"/>
              <w:left w:val="single" w:sz="4" w:space="0" w:color="auto"/>
              <w:bottom w:val="single" w:sz="4" w:space="0" w:color="auto"/>
              <w:right w:val="single" w:sz="4" w:space="0" w:color="auto"/>
            </w:tcBorders>
          </w:tcPr>
          <w:p w14:paraId="1C54B157" w14:textId="77777777" w:rsidR="00AA4894" w:rsidRPr="00330234" w:rsidRDefault="00AA4894" w:rsidP="001F2891">
            <w:pPr>
              <w:pStyle w:val="TableParagraph"/>
              <w:widowControl/>
              <w:jc w:val="center"/>
              <w:rPr>
                <w:sz w:val="20"/>
                <w:szCs w:val="20"/>
              </w:rPr>
            </w:pPr>
            <w:r w:rsidRPr="00330234">
              <w:rPr>
                <w:sz w:val="20"/>
                <w:szCs w:val="20"/>
              </w:rPr>
              <w:t>35,41%**</w:t>
            </w:r>
          </w:p>
          <w:p w14:paraId="23043771" w14:textId="78242594" w:rsidR="00AA4894" w:rsidRPr="00330234" w:rsidRDefault="00AA4894" w:rsidP="001F2891">
            <w:pPr>
              <w:pStyle w:val="TableParagraph"/>
              <w:widowControl/>
              <w:jc w:val="center"/>
              <w:rPr>
                <w:sz w:val="20"/>
                <w:szCs w:val="20"/>
              </w:rPr>
            </w:pPr>
            <w:r w:rsidRPr="00330234">
              <w:rPr>
                <w:sz w:val="20"/>
                <w:szCs w:val="20"/>
              </w:rPr>
              <w:t>(10,41 ; 60,41)</w:t>
            </w:r>
          </w:p>
        </w:tc>
      </w:tr>
      <w:tr w:rsidR="00436DAA" w:rsidRPr="00330234" w14:paraId="6841B6B6" w14:textId="77777777" w:rsidTr="001B3E1E">
        <w:trPr>
          <w:trHeight w:val="20"/>
        </w:trPr>
        <w:tc>
          <w:tcPr>
            <w:tcW w:w="9086" w:type="dxa"/>
            <w:gridSpan w:val="5"/>
            <w:tcBorders>
              <w:top w:val="single" w:sz="4" w:space="0" w:color="auto"/>
              <w:left w:val="single" w:sz="4" w:space="0" w:color="000000"/>
              <w:bottom w:val="single" w:sz="4" w:space="0" w:color="000000"/>
              <w:right w:val="single" w:sz="4" w:space="0" w:color="000000"/>
            </w:tcBorders>
          </w:tcPr>
          <w:p w14:paraId="5C7AA611" w14:textId="77777777" w:rsidR="00436DAA" w:rsidRPr="00330234" w:rsidRDefault="009B4B8E" w:rsidP="0037203A">
            <w:pPr>
              <w:pStyle w:val="TableParagraph"/>
              <w:keepNext/>
              <w:keepLines/>
              <w:widowControl/>
              <w:rPr>
                <w:b/>
                <w:sz w:val="20"/>
                <w:szCs w:val="20"/>
              </w:rPr>
            </w:pPr>
            <w:r w:rsidRPr="00330234">
              <w:rPr>
                <w:b/>
                <w:sz w:val="20"/>
                <w:szCs w:val="20"/>
              </w:rPr>
              <w:lastRenderedPageBreak/>
              <w:t>Overige secundaire eindpunten</w:t>
            </w:r>
          </w:p>
        </w:tc>
      </w:tr>
      <w:tr w:rsidR="00DE36C7" w:rsidRPr="00330234" w14:paraId="417FE259" w14:textId="77777777" w:rsidTr="00D72515">
        <w:trPr>
          <w:trHeight w:val="20"/>
        </w:trPr>
        <w:tc>
          <w:tcPr>
            <w:tcW w:w="3533" w:type="dxa"/>
            <w:tcBorders>
              <w:top w:val="single" w:sz="4" w:space="0" w:color="000000"/>
              <w:left w:val="single" w:sz="4" w:space="0" w:color="000000"/>
              <w:right w:val="single" w:sz="4" w:space="0" w:color="auto"/>
            </w:tcBorders>
          </w:tcPr>
          <w:p w14:paraId="3C0B4A78" w14:textId="49D57CF3" w:rsidR="00436DAA" w:rsidRPr="00330234" w:rsidRDefault="009B4B8E" w:rsidP="0037203A">
            <w:pPr>
              <w:pStyle w:val="TableParagraph"/>
              <w:keepNext/>
              <w:keepLines/>
              <w:widowControl/>
              <w:rPr>
                <w:sz w:val="20"/>
                <w:szCs w:val="20"/>
              </w:rPr>
            </w:pPr>
            <w:r w:rsidRPr="00330234">
              <w:rPr>
                <w:sz w:val="20"/>
                <w:szCs w:val="20"/>
              </w:rPr>
              <w:t>Tijd tot eerste GCA ‘flare¹’ (tocilizumabgroepen versus placebo+26)</w:t>
            </w:r>
            <w:r w:rsidR="0037203A" w:rsidRPr="00330234">
              <w:rPr>
                <w:sz w:val="20"/>
                <w:szCs w:val="20"/>
              </w:rPr>
              <w:t xml:space="preserve"> </w:t>
            </w:r>
            <w:r w:rsidRPr="00330234">
              <w:rPr>
                <w:sz w:val="20"/>
                <w:szCs w:val="20"/>
              </w:rPr>
              <w:t>HR (99%-BI)</w:t>
            </w:r>
          </w:p>
        </w:tc>
        <w:tc>
          <w:tcPr>
            <w:tcW w:w="1170" w:type="dxa"/>
            <w:tcBorders>
              <w:top w:val="single" w:sz="4" w:space="0" w:color="000000"/>
              <w:left w:val="single" w:sz="4" w:space="0" w:color="auto"/>
              <w:right w:val="single" w:sz="4" w:space="0" w:color="auto"/>
            </w:tcBorders>
          </w:tcPr>
          <w:p w14:paraId="1834BC15" w14:textId="77777777" w:rsidR="00436DAA" w:rsidRPr="00330234" w:rsidRDefault="009B4B8E" w:rsidP="0037203A">
            <w:pPr>
              <w:pStyle w:val="TableParagraph"/>
              <w:keepNext/>
              <w:keepLines/>
              <w:widowControl/>
              <w:jc w:val="center"/>
              <w:rPr>
                <w:sz w:val="20"/>
                <w:szCs w:val="20"/>
              </w:rPr>
            </w:pPr>
            <w:r w:rsidRPr="00330234">
              <w:rPr>
                <w:sz w:val="20"/>
                <w:szCs w:val="20"/>
              </w:rPr>
              <w:t>N/A</w:t>
            </w:r>
          </w:p>
        </w:tc>
        <w:tc>
          <w:tcPr>
            <w:tcW w:w="1170" w:type="dxa"/>
            <w:tcBorders>
              <w:top w:val="single" w:sz="4" w:space="0" w:color="000000"/>
              <w:left w:val="single" w:sz="4" w:space="0" w:color="auto"/>
              <w:right w:val="single" w:sz="4" w:space="0" w:color="auto"/>
            </w:tcBorders>
          </w:tcPr>
          <w:p w14:paraId="3A2026FB" w14:textId="77777777" w:rsidR="00436DAA" w:rsidRPr="00330234" w:rsidRDefault="009B4B8E" w:rsidP="0037203A">
            <w:pPr>
              <w:pStyle w:val="TableParagraph"/>
              <w:keepNext/>
              <w:keepLines/>
              <w:widowControl/>
              <w:jc w:val="center"/>
              <w:rPr>
                <w:sz w:val="20"/>
                <w:szCs w:val="20"/>
              </w:rPr>
            </w:pPr>
            <w:r w:rsidRPr="00330234">
              <w:rPr>
                <w:sz w:val="20"/>
                <w:szCs w:val="20"/>
              </w:rPr>
              <w:t>N/A</w:t>
            </w:r>
          </w:p>
        </w:tc>
        <w:tc>
          <w:tcPr>
            <w:tcW w:w="1656" w:type="dxa"/>
            <w:tcBorders>
              <w:top w:val="single" w:sz="4" w:space="0" w:color="000000"/>
              <w:left w:val="single" w:sz="4" w:space="0" w:color="auto"/>
              <w:right w:val="single" w:sz="4" w:space="0" w:color="auto"/>
            </w:tcBorders>
          </w:tcPr>
          <w:p w14:paraId="7E842B3E" w14:textId="77777777" w:rsidR="00436DAA" w:rsidRPr="00330234" w:rsidRDefault="009B4B8E" w:rsidP="0037203A">
            <w:pPr>
              <w:pStyle w:val="TableParagraph"/>
              <w:keepNext/>
              <w:keepLines/>
              <w:widowControl/>
              <w:jc w:val="center"/>
              <w:rPr>
                <w:sz w:val="20"/>
                <w:szCs w:val="20"/>
              </w:rPr>
            </w:pPr>
            <w:r w:rsidRPr="00330234">
              <w:rPr>
                <w:sz w:val="20"/>
                <w:szCs w:val="20"/>
              </w:rPr>
              <w:t>0.23* (0,11 ; 0,46)</w:t>
            </w:r>
          </w:p>
        </w:tc>
        <w:tc>
          <w:tcPr>
            <w:tcW w:w="1557" w:type="dxa"/>
            <w:tcBorders>
              <w:top w:val="single" w:sz="4" w:space="0" w:color="000000"/>
              <w:left w:val="single" w:sz="4" w:space="0" w:color="auto"/>
              <w:right w:val="single" w:sz="4" w:space="0" w:color="000000"/>
            </w:tcBorders>
          </w:tcPr>
          <w:p w14:paraId="2F7BF557" w14:textId="77777777" w:rsidR="00436DAA" w:rsidRPr="00330234" w:rsidRDefault="009B4B8E" w:rsidP="0037203A">
            <w:pPr>
              <w:pStyle w:val="TableParagraph"/>
              <w:keepNext/>
              <w:keepLines/>
              <w:widowControl/>
              <w:jc w:val="center"/>
              <w:rPr>
                <w:sz w:val="20"/>
                <w:szCs w:val="20"/>
              </w:rPr>
            </w:pPr>
            <w:r w:rsidRPr="00330234">
              <w:rPr>
                <w:sz w:val="20"/>
                <w:szCs w:val="20"/>
              </w:rPr>
              <w:t>0.28** (0.12,;0.66)</w:t>
            </w:r>
          </w:p>
        </w:tc>
      </w:tr>
      <w:tr w:rsidR="00DE36C7" w:rsidRPr="00330234" w14:paraId="0BE1F30F" w14:textId="77777777" w:rsidTr="00D72515">
        <w:trPr>
          <w:trHeight w:val="20"/>
        </w:trPr>
        <w:tc>
          <w:tcPr>
            <w:tcW w:w="3533" w:type="dxa"/>
            <w:tcBorders>
              <w:left w:val="single" w:sz="4" w:space="0" w:color="000000"/>
              <w:right w:val="single" w:sz="4" w:space="0" w:color="auto"/>
            </w:tcBorders>
          </w:tcPr>
          <w:p w14:paraId="621B3EB5" w14:textId="634DD6AF" w:rsidR="0037203A" w:rsidRPr="00330234" w:rsidRDefault="0037203A" w:rsidP="0037203A">
            <w:pPr>
              <w:pStyle w:val="TableParagraph"/>
              <w:keepNext/>
              <w:keepLines/>
              <w:widowControl/>
              <w:rPr>
                <w:sz w:val="20"/>
                <w:szCs w:val="20"/>
              </w:rPr>
            </w:pPr>
            <w:r w:rsidRPr="00330234">
              <w:rPr>
                <w:sz w:val="20"/>
                <w:szCs w:val="20"/>
              </w:rPr>
              <w:t>Tijd tot eerste GCA ‘flare¹’ (tocilizumabgroepen versus placebo +52) HR (99%-BI)</w:t>
            </w:r>
          </w:p>
        </w:tc>
        <w:tc>
          <w:tcPr>
            <w:tcW w:w="1170" w:type="dxa"/>
            <w:tcBorders>
              <w:left w:val="single" w:sz="4" w:space="0" w:color="auto"/>
              <w:right w:val="single" w:sz="4" w:space="0" w:color="auto"/>
            </w:tcBorders>
          </w:tcPr>
          <w:p w14:paraId="4A417F71" w14:textId="77777777" w:rsidR="0037203A" w:rsidRPr="00330234" w:rsidRDefault="0037203A" w:rsidP="0037203A">
            <w:pPr>
              <w:pStyle w:val="TableParagraph"/>
              <w:keepNext/>
              <w:keepLines/>
              <w:widowControl/>
              <w:jc w:val="center"/>
              <w:rPr>
                <w:sz w:val="20"/>
                <w:szCs w:val="20"/>
              </w:rPr>
            </w:pPr>
            <w:r w:rsidRPr="00330234">
              <w:rPr>
                <w:sz w:val="20"/>
                <w:szCs w:val="20"/>
              </w:rPr>
              <w:t>N/A</w:t>
            </w:r>
          </w:p>
        </w:tc>
        <w:tc>
          <w:tcPr>
            <w:tcW w:w="1170" w:type="dxa"/>
            <w:tcBorders>
              <w:left w:val="single" w:sz="4" w:space="0" w:color="auto"/>
              <w:right w:val="single" w:sz="4" w:space="0" w:color="auto"/>
            </w:tcBorders>
          </w:tcPr>
          <w:p w14:paraId="4DC2FC26" w14:textId="77777777" w:rsidR="0037203A" w:rsidRPr="00330234" w:rsidRDefault="0037203A" w:rsidP="0037203A">
            <w:pPr>
              <w:pStyle w:val="TableParagraph"/>
              <w:keepNext/>
              <w:keepLines/>
              <w:widowControl/>
              <w:jc w:val="center"/>
              <w:rPr>
                <w:sz w:val="20"/>
                <w:szCs w:val="20"/>
              </w:rPr>
            </w:pPr>
            <w:r w:rsidRPr="00330234">
              <w:rPr>
                <w:sz w:val="20"/>
                <w:szCs w:val="20"/>
              </w:rPr>
              <w:t>N/A</w:t>
            </w:r>
          </w:p>
        </w:tc>
        <w:tc>
          <w:tcPr>
            <w:tcW w:w="1656" w:type="dxa"/>
            <w:tcBorders>
              <w:left w:val="single" w:sz="4" w:space="0" w:color="auto"/>
              <w:right w:val="single" w:sz="4" w:space="0" w:color="auto"/>
            </w:tcBorders>
          </w:tcPr>
          <w:p w14:paraId="00373596" w14:textId="77777777" w:rsidR="0037203A" w:rsidRPr="00330234" w:rsidRDefault="0037203A" w:rsidP="0037203A">
            <w:pPr>
              <w:pStyle w:val="TableParagraph"/>
              <w:keepNext/>
              <w:keepLines/>
              <w:widowControl/>
              <w:jc w:val="center"/>
              <w:rPr>
                <w:sz w:val="20"/>
                <w:szCs w:val="20"/>
              </w:rPr>
            </w:pPr>
            <w:r w:rsidRPr="00330234">
              <w:rPr>
                <w:sz w:val="20"/>
                <w:szCs w:val="20"/>
              </w:rPr>
              <w:t>0,39**</w:t>
            </w:r>
          </w:p>
          <w:p w14:paraId="4C501F70" w14:textId="610F78DB" w:rsidR="0037203A" w:rsidRPr="00330234" w:rsidRDefault="0037203A" w:rsidP="0037203A">
            <w:pPr>
              <w:pStyle w:val="TableParagraph"/>
              <w:keepNext/>
              <w:keepLines/>
              <w:widowControl/>
              <w:jc w:val="center"/>
              <w:rPr>
                <w:sz w:val="20"/>
                <w:szCs w:val="20"/>
              </w:rPr>
            </w:pPr>
            <w:r w:rsidRPr="00330234">
              <w:rPr>
                <w:sz w:val="20"/>
                <w:szCs w:val="20"/>
              </w:rPr>
              <w:t>(0,18 ; 0,82)</w:t>
            </w:r>
          </w:p>
        </w:tc>
        <w:tc>
          <w:tcPr>
            <w:tcW w:w="1557" w:type="dxa"/>
            <w:tcBorders>
              <w:left w:val="single" w:sz="4" w:space="0" w:color="auto"/>
              <w:right w:val="single" w:sz="4" w:space="0" w:color="000000"/>
            </w:tcBorders>
          </w:tcPr>
          <w:p w14:paraId="3C49E3C3" w14:textId="77777777" w:rsidR="0037203A" w:rsidRPr="00330234" w:rsidRDefault="0037203A" w:rsidP="0037203A">
            <w:pPr>
              <w:pStyle w:val="TableParagraph"/>
              <w:keepNext/>
              <w:keepLines/>
              <w:widowControl/>
              <w:jc w:val="center"/>
              <w:rPr>
                <w:sz w:val="20"/>
                <w:szCs w:val="20"/>
              </w:rPr>
            </w:pPr>
            <w:r w:rsidRPr="00330234">
              <w:rPr>
                <w:sz w:val="20"/>
                <w:szCs w:val="20"/>
              </w:rPr>
              <w:t>0,48</w:t>
            </w:r>
          </w:p>
          <w:p w14:paraId="38D2D92A" w14:textId="79B374B2" w:rsidR="0037203A" w:rsidRPr="00330234" w:rsidRDefault="0037203A" w:rsidP="0037203A">
            <w:pPr>
              <w:pStyle w:val="TableParagraph"/>
              <w:keepNext/>
              <w:keepLines/>
              <w:widowControl/>
              <w:jc w:val="center"/>
              <w:rPr>
                <w:sz w:val="20"/>
                <w:szCs w:val="20"/>
              </w:rPr>
            </w:pPr>
            <w:r w:rsidRPr="00330234">
              <w:rPr>
                <w:sz w:val="20"/>
                <w:szCs w:val="20"/>
              </w:rPr>
              <w:t>(0,20 ; 1,16)</w:t>
            </w:r>
          </w:p>
        </w:tc>
      </w:tr>
      <w:tr w:rsidR="00DE36C7" w:rsidRPr="00330234" w14:paraId="5E1CB193" w14:textId="77777777" w:rsidTr="00D72515">
        <w:trPr>
          <w:trHeight w:val="20"/>
        </w:trPr>
        <w:tc>
          <w:tcPr>
            <w:tcW w:w="3533" w:type="dxa"/>
            <w:tcBorders>
              <w:left w:val="single" w:sz="4" w:space="0" w:color="000000"/>
              <w:right w:val="single" w:sz="4" w:space="0" w:color="auto"/>
            </w:tcBorders>
          </w:tcPr>
          <w:p w14:paraId="795ABB50" w14:textId="2A689FA8" w:rsidR="0037203A" w:rsidRPr="00330234" w:rsidRDefault="0037203A" w:rsidP="0037203A">
            <w:pPr>
              <w:pStyle w:val="TableParagraph"/>
              <w:keepNext/>
              <w:keepLines/>
              <w:widowControl/>
              <w:rPr>
                <w:sz w:val="20"/>
                <w:szCs w:val="20"/>
              </w:rPr>
            </w:pPr>
            <w:r w:rsidRPr="00330234">
              <w:rPr>
                <w:sz w:val="20"/>
                <w:szCs w:val="20"/>
              </w:rPr>
              <w:t>Tijd tot eerste GCA ‘flare¹’ (recidiverende patiënten; tocilizumabgroepen versus placebo +26) HR (99%-BI)</w:t>
            </w:r>
          </w:p>
        </w:tc>
        <w:tc>
          <w:tcPr>
            <w:tcW w:w="1170" w:type="dxa"/>
            <w:tcBorders>
              <w:left w:val="single" w:sz="4" w:space="0" w:color="auto"/>
              <w:right w:val="single" w:sz="4" w:space="0" w:color="auto"/>
            </w:tcBorders>
          </w:tcPr>
          <w:p w14:paraId="28D0E8E5" w14:textId="77777777" w:rsidR="0037203A" w:rsidRPr="00330234" w:rsidRDefault="0037203A" w:rsidP="0037203A">
            <w:pPr>
              <w:pStyle w:val="TableParagraph"/>
              <w:keepNext/>
              <w:keepLines/>
              <w:widowControl/>
              <w:jc w:val="center"/>
              <w:rPr>
                <w:sz w:val="20"/>
                <w:szCs w:val="20"/>
              </w:rPr>
            </w:pPr>
            <w:r w:rsidRPr="00330234">
              <w:rPr>
                <w:sz w:val="20"/>
                <w:szCs w:val="20"/>
              </w:rPr>
              <w:t>N/A</w:t>
            </w:r>
          </w:p>
        </w:tc>
        <w:tc>
          <w:tcPr>
            <w:tcW w:w="1170" w:type="dxa"/>
            <w:tcBorders>
              <w:left w:val="single" w:sz="4" w:space="0" w:color="auto"/>
              <w:right w:val="single" w:sz="4" w:space="0" w:color="auto"/>
            </w:tcBorders>
          </w:tcPr>
          <w:p w14:paraId="71836FBB" w14:textId="77777777" w:rsidR="0037203A" w:rsidRPr="00330234" w:rsidRDefault="0037203A" w:rsidP="0037203A">
            <w:pPr>
              <w:pStyle w:val="TableParagraph"/>
              <w:keepNext/>
              <w:keepLines/>
              <w:widowControl/>
              <w:jc w:val="center"/>
              <w:rPr>
                <w:sz w:val="20"/>
                <w:szCs w:val="20"/>
              </w:rPr>
            </w:pPr>
            <w:r w:rsidRPr="00330234">
              <w:rPr>
                <w:sz w:val="20"/>
                <w:szCs w:val="20"/>
              </w:rPr>
              <w:t>N/A</w:t>
            </w:r>
          </w:p>
        </w:tc>
        <w:tc>
          <w:tcPr>
            <w:tcW w:w="1656" w:type="dxa"/>
            <w:tcBorders>
              <w:left w:val="single" w:sz="4" w:space="0" w:color="auto"/>
              <w:right w:val="single" w:sz="4" w:space="0" w:color="auto"/>
            </w:tcBorders>
          </w:tcPr>
          <w:p w14:paraId="12FC7853" w14:textId="77777777" w:rsidR="0037203A" w:rsidRPr="00330234" w:rsidRDefault="0037203A" w:rsidP="0037203A">
            <w:pPr>
              <w:pStyle w:val="TableParagraph"/>
              <w:keepNext/>
              <w:keepLines/>
              <w:widowControl/>
              <w:jc w:val="center"/>
              <w:rPr>
                <w:sz w:val="20"/>
                <w:szCs w:val="20"/>
              </w:rPr>
            </w:pPr>
            <w:r w:rsidRPr="00330234">
              <w:rPr>
                <w:sz w:val="20"/>
                <w:szCs w:val="20"/>
              </w:rPr>
              <w:t>0.23***</w:t>
            </w:r>
          </w:p>
          <w:p w14:paraId="5A625144" w14:textId="7AA0CC55" w:rsidR="0037203A" w:rsidRPr="00330234" w:rsidRDefault="0037203A" w:rsidP="0037203A">
            <w:pPr>
              <w:pStyle w:val="TableParagraph"/>
              <w:keepNext/>
              <w:keepLines/>
              <w:widowControl/>
              <w:jc w:val="center"/>
              <w:rPr>
                <w:sz w:val="20"/>
                <w:szCs w:val="20"/>
              </w:rPr>
            </w:pPr>
            <w:r w:rsidRPr="00330234">
              <w:rPr>
                <w:sz w:val="20"/>
                <w:szCs w:val="20"/>
              </w:rPr>
              <w:t>(0,09 ; 0,61)</w:t>
            </w:r>
          </w:p>
        </w:tc>
        <w:tc>
          <w:tcPr>
            <w:tcW w:w="1557" w:type="dxa"/>
            <w:tcBorders>
              <w:left w:val="single" w:sz="4" w:space="0" w:color="auto"/>
              <w:right w:val="single" w:sz="4" w:space="0" w:color="000000"/>
            </w:tcBorders>
          </w:tcPr>
          <w:p w14:paraId="2DCBF5A3" w14:textId="77777777" w:rsidR="0037203A" w:rsidRPr="00330234" w:rsidRDefault="0037203A" w:rsidP="0037203A">
            <w:pPr>
              <w:pStyle w:val="TableParagraph"/>
              <w:keepNext/>
              <w:keepLines/>
              <w:widowControl/>
              <w:jc w:val="center"/>
              <w:rPr>
                <w:sz w:val="20"/>
                <w:szCs w:val="20"/>
              </w:rPr>
            </w:pPr>
            <w:r w:rsidRPr="00330234">
              <w:rPr>
                <w:sz w:val="20"/>
                <w:szCs w:val="20"/>
              </w:rPr>
              <w:t>0,42</w:t>
            </w:r>
          </w:p>
          <w:p w14:paraId="08D4931F" w14:textId="049B2FC8" w:rsidR="0037203A" w:rsidRPr="00330234" w:rsidRDefault="0037203A" w:rsidP="0037203A">
            <w:pPr>
              <w:pStyle w:val="TableParagraph"/>
              <w:keepNext/>
              <w:keepLines/>
              <w:widowControl/>
              <w:jc w:val="center"/>
              <w:rPr>
                <w:sz w:val="20"/>
                <w:szCs w:val="20"/>
              </w:rPr>
            </w:pPr>
            <w:r w:rsidRPr="00330234">
              <w:rPr>
                <w:sz w:val="20"/>
                <w:szCs w:val="20"/>
              </w:rPr>
              <w:t>(0,14 ; 1,28)</w:t>
            </w:r>
          </w:p>
        </w:tc>
      </w:tr>
      <w:tr w:rsidR="00DE36C7" w:rsidRPr="00330234" w14:paraId="345C441B" w14:textId="77777777" w:rsidTr="00D72515">
        <w:trPr>
          <w:trHeight w:val="20"/>
        </w:trPr>
        <w:tc>
          <w:tcPr>
            <w:tcW w:w="3533" w:type="dxa"/>
            <w:vMerge w:val="restart"/>
            <w:tcBorders>
              <w:left w:val="single" w:sz="4" w:space="0" w:color="000000"/>
              <w:right w:val="single" w:sz="4" w:space="0" w:color="auto"/>
            </w:tcBorders>
          </w:tcPr>
          <w:p w14:paraId="22840A7E" w14:textId="56494D28" w:rsidR="0037203A" w:rsidRPr="00330234" w:rsidRDefault="0037203A" w:rsidP="0037203A">
            <w:pPr>
              <w:pStyle w:val="TableParagraph"/>
              <w:keepNext/>
              <w:keepLines/>
              <w:widowControl/>
              <w:rPr>
                <w:sz w:val="20"/>
                <w:szCs w:val="20"/>
              </w:rPr>
            </w:pPr>
            <w:r w:rsidRPr="00330234">
              <w:rPr>
                <w:sz w:val="20"/>
                <w:szCs w:val="20"/>
              </w:rPr>
              <w:t>Tijd tot eerste GCA ‘flare¹’ (recidiverende patiënten; tocilizumabgroepen versus placebo +52) HR (99%-BI)</w:t>
            </w:r>
          </w:p>
        </w:tc>
        <w:tc>
          <w:tcPr>
            <w:tcW w:w="1170" w:type="dxa"/>
            <w:tcBorders>
              <w:left w:val="single" w:sz="4" w:space="0" w:color="auto"/>
              <w:right w:val="single" w:sz="4" w:space="0" w:color="auto"/>
            </w:tcBorders>
          </w:tcPr>
          <w:p w14:paraId="3E935931" w14:textId="77777777" w:rsidR="0037203A" w:rsidRPr="00330234" w:rsidRDefault="0037203A" w:rsidP="0037203A">
            <w:pPr>
              <w:pStyle w:val="TableParagraph"/>
              <w:keepNext/>
              <w:keepLines/>
              <w:widowControl/>
              <w:jc w:val="center"/>
              <w:rPr>
                <w:sz w:val="20"/>
                <w:szCs w:val="20"/>
              </w:rPr>
            </w:pPr>
            <w:r w:rsidRPr="00330234">
              <w:rPr>
                <w:sz w:val="20"/>
                <w:szCs w:val="20"/>
              </w:rPr>
              <w:t>N/A</w:t>
            </w:r>
          </w:p>
        </w:tc>
        <w:tc>
          <w:tcPr>
            <w:tcW w:w="1170" w:type="dxa"/>
            <w:tcBorders>
              <w:left w:val="single" w:sz="4" w:space="0" w:color="auto"/>
              <w:right w:val="single" w:sz="4" w:space="0" w:color="auto"/>
            </w:tcBorders>
          </w:tcPr>
          <w:p w14:paraId="35D18957" w14:textId="77777777" w:rsidR="0037203A" w:rsidRPr="00330234" w:rsidRDefault="0037203A" w:rsidP="0037203A">
            <w:pPr>
              <w:pStyle w:val="TableParagraph"/>
              <w:keepNext/>
              <w:keepLines/>
              <w:widowControl/>
              <w:jc w:val="center"/>
              <w:rPr>
                <w:sz w:val="20"/>
                <w:szCs w:val="20"/>
              </w:rPr>
            </w:pPr>
            <w:r w:rsidRPr="00330234">
              <w:rPr>
                <w:sz w:val="20"/>
                <w:szCs w:val="20"/>
              </w:rPr>
              <w:t>N/A</w:t>
            </w:r>
          </w:p>
        </w:tc>
        <w:tc>
          <w:tcPr>
            <w:tcW w:w="1656" w:type="dxa"/>
            <w:tcBorders>
              <w:left w:val="single" w:sz="4" w:space="0" w:color="auto"/>
              <w:right w:val="single" w:sz="4" w:space="0" w:color="auto"/>
            </w:tcBorders>
          </w:tcPr>
          <w:p w14:paraId="428E8E98" w14:textId="77777777" w:rsidR="0037203A" w:rsidRPr="00330234" w:rsidRDefault="0037203A" w:rsidP="0037203A">
            <w:pPr>
              <w:pStyle w:val="TableParagraph"/>
              <w:keepNext/>
              <w:keepLines/>
              <w:widowControl/>
              <w:jc w:val="center"/>
              <w:rPr>
                <w:sz w:val="20"/>
                <w:szCs w:val="20"/>
              </w:rPr>
            </w:pPr>
            <w:r w:rsidRPr="00330234">
              <w:rPr>
                <w:sz w:val="20"/>
                <w:szCs w:val="20"/>
              </w:rPr>
              <w:t>0.36</w:t>
            </w:r>
          </w:p>
        </w:tc>
        <w:tc>
          <w:tcPr>
            <w:tcW w:w="1557" w:type="dxa"/>
            <w:tcBorders>
              <w:left w:val="single" w:sz="4" w:space="0" w:color="auto"/>
              <w:right w:val="single" w:sz="4" w:space="0" w:color="000000"/>
            </w:tcBorders>
          </w:tcPr>
          <w:p w14:paraId="72013BB3" w14:textId="77777777" w:rsidR="0037203A" w:rsidRPr="00330234" w:rsidRDefault="0037203A" w:rsidP="0037203A">
            <w:pPr>
              <w:pStyle w:val="TableParagraph"/>
              <w:keepNext/>
              <w:keepLines/>
              <w:widowControl/>
              <w:jc w:val="center"/>
              <w:rPr>
                <w:sz w:val="20"/>
                <w:szCs w:val="20"/>
              </w:rPr>
            </w:pPr>
            <w:r w:rsidRPr="00330234">
              <w:rPr>
                <w:sz w:val="20"/>
                <w:szCs w:val="20"/>
              </w:rPr>
              <w:t>0,67</w:t>
            </w:r>
          </w:p>
        </w:tc>
      </w:tr>
      <w:tr w:rsidR="00DE36C7" w:rsidRPr="00330234" w14:paraId="305333DF" w14:textId="77777777" w:rsidTr="00D72515">
        <w:trPr>
          <w:trHeight w:val="20"/>
        </w:trPr>
        <w:tc>
          <w:tcPr>
            <w:tcW w:w="3533" w:type="dxa"/>
            <w:vMerge/>
            <w:tcBorders>
              <w:left w:val="single" w:sz="4" w:space="0" w:color="000000"/>
              <w:right w:val="single" w:sz="4" w:space="0" w:color="auto"/>
            </w:tcBorders>
          </w:tcPr>
          <w:p w14:paraId="52AD7FDF" w14:textId="45F1DA96" w:rsidR="0037203A" w:rsidRPr="00330234" w:rsidRDefault="0037203A" w:rsidP="0037203A">
            <w:pPr>
              <w:pStyle w:val="TableParagraph"/>
              <w:keepNext/>
              <w:keepLines/>
              <w:widowControl/>
              <w:rPr>
                <w:sz w:val="20"/>
                <w:szCs w:val="20"/>
              </w:rPr>
            </w:pPr>
          </w:p>
        </w:tc>
        <w:tc>
          <w:tcPr>
            <w:tcW w:w="1170" w:type="dxa"/>
            <w:tcBorders>
              <w:left w:val="single" w:sz="4" w:space="0" w:color="auto"/>
              <w:right w:val="single" w:sz="4" w:space="0" w:color="auto"/>
            </w:tcBorders>
          </w:tcPr>
          <w:p w14:paraId="650F7376" w14:textId="77777777" w:rsidR="0037203A" w:rsidRPr="00330234" w:rsidRDefault="0037203A" w:rsidP="0037203A">
            <w:pPr>
              <w:pStyle w:val="TableParagraph"/>
              <w:keepNext/>
              <w:keepLines/>
              <w:widowControl/>
              <w:jc w:val="center"/>
              <w:rPr>
                <w:sz w:val="20"/>
                <w:szCs w:val="20"/>
              </w:rPr>
            </w:pPr>
          </w:p>
        </w:tc>
        <w:tc>
          <w:tcPr>
            <w:tcW w:w="1170" w:type="dxa"/>
            <w:tcBorders>
              <w:left w:val="single" w:sz="4" w:space="0" w:color="auto"/>
              <w:right w:val="single" w:sz="4" w:space="0" w:color="auto"/>
            </w:tcBorders>
          </w:tcPr>
          <w:p w14:paraId="1CCD73D3" w14:textId="77777777" w:rsidR="0037203A" w:rsidRPr="00330234" w:rsidRDefault="0037203A" w:rsidP="0037203A">
            <w:pPr>
              <w:pStyle w:val="TableParagraph"/>
              <w:keepNext/>
              <w:keepLines/>
              <w:widowControl/>
              <w:jc w:val="center"/>
              <w:rPr>
                <w:sz w:val="20"/>
                <w:szCs w:val="20"/>
              </w:rPr>
            </w:pPr>
          </w:p>
        </w:tc>
        <w:tc>
          <w:tcPr>
            <w:tcW w:w="1656" w:type="dxa"/>
            <w:tcBorders>
              <w:left w:val="single" w:sz="4" w:space="0" w:color="auto"/>
              <w:right w:val="single" w:sz="4" w:space="0" w:color="auto"/>
            </w:tcBorders>
          </w:tcPr>
          <w:p w14:paraId="10E12618" w14:textId="77777777" w:rsidR="0037203A" w:rsidRPr="00330234" w:rsidRDefault="0037203A" w:rsidP="0037203A">
            <w:pPr>
              <w:pStyle w:val="TableParagraph"/>
              <w:keepNext/>
              <w:keepLines/>
              <w:widowControl/>
              <w:jc w:val="center"/>
              <w:rPr>
                <w:sz w:val="20"/>
                <w:szCs w:val="20"/>
              </w:rPr>
            </w:pPr>
            <w:r w:rsidRPr="00330234">
              <w:rPr>
                <w:sz w:val="20"/>
                <w:szCs w:val="20"/>
              </w:rPr>
              <w:t>(0,13 ; 1.00)</w:t>
            </w:r>
          </w:p>
        </w:tc>
        <w:tc>
          <w:tcPr>
            <w:tcW w:w="1557" w:type="dxa"/>
            <w:tcBorders>
              <w:left w:val="single" w:sz="4" w:space="0" w:color="auto"/>
              <w:right w:val="single" w:sz="4" w:space="0" w:color="000000"/>
            </w:tcBorders>
          </w:tcPr>
          <w:p w14:paraId="287F224A" w14:textId="77777777" w:rsidR="0037203A" w:rsidRPr="00330234" w:rsidRDefault="0037203A" w:rsidP="0037203A">
            <w:pPr>
              <w:pStyle w:val="TableParagraph"/>
              <w:keepNext/>
              <w:keepLines/>
              <w:widowControl/>
              <w:jc w:val="center"/>
              <w:rPr>
                <w:sz w:val="20"/>
                <w:szCs w:val="20"/>
              </w:rPr>
            </w:pPr>
            <w:r w:rsidRPr="00330234">
              <w:rPr>
                <w:sz w:val="20"/>
                <w:szCs w:val="20"/>
              </w:rPr>
              <w:t>(0,21 ; 2,10)</w:t>
            </w:r>
          </w:p>
        </w:tc>
      </w:tr>
      <w:tr w:rsidR="00DE36C7" w:rsidRPr="00330234" w14:paraId="6980B1A2" w14:textId="77777777" w:rsidTr="00D72515">
        <w:trPr>
          <w:trHeight w:val="20"/>
        </w:trPr>
        <w:tc>
          <w:tcPr>
            <w:tcW w:w="3533" w:type="dxa"/>
            <w:vMerge/>
            <w:tcBorders>
              <w:left w:val="single" w:sz="4" w:space="0" w:color="000000"/>
              <w:right w:val="single" w:sz="4" w:space="0" w:color="auto"/>
            </w:tcBorders>
          </w:tcPr>
          <w:p w14:paraId="02F9B454" w14:textId="0A41317D" w:rsidR="0037203A" w:rsidRPr="00330234" w:rsidRDefault="0037203A" w:rsidP="0037203A">
            <w:pPr>
              <w:pStyle w:val="TableParagraph"/>
              <w:keepNext/>
              <w:keepLines/>
              <w:widowControl/>
              <w:rPr>
                <w:sz w:val="20"/>
                <w:szCs w:val="20"/>
              </w:rPr>
            </w:pPr>
          </w:p>
        </w:tc>
        <w:tc>
          <w:tcPr>
            <w:tcW w:w="1170" w:type="dxa"/>
            <w:tcBorders>
              <w:left w:val="single" w:sz="4" w:space="0" w:color="auto"/>
              <w:right w:val="single" w:sz="4" w:space="0" w:color="auto"/>
            </w:tcBorders>
          </w:tcPr>
          <w:p w14:paraId="4087A47A" w14:textId="77777777" w:rsidR="0037203A" w:rsidRPr="00330234" w:rsidRDefault="0037203A" w:rsidP="0037203A">
            <w:pPr>
              <w:pStyle w:val="TableParagraph"/>
              <w:keepNext/>
              <w:keepLines/>
              <w:widowControl/>
              <w:jc w:val="center"/>
              <w:rPr>
                <w:sz w:val="20"/>
                <w:szCs w:val="20"/>
              </w:rPr>
            </w:pPr>
          </w:p>
        </w:tc>
        <w:tc>
          <w:tcPr>
            <w:tcW w:w="1170" w:type="dxa"/>
            <w:tcBorders>
              <w:left w:val="single" w:sz="4" w:space="0" w:color="auto"/>
              <w:right w:val="single" w:sz="4" w:space="0" w:color="auto"/>
            </w:tcBorders>
          </w:tcPr>
          <w:p w14:paraId="2EBDAB60" w14:textId="77777777" w:rsidR="0037203A" w:rsidRPr="00330234" w:rsidRDefault="0037203A" w:rsidP="0037203A">
            <w:pPr>
              <w:pStyle w:val="TableParagraph"/>
              <w:keepNext/>
              <w:keepLines/>
              <w:widowControl/>
              <w:jc w:val="center"/>
              <w:rPr>
                <w:sz w:val="20"/>
                <w:szCs w:val="20"/>
              </w:rPr>
            </w:pPr>
          </w:p>
        </w:tc>
        <w:tc>
          <w:tcPr>
            <w:tcW w:w="1656" w:type="dxa"/>
            <w:tcBorders>
              <w:left w:val="single" w:sz="4" w:space="0" w:color="auto"/>
              <w:right w:val="single" w:sz="4" w:space="0" w:color="auto"/>
            </w:tcBorders>
          </w:tcPr>
          <w:p w14:paraId="3D643E31" w14:textId="77777777" w:rsidR="0037203A" w:rsidRPr="00330234" w:rsidRDefault="0037203A" w:rsidP="0037203A">
            <w:pPr>
              <w:pStyle w:val="TableParagraph"/>
              <w:keepNext/>
              <w:keepLines/>
              <w:widowControl/>
              <w:jc w:val="center"/>
              <w:rPr>
                <w:sz w:val="20"/>
                <w:szCs w:val="20"/>
              </w:rPr>
            </w:pPr>
          </w:p>
        </w:tc>
        <w:tc>
          <w:tcPr>
            <w:tcW w:w="1557" w:type="dxa"/>
            <w:tcBorders>
              <w:left w:val="single" w:sz="4" w:space="0" w:color="auto"/>
              <w:right w:val="single" w:sz="4" w:space="0" w:color="000000"/>
            </w:tcBorders>
          </w:tcPr>
          <w:p w14:paraId="49B2C01B" w14:textId="77777777" w:rsidR="0037203A" w:rsidRPr="00330234" w:rsidRDefault="0037203A" w:rsidP="0037203A">
            <w:pPr>
              <w:pStyle w:val="TableParagraph"/>
              <w:keepNext/>
              <w:keepLines/>
              <w:widowControl/>
              <w:jc w:val="center"/>
              <w:rPr>
                <w:sz w:val="20"/>
                <w:szCs w:val="20"/>
              </w:rPr>
            </w:pPr>
          </w:p>
        </w:tc>
      </w:tr>
      <w:tr w:rsidR="00DE36C7" w:rsidRPr="00330234" w14:paraId="44302E2B" w14:textId="77777777" w:rsidTr="00D72515">
        <w:trPr>
          <w:trHeight w:val="20"/>
        </w:trPr>
        <w:tc>
          <w:tcPr>
            <w:tcW w:w="3533" w:type="dxa"/>
            <w:vMerge/>
            <w:tcBorders>
              <w:left w:val="single" w:sz="4" w:space="0" w:color="000000"/>
              <w:right w:val="single" w:sz="4" w:space="0" w:color="auto"/>
            </w:tcBorders>
          </w:tcPr>
          <w:p w14:paraId="092B8E4A" w14:textId="3B309E71" w:rsidR="0037203A" w:rsidRPr="00330234" w:rsidRDefault="0037203A" w:rsidP="0037203A">
            <w:pPr>
              <w:pStyle w:val="TableParagraph"/>
              <w:keepNext/>
              <w:keepLines/>
              <w:widowControl/>
              <w:rPr>
                <w:sz w:val="20"/>
                <w:szCs w:val="20"/>
              </w:rPr>
            </w:pPr>
          </w:p>
        </w:tc>
        <w:tc>
          <w:tcPr>
            <w:tcW w:w="1170" w:type="dxa"/>
            <w:tcBorders>
              <w:left w:val="single" w:sz="4" w:space="0" w:color="auto"/>
              <w:right w:val="single" w:sz="4" w:space="0" w:color="auto"/>
            </w:tcBorders>
          </w:tcPr>
          <w:p w14:paraId="66FE58B7" w14:textId="77777777" w:rsidR="0037203A" w:rsidRPr="00330234" w:rsidRDefault="0037203A" w:rsidP="0037203A">
            <w:pPr>
              <w:pStyle w:val="TableParagraph"/>
              <w:keepNext/>
              <w:keepLines/>
              <w:widowControl/>
              <w:jc w:val="center"/>
              <w:rPr>
                <w:sz w:val="20"/>
                <w:szCs w:val="20"/>
              </w:rPr>
            </w:pPr>
          </w:p>
        </w:tc>
        <w:tc>
          <w:tcPr>
            <w:tcW w:w="1170" w:type="dxa"/>
            <w:tcBorders>
              <w:left w:val="single" w:sz="4" w:space="0" w:color="auto"/>
              <w:right w:val="single" w:sz="4" w:space="0" w:color="auto"/>
            </w:tcBorders>
          </w:tcPr>
          <w:p w14:paraId="469E4849" w14:textId="77777777" w:rsidR="0037203A" w:rsidRPr="00330234" w:rsidRDefault="0037203A" w:rsidP="0037203A">
            <w:pPr>
              <w:pStyle w:val="TableParagraph"/>
              <w:keepNext/>
              <w:keepLines/>
              <w:widowControl/>
              <w:jc w:val="center"/>
              <w:rPr>
                <w:sz w:val="20"/>
                <w:szCs w:val="20"/>
              </w:rPr>
            </w:pPr>
          </w:p>
        </w:tc>
        <w:tc>
          <w:tcPr>
            <w:tcW w:w="1656" w:type="dxa"/>
            <w:tcBorders>
              <w:left w:val="single" w:sz="4" w:space="0" w:color="auto"/>
              <w:right w:val="single" w:sz="4" w:space="0" w:color="auto"/>
            </w:tcBorders>
          </w:tcPr>
          <w:p w14:paraId="4147F043" w14:textId="77777777" w:rsidR="0037203A" w:rsidRPr="00330234" w:rsidRDefault="0037203A" w:rsidP="0037203A">
            <w:pPr>
              <w:pStyle w:val="TableParagraph"/>
              <w:keepNext/>
              <w:keepLines/>
              <w:widowControl/>
              <w:jc w:val="center"/>
              <w:rPr>
                <w:sz w:val="20"/>
                <w:szCs w:val="20"/>
              </w:rPr>
            </w:pPr>
          </w:p>
        </w:tc>
        <w:tc>
          <w:tcPr>
            <w:tcW w:w="1557" w:type="dxa"/>
            <w:tcBorders>
              <w:left w:val="single" w:sz="4" w:space="0" w:color="auto"/>
              <w:right w:val="single" w:sz="4" w:space="0" w:color="000000"/>
            </w:tcBorders>
          </w:tcPr>
          <w:p w14:paraId="7FD908B6" w14:textId="77777777" w:rsidR="0037203A" w:rsidRPr="00330234" w:rsidRDefault="0037203A" w:rsidP="0037203A">
            <w:pPr>
              <w:pStyle w:val="TableParagraph"/>
              <w:keepNext/>
              <w:keepLines/>
              <w:widowControl/>
              <w:jc w:val="center"/>
              <w:rPr>
                <w:sz w:val="20"/>
                <w:szCs w:val="20"/>
              </w:rPr>
            </w:pPr>
          </w:p>
        </w:tc>
      </w:tr>
      <w:tr w:rsidR="00DE36C7" w:rsidRPr="00330234" w14:paraId="0024AE72" w14:textId="77777777" w:rsidTr="00D72515">
        <w:trPr>
          <w:trHeight w:val="20"/>
        </w:trPr>
        <w:tc>
          <w:tcPr>
            <w:tcW w:w="3533" w:type="dxa"/>
            <w:tcBorders>
              <w:left w:val="single" w:sz="4" w:space="0" w:color="000000"/>
              <w:right w:val="single" w:sz="4" w:space="0" w:color="auto"/>
            </w:tcBorders>
          </w:tcPr>
          <w:p w14:paraId="3E7F8159" w14:textId="794F1B1D" w:rsidR="00436DAA" w:rsidRPr="00330234" w:rsidRDefault="009B4B8E" w:rsidP="0037203A">
            <w:pPr>
              <w:pStyle w:val="TableParagraph"/>
              <w:keepNext/>
              <w:keepLines/>
              <w:widowControl/>
              <w:rPr>
                <w:sz w:val="20"/>
                <w:szCs w:val="20"/>
              </w:rPr>
            </w:pPr>
            <w:r w:rsidRPr="00330234">
              <w:rPr>
                <w:sz w:val="20"/>
                <w:szCs w:val="20"/>
              </w:rPr>
              <w:t>Tijd tot eerste GCA ‘flare¹’ (beginnende patiënten; tocilizumabgroepen versus</w:t>
            </w:r>
            <w:r w:rsidR="0037203A" w:rsidRPr="00330234">
              <w:rPr>
                <w:sz w:val="20"/>
                <w:szCs w:val="20"/>
              </w:rPr>
              <w:t xml:space="preserve"> </w:t>
            </w:r>
            <w:r w:rsidRPr="00330234">
              <w:rPr>
                <w:sz w:val="20"/>
                <w:szCs w:val="20"/>
              </w:rPr>
              <w:t>placebo+26) HR (99%-BI)</w:t>
            </w:r>
          </w:p>
        </w:tc>
        <w:tc>
          <w:tcPr>
            <w:tcW w:w="1170" w:type="dxa"/>
            <w:tcBorders>
              <w:left w:val="single" w:sz="4" w:space="0" w:color="auto"/>
              <w:right w:val="single" w:sz="4" w:space="0" w:color="auto"/>
            </w:tcBorders>
          </w:tcPr>
          <w:p w14:paraId="3C91FCB0" w14:textId="77777777" w:rsidR="00436DAA" w:rsidRPr="00330234" w:rsidRDefault="009B4B8E" w:rsidP="0037203A">
            <w:pPr>
              <w:pStyle w:val="TableParagraph"/>
              <w:keepNext/>
              <w:keepLines/>
              <w:widowControl/>
              <w:jc w:val="center"/>
              <w:rPr>
                <w:sz w:val="20"/>
                <w:szCs w:val="20"/>
              </w:rPr>
            </w:pPr>
            <w:r w:rsidRPr="00330234">
              <w:rPr>
                <w:sz w:val="20"/>
                <w:szCs w:val="20"/>
              </w:rPr>
              <w:t>N/A</w:t>
            </w:r>
          </w:p>
        </w:tc>
        <w:tc>
          <w:tcPr>
            <w:tcW w:w="1170" w:type="dxa"/>
            <w:tcBorders>
              <w:left w:val="single" w:sz="4" w:space="0" w:color="auto"/>
              <w:right w:val="single" w:sz="4" w:space="0" w:color="auto"/>
            </w:tcBorders>
          </w:tcPr>
          <w:p w14:paraId="4797BF1C" w14:textId="77777777" w:rsidR="00436DAA" w:rsidRPr="00330234" w:rsidRDefault="009B4B8E" w:rsidP="0037203A">
            <w:pPr>
              <w:pStyle w:val="TableParagraph"/>
              <w:keepNext/>
              <w:keepLines/>
              <w:widowControl/>
              <w:jc w:val="center"/>
              <w:rPr>
                <w:sz w:val="20"/>
                <w:szCs w:val="20"/>
              </w:rPr>
            </w:pPr>
            <w:r w:rsidRPr="00330234">
              <w:rPr>
                <w:sz w:val="20"/>
                <w:szCs w:val="20"/>
              </w:rPr>
              <w:t>N/A</w:t>
            </w:r>
          </w:p>
        </w:tc>
        <w:tc>
          <w:tcPr>
            <w:tcW w:w="1656" w:type="dxa"/>
            <w:tcBorders>
              <w:left w:val="single" w:sz="4" w:space="0" w:color="auto"/>
              <w:right w:val="single" w:sz="4" w:space="0" w:color="auto"/>
            </w:tcBorders>
          </w:tcPr>
          <w:p w14:paraId="238B607A" w14:textId="641165B8" w:rsidR="00436DAA" w:rsidRPr="00330234" w:rsidRDefault="009B4B8E" w:rsidP="0037203A">
            <w:pPr>
              <w:pStyle w:val="TableParagraph"/>
              <w:keepNext/>
              <w:keepLines/>
              <w:widowControl/>
              <w:jc w:val="center"/>
              <w:rPr>
                <w:sz w:val="20"/>
                <w:szCs w:val="20"/>
              </w:rPr>
            </w:pPr>
            <w:r w:rsidRPr="00330234">
              <w:rPr>
                <w:sz w:val="20"/>
                <w:szCs w:val="20"/>
              </w:rPr>
              <w:t>0,25*** (0,09</w:t>
            </w:r>
            <w:r w:rsidR="0037203A" w:rsidRPr="00330234">
              <w:rPr>
                <w:sz w:val="20"/>
                <w:szCs w:val="20"/>
              </w:rPr>
              <w:t> </w:t>
            </w:r>
            <w:r w:rsidRPr="00330234">
              <w:rPr>
                <w:sz w:val="20"/>
                <w:szCs w:val="20"/>
              </w:rPr>
              <w:t>;</w:t>
            </w:r>
            <w:r w:rsidR="0037203A" w:rsidRPr="00330234">
              <w:rPr>
                <w:sz w:val="20"/>
                <w:szCs w:val="20"/>
              </w:rPr>
              <w:t> </w:t>
            </w:r>
            <w:r w:rsidRPr="00330234">
              <w:rPr>
                <w:sz w:val="20"/>
                <w:szCs w:val="20"/>
              </w:rPr>
              <w:t>0,70)</w:t>
            </w:r>
          </w:p>
        </w:tc>
        <w:tc>
          <w:tcPr>
            <w:tcW w:w="1557" w:type="dxa"/>
            <w:tcBorders>
              <w:left w:val="single" w:sz="4" w:space="0" w:color="auto"/>
              <w:right w:val="single" w:sz="4" w:space="0" w:color="000000"/>
            </w:tcBorders>
          </w:tcPr>
          <w:p w14:paraId="3500F0DA" w14:textId="7BAA866E" w:rsidR="00436DAA" w:rsidRPr="00330234" w:rsidRDefault="009B4B8E" w:rsidP="0037203A">
            <w:pPr>
              <w:pStyle w:val="TableParagraph"/>
              <w:keepNext/>
              <w:keepLines/>
              <w:widowControl/>
              <w:jc w:val="center"/>
              <w:rPr>
                <w:sz w:val="20"/>
                <w:szCs w:val="20"/>
              </w:rPr>
            </w:pPr>
            <w:r w:rsidRPr="00330234">
              <w:rPr>
                <w:sz w:val="20"/>
                <w:szCs w:val="20"/>
              </w:rPr>
              <w:t>0,20*** (0,05</w:t>
            </w:r>
            <w:r w:rsidR="0037203A" w:rsidRPr="00330234">
              <w:rPr>
                <w:sz w:val="20"/>
                <w:szCs w:val="20"/>
              </w:rPr>
              <w:t> </w:t>
            </w:r>
            <w:r w:rsidRPr="00330234">
              <w:rPr>
                <w:sz w:val="20"/>
                <w:szCs w:val="20"/>
              </w:rPr>
              <w:t>;</w:t>
            </w:r>
            <w:r w:rsidR="0037203A" w:rsidRPr="00330234">
              <w:rPr>
                <w:sz w:val="20"/>
                <w:szCs w:val="20"/>
              </w:rPr>
              <w:t> </w:t>
            </w:r>
            <w:r w:rsidRPr="00330234">
              <w:rPr>
                <w:sz w:val="20"/>
                <w:szCs w:val="20"/>
              </w:rPr>
              <w:t>0,76)</w:t>
            </w:r>
          </w:p>
        </w:tc>
      </w:tr>
      <w:tr w:rsidR="00DE36C7" w:rsidRPr="00330234" w14:paraId="6105A5E2" w14:textId="77777777" w:rsidTr="00D72515">
        <w:trPr>
          <w:trHeight w:val="20"/>
        </w:trPr>
        <w:tc>
          <w:tcPr>
            <w:tcW w:w="3533" w:type="dxa"/>
            <w:tcBorders>
              <w:left w:val="single" w:sz="4" w:space="0" w:color="000000"/>
              <w:bottom w:val="single" w:sz="4" w:space="0" w:color="auto"/>
              <w:right w:val="single" w:sz="4" w:space="0" w:color="auto"/>
            </w:tcBorders>
          </w:tcPr>
          <w:p w14:paraId="1A44F753" w14:textId="0FDFA735" w:rsidR="0037203A" w:rsidRPr="00330234" w:rsidRDefault="0037203A" w:rsidP="0037203A">
            <w:pPr>
              <w:pStyle w:val="TableParagraph"/>
              <w:widowControl/>
              <w:rPr>
                <w:sz w:val="20"/>
                <w:szCs w:val="20"/>
              </w:rPr>
            </w:pPr>
            <w:r w:rsidRPr="00330234">
              <w:rPr>
                <w:sz w:val="20"/>
                <w:szCs w:val="20"/>
              </w:rPr>
              <w:t>Tijd tot eerste GCA ‘flare¹’ (beginnende patiënten; tocilizumabgroepen versus placebo +52) HR (99%-BI)</w:t>
            </w:r>
          </w:p>
        </w:tc>
        <w:tc>
          <w:tcPr>
            <w:tcW w:w="1170" w:type="dxa"/>
            <w:tcBorders>
              <w:left w:val="single" w:sz="4" w:space="0" w:color="auto"/>
              <w:right w:val="single" w:sz="4" w:space="0" w:color="auto"/>
            </w:tcBorders>
          </w:tcPr>
          <w:p w14:paraId="62D0EF90" w14:textId="77777777" w:rsidR="0037203A" w:rsidRPr="00330234" w:rsidRDefault="0037203A" w:rsidP="001F2891">
            <w:pPr>
              <w:pStyle w:val="TableParagraph"/>
              <w:widowControl/>
              <w:jc w:val="center"/>
              <w:rPr>
                <w:sz w:val="20"/>
                <w:szCs w:val="20"/>
              </w:rPr>
            </w:pPr>
            <w:r w:rsidRPr="00330234">
              <w:rPr>
                <w:sz w:val="20"/>
                <w:szCs w:val="20"/>
              </w:rPr>
              <w:t>N/A</w:t>
            </w:r>
          </w:p>
        </w:tc>
        <w:tc>
          <w:tcPr>
            <w:tcW w:w="1170" w:type="dxa"/>
            <w:tcBorders>
              <w:left w:val="single" w:sz="4" w:space="0" w:color="auto"/>
              <w:right w:val="single" w:sz="4" w:space="0" w:color="auto"/>
            </w:tcBorders>
          </w:tcPr>
          <w:p w14:paraId="0483494E" w14:textId="77777777" w:rsidR="0037203A" w:rsidRPr="00330234" w:rsidRDefault="0037203A" w:rsidP="001F2891">
            <w:pPr>
              <w:pStyle w:val="TableParagraph"/>
              <w:widowControl/>
              <w:jc w:val="center"/>
              <w:rPr>
                <w:sz w:val="20"/>
                <w:szCs w:val="20"/>
              </w:rPr>
            </w:pPr>
            <w:r w:rsidRPr="00330234">
              <w:rPr>
                <w:sz w:val="20"/>
                <w:szCs w:val="20"/>
              </w:rPr>
              <w:t>N/A</w:t>
            </w:r>
          </w:p>
        </w:tc>
        <w:tc>
          <w:tcPr>
            <w:tcW w:w="1656" w:type="dxa"/>
            <w:tcBorders>
              <w:left w:val="single" w:sz="4" w:space="0" w:color="auto"/>
              <w:right w:val="single" w:sz="4" w:space="0" w:color="auto"/>
            </w:tcBorders>
          </w:tcPr>
          <w:p w14:paraId="0664C67B" w14:textId="77777777" w:rsidR="0037203A" w:rsidRPr="00330234" w:rsidRDefault="0037203A" w:rsidP="001F2891">
            <w:pPr>
              <w:pStyle w:val="TableParagraph"/>
              <w:widowControl/>
              <w:jc w:val="center"/>
              <w:rPr>
                <w:sz w:val="20"/>
                <w:szCs w:val="20"/>
              </w:rPr>
            </w:pPr>
            <w:r w:rsidRPr="00330234">
              <w:rPr>
                <w:sz w:val="20"/>
                <w:szCs w:val="20"/>
              </w:rPr>
              <w:t>0,44</w:t>
            </w:r>
          </w:p>
          <w:p w14:paraId="3B9FE0CC" w14:textId="631F00A6" w:rsidR="0037203A" w:rsidRPr="00330234" w:rsidRDefault="0037203A" w:rsidP="001F2891">
            <w:pPr>
              <w:pStyle w:val="TableParagraph"/>
              <w:widowControl/>
              <w:jc w:val="center"/>
              <w:rPr>
                <w:sz w:val="20"/>
                <w:szCs w:val="20"/>
              </w:rPr>
            </w:pPr>
            <w:r w:rsidRPr="00330234">
              <w:rPr>
                <w:sz w:val="20"/>
                <w:szCs w:val="20"/>
              </w:rPr>
              <w:t>(0,14 ; 1,32)</w:t>
            </w:r>
          </w:p>
        </w:tc>
        <w:tc>
          <w:tcPr>
            <w:tcW w:w="1557" w:type="dxa"/>
            <w:tcBorders>
              <w:left w:val="single" w:sz="4" w:space="0" w:color="auto"/>
              <w:right w:val="single" w:sz="4" w:space="0" w:color="000000"/>
            </w:tcBorders>
          </w:tcPr>
          <w:p w14:paraId="724D1BED" w14:textId="77777777" w:rsidR="0037203A" w:rsidRPr="00330234" w:rsidRDefault="0037203A" w:rsidP="001F2891">
            <w:pPr>
              <w:pStyle w:val="TableParagraph"/>
              <w:widowControl/>
              <w:jc w:val="center"/>
              <w:rPr>
                <w:sz w:val="20"/>
                <w:szCs w:val="20"/>
              </w:rPr>
            </w:pPr>
            <w:r w:rsidRPr="00330234">
              <w:rPr>
                <w:sz w:val="20"/>
                <w:szCs w:val="20"/>
              </w:rPr>
              <w:t>0,35</w:t>
            </w:r>
          </w:p>
          <w:p w14:paraId="7F7FB312" w14:textId="13354464" w:rsidR="0037203A" w:rsidRPr="00330234" w:rsidRDefault="0037203A" w:rsidP="001F2891">
            <w:pPr>
              <w:pStyle w:val="TableParagraph"/>
              <w:widowControl/>
              <w:jc w:val="center"/>
              <w:rPr>
                <w:sz w:val="20"/>
                <w:szCs w:val="20"/>
              </w:rPr>
            </w:pPr>
            <w:r w:rsidRPr="00330234">
              <w:rPr>
                <w:sz w:val="20"/>
                <w:szCs w:val="20"/>
              </w:rPr>
              <w:t>(0,09 ; 1,42)</w:t>
            </w:r>
          </w:p>
        </w:tc>
      </w:tr>
      <w:tr w:rsidR="00DE36C7" w:rsidRPr="00330234" w14:paraId="0CBB9C01" w14:textId="77777777" w:rsidTr="00D72515">
        <w:trPr>
          <w:trHeight w:val="20"/>
        </w:trPr>
        <w:tc>
          <w:tcPr>
            <w:tcW w:w="3533" w:type="dxa"/>
            <w:tcBorders>
              <w:top w:val="single" w:sz="4" w:space="0" w:color="auto"/>
              <w:left w:val="single" w:sz="4" w:space="0" w:color="000000"/>
              <w:bottom w:val="single" w:sz="4" w:space="0" w:color="000000"/>
              <w:right w:val="single" w:sz="4" w:space="0" w:color="auto"/>
            </w:tcBorders>
          </w:tcPr>
          <w:p w14:paraId="435483C0" w14:textId="77777777" w:rsidR="00987AB9" w:rsidRPr="00330234" w:rsidRDefault="009B4B8E" w:rsidP="00987AB9">
            <w:pPr>
              <w:pStyle w:val="TableParagraph"/>
              <w:widowControl/>
              <w:rPr>
                <w:sz w:val="20"/>
                <w:szCs w:val="20"/>
              </w:rPr>
            </w:pPr>
            <w:r w:rsidRPr="00330234">
              <w:rPr>
                <w:sz w:val="20"/>
                <w:szCs w:val="20"/>
              </w:rPr>
              <w:t>Cumulatieve glucocorticoïdedosis (mg)</w:t>
            </w:r>
          </w:p>
          <w:p w14:paraId="2AE21558" w14:textId="45896780" w:rsidR="00436DAA" w:rsidRPr="00330234" w:rsidRDefault="009B4B8E" w:rsidP="0037203A">
            <w:pPr>
              <w:pStyle w:val="TableParagraph"/>
              <w:widowControl/>
              <w:ind w:left="284"/>
              <w:rPr>
                <w:sz w:val="20"/>
                <w:szCs w:val="20"/>
              </w:rPr>
            </w:pPr>
            <w:r w:rsidRPr="00330234">
              <w:rPr>
                <w:sz w:val="20"/>
                <w:szCs w:val="20"/>
              </w:rPr>
              <w:t>mediaan in week 52 (tocilizumabgroepen versus placebo+26</w:t>
            </w:r>
            <w:r w:rsidRPr="00330234">
              <w:rPr>
                <w:sz w:val="20"/>
                <w:szCs w:val="20"/>
                <w:vertAlign w:val="superscript"/>
              </w:rPr>
              <w:t>2</w:t>
            </w:r>
            <w:r w:rsidRPr="00330234">
              <w:rPr>
                <w:sz w:val="20"/>
                <w:szCs w:val="20"/>
              </w:rPr>
              <w:t>)</w:t>
            </w:r>
          </w:p>
          <w:p w14:paraId="3E598CFD" w14:textId="77777777" w:rsidR="00436DAA" w:rsidRPr="00330234" w:rsidRDefault="009B4B8E" w:rsidP="0037203A">
            <w:pPr>
              <w:pStyle w:val="TableParagraph"/>
              <w:widowControl/>
              <w:ind w:left="284"/>
              <w:rPr>
                <w:sz w:val="20"/>
                <w:szCs w:val="20"/>
              </w:rPr>
            </w:pPr>
            <w:r w:rsidRPr="00330234">
              <w:rPr>
                <w:sz w:val="20"/>
                <w:szCs w:val="20"/>
              </w:rPr>
              <w:t>mediaan in week 52 (tocilizumabgroepen versus</w:t>
            </w:r>
          </w:p>
          <w:p w14:paraId="0C828C59" w14:textId="77777777" w:rsidR="00436DAA" w:rsidRPr="00330234" w:rsidRDefault="009B4B8E" w:rsidP="0037203A">
            <w:pPr>
              <w:pStyle w:val="TableParagraph"/>
              <w:widowControl/>
              <w:ind w:left="284"/>
              <w:rPr>
                <w:sz w:val="20"/>
                <w:szCs w:val="20"/>
              </w:rPr>
            </w:pPr>
            <w:r w:rsidRPr="00330234">
              <w:rPr>
                <w:sz w:val="20"/>
                <w:szCs w:val="20"/>
              </w:rPr>
              <w:t>placebo +52</w:t>
            </w:r>
            <w:r w:rsidRPr="00330234">
              <w:rPr>
                <w:sz w:val="20"/>
                <w:szCs w:val="20"/>
                <w:vertAlign w:val="superscript"/>
              </w:rPr>
              <w:t>2</w:t>
            </w:r>
            <w:r w:rsidRPr="00330234">
              <w:rPr>
                <w:sz w:val="20"/>
                <w:szCs w:val="20"/>
              </w:rPr>
              <w:t>)</w:t>
            </w:r>
          </w:p>
        </w:tc>
        <w:tc>
          <w:tcPr>
            <w:tcW w:w="1170" w:type="dxa"/>
            <w:tcBorders>
              <w:top w:val="single" w:sz="4" w:space="0" w:color="auto"/>
              <w:left w:val="single" w:sz="4" w:space="0" w:color="auto"/>
              <w:bottom w:val="single" w:sz="4" w:space="0" w:color="000000"/>
              <w:right w:val="single" w:sz="4" w:space="0" w:color="auto"/>
            </w:tcBorders>
          </w:tcPr>
          <w:p w14:paraId="074EDBEC" w14:textId="77777777" w:rsidR="00436DAA" w:rsidRPr="00330234" w:rsidRDefault="00436DAA" w:rsidP="001F2891">
            <w:pPr>
              <w:pStyle w:val="TableParagraph"/>
              <w:widowControl/>
              <w:jc w:val="center"/>
              <w:rPr>
                <w:iCs/>
                <w:sz w:val="20"/>
                <w:szCs w:val="20"/>
              </w:rPr>
            </w:pPr>
          </w:p>
          <w:p w14:paraId="6A3803E5" w14:textId="77777777" w:rsidR="0037203A" w:rsidRPr="00330234" w:rsidRDefault="0037203A" w:rsidP="001F2891">
            <w:pPr>
              <w:pStyle w:val="TableParagraph"/>
              <w:widowControl/>
              <w:jc w:val="center"/>
              <w:rPr>
                <w:iCs/>
                <w:sz w:val="20"/>
                <w:szCs w:val="20"/>
              </w:rPr>
            </w:pPr>
          </w:p>
          <w:p w14:paraId="775798F0" w14:textId="77777777" w:rsidR="00436DAA" w:rsidRPr="00330234" w:rsidRDefault="009B4B8E" w:rsidP="001F2891">
            <w:pPr>
              <w:pStyle w:val="TableParagraph"/>
              <w:widowControl/>
              <w:jc w:val="center"/>
              <w:rPr>
                <w:sz w:val="20"/>
                <w:szCs w:val="20"/>
              </w:rPr>
            </w:pPr>
            <w:r w:rsidRPr="00330234">
              <w:rPr>
                <w:sz w:val="20"/>
                <w:szCs w:val="20"/>
              </w:rPr>
              <w:t>3296,00</w:t>
            </w:r>
          </w:p>
          <w:p w14:paraId="769335D5" w14:textId="77777777" w:rsidR="00436DAA" w:rsidRPr="00330234" w:rsidRDefault="00436DAA" w:rsidP="001F2891">
            <w:pPr>
              <w:pStyle w:val="TableParagraph"/>
              <w:widowControl/>
              <w:jc w:val="center"/>
              <w:rPr>
                <w:iCs/>
                <w:sz w:val="20"/>
                <w:szCs w:val="20"/>
              </w:rPr>
            </w:pPr>
          </w:p>
          <w:p w14:paraId="09EB8A25" w14:textId="77777777" w:rsidR="0037203A" w:rsidRPr="00330234" w:rsidRDefault="0037203A" w:rsidP="001F2891">
            <w:pPr>
              <w:pStyle w:val="TableParagraph"/>
              <w:widowControl/>
              <w:jc w:val="center"/>
              <w:rPr>
                <w:iCs/>
                <w:sz w:val="20"/>
                <w:szCs w:val="20"/>
              </w:rPr>
            </w:pPr>
          </w:p>
          <w:p w14:paraId="088515F5" w14:textId="77777777" w:rsidR="00436DAA" w:rsidRPr="00330234" w:rsidRDefault="009B4B8E" w:rsidP="001F2891">
            <w:pPr>
              <w:pStyle w:val="TableParagraph"/>
              <w:widowControl/>
              <w:jc w:val="center"/>
              <w:rPr>
                <w:sz w:val="20"/>
                <w:szCs w:val="20"/>
              </w:rPr>
            </w:pPr>
            <w:r w:rsidRPr="00330234">
              <w:rPr>
                <w:sz w:val="20"/>
                <w:szCs w:val="20"/>
              </w:rPr>
              <w:t>N/A</w:t>
            </w:r>
          </w:p>
        </w:tc>
        <w:tc>
          <w:tcPr>
            <w:tcW w:w="1170" w:type="dxa"/>
            <w:tcBorders>
              <w:top w:val="single" w:sz="4" w:space="0" w:color="auto"/>
              <w:left w:val="single" w:sz="4" w:space="0" w:color="auto"/>
              <w:bottom w:val="single" w:sz="4" w:space="0" w:color="000000"/>
              <w:right w:val="single" w:sz="4" w:space="0" w:color="auto"/>
            </w:tcBorders>
          </w:tcPr>
          <w:p w14:paraId="74A808EE" w14:textId="77777777" w:rsidR="00436DAA" w:rsidRPr="00330234" w:rsidRDefault="00436DAA" w:rsidP="001F2891">
            <w:pPr>
              <w:pStyle w:val="TableParagraph"/>
              <w:widowControl/>
              <w:jc w:val="center"/>
              <w:rPr>
                <w:iCs/>
                <w:sz w:val="20"/>
                <w:szCs w:val="20"/>
              </w:rPr>
            </w:pPr>
          </w:p>
          <w:p w14:paraId="7981B60A" w14:textId="77777777" w:rsidR="0037203A" w:rsidRPr="00330234" w:rsidRDefault="0037203A" w:rsidP="001F2891">
            <w:pPr>
              <w:pStyle w:val="TableParagraph"/>
              <w:widowControl/>
              <w:jc w:val="center"/>
              <w:rPr>
                <w:iCs/>
                <w:sz w:val="20"/>
                <w:szCs w:val="20"/>
              </w:rPr>
            </w:pPr>
          </w:p>
          <w:p w14:paraId="647FA0DF" w14:textId="77777777" w:rsidR="0037203A" w:rsidRPr="00330234" w:rsidRDefault="009B4B8E" w:rsidP="001F2891">
            <w:pPr>
              <w:pStyle w:val="TableParagraph"/>
              <w:widowControl/>
              <w:jc w:val="center"/>
              <w:rPr>
                <w:sz w:val="20"/>
                <w:szCs w:val="20"/>
              </w:rPr>
            </w:pPr>
            <w:r w:rsidRPr="00330234">
              <w:rPr>
                <w:sz w:val="20"/>
                <w:szCs w:val="20"/>
              </w:rPr>
              <w:t>N/A</w:t>
            </w:r>
          </w:p>
          <w:p w14:paraId="5C2EFC6F" w14:textId="77777777" w:rsidR="0037203A" w:rsidRPr="00330234" w:rsidRDefault="0037203A" w:rsidP="001F2891">
            <w:pPr>
              <w:pStyle w:val="TableParagraph"/>
              <w:widowControl/>
              <w:jc w:val="center"/>
              <w:rPr>
                <w:i/>
                <w:iCs/>
                <w:sz w:val="20"/>
                <w:szCs w:val="20"/>
              </w:rPr>
            </w:pPr>
          </w:p>
          <w:p w14:paraId="4CC7410C" w14:textId="77777777" w:rsidR="0037203A" w:rsidRPr="00330234" w:rsidRDefault="0037203A" w:rsidP="001F2891">
            <w:pPr>
              <w:pStyle w:val="TableParagraph"/>
              <w:widowControl/>
              <w:jc w:val="center"/>
              <w:rPr>
                <w:i/>
                <w:iCs/>
                <w:sz w:val="20"/>
                <w:szCs w:val="20"/>
              </w:rPr>
            </w:pPr>
          </w:p>
          <w:p w14:paraId="6D6B83C0" w14:textId="0F4B70B1" w:rsidR="00436DAA" w:rsidRPr="00330234" w:rsidRDefault="009B4B8E" w:rsidP="001F2891">
            <w:pPr>
              <w:pStyle w:val="TableParagraph"/>
              <w:widowControl/>
              <w:jc w:val="center"/>
              <w:rPr>
                <w:sz w:val="20"/>
                <w:szCs w:val="20"/>
              </w:rPr>
            </w:pPr>
            <w:r w:rsidRPr="00330234">
              <w:rPr>
                <w:sz w:val="20"/>
                <w:szCs w:val="20"/>
              </w:rPr>
              <w:t>3817,50</w:t>
            </w:r>
          </w:p>
        </w:tc>
        <w:tc>
          <w:tcPr>
            <w:tcW w:w="1656" w:type="dxa"/>
            <w:tcBorders>
              <w:top w:val="single" w:sz="4" w:space="0" w:color="auto"/>
              <w:left w:val="single" w:sz="4" w:space="0" w:color="auto"/>
              <w:bottom w:val="single" w:sz="4" w:space="0" w:color="000000"/>
              <w:right w:val="single" w:sz="4" w:space="0" w:color="auto"/>
            </w:tcBorders>
          </w:tcPr>
          <w:p w14:paraId="50AA4F2A" w14:textId="77777777" w:rsidR="00436DAA" w:rsidRPr="00330234" w:rsidRDefault="00436DAA" w:rsidP="001F2891">
            <w:pPr>
              <w:pStyle w:val="TableParagraph"/>
              <w:widowControl/>
              <w:jc w:val="center"/>
              <w:rPr>
                <w:iCs/>
                <w:sz w:val="20"/>
                <w:szCs w:val="20"/>
              </w:rPr>
            </w:pPr>
          </w:p>
          <w:p w14:paraId="42A2CCDF" w14:textId="77777777" w:rsidR="0037203A" w:rsidRPr="00330234" w:rsidRDefault="0037203A" w:rsidP="001F2891">
            <w:pPr>
              <w:pStyle w:val="TableParagraph"/>
              <w:widowControl/>
              <w:jc w:val="center"/>
              <w:rPr>
                <w:iCs/>
                <w:sz w:val="20"/>
                <w:szCs w:val="20"/>
              </w:rPr>
            </w:pPr>
          </w:p>
          <w:p w14:paraId="30ABE62F" w14:textId="77777777" w:rsidR="00436DAA" w:rsidRPr="00330234" w:rsidRDefault="009B4B8E" w:rsidP="001F2891">
            <w:pPr>
              <w:pStyle w:val="TableParagraph"/>
              <w:widowControl/>
              <w:jc w:val="center"/>
              <w:rPr>
                <w:sz w:val="20"/>
                <w:szCs w:val="20"/>
              </w:rPr>
            </w:pPr>
            <w:r w:rsidRPr="00330234">
              <w:rPr>
                <w:sz w:val="20"/>
                <w:szCs w:val="20"/>
              </w:rPr>
              <w:t>1862,00*</w:t>
            </w:r>
          </w:p>
          <w:p w14:paraId="7DCBE50F" w14:textId="77777777" w:rsidR="0037203A" w:rsidRPr="00330234" w:rsidRDefault="0037203A" w:rsidP="001F2891">
            <w:pPr>
              <w:pStyle w:val="TableParagraph"/>
              <w:widowControl/>
              <w:jc w:val="center"/>
              <w:rPr>
                <w:iCs/>
                <w:sz w:val="20"/>
                <w:szCs w:val="20"/>
              </w:rPr>
            </w:pPr>
          </w:p>
          <w:p w14:paraId="58C4A459" w14:textId="77777777" w:rsidR="0037203A" w:rsidRPr="00330234" w:rsidRDefault="0037203A" w:rsidP="001F2891">
            <w:pPr>
              <w:pStyle w:val="TableParagraph"/>
              <w:widowControl/>
              <w:jc w:val="center"/>
              <w:rPr>
                <w:iCs/>
                <w:sz w:val="20"/>
                <w:szCs w:val="20"/>
              </w:rPr>
            </w:pPr>
          </w:p>
          <w:p w14:paraId="1EA870F3" w14:textId="77777777" w:rsidR="00436DAA" w:rsidRPr="00330234" w:rsidRDefault="009B4B8E" w:rsidP="001F2891">
            <w:pPr>
              <w:pStyle w:val="TableParagraph"/>
              <w:widowControl/>
              <w:jc w:val="center"/>
              <w:rPr>
                <w:sz w:val="20"/>
                <w:szCs w:val="20"/>
              </w:rPr>
            </w:pPr>
            <w:r w:rsidRPr="00330234">
              <w:rPr>
                <w:sz w:val="20"/>
                <w:szCs w:val="20"/>
              </w:rPr>
              <w:t>1862,00*</w:t>
            </w:r>
          </w:p>
        </w:tc>
        <w:tc>
          <w:tcPr>
            <w:tcW w:w="1557" w:type="dxa"/>
            <w:tcBorders>
              <w:top w:val="single" w:sz="4" w:space="0" w:color="auto"/>
              <w:left w:val="single" w:sz="4" w:space="0" w:color="auto"/>
              <w:bottom w:val="single" w:sz="4" w:space="0" w:color="000000"/>
              <w:right w:val="single" w:sz="4" w:space="0" w:color="000000"/>
            </w:tcBorders>
          </w:tcPr>
          <w:p w14:paraId="3F01E235" w14:textId="77777777" w:rsidR="00436DAA" w:rsidRPr="00330234" w:rsidRDefault="00436DAA" w:rsidP="001F2891">
            <w:pPr>
              <w:pStyle w:val="TableParagraph"/>
              <w:widowControl/>
              <w:jc w:val="center"/>
              <w:rPr>
                <w:iCs/>
                <w:sz w:val="20"/>
                <w:szCs w:val="20"/>
              </w:rPr>
            </w:pPr>
          </w:p>
          <w:p w14:paraId="0CB0DD55" w14:textId="77777777" w:rsidR="0037203A" w:rsidRPr="00330234" w:rsidRDefault="0037203A" w:rsidP="001F2891">
            <w:pPr>
              <w:pStyle w:val="TableParagraph"/>
              <w:widowControl/>
              <w:jc w:val="center"/>
              <w:rPr>
                <w:iCs/>
                <w:sz w:val="20"/>
                <w:szCs w:val="20"/>
              </w:rPr>
            </w:pPr>
          </w:p>
          <w:p w14:paraId="464FF37B" w14:textId="77777777" w:rsidR="00436DAA" w:rsidRPr="00330234" w:rsidRDefault="009B4B8E" w:rsidP="001F2891">
            <w:pPr>
              <w:pStyle w:val="TableParagraph"/>
              <w:widowControl/>
              <w:jc w:val="center"/>
              <w:rPr>
                <w:sz w:val="20"/>
                <w:szCs w:val="20"/>
              </w:rPr>
            </w:pPr>
            <w:r w:rsidRPr="00330234">
              <w:rPr>
                <w:sz w:val="20"/>
                <w:szCs w:val="20"/>
              </w:rPr>
              <w:t>1862,00*</w:t>
            </w:r>
          </w:p>
          <w:p w14:paraId="1454A4F5" w14:textId="77777777" w:rsidR="0037203A" w:rsidRPr="00330234" w:rsidRDefault="0037203A" w:rsidP="001F2891">
            <w:pPr>
              <w:pStyle w:val="TableParagraph"/>
              <w:widowControl/>
              <w:jc w:val="center"/>
              <w:rPr>
                <w:iCs/>
                <w:sz w:val="20"/>
                <w:szCs w:val="20"/>
              </w:rPr>
            </w:pPr>
          </w:p>
          <w:p w14:paraId="240C4731" w14:textId="77777777" w:rsidR="0037203A" w:rsidRPr="00330234" w:rsidRDefault="0037203A" w:rsidP="001F2891">
            <w:pPr>
              <w:pStyle w:val="TableParagraph"/>
              <w:widowControl/>
              <w:jc w:val="center"/>
              <w:rPr>
                <w:iCs/>
                <w:sz w:val="20"/>
                <w:szCs w:val="20"/>
              </w:rPr>
            </w:pPr>
          </w:p>
          <w:p w14:paraId="20698FBA" w14:textId="77777777" w:rsidR="00436DAA" w:rsidRPr="00330234" w:rsidRDefault="009B4B8E" w:rsidP="001F2891">
            <w:pPr>
              <w:pStyle w:val="TableParagraph"/>
              <w:widowControl/>
              <w:jc w:val="center"/>
              <w:rPr>
                <w:sz w:val="20"/>
                <w:szCs w:val="20"/>
              </w:rPr>
            </w:pPr>
            <w:r w:rsidRPr="00330234">
              <w:rPr>
                <w:sz w:val="20"/>
                <w:szCs w:val="20"/>
              </w:rPr>
              <w:t>1862,00*</w:t>
            </w:r>
          </w:p>
        </w:tc>
      </w:tr>
      <w:tr w:rsidR="00436DAA" w:rsidRPr="00330234" w14:paraId="2E74B5DA" w14:textId="77777777" w:rsidTr="001B3E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9086" w:type="dxa"/>
            <w:gridSpan w:val="5"/>
            <w:tcBorders>
              <w:bottom w:val="single" w:sz="4" w:space="0" w:color="auto"/>
            </w:tcBorders>
          </w:tcPr>
          <w:p w14:paraId="177CEBF4" w14:textId="77777777" w:rsidR="00436DAA" w:rsidRPr="00330234" w:rsidRDefault="009B4B8E" w:rsidP="00BD109B">
            <w:pPr>
              <w:pStyle w:val="TableParagraph"/>
              <w:widowControl/>
              <w:rPr>
                <w:b/>
                <w:sz w:val="20"/>
                <w:szCs w:val="20"/>
              </w:rPr>
            </w:pPr>
            <w:r w:rsidRPr="00330234">
              <w:rPr>
                <w:b/>
                <w:sz w:val="20"/>
                <w:szCs w:val="20"/>
              </w:rPr>
              <w:t>Verkennende eindpunten</w:t>
            </w:r>
          </w:p>
        </w:tc>
      </w:tr>
      <w:tr w:rsidR="00DE36C7" w:rsidRPr="00330234" w14:paraId="7DAADA94" w14:textId="77777777" w:rsidTr="00D725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3533" w:type="dxa"/>
            <w:tcBorders>
              <w:top w:val="single" w:sz="4" w:space="0" w:color="auto"/>
              <w:left w:val="single" w:sz="4" w:space="0" w:color="auto"/>
              <w:bottom w:val="single" w:sz="4" w:space="0" w:color="auto"/>
              <w:right w:val="single" w:sz="4" w:space="0" w:color="auto"/>
            </w:tcBorders>
          </w:tcPr>
          <w:p w14:paraId="4E71273D" w14:textId="77777777" w:rsidR="00436DAA" w:rsidRPr="00330234" w:rsidRDefault="009B4B8E" w:rsidP="00BD109B">
            <w:pPr>
              <w:pStyle w:val="TableParagraph"/>
              <w:widowControl/>
              <w:rPr>
                <w:sz w:val="20"/>
                <w:szCs w:val="20"/>
              </w:rPr>
            </w:pPr>
            <w:r w:rsidRPr="00330234">
              <w:rPr>
                <w:sz w:val="20"/>
                <w:szCs w:val="20"/>
              </w:rPr>
              <w:t>Jaarlijkse voorkomen relapse, week 52</w:t>
            </w:r>
            <w:r w:rsidRPr="00330234">
              <w:rPr>
                <w:sz w:val="20"/>
                <w:szCs w:val="20"/>
                <w:vertAlign w:val="superscript"/>
              </w:rPr>
              <w:t>§</w:t>
            </w:r>
            <w:r w:rsidRPr="00330234">
              <w:rPr>
                <w:sz w:val="20"/>
                <w:szCs w:val="20"/>
              </w:rPr>
              <w:t xml:space="preserve"> Gemiddelde (SD)</w:t>
            </w:r>
          </w:p>
        </w:tc>
        <w:tc>
          <w:tcPr>
            <w:tcW w:w="1170" w:type="dxa"/>
            <w:tcBorders>
              <w:top w:val="single" w:sz="4" w:space="0" w:color="auto"/>
              <w:left w:val="single" w:sz="4" w:space="0" w:color="auto"/>
              <w:bottom w:val="single" w:sz="4" w:space="0" w:color="auto"/>
              <w:right w:val="single" w:sz="4" w:space="0" w:color="auto"/>
            </w:tcBorders>
            <w:vAlign w:val="bottom"/>
          </w:tcPr>
          <w:p w14:paraId="70242DE0" w14:textId="77777777" w:rsidR="00436DAA" w:rsidRPr="00330234" w:rsidRDefault="009B4B8E" w:rsidP="00987AB9">
            <w:pPr>
              <w:pStyle w:val="TableParagraph"/>
              <w:widowControl/>
              <w:jc w:val="center"/>
              <w:rPr>
                <w:sz w:val="20"/>
                <w:szCs w:val="20"/>
              </w:rPr>
            </w:pPr>
            <w:r w:rsidRPr="00330234">
              <w:rPr>
                <w:sz w:val="20"/>
                <w:szCs w:val="20"/>
              </w:rPr>
              <w:t>1,74 (2,18)</w:t>
            </w:r>
          </w:p>
        </w:tc>
        <w:tc>
          <w:tcPr>
            <w:tcW w:w="1170" w:type="dxa"/>
            <w:tcBorders>
              <w:top w:val="single" w:sz="4" w:space="0" w:color="auto"/>
              <w:left w:val="single" w:sz="4" w:space="0" w:color="auto"/>
              <w:bottom w:val="single" w:sz="4" w:space="0" w:color="auto"/>
              <w:right w:val="single" w:sz="4" w:space="0" w:color="auto"/>
            </w:tcBorders>
            <w:vAlign w:val="bottom"/>
          </w:tcPr>
          <w:p w14:paraId="37625677" w14:textId="77777777" w:rsidR="00436DAA" w:rsidRPr="00330234" w:rsidRDefault="009B4B8E" w:rsidP="00987AB9">
            <w:pPr>
              <w:pStyle w:val="TableParagraph"/>
              <w:widowControl/>
              <w:jc w:val="center"/>
              <w:rPr>
                <w:sz w:val="20"/>
                <w:szCs w:val="20"/>
              </w:rPr>
            </w:pPr>
            <w:r w:rsidRPr="00330234">
              <w:rPr>
                <w:sz w:val="20"/>
                <w:szCs w:val="20"/>
              </w:rPr>
              <w:t>1,30 (1,84)</w:t>
            </w:r>
          </w:p>
        </w:tc>
        <w:tc>
          <w:tcPr>
            <w:tcW w:w="1656" w:type="dxa"/>
            <w:tcBorders>
              <w:top w:val="single" w:sz="4" w:space="0" w:color="auto"/>
              <w:left w:val="single" w:sz="4" w:space="0" w:color="auto"/>
              <w:bottom w:val="single" w:sz="4" w:space="0" w:color="auto"/>
              <w:right w:val="single" w:sz="4" w:space="0" w:color="auto"/>
            </w:tcBorders>
            <w:vAlign w:val="bottom"/>
          </w:tcPr>
          <w:p w14:paraId="406D1989" w14:textId="77777777" w:rsidR="00436DAA" w:rsidRPr="00330234" w:rsidRDefault="009B4B8E" w:rsidP="00987AB9">
            <w:pPr>
              <w:pStyle w:val="TableParagraph"/>
              <w:widowControl/>
              <w:jc w:val="center"/>
              <w:rPr>
                <w:sz w:val="20"/>
                <w:szCs w:val="20"/>
              </w:rPr>
            </w:pPr>
            <w:r w:rsidRPr="00330234">
              <w:rPr>
                <w:sz w:val="20"/>
                <w:szCs w:val="20"/>
              </w:rPr>
              <w:t>0,41 (0,78)</w:t>
            </w:r>
          </w:p>
        </w:tc>
        <w:tc>
          <w:tcPr>
            <w:tcW w:w="1557" w:type="dxa"/>
            <w:tcBorders>
              <w:top w:val="single" w:sz="4" w:space="0" w:color="auto"/>
              <w:left w:val="single" w:sz="4" w:space="0" w:color="auto"/>
              <w:bottom w:val="single" w:sz="4" w:space="0" w:color="auto"/>
              <w:right w:val="single" w:sz="4" w:space="0" w:color="auto"/>
            </w:tcBorders>
            <w:vAlign w:val="bottom"/>
          </w:tcPr>
          <w:p w14:paraId="2FFC508C" w14:textId="77777777" w:rsidR="00436DAA" w:rsidRPr="00330234" w:rsidRDefault="009B4B8E" w:rsidP="00987AB9">
            <w:pPr>
              <w:pStyle w:val="TableParagraph"/>
              <w:widowControl/>
              <w:jc w:val="center"/>
              <w:rPr>
                <w:sz w:val="20"/>
                <w:szCs w:val="20"/>
              </w:rPr>
            </w:pPr>
            <w:r w:rsidRPr="00330234">
              <w:rPr>
                <w:sz w:val="20"/>
                <w:szCs w:val="20"/>
              </w:rPr>
              <w:t>0,67 (1,10)</w:t>
            </w:r>
          </w:p>
        </w:tc>
      </w:tr>
    </w:tbl>
    <w:p w14:paraId="1E906A29" w14:textId="68761CC8" w:rsidR="00436DAA" w:rsidRPr="00330234" w:rsidRDefault="009B4B8E" w:rsidP="0037203A">
      <w:pPr>
        <w:widowControl/>
        <w:ind w:left="284" w:hanging="284"/>
        <w:rPr>
          <w:sz w:val="18"/>
          <w:szCs w:val="18"/>
        </w:rPr>
      </w:pPr>
      <w:r w:rsidRPr="00330234">
        <w:rPr>
          <w:sz w:val="18"/>
          <w:szCs w:val="18"/>
        </w:rPr>
        <w:t>*</w:t>
      </w:r>
      <w:r w:rsidR="0037203A" w:rsidRPr="00330234">
        <w:rPr>
          <w:sz w:val="18"/>
          <w:szCs w:val="18"/>
        </w:rPr>
        <w:tab/>
      </w:r>
      <w:r w:rsidRPr="00330234">
        <w:rPr>
          <w:sz w:val="18"/>
          <w:szCs w:val="18"/>
        </w:rPr>
        <w:t>p&lt; 0,0001</w:t>
      </w:r>
    </w:p>
    <w:p w14:paraId="25456D41" w14:textId="5C5BA689" w:rsidR="00436DAA" w:rsidRPr="00330234" w:rsidRDefault="009B4B8E" w:rsidP="0037203A">
      <w:pPr>
        <w:widowControl/>
        <w:ind w:left="284" w:hanging="284"/>
        <w:rPr>
          <w:sz w:val="18"/>
          <w:szCs w:val="18"/>
        </w:rPr>
      </w:pPr>
      <w:r w:rsidRPr="00330234">
        <w:rPr>
          <w:sz w:val="18"/>
          <w:szCs w:val="18"/>
        </w:rPr>
        <w:t>**</w:t>
      </w:r>
      <w:r w:rsidR="0037203A" w:rsidRPr="00330234">
        <w:rPr>
          <w:sz w:val="18"/>
          <w:szCs w:val="18"/>
        </w:rPr>
        <w:tab/>
      </w:r>
      <w:r w:rsidRPr="00330234">
        <w:rPr>
          <w:sz w:val="18"/>
          <w:szCs w:val="18"/>
        </w:rPr>
        <w:t>p&lt; 0,005 (drempelwaarde voor significantie van primaire en belangrijke secundaire testen van superioriteit)</w:t>
      </w:r>
    </w:p>
    <w:p w14:paraId="737D1F97" w14:textId="720B46E5" w:rsidR="00436DAA" w:rsidRPr="00330234" w:rsidRDefault="009B4B8E" w:rsidP="0037203A">
      <w:pPr>
        <w:widowControl/>
        <w:ind w:left="284" w:hanging="284"/>
        <w:rPr>
          <w:sz w:val="18"/>
          <w:szCs w:val="18"/>
        </w:rPr>
      </w:pPr>
      <w:r w:rsidRPr="00330234">
        <w:rPr>
          <w:sz w:val="18"/>
          <w:szCs w:val="18"/>
        </w:rPr>
        <w:t>***</w:t>
      </w:r>
      <w:r w:rsidR="0037203A" w:rsidRPr="00330234">
        <w:rPr>
          <w:sz w:val="18"/>
          <w:szCs w:val="18"/>
        </w:rPr>
        <w:tab/>
      </w:r>
      <w:r w:rsidRPr="00330234">
        <w:rPr>
          <w:sz w:val="18"/>
          <w:szCs w:val="18"/>
        </w:rPr>
        <w:t>Beschrijvende p-waarde &lt; 0,005</w:t>
      </w:r>
    </w:p>
    <w:p w14:paraId="2231E0EA" w14:textId="1378858D" w:rsidR="00436DAA" w:rsidRPr="00330234" w:rsidRDefault="009B4B8E" w:rsidP="00AB22A7">
      <w:pPr>
        <w:widowControl/>
        <w:rPr>
          <w:sz w:val="18"/>
          <w:szCs w:val="18"/>
        </w:rPr>
      </w:pPr>
      <w:r w:rsidRPr="00330234">
        <w:rPr>
          <w:sz w:val="18"/>
          <w:szCs w:val="18"/>
        </w:rPr>
        <w:t>****</w:t>
      </w:r>
      <w:r w:rsidR="00987AB9" w:rsidRPr="00330234">
        <w:rPr>
          <w:sz w:val="18"/>
          <w:szCs w:val="18"/>
        </w:rPr>
        <w:t xml:space="preserve"> </w:t>
      </w:r>
      <w:r w:rsidRPr="00330234">
        <w:rPr>
          <w:bCs/>
          <w:sz w:val="18"/>
          <w:szCs w:val="18"/>
        </w:rPr>
        <w:t>‘</w:t>
      </w:r>
      <w:r w:rsidRPr="00330234">
        <w:rPr>
          <w:sz w:val="18"/>
          <w:szCs w:val="18"/>
        </w:rPr>
        <w:t>Flare’: terugkeren van GCA-klachten of verschijnselen en/of ESR &gt;30 mm/uur - Verhoging van prednisondosis benodigd. Remissie: afwezigheid van ‘flare’ en normalisering van CRP. Aanhoudende remissie: remissie van week 12 tot week 52 - Patiënten moeten zich houden aan de in het protocol gedefinieerde afbouwende prednisonbehandeling</w:t>
      </w:r>
    </w:p>
    <w:p w14:paraId="6E8E2AA0" w14:textId="4AD5E386" w:rsidR="00436DAA" w:rsidRPr="00330234" w:rsidRDefault="009B4B8E" w:rsidP="0037203A">
      <w:pPr>
        <w:widowControl/>
        <w:ind w:left="284" w:hanging="284"/>
        <w:rPr>
          <w:sz w:val="18"/>
          <w:szCs w:val="18"/>
        </w:rPr>
      </w:pPr>
      <w:r w:rsidRPr="00330234">
        <w:rPr>
          <w:sz w:val="18"/>
          <w:szCs w:val="18"/>
          <w:vertAlign w:val="superscript"/>
        </w:rPr>
        <w:t>1</w:t>
      </w:r>
      <w:r w:rsidR="0037203A" w:rsidRPr="00330234">
        <w:rPr>
          <w:sz w:val="18"/>
          <w:szCs w:val="18"/>
        </w:rPr>
        <w:tab/>
      </w:r>
      <w:r w:rsidRPr="00330234">
        <w:rPr>
          <w:sz w:val="18"/>
          <w:szCs w:val="18"/>
        </w:rPr>
        <w:t>analyse van de tijd (in dagen) tussen klinische remissie en eerste ‘flare’ van de ziekte</w:t>
      </w:r>
    </w:p>
    <w:p w14:paraId="5F06301D" w14:textId="626CDFEA" w:rsidR="00436DAA" w:rsidRPr="00330234" w:rsidRDefault="009B4B8E" w:rsidP="0037203A">
      <w:pPr>
        <w:widowControl/>
        <w:ind w:left="284" w:hanging="284"/>
        <w:rPr>
          <w:sz w:val="18"/>
          <w:szCs w:val="18"/>
        </w:rPr>
      </w:pPr>
      <w:r w:rsidRPr="00330234">
        <w:rPr>
          <w:sz w:val="18"/>
          <w:szCs w:val="18"/>
          <w:vertAlign w:val="superscript"/>
        </w:rPr>
        <w:t>2</w:t>
      </w:r>
      <w:r w:rsidR="0037203A" w:rsidRPr="00330234">
        <w:rPr>
          <w:sz w:val="18"/>
          <w:szCs w:val="18"/>
        </w:rPr>
        <w:tab/>
      </w:r>
      <w:r w:rsidRPr="00330234">
        <w:rPr>
          <w:sz w:val="18"/>
          <w:szCs w:val="18"/>
        </w:rPr>
        <w:t>p-waarden zijn vastgesteld met behulp van een Van Elteren-analyse voor non-parametrische gegevens</w:t>
      </w:r>
    </w:p>
    <w:p w14:paraId="0B70A945" w14:textId="261579F7" w:rsidR="00436DAA" w:rsidRPr="00330234" w:rsidRDefault="009B4B8E" w:rsidP="0037203A">
      <w:pPr>
        <w:widowControl/>
        <w:ind w:left="284" w:hanging="284"/>
        <w:rPr>
          <w:sz w:val="18"/>
          <w:szCs w:val="18"/>
        </w:rPr>
      </w:pPr>
      <w:r w:rsidRPr="00330234">
        <w:rPr>
          <w:sz w:val="18"/>
          <w:szCs w:val="18"/>
          <w:vertAlign w:val="superscript"/>
        </w:rPr>
        <w:t>§</w:t>
      </w:r>
      <w:r w:rsidR="0037203A" w:rsidRPr="00330234">
        <w:rPr>
          <w:sz w:val="18"/>
          <w:szCs w:val="18"/>
        </w:rPr>
        <w:tab/>
      </w:r>
      <w:r w:rsidRPr="00330234">
        <w:rPr>
          <w:sz w:val="18"/>
          <w:szCs w:val="18"/>
        </w:rPr>
        <w:t>statistische analysen niet uitgevoerd</w:t>
      </w:r>
    </w:p>
    <w:p w14:paraId="7C1A82A5" w14:textId="77777777" w:rsidR="00436DAA" w:rsidRPr="00330234" w:rsidRDefault="009B4B8E" w:rsidP="0037203A">
      <w:pPr>
        <w:widowControl/>
        <w:ind w:left="284" w:hanging="284"/>
        <w:rPr>
          <w:sz w:val="18"/>
          <w:szCs w:val="18"/>
        </w:rPr>
      </w:pPr>
      <w:r w:rsidRPr="00330234">
        <w:rPr>
          <w:sz w:val="18"/>
          <w:szCs w:val="18"/>
        </w:rPr>
        <w:t>N/A = Niet van toepassing (‘not applicable’) HR = Hazard Ratio</w:t>
      </w:r>
    </w:p>
    <w:p w14:paraId="2012F831" w14:textId="77777777" w:rsidR="00436DAA" w:rsidRPr="00330234" w:rsidRDefault="009B4B8E" w:rsidP="0037203A">
      <w:pPr>
        <w:widowControl/>
        <w:ind w:left="284" w:hanging="284"/>
        <w:rPr>
          <w:sz w:val="18"/>
          <w:szCs w:val="18"/>
        </w:rPr>
      </w:pPr>
      <w:r w:rsidRPr="00330234">
        <w:rPr>
          <w:sz w:val="18"/>
          <w:szCs w:val="18"/>
        </w:rPr>
        <w:t>BI = Betrouwbaarheidsinterval</w:t>
      </w:r>
    </w:p>
    <w:p w14:paraId="12C83A35" w14:textId="77777777" w:rsidR="00436DAA" w:rsidRPr="00330234" w:rsidRDefault="00436DAA" w:rsidP="00BD109B">
      <w:pPr>
        <w:pStyle w:val="a3"/>
        <w:widowControl/>
        <w:ind w:left="0"/>
      </w:pPr>
    </w:p>
    <w:p w14:paraId="266DC4E5" w14:textId="77777777" w:rsidR="00436DAA" w:rsidRPr="00330234" w:rsidRDefault="009B4B8E" w:rsidP="0037203A">
      <w:pPr>
        <w:widowControl/>
        <w:rPr>
          <w:i/>
        </w:rPr>
      </w:pPr>
      <w:r w:rsidRPr="00330234">
        <w:rPr>
          <w:i/>
        </w:rPr>
        <w:t>Resultaten gerelateerd aan kwaliteit van leven</w:t>
      </w:r>
    </w:p>
    <w:p w14:paraId="5C273D29" w14:textId="77777777" w:rsidR="00436DAA" w:rsidRPr="00330234" w:rsidRDefault="00436DAA" w:rsidP="0037203A">
      <w:pPr>
        <w:pStyle w:val="a3"/>
        <w:widowControl/>
        <w:ind w:left="0"/>
        <w:rPr>
          <w:i/>
        </w:rPr>
      </w:pPr>
    </w:p>
    <w:p w14:paraId="1C8C1B94" w14:textId="712B23FE" w:rsidR="00436DAA" w:rsidRPr="00330234" w:rsidRDefault="009B4B8E" w:rsidP="0037203A">
      <w:pPr>
        <w:pStyle w:val="a3"/>
        <w:widowControl/>
        <w:ind w:left="0"/>
      </w:pPr>
      <w:r w:rsidRPr="00330234">
        <w:t xml:space="preserve">In onderzoek WA28119 waren de SF-36 resultaten verdeeld in fysieke en mentale component samenvattende scores (respectievelijk PCS en MCS). De gemiddelde verandering in PCS vanaf baseline tot week 52 was hoger (liet meer verbetering zien) in de groepen met wekelijkse en om de week behandeling met </w:t>
      </w:r>
      <w:r w:rsidR="00DC594B" w:rsidRPr="00330234">
        <w:t>tocilizumab</w:t>
      </w:r>
      <w:r w:rsidRPr="00330234">
        <w:t xml:space="preserve"> subcutaan [respectievelijk 4,10 en 2,76] dan in de twee placebogroepen [placebo plus in 26 weken afbouwend: -0,28; placebo plus in 52 weken afbouwend: -1,49], hoewel alleen de vergelijking tussen de groep met wekelijks </w:t>
      </w:r>
      <w:r w:rsidR="00DC594B" w:rsidRPr="00330234">
        <w:t>tocilizumab</w:t>
      </w:r>
      <w:r w:rsidRPr="00330234">
        <w:t xml:space="preserve"> plus in 26 weken afbouwende prednisonbehandeling en de placebogroep plus in 52 weken afbouwende prednisonbehandeling (5,59; 99%-BI: 8,6; 10,32) een statistisch significant verschil liet zien (p=0,0024). Voor MCS was de gemiddelde verandering vanaf baseline tot week 52 voor de groepen</w:t>
      </w:r>
      <w:r w:rsidR="00987AB9" w:rsidRPr="00330234">
        <w:t xml:space="preserve"> </w:t>
      </w:r>
      <w:r w:rsidRPr="00330234">
        <w:t xml:space="preserve">met wekelijkse en om de week behandeling met </w:t>
      </w:r>
      <w:r w:rsidR="00DC594B" w:rsidRPr="00330234">
        <w:t>tocilizumab</w:t>
      </w:r>
      <w:r w:rsidRPr="00330234">
        <w:t xml:space="preserve"> [respectievelijk 7,28 en 6,12] hoger dan </w:t>
      </w:r>
      <w:r w:rsidRPr="00330234">
        <w:lastRenderedPageBreak/>
        <w:t>in de placebogroep plus in 52 weken afbouwende prednisonbehandeling [2,84] (hoewel de verschillen niet statistisch significant waren [wekelijks p=0,0252; om de week p=0,1465]) en was vergelijkbaar met de placebogroep plus in 26 weken afbouwende prednisonbehandeling [6,67].</w:t>
      </w:r>
    </w:p>
    <w:p w14:paraId="27698281" w14:textId="77777777" w:rsidR="00987AB9" w:rsidRPr="00330234" w:rsidRDefault="00987AB9" w:rsidP="001B3E1E">
      <w:pPr>
        <w:pStyle w:val="a3"/>
        <w:widowControl/>
        <w:ind w:left="0"/>
      </w:pPr>
    </w:p>
    <w:p w14:paraId="460ABB1B" w14:textId="5F0124D3" w:rsidR="00436DAA" w:rsidRPr="00330234" w:rsidRDefault="009B4B8E" w:rsidP="00BD109B">
      <w:pPr>
        <w:pStyle w:val="a3"/>
        <w:widowControl/>
        <w:ind w:left="0"/>
      </w:pPr>
      <w:r w:rsidRPr="00330234">
        <w:t xml:space="preserve">De algemene waardering door de patiënt van de ziekteactiviteit werd beoordeeld op een 0-100 mm ‘Visual Analogue Scale’ (VAS). De gemiddelde verandering in algemene patiënten-VAS-waardering vanaf baseline tot week 52 was lager (liet meer verbetering zien) in de groepen met wekelijkse en om de week behandeling met </w:t>
      </w:r>
      <w:r w:rsidR="00DC594B" w:rsidRPr="00330234">
        <w:t>tocilizumab</w:t>
      </w:r>
      <w:r w:rsidRPr="00330234">
        <w:t xml:space="preserve"> [respectievelijk -19,0 en -25,3] dan in beide placebogroepen [placebo plus in 26 weken afbouwend -3,4; placebo plus in 52 weken afbouwend -7,2], hoewel alleen de groep met om de week </w:t>
      </w:r>
      <w:r w:rsidR="00DC594B" w:rsidRPr="00330234">
        <w:t>tocilizumab</w:t>
      </w:r>
      <w:r w:rsidRPr="00330234">
        <w:t xml:space="preserve"> plus in 26 weken afbouwende prednisonbehandeling vergeleken met placebo [placebo plus in 26 weken afbouwende prednisonbehandeling p=0,0059; placebo plus in 52 weken afbouwende prednisonbehandeling p=0,0081] een statistisch significant verschil liet zien.</w:t>
      </w:r>
    </w:p>
    <w:p w14:paraId="2F32C69A" w14:textId="77777777" w:rsidR="00987AB9" w:rsidRPr="00330234" w:rsidRDefault="00987AB9" w:rsidP="00BD109B">
      <w:pPr>
        <w:pStyle w:val="a3"/>
        <w:widowControl/>
        <w:ind w:left="0"/>
      </w:pPr>
    </w:p>
    <w:p w14:paraId="627AADB3" w14:textId="636A8316" w:rsidR="00436DAA" w:rsidRPr="00330234" w:rsidRDefault="009B4B8E" w:rsidP="00987AB9">
      <w:pPr>
        <w:pStyle w:val="a3"/>
        <w:widowControl/>
        <w:ind w:left="0"/>
      </w:pPr>
      <w:r w:rsidRPr="00330234">
        <w:t xml:space="preserve">De verandering in de waarden voor de FACIT-Fatigue-schaal van baseline tot week 52 werd berekend voor alle groepen. De gemiddelde [SD] veranderingswaarden waren als volgt: wekelijks </w:t>
      </w:r>
      <w:r w:rsidR="00DC594B" w:rsidRPr="00330234">
        <w:t>tocilizumab</w:t>
      </w:r>
      <w:r w:rsidRPr="00330234">
        <w:t xml:space="preserve"> plus 26 weken 5,61 [10,115], om de week </w:t>
      </w:r>
      <w:r w:rsidR="00DC594B" w:rsidRPr="00330234">
        <w:t>tocilizumab</w:t>
      </w:r>
      <w:r w:rsidRPr="00330234">
        <w:t xml:space="preserve"> plus 26 weken 1,18 [8,836], placebo plus</w:t>
      </w:r>
      <w:r w:rsidR="00987AB9" w:rsidRPr="00330234">
        <w:t xml:space="preserve"> </w:t>
      </w:r>
      <w:r w:rsidRPr="00330234">
        <w:t>26</w:t>
      </w:r>
      <w:r w:rsidR="00987AB9" w:rsidRPr="00330234">
        <w:t> </w:t>
      </w:r>
      <w:r w:rsidRPr="00330234">
        <w:t>weken 0,26 [10,702], en placebo plus 52 weken -1,63 [6,753].</w:t>
      </w:r>
    </w:p>
    <w:p w14:paraId="79482245" w14:textId="77777777" w:rsidR="00987AB9" w:rsidRPr="00330234" w:rsidRDefault="00987AB9" w:rsidP="00987AB9">
      <w:pPr>
        <w:pStyle w:val="a3"/>
        <w:widowControl/>
        <w:ind w:left="0"/>
      </w:pPr>
    </w:p>
    <w:p w14:paraId="18BE8BD7" w14:textId="44B1DF9C" w:rsidR="00436DAA" w:rsidRPr="00330234" w:rsidRDefault="009B4B8E" w:rsidP="00987AB9">
      <w:pPr>
        <w:pStyle w:val="a3"/>
        <w:widowControl/>
        <w:ind w:left="0"/>
      </w:pPr>
      <w:r w:rsidRPr="00330234">
        <w:t xml:space="preserve">Verandering in EQ5D-waarden vanaf baseline tot week 52 waren: wekelijks </w:t>
      </w:r>
      <w:r w:rsidR="00DC594B" w:rsidRPr="00330234">
        <w:t>tocilizumab</w:t>
      </w:r>
      <w:r w:rsidRPr="00330234">
        <w:t xml:space="preserve"> plus</w:t>
      </w:r>
      <w:r w:rsidR="00987AB9" w:rsidRPr="00330234">
        <w:t xml:space="preserve"> </w:t>
      </w:r>
      <w:r w:rsidRPr="00330234">
        <w:t>26</w:t>
      </w:r>
      <w:r w:rsidR="00987AB9" w:rsidRPr="00330234">
        <w:t> </w:t>
      </w:r>
      <w:r w:rsidRPr="00330234">
        <w:t xml:space="preserve">weken 0,10 [0,198], om de week </w:t>
      </w:r>
      <w:r w:rsidR="00DC594B" w:rsidRPr="00330234">
        <w:t>tocilizumab</w:t>
      </w:r>
      <w:r w:rsidRPr="00330234">
        <w:t xml:space="preserve"> plus 26 weken 0,05 [0,215], placebo plus 26 weken</w:t>
      </w:r>
      <w:r w:rsidR="00987AB9" w:rsidRPr="00330234">
        <w:t xml:space="preserve"> </w:t>
      </w:r>
      <w:r w:rsidRPr="00330234">
        <w:t>0,07 [0,293], en placebo plus 52 weken -0,02 [0,159].</w:t>
      </w:r>
    </w:p>
    <w:p w14:paraId="610774B2" w14:textId="77777777" w:rsidR="00436DAA" w:rsidRPr="00330234" w:rsidRDefault="00436DAA" w:rsidP="00BD109B">
      <w:pPr>
        <w:pStyle w:val="a3"/>
        <w:widowControl/>
        <w:ind w:left="0"/>
      </w:pPr>
    </w:p>
    <w:p w14:paraId="7614B657" w14:textId="77777777" w:rsidR="00436DAA" w:rsidRPr="00330234" w:rsidRDefault="009B4B8E" w:rsidP="00BD109B">
      <w:pPr>
        <w:pStyle w:val="a3"/>
        <w:widowControl/>
        <w:ind w:left="0"/>
      </w:pPr>
      <w:r w:rsidRPr="00330234">
        <w:t>Hogere waarden betekenen verbetering voor zowel FACIT-Fatigue als EQ5D.</w:t>
      </w:r>
    </w:p>
    <w:p w14:paraId="3EB1DE6C" w14:textId="77777777" w:rsidR="00987AB9" w:rsidRPr="00330234" w:rsidRDefault="00987AB9" w:rsidP="00BD109B">
      <w:pPr>
        <w:pStyle w:val="a3"/>
        <w:widowControl/>
        <w:ind w:left="0"/>
      </w:pPr>
    </w:p>
    <w:p w14:paraId="18A403E3" w14:textId="77777777" w:rsidR="00436DAA" w:rsidRPr="00330234" w:rsidRDefault="009B4B8E" w:rsidP="00BD109B">
      <w:pPr>
        <w:pStyle w:val="a3"/>
        <w:widowControl/>
        <w:ind w:left="0"/>
      </w:pPr>
      <w:r w:rsidRPr="00330234">
        <w:rPr>
          <w:u w:val="single"/>
        </w:rPr>
        <w:t>Intraveneus gebruik</w:t>
      </w:r>
    </w:p>
    <w:p w14:paraId="6735D828" w14:textId="77777777" w:rsidR="00436DAA" w:rsidRPr="00330234" w:rsidRDefault="009B4B8E" w:rsidP="00BD109B">
      <w:pPr>
        <w:widowControl/>
        <w:rPr>
          <w:b/>
        </w:rPr>
      </w:pPr>
      <w:r w:rsidRPr="00330234">
        <w:rPr>
          <w:b/>
          <w:u w:val="single"/>
        </w:rPr>
        <w:t>RA</w:t>
      </w:r>
    </w:p>
    <w:p w14:paraId="17B25551" w14:textId="77777777" w:rsidR="00436DAA" w:rsidRPr="00330234" w:rsidRDefault="009B4B8E" w:rsidP="00BD109B">
      <w:pPr>
        <w:pStyle w:val="a3"/>
        <w:widowControl/>
        <w:ind w:left="0"/>
      </w:pPr>
      <w:r w:rsidRPr="00330234">
        <w:rPr>
          <w:u w:val="single"/>
        </w:rPr>
        <w:t>Klinische werkzaamheid</w:t>
      </w:r>
    </w:p>
    <w:p w14:paraId="3F22259C" w14:textId="76DC4321" w:rsidR="00987AB9" w:rsidRPr="00330234" w:rsidRDefault="009B4B8E" w:rsidP="00987AB9">
      <w:pPr>
        <w:pStyle w:val="a3"/>
        <w:widowControl/>
        <w:ind w:left="0"/>
      </w:pPr>
      <w:r w:rsidRPr="00330234">
        <w:t xml:space="preserve">De werkzaamheid van </w:t>
      </w:r>
      <w:r w:rsidR="00DC594B" w:rsidRPr="00330234">
        <w:t>tocilizumab</w:t>
      </w:r>
      <w:r w:rsidRPr="00330234">
        <w:t xml:space="preserve"> in het verbeteren van de klachten en symptomen van RA is onderzocht in 5 gerandomiseerde, dubbelblinde, multicenter studies. In de studies I-V zaten patiënten</w:t>
      </w:r>
      <w:r w:rsidR="00987AB9" w:rsidRPr="00330234">
        <w:t xml:space="preserve"> ≥</w:t>
      </w:r>
      <w:r w:rsidRPr="00330234">
        <w:t xml:space="preserve"> 18 jaar met actieve RA die volgens de </w:t>
      </w:r>
      <w:r w:rsidRPr="00330234">
        <w:rPr>
          <w:i/>
        </w:rPr>
        <w:t xml:space="preserve">American College of Rheumatology </w:t>
      </w:r>
      <w:r w:rsidRPr="00330234">
        <w:t>(ACR)-criteria gediagnosticeerd waren en die op baseline ten minste 8 gevoelige en 6 gezwollen gewrichten hadden.</w:t>
      </w:r>
      <w:r w:rsidR="00987AB9" w:rsidRPr="00330234">
        <w:t xml:space="preserve"> </w:t>
      </w:r>
    </w:p>
    <w:p w14:paraId="3A2DD074" w14:textId="77777777" w:rsidR="00987AB9" w:rsidRPr="00330234" w:rsidRDefault="00987AB9" w:rsidP="00987AB9">
      <w:pPr>
        <w:pStyle w:val="a3"/>
        <w:widowControl/>
        <w:ind w:left="0"/>
      </w:pPr>
    </w:p>
    <w:p w14:paraId="276CB2D7" w14:textId="06E02651" w:rsidR="00436DAA" w:rsidRPr="00330234" w:rsidRDefault="009B4B8E" w:rsidP="00987AB9">
      <w:pPr>
        <w:pStyle w:val="a3"/>
        <w:widowControl/>
        <w:ind w:left="0"/>
      </w:pPr>
      <w:r w:rsidRPr="00330234">
        <w:t xml:space="preserve">In studie I werd </w:t>
      </w:r>
      <w:r w:rsidR="00DC594B" w:rsidRPr="00330234">
        <w:t>tocilizumab</w:t>
      </w:r>
      <w:r w:rsidRPr="00330234">
        <w:t xml:space="preserve"> elke vier weken als monotherapie intraveneus toegediend. Bij studie II, III en V werd </w:t>
      </w:r>
      <w:r w:rsidR="00DC594B" w:rsidRPr="00330234">
        <w:t>tocilizumab</w:t>
      </w:r>
      <w:r w:rsidRPr="00330234">
        <w:t xml:space="preserve"> elke vier weken intraveneus toegediend in combinatie met MTX vs placebo en MTX. In studie IV werd </w:t>
      </w:r>
      <w:r w:rsidR="00DC594B" w:rsidRPr="00330234">
        <w:t>tocilizumab</w:t>
      </w:r>
      <w:r w:rsidRPr="00330234">
        <w:t xml:space="preserve"> elke vier weken intraveneus toegediend in combinatie met andere DMARD</w:t>
      </w:r>
      <w:r w:rsidR="00EA6C41" w:rsidRPr="00330234">
        <w:t>'</w:t>
      </w:r>
      <w:r w:rsidRPr="00330234">
        <w:t>s vs placebo en andere DMARD</w:t>
      </w:r>
      <w:r w:rsidR="00753185" w:rsidRPr="00330234">
        <w:t>’</w:t>
      </w:r>
      <w:r w:rsidRPr="00330234">
        <w:t>s. Het primaire eindpunt van alle vijf studies was het percentage patiënten dat een ACR20-respons bereikte op week 24.</w:t>
      </w:r>
    </w:p>
    <w:p w14:paraId="1F815000" w14:textId="77777777" w:rsidR="00987AB9" w:rsidRPr="00330234" w:rsidRDefault="00987AB9" w:rsidP="00987AB9">
      <w:pPr>
        <w:pStyle w:val="a3"/>
        <w:widowControl/>
        <w:ind w:left="0"/>
      </w:pPr>
    </w:p>
    <w:p w14:paraId="1015AB9D" w14:textId="602A9E15" w:rsidR="00436DAA" w:rsidRPr="00330234" w:rsidRDefault="009B4B8E" w:rsidP="00BD109B">
      <w:pPr>
        <w:pStyle w:val="a3"/>
        <w:widowControl/>
        <w:ind w:left="0"/>
      </w:pPr>
      <w:r w:rsidRPr="00330234">
        <w:t xml:space="preserve">In studie I werden 673 patiënten geëvalueerd die in de 6 maanden voor randomisatie niet met MTX waren behandeld en bij wie een voorgaande MTX-behandeling niet was gestaakt vanwege klinisch belangrijke toxische effecten of het uitblijven van respons. De meerderheid (67%) van de patiënten was MTX-naïef. Doseringen van 8 mg/kg van </w:t>
      </w:r>
      <w:r w:rsidR="00DC594B" w:rsidRPr="00330234">
        <w:t>tocilizumab</w:t>
      </w:r>
      <w:r w:rsidRPr="00330234">
        <w:t xml:space="preserve"> werden elke 4 weken als monotherapie toegediend. De controlegroep kreeg wekelijks MTX (dosering werd getitreerd vanaf 7,5 mg tot een maximum van 20 mg wekelijks gedurende 8 weken).</w:t>
      </w:r>
    </w:p>
    <w:p w14:paraId="37E599F9" w14:textId="77777777" w:rsidR="00987AB9" w:rsidRPr="00330234" w:rsidRDefault="00987AB9" w:rsidP="00BD109B">
      <w:pPr>
        <w:pStyle w:val="a3"/>
        <w:widowControl/>
        <w:ind w:left="0"/>
      </w:pPr>
    </w:p>
    <w:p w14:paraId="0E3E9BB8" w14:textId="1A1B69AA" w:rsidR="00436DAA" w:rsidRPr="00330234" w:rsidRDefault="009B4B8E" w:rsidP="00987AB9">
      <w:pPr>
        <w:pStyle w:val="a3"/>
        <w:widowControl/>
        <w:ind w:left="0"/>
      </w:pPr>
      <w:r w:rsidRPr="00330234">
        <w:t xml:space="preserve">In studie II, een twee jaar durende studie met geplande analyses op week 24, week 52 en week 104, werden 1196 patiënten met onvoldoende klinische respons op MTX geëvalueerd. Doseringen van 4 of 8 mg/kg van </w:t>
      </w:r>
      <w:r w:rsidR="00DC594B" w:rsidRPr="00330234">
        <w:t>tocilizumab</w:t>
      </w:r>
      <w:r w:rsidRPr="00330234">
        <w:t xml:space="preserve"> of placebo werden elke vier weken geblindeerd toegediend gedurende</w:t>
      </w:r>
      <w:r w:rsidR="00987AB9" w:rsidRPr="00330234">
        <w:t xml:space="preserve"> </w:t>
      </w:r>
      <w:r w:rsidRPr="00330234">
        <w:t>52</w:t>
      </w:r>
      <w:r w:rsidR="00987AB9" w:rsidRPr="00330234">
        <w:t> </w:t>
      </w:r>
      <w:r w:rsidRPr="00330234">
        <w:t xml:space="preserve">weken in combinatie met een vaste dosis MTX (10 -25 mg wekelijks). Na week 52 konden alle patiënten een open-label-behandeling krijgen met </w:t>
      </w:r>
      <w:r w:rsidR="00DC594B" w:rsidRPr="00330234">
        <w:t>tocilizumab</w:t>
      </w:r>
      <w:r w:rsidRPr="00330234">
        <w:t xml:space="preserve"> 8 mg/kg. Van de patiënten die de studie afmaakten en die oorspronkelijk gerandomiseerd waren naar placebo + MTX, kreeg 86% open-label </w:t>
      </w:r>
      <w:r w:rsidR="00DC594B" w:rsidRPr="00330234">
        <w:t>tocilizumab</w:t>
      </w:r>
      <w:r w:rsidRPr="00330234">
        <w:t xml:space="preserve"> 8 mg/kg in het 2</w:t>
      </w:r>
      <w:r w:rsidRPr="00330234">
        <w:rPr>
          <w:vertAlign w:val="superscript"/>
        </w:rPr>
        <w:t>e</w:t>
      </w:r>
      <w:r w:rsidRPr="00330234">
        <w:t xml:space="preserve"> jaar. Het primaire eindpunt op week 24 was het percentage patiënten dat een ACR20-respons had bereikt. Co-primaire eindpunten waren preventie van gewrichtsschade en verbetering van lichamelijk functioneren op week 52 en week 104.</w:t>
      </w:r>
    </w:p>
    <w:p w14:paraId="12E8AB20" w14:textId="77777777" w:rsidR="00436DAA" w:rsidRPr="00330234" w:rsidRDefault="00436DAA" w:rsidP="00BD109B">
      <w:pPr>
        <w:pStyle w:val="a3"/>
        <w:widowControl/>
        <w:ind w:left="0"/>
      </w:pPr>
    </w:p>
    <w:p w14:paraId="02F9B6D5" w14:textId="28B151B6" w:rsidR="00436DAA" w:rsidRPr="00330234" w:rsidRDefault="009B4B8E" w:rsidP="00BD109B">
      <w:pPr>
        <w:pStyle w:val="a3"/>
        <w:widowControl/>
        <w:ind w:left="0"/>
      </w:pPr>
      <w:r w:rsidRPr="00330234">
        <w:lastRenderedPageBreak/>
        <w:t xml:space="preserve">In studie III werden 623 patiënten geëvalueerd met onvoldoende klinische respons op MTX. Doseringen van 4 of 8 mg/kg </w:t>
      </w:r>
      <w:r w:rsidR="00DC594B" w:rsidRPr="00330234">
        <w:t>tocilizumab</w:t>
      </w:r>
      <w:r w:rsidRPr="00330234">
        <w:t xml:space="preserve"> of placebo werden elke vier weken gegeven, in combinatie met een vaste dosis MTX (10-25 mg wekelijks).</w:t>
      </w:r>
    </w:p>
    <w:p w14:paraId="40E7B271" w14:textId="77777777" w:rsidR="00436DAA" w:rsidRPr="00330234" w:rsidRDefault="00436DAA" w:rsidP="00BD109B">
      <w:pPr>
        <w:pStyle w:val="a3"/>
        <w:widowControl/>
        <w:ind w:left="0"/>
      </w:pPr>
    </w:p>
    <w:p w14:paraId="13B56136" w14:textId="35987A60" w:rsidR="00436DAA" w:rsidRPr="00330234" w:rsidRDefault="009B4B8E" w:rsidP="00BD109B">
      <w:pPr>
        <w:pStyle w:val="a3"/>
        <w:widowControl/>
        <w:ind w:left="0"/>
      </w:pPr>
      <w:r w:rsidRPr="00330234">
        <w:t>In studie IV werden 1220 patiënten geëvalueerd die onvoldoende reageerden op hun bestaande antireumatische therapie, inclusief één of meerdere DMARD</w:t>
      </w:r>
      <w:r w:rsidR="00753185" w:rsidRPr="00330234">
        <w:t>’</w:t>
      </w:r>
      <w:r w:rsidRPr="00330234">
        <w:t xml:space="preserve">s. </w:t>
      </w:r>
      <w:r w:rsidR="00DC594B" w:rsidRPr="00330234">
        <w:t>Tocilizumab</w:t>
      </w:r>
      <w:r w:rsidRPr="00330234">
        <w:t xml:space="preserve"> 8 mg/kg of placebo werd elke vier weken toegediend in combinatie met een vaste dosis DMARD.</w:t>
      </w:r>
    </w:p>
    <w:p w14:paraId="36C85288" w14:textId="77777777" w:rsidR="00987AB9" w:rsidRPr="00330234" w:rsidRDefault="00987AB9" w:rsidP="00BD109B">
      <w:pPr>
        <w:pStyle w:val="a3"/>
        <w:widowControl/>
        <w:ind w:left="0"/>
      </w:pPr>
    </w:p>
    <w:p w14:paraId="305F1C06" w14:textId="359B84C0" w:rsidR="00436DAA" w:rsidRPr="00330234" w:rsidRDefault="009B4B8E" w:rsidP="00BD109B">
      <w:pPr>
        <w:pStyle w:val="a3"/>
        <w:widowControl/>
        <w:ind w:left="0"/>
      </w:pPr>
      <w:r w:rsidRPr="00330234">
        <w:t xml:space="preserve">In studie V werden 499 patiënten geëvalueerd die onvoldoende klinische respons hadden op of intolerant waren voor één of meerdere TNF-antagonisten. De therapie met TNF-antagonisten werd voor randomisatie gestopt. Doseringen van 4 of 8 mg/kg </w:t>
      </w:r>
      <w:r w:rsidR="00DC594B" w:rsidRPr="00330234">
        <w:t>tocilizumab</w:t>
      </w:r>
      <w:r w:rsidRPr="00330234">
        <w:t xml:space="preserve"> of placebo werden elke vier weken gegeven, in combinatie met een vaste dosis MTX (10-25 mg wekelijks).</w:t>
      </w:r>
    </w:p>
    <w:p w14:paraId="4BC2EFFD" w14:textId="77777777" w:rsidR="00436DAA" w:rsidRPr="00330234" w:rsidRDefault="00436DAA" w:rsidP="00BD109B">
      <w:pPr>
        <w:pStyle w:val="a3"/>
        <w:widowControl/>
        <w:ind w:left="0"/>
      </w:pPr>
    </w:p>
    <w:p w14:paraId="107DA6A3" w14:textId="77777777" w:rsidR="00436DAA" w:rsidRPr="00330234" w:rsidRDefault="009B4B8E" w:rsidP="00BD109B">
      <w:pPr>
        <w:pStyle w:val="a3"/>
        <w:widowControl/>
        <w:ind w:left="0"/>
      </w:pPr>
      <w:r w:rsidRPr="00330234">
        <w:rPr>
          <w:u w:val="single"/>
        </w:rPr>
        <w:t>Klinische respons</w:t>
      </w:r>
    </w:p>
    <w:p w14:paraId="3F6E7A01" w14:textId="0848B21A" w:rsidR="00436DAA" w:rsidRPr="00330234" w:rsidRDefault="009B4B8E" w:rsidP="00BD109B">
      <w:pPr>
        <w:pStyle w:val="a3"/>
        <w:widowControl/>
        <w:ind w:left="0"/>
      </w:pPr>
      <w:r w:rsidRPr="00330234">
        <w:t xml:space="preserve">In alle studies bereikten de patiënten die met </w:t>
      </w:r>
      <w:r w:rsidR="00971E1F" w:rsidRPr="00330234">
        <w:t>tocilizumab</w:t>
      </w:r>
      <w:r w:rsidRPr="00330234">
        <w:t xml:space="preserve"> 8 mg/kg werden behandeld een statistisch significant hoger ACR20, -50 en -70-responspercentage na 6 maanden vergeleken met de controlegroep (tabel 5). In studie I werd superioriteit van </w:t>
      </w:r>
      <w:r w:rsidR="00971E1F" w:rsidRPr="00330234">
        <w:t>tocilizumab</w:t>
      </w:r>
      <w:r w:rsidRPr="00330234">
        <w:t xml:space="preserve"> 8 mg/kg ten opzichte van de actieve vergelijkende behandeling MTX aangetoond.</w:t>
      </w:r>
    </w:p>
    <w:p w14:paraId="76AF623E" w14:textId="77777777" w:rsidR="00987AB9" w:rsidRPr="00330234" w:rsidRDefault="00987AB9" w:rsidP="00BD109B">
      <w:pPr>
        <w:pStyle w:val="a3"/>
        <w:widowControl/>
        <w:ind w:left="0"/>
      </w:pPr>
    </w:p>
    <w:p w14:paraId="0C4B5A73" w14:textId="77777777" w:rsidR="00436DAA" w:rsidRPr="00330234" w:rsidRDefault="009B4B8E" w:rsidP="00BD109B">
      <w:pPr>
        <w:pStyle w:val="a3"/>
        <w:widowControl/>
        <w:ind w:left="0"/>
      </w:pPr>
      <w:r w:rsidRPr="00330234">
        <w:t>Het behandeleffect bij de patiënten was vergelijkbaar, onafhankelijk van de reumafactorstatus, leeftijd, geslacht, ras, aantal eerdere behandelingen en de ziektestatus. De tijd tot aanslaan van de behandeling was snel (al binnen twee weken) en de respons bleef verbeteren naarmate de periode van de behandeling voortduurde. Gedurende meer dan 3 jaar is een aanhoudende en duurzame respons waargenomen in de open-label-extensiestudies I-V.</w:t>
      </w:r>
    </w:p>
    <w:p w14:paraId="08F574A3" w14:textId="77777777" w:rsidR="00987AB9" w:rsidRPr="00330234" w:rsidRDefault="00987AB9" w:rsidP="00BD109B">
      <w:pPr>
        <w:pStyle w:val="a3"/>
        <w:widowControl/>
        <w:ind w:left="0"/>
      </w:pPr>
    </w:p>
    <w:p w14:paraId="53B5FBAD" w14:textId="67E55234" w:rsidR="00436DAA" w:rsidRPr="00330234" w:rsidRDefault="009B4B8E" w:rsidP="00BD109B">
      <w:pPr>
        <w:pStyle w:val="a3"/>
        <w:widowControl/>
        <w:ind w:left="0"/>
      </w:pPr>
      <w:r w:rsidRPr="00330234">
        <w:t xml:space="preserve">Bij de patiënten die met </w:t>
      </w:r>
      <w:r w:rsidR="00971E1F" w:rsidRPr="00330234">
        <w:t>tocilizumab</w:t>
      </w:r>
      <w:r w:rsidRPr="00330234">
        <w:t xml:space="preserve"> 8 mg/kg zijn behandeld, zijn significante verbeteringen geconstateerd in alle individuele componenten van de ACR-respons, waaronder het aantal gevoelige en gezwollen gewrichten; globale evaluatie van de patiënt en de arts, </w:t>
      </w:r>
      <w:r w:rsidRPr="00330234">
        <w:rPr>
          <w:i/>
        </w:rPr>
        <w:t>disability index-</w:t>
      </w:r>
      <w:r w:rsidRPr="00330234">
        <w:t>score; pijnscore en CRP vergeleken met patiënten die placebo plus MTX of andere DMARD</w:t>
      </w:r>
      <w:r w:rsidR="00753185" w:rsidRPr="00330234">
        <w:t>’</w:t>
      </w:r>
      <w:r w:rsidRPr="00330234">
        <w:t>s kregen in alle studies.</w:t>
      </w:r>
    </w:p>
    <w:p w14:paraId="0784ECED" w14:textId="77777777" w:rsidR="00436DAA" w:rsidRPr="00330234" w:rsidRDefault="00436DAA" w:rsidP="00BD109B">
      <w:pPr>
        <w:pStyle w:val="a3"/>
        <w:widowControl/>
        <w:ind w:left="0"/>
      </w:pPr>
    </w:p>
    <w:p w14:paraId="1181E1BE" w14:textId="638F8F06" w:rsidR="00436DAA" w:rsidRPr="00330234" w:rsidRDefault="009B4B8E" w:rsidP="00BD109B">
      <w:pPr>
        <w:pStyle w:val="a3"/>
        <w:widowControl/>
        <w:ind w:left="0"/>
      </w:pPr>
      <w:r w:rsidRPr="00330234">
        <w:t xml:space="preserve">Patiënten in studies I-V hadden een gemiddelde </w:t>
      </w:r>
      <w:r w:rsidRPr="00330234">
        <w:rPr>
          <w:i/>
        </w:rPr>
        <w:t xml:space="preserve">Disease Activity Score </w:t>
      </w:r>
      <w:r w:rsidRPr="00330234">
        <w:t xml:space="preserve">(DAS28) van 6,5-6,8 op baseline. Er is een significante daling in DAS28 ten opzichte van baseline (gemiddelde verbetering) van 3,1-3,4 gezien bij de patiënten behandeld met </w:t>
      </w:r>
      <w:r w:rsidR="00971E1F" w:rsidRPr="00330234">
        <w:t>tocilizumab</w:t>
      </w:r>
      <w:r w:rsidRPr="00330234">
        <w:t xml:space="preserve"> ten opzichte van de controlegroep</w:t>
      </w:r>
    </w:p>
    <w:p w14:paraId="3EBDFEDB" w14:textId="156EB5DE" w:rsidR="00436DAA" w:rsidRPr="00330234" w:rsidRDefault="009B4B8E" w:rsidP="00BD109B">
      <w:pPr>
        <w:pStyle w:val="a3"/>
        <w:widowControl/>
        <w:ind w:left="0"/>
      </w:pPr>
      <w:r w:rsidRPr="00330234">
        <w:t xml:space="preserve">(1,3-2,1). Het percentage patiënten met een DAS28 klinische remissie (DAS28 &lt; 2,6) was significant hoger bij de </w:t>
      </w:r>
      <w:r w:rsidR="00971E1F" w:rsidRPr="00330234">
        <w:t>tocilizumab</w:t>
      </w:r>
      <w:r w:rsidRPr="00330234">
        <w:t>-patiënten (28-34%) dan bij de controlegroep (1-12%) op week 24. In studie II bereikte 65% van de patiënten een DAS28 van &lt; 2,6 op week 104 vergeleken met 48% op week 52 en 33% op week 24.</w:t>
      </w:r>
    </w:p>
    <w:p w14:paraId="446FBB1B" w14:textId="77777777" w:rsidR="00987AB9" w:rsidRPr="00330234" w:rsidRDefault="00987AB9" w:rsidP="00BD109B">
      <w:pPr>
        <w:pStyle w:val="a3"/>
        <w:widowControl/>
        <w:ind w:left="0"/>
      </w:pPr>
    </w:p>
    <w:p w14:paraId="19E6E051" w14:textId="6C1884A4" w:rsidR="00436DAA" w:rsidRPr="00330234" w:rsidRDefault="009B4B8E" w:rsidP="00BD109B">
      <w:pPr>
        <w:pStyle w:val="a3"/>
        <w:widowControl/>
        <w:ind w:left="0"/>
      </w:pPr>
      <w:r w:rsidRPr="00330234">
        <w:t xml:space="preserve">Bij een gepoolde analyse van de studies II, III en IV was het percentage patiënten dat een ACR20-, - 50- en -70-respons bereikte significant hoger (respectievelijk 59% vs 50%, 37% vs 27%, 18% vs 11%) bij de tocilizumab 8 mg/kg plus DMARD vs de met tocilizumab 4 mg/kg plus DMARD behandelde groep (p&lt; 0,03). Zo ook was het percentage de patiënten dat een DAS28-remissie (DAS28 &lt; 2,6) bereikte significant hoger (respectievelijk 31% vs 16%) bij patiënten die met </w:t>
      </w:r>
      <w:r w:rsidR="00971E1F" w:rsidRPr="00330234">
        <w:t>tocilizumab</w:t>
      </w:r>
      <w:r w:rsidRPr="00330234">
        <w:t xml:space="preserve"> 8 mg/kg plus DMARD waren behandeld ten opzichte van patiënten die met </w:t>
      </w:r>
      <w:r w:rsidR="00971E1F" w:rsidRPr="00330234">
        <w:t>tocilizumab</w:t>
      </w:r>
      <w:r w:rsidRPr="00330234">
        <w:t xml:space="preserve"> 4 mg/kg plus DMARD waren behandeld (p&lt; 0,0001).</w:t>
      </w:r>
    </w:p>
    <w:p w14:paraId="2D833356" w14:textId="77777777" w:rsidR="00987AB9" w:rsidRPr="00330234" w:rsidRDefault="00987AB9" w:rsidP="00BD109B">
      <w:pPr>
        <w:pStyle w:val="a3"/>
        <w:widowControl/>
        <w:ind w:left="0"/>
      </w:pPr>
    </w:p>
    <w:p w14:paraId="49384536" w14:textId="0387687B" w:rsidR="00436DAA" w:rsidRPr="00330234" w:rsidRDefault="009B4B8E" w:rsidP="0037203A">
      <w:pPr>
        <w:widowControl/>
        <w:ind w:left="1134" w:hanging="1134"/>
        <w:rPr>
          <w:i/>
        </w:rPr>
      </w:pPr>
      <w:r w:rsidRPr="00330234">
        <w:rPr>
          <w:i/>
        </w:rPr>
        <w:t>Tabel 5.</w:t>
      </w:r>
      <w:r w:rsidR="0037203A" w:rsidRPr="00330234">
        <w:rPr>
          <w:i/>
        </w:rPr>
        <w:tab/>
      </w:r>
      <w:r w:rsidRPr="00330234">
        <w:rPr>
          <w:i/>
        </w:rPr>
        <w:t>ACR-respons bij placebo-/MTX-/DMARD</w:t>
      </w:r>
      <w:r w:rsidR="00753185" w:rsidRPr="00330234">
        <w:rPr>
          <w:i/>
        </w:rPr>
        <w:t>’</w:t>
      </w:r>
      <w:r w:rsidRPr="00330234">
        <w:rPr>
          <w:i/>
        </w:rPr>
        <w:t>s-gecontroleerde studies (% patiënten)</w:t>
      </w:r>
    </w:p>
    <w:p w14:paraId="0EC414E4" w14:textId="77777777" w:rsidR="00436DAA" w:rsidRPr="00330234" w:rsidRDefault="00436DAA" w:rsidP="00BD109B">
      <w:pPr>
        <w:pStyle w:val="a3"/>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625"/>
        <w:gridCol w:w="798"/>
        <w:gridCol w:w="784"/>
        <w:gridCol w:w="812"/>
        <w:gridCol w:w="784"/>
        <w:gridCol w:w="840"/>
        <w:gridCol w:w="812"/>
        <w:gridCol w:w="965"/>
        <w:gridCol w:w="896"/>
        <w:gridCol w:w="896"/>
        <w:gridCol w:w="854"/>
      </w:tblGrid>
      <w:tr w:rsidR="00436DAA" w:rsidRPr="00330234" w14:paraId="4AB399F6" w14:textId="77777777" w:rsidTr="0037203A">
        <w:trPr>
          <w:trHeight w:val="20"/>
          <w:tblHeader/>
        </w:trPr>
        <w:tc>
          <w:tcPr>
            <w:tcW w:w="625" w:type="dxa"/>
          </w:tcPr>
          <w:p w14:paraId="1362345D" w14:textId="77777777" w:rsidR="00436DAA" w:rsidRPr="00330234" w:rsidRDefault="00436DAA" w:rsidP="00987AB9">
            <w:pPr>
              <w:pStyle w:val="TableParagraph"/>
              <w:widowControl/>
              <w:jc w:val="center"/>
              <w:rPr>
                <w:sz w:val="20"/>
                <w:szCs w:val="20"/>
              </w:rPr>
            </w:pPr>
          </w:p>
        </w:tc>
        <w:tc>
          <w:tcPr>
            <w:tcW w:w="1582" w:type="dxa"/>
            <w:gridSpan w:val="2"/>
          </w:tcPr>
          <w:p w14:paraId="397F9CD7" w14:textId="77777777" w:rsidR="00436DAA" w:rsidRPr="00330234" w:rsidRDefault="009B4B8E" w:rsidP="00987AB9">
            <w:pPr>
              <w:pStyle w:val="TableParagraph"/>
              <w:widowControl/>
              <w:jc w:val="center"/>
              <w:rPr>
                <w:b/>
                <w:sz w:val="20"/>
                <w:szCs w:val="20"/>
              </w:rPr>
            </w:pPr>
            <w:r w:rsidRPr="00330234">
              <w:rPr>
                <w:b/>
                <w:sz w:val="20"/>
                <w:szCs w:val="20"/>
              </w:rPr>
              <w:t>Studie I</w:t>
            </w:r>
          </w:p>
          <w:p w14:paraId="6FB0C1C3" w14:textId="77777777" w:rsidR="00436DAA" w:rsidRPr="00330234" w:rsidRDefault="009B4B8E" w:rsidP="00987AB9">
            <w:pPr>
              <w:pStyle w:val="TableParagraph"/>
              <w:widowControl/>
              <w:jc w:val="center"/>
              <w:rPr>
                <w:b/>
                <w:sz w:val="20"/>
                <w:szCs w:val="20"/>
              </w:rPr>
            </w:pPr>
            <w:r w:rsidRPr="00330234">
              <w:rPr>
                <w:b/>
                <w:sz w:val="20"/>
                <w:szCs w:val="20"/>
              </w:rPr>
              <w:t>AMBITION</w:t>
            </w:r>
          </w:p>
        </w:tc>
        <w:tc>
          <w:tcPr>
            <w:tcW w:w="1596" w:type="dxa"/>
            <w:gridSpan w:val="2"/>
          </w:tcPr>
          <w:p w14:paraId="6B0657FD" w14:textId="77777777" w:rsidR="00436DAA" w:rsidRPr="00330234" w:rsidRDefault="009B4B8E" w:rsidP="00987AB9">
            <w:pPr>
              <w:pStyle w:val="TableParagraph"/>
              <w:widowControl/>
              <w:jc w:val="center"/>
              <w:rPr>
                <w:b/>
                <w:sz w:val="20"/>
                <w:szCs w:val="20"/>
              </w:rPr>
            </w:pPr>
            <w:r w:rsidRPr="00330234">
              <w:rPr>
                <w:b/>
                <w:sz w:val="20"/>
                <w:szCs w:val="20"/>
              </w:rPr>
              <w:t>Studie II</w:t>
            </w:r>
          </w:p>
          <w:p w14:paraId="6D6A7261" w14:textId="77777777" w:rsidR="00436DAA" w:rsidRPr="00330234" w:rsidRDefault="009B4B8E" w:rsidP="00987AB9">
            <w:pPr>
              <w:pStyle w:val="TableParagraph"/>
              <w:widowControl/>
              <w:jc w:val="center"/>
              <w:rPr>
                <w:b/>
                <w:sz w:val="20"/>
                <w:szCs w:val="20"/>
              </w:rPr>
            </w:pPr>
            <w:r w:rsidRPr="00330234">
              <w:rPr>
                <w:b/>
                <w:sz w:val="20"/>
                <w:szCs w:val="20"/>
              </w:rPr>
              <w:t>LITHE</w:t>
            </w:r>
          </w:p>
        </w:tc>
        <w:tc>
          <w:tcPr>
            <w:tcW w:w="1652" w:type="dxa"/>
            <w:gridSpan w:val="2"/>
          </w:tcPr>
          <w:p w14:paraId="27B2DB9D" w14:textId="77777777" w:rsidR="00436DAA" w:rsidRPr="00330234" w:rsidRDefault="009B4B8E" w:rsidP="00987AB9">
            <w:pPr>
              <w:pStyle w:val="TableParagraph"/>
              <w:widowControl/>
              <w:jc w:val="center"/>
              <w:rPr>
                <w:b/>
                <w:sz w:val="20"/>
                <w:szCs w:val="20"/>
              </w:rPr>
            </w:pPr>
            <w:r w:rsidRPr="00330234">
              <w:rPr>
                <w:b/>
                <w:sz w:val="20"/>
                <w:szCs w:val="20"/>
              </w:rPr>
              <w:t>Studie III</w:t>
            </w:r>
          </w:p>
          <w:p w14:paraId="139FF0ED" w14:textId="77777777" w:rsidR="00436DAA" w:rsidRPr="00330234" w:rsidRDefault="009B4B8E" w:rsidP="00987AB9">
            <w:pPr>
              <w:pStyle w:val="TableParagraph"/>
              <w:widowControl/>
              <w:jc w:val="center"/>
              <w:rPr>
                <w:b/>
                <w:sz w:val="20"/>
                <w:szCs w:val="20"/>
              </w:rPr>
            </w:pPr>
            <w:r w:rsidRPr="00330234">
              <w:rPr>
                <w:b/>
                <w:sz w:val="20"/>
                <w:szCs w:val="20"/>
              </w:rPr>
              <w:t>OPTION</w:t>
            </w:r>
          </w:p>
        </w:tc>
        <w:tc>
          <w:tcPr>
            <w:tcW w:w="1861" w:type="dxa"/>
            <w:gridSpan w:val="2"/>
          </w:tcPr>
          <w:p w14:paraId="79EA743C" w14:textId="77777777" w:rsidR="00436DAA" w:rsidRPr="00330234" w:rsidRDefault="009B4B8E" w:rsidP="00987AB9">
            <w:pPr>
              <w:pStyle w:val="TableParagraph"/>
              <w:widowControl/>
              <w:jc w:val="center"/>
              <w:rPr>
                <w:b/>
                <w:sz w:val="20"/>
                <w:szCs w:val="20"/>
              </w:rPr>
            </w:pPr>
            <w:r w:rsidRPr="00330234">
              <w:rPr>
                <w:b/>
                <w:sz w:val="20"/>
                <w:szCs w:val="20"/>
              </w:rPr>
              <w:t>Studie IV</w:t>
            </w:r>
          </w:p>
          <w:p w14:paraId="327A0E38" w14:textId="77777777" w:rsidR="00436DAA" w:rsidRPr="00330234" w:rsidRDefault="009B4B8E" w:rsidP="00987AB9">
            <w:pPr>
              <w:pStyle w:val="TableParagraph"/>
              <w:widowControl/>
              <w:jc w:val="center"/>
              <w:rPr>
                <w:b/>
                <w:sz w:val="20"/>
                <w:szCs w:val="20"/>
              </w:rPr>
            </w:pPr>
            <w:r w:rsidRPr="00330234">
              <w:rPr>
                <w:b/>
                <w:sz w:val="20"/>
                <w:szCs w:val="20"/>
              </w:rPr>
              <w:t>TOWARD</w:t>
            </w:r>
          </w:p>
        </w:tc>
        <w:tc>
          <w:tcPr>
            <w:tcW w:w="1750" w:type="dxa"/>
            <w:gridSpan w:val="2"/>
          </w:tcPr>
          <w:p w14:paraId="0F804DE4" w14:textId="77777777" w:rsidR="00436DAA" w:rsidRPr="00330234" w:rsidRDefault="009B4B8E" w:rsidP="00987AB9">
            <w:pPr>
              <w:pStyle w:val="TableParagraph"/>
              <w:widowControl/>
              <w:jc w:val="center"/>
              <w:rPr>
                <w:b/>
                <w:sz w:val="20"/>
                <w:szCs w:val="20"/>
              </w:rPr>
            </w:pPr>
            <w:r w:rsidRPr="00330234">
              <w:rPr>
                <w:b/>
                <w:sz w:val="20"/>
                <w:szCs w:val="20"/>
              </w:rPr>
              <w:t>Studie V</w:t>
            </w:r>
          </w:p>
          <w:p w14:paraId="4838EB9C" w14:textId="77777777" w:rsidR="00436DAA" w:rsidRPr="00330234" w:rsidRDefault="009B4B8E" w:rsidP="00987AB9">
            <w:pPr>
              <w:pStyle w:val="TableParagraph"/>
              <w:widowControl/>
              <w:jc w:val="center"/>
              <w:rPr>
                <w:b/>
                <w:sz w:val="20"/>
                <w:szCs w:val="20"/>
              </w:rPr>
            </w:pPr>
            <w:r w:rsidRPr="00330234">
              <w:rPr>
                <w:b/>
                <w:sz w:val="20"/>
                <w:szCs w:val="20"/>
              </w:rPr>
              <w:t>RADIATE</w:t>
            </w:r>
          </w:p>
        </w:tc>
      </w:tr>
      <w:tr w:rsidR="0037203A" w:rsidRPr="00330234" w14:paraId="6938DD2E" w14:textId="77777777" w:rsidTr="0037203A">
        <w:trPr>
          <w:trHeight w:val="20"/>
          <w:tblHeader/>
        </w:trPr>
        <w:tc>
          <w:tcPr>
            <w:tcW w:w="625" w:type="dxa"/>
          </w:tcPr>
          <w:p w14:paraId="6726477C" w14:textId="77777777" w:rsidR="00436DAA" w:rsidRPr="00330234" w:rsidRDefault="009B4B8E" w:rsidP="00987AB9">
            <w:pPr>
              <w:pStyle w:val="TableParagraph"/>
              <w:widowControl/>
              <w:jc w:val="center"/>
              <w:rPr>
                <w:b/>
                <w:sz w:val="20"/>
                <w:szCs w:val="20"/>
              </w:rPr>
            </w:pPr>
            <w:r w:rsidRPr="00330234">
              <w:rPr>
                <w:b/>
                <w:sz w:val="20"/>
                <w:szCs w:val="20"/>
              </w:rPr>
              <w:t>Week</w:t>
            </w:r>
          </w:p>
        </w:tc>
        <w:tc>
          <w:tcPr>
            <w:tcW w:w="798" w:type="dxa"/>
          </w:tcPr>
          <w:p w14:paraId="42914713" w14:textId="77777777" w:rsidR="00436DAA" w:rsidRPr="00330234" w:rsidRDefault="009B4B8E" w:rsidP="00987AB9">
            <w:pPr>
              <w:pStyle w:val="TableParagraph"/>
              <w:widowControl/>
              <w:jc w:val="center"/>
              <w:rPr>
                <w:b/>
                <w:sz w:val="20"/>
                <w:szCs w:val="20"/>
              </w:rPr>
            </w:pPr>
            <w:r w:rsidRPr="00330234">
              <w:rPr>
                <w:b/>
                <w:sz w:val="20"/>
                <w:szCs w:val="20"/>
              </w:rPr>
              <w:t>TCZ</w:t>
            </w:r>
          </w:p>
          <w:p w14:paraId="5A607460" w14:textId="3F6ABB76" w:rsidR="00436DAA" w:rsidRPr="00330234" w:rsidRDefault="009B4B8E" w:rsidP="00987AB9">
            <w:pPr>
              <w:pStyle w:val="TableParagraph"/>
              <w:widowControl/>
              <w:jc w:val="center"/>
              <w:rPr>
                <w:b/>
                <w:sz w:val="20"/>
                <w:szCs w:val="20"/>
              </w:rPr>
            </w:pPr>
            <w:r w:rsidRPr="00330234">
              <w:rPr>
                <w:b/>
                <w:sz w:val="20"/>
                <w:szCs w:val="20"/>
              </w:rPr>
              <w:t>8</w:t>
            </w:r>
            <w:r w:rsidR="00987AB9" w:rsidRPr="00330234">
              <w:rPr>
                <w:b/>
                <w:sz w:val="20"/>
                <w:szCs w:val="20"/>
              </w:rPr>
              <w:t> </w:t>
            </w:r>
            <w:r w:rsidRPr="00330234">
              <w:rPr>
                <w:b/>
                <w:sz w:val="20"/>
                <w:szCs w:val="20"/>
              </w:rPr>
              <w:t>mg/kg</w:t>
            </w:r>
          </w:p>
        </w:tc>
        <w:tc>
          <w:tcPr>
            <w:tcW w:w="784" w:type="dxa"/>
          </w:tcPr>
          <w:p w14:paraId="415D63DC" w14:textId="77777777" w:rsidR="00436DAA" w:rsidRPr="00330234" w:rsidRDefault="009B4B8E" w:rsidP="00987AB9">
            <w:pPr>
              <w:pStyle w:val="TableParagraph"/>
              <w:widowControl/>
              <w:jc w:val="center"/>
              <w:rPr>
                <w:b/>
                <w:sz w:val="20"/>
                <w:szCs w:val="20"/>
              </w:rPr>
            </w:pPr>
            <w:r w:rsidRPr="00330234">
              <w:rPr>
                <w:b/>
                <w:sz w:val="20"/>
                <w:szCs w:val="20"/>
              </w:rPr>
              <w:t>MTX</w:t>
            </w:r>
          </w:p>
        </w:tc>
        <w:tc>
          <w:tcPr>
            <w:tcW w:w="812" w:type="dxa"/>
          </w:tcPr>
          <w:p w14:paraId="36CCD8B9" w14:textId="77777777" w:rsidR="00436DAA" w:rsidRPr="00330234" w:rsidRDefault="009B4B8E" w:rsidP="00987AB9">
            <w:pPr>
              <w:pStyle w:val="TableParagraph"/>
              <w:widowControl/>
              <w:jc w:val="center"/>
              <w:rPr>
                <w:b/>
                <w:sz w:val="20"/>
                <w:szCs w:val="20"/>
              </w:rPr>
            </w:pPr>
            <w:r w:rsidRPr="00330234">
              <w:rPr>
                <w:b/>
                <w:sz w:val="20"/>
                <w:szCs w:val="20"/>
              </w:rPr>
              <w:t>TCZ</w:t>
            </w:r>
          </w:p>
          <w:p w14:paraId="65E93FB0" w14:textId="299C20FB" w:rsidR="00436DAA" w:rsidRPr="00330234" w:rsidRDefault="009B4B8E" w:rsidP="00AD35FF">
            <w:pPr>
              <w:pStyle w:val="TableParagraph"/>
              <w:widowControl/>
              <w:jc w:val="center"/>
              <w:rPr>
                <w:b/>
                <w:sz w:val="20"/>
                <w:szCs w:val="20"/>
              </w:rPr>
            </w:pPr>
            <w:r w:rsidRPr="00330234">
              <w:rPr>
                <w:b/>
                <w:sz w:val="20"/>
                <w:szCs w:val="20"/>
              </w:rPr>
              <w:t>8 mg/kg</w:t>
            </w:r>
            <w:r w:rsidR="00AD35FF" w:rsidRPr="00330234">
              <w:rPr>
                <w:b/>
                <w:sz w:val="20"/>
                <w:szCs w:val="20"/>
              </w:rPr>
              <w:t xml:space="preserve"> </w:t>
            </w:r>
            <w:r w:rsidRPr="00330234">
              <w:rPr>
                <w:b/>
                <w:sz w:val="20"/>
                <w:szCs w:val="20"/>
              </w:rPr>
              <w:t>+ MTX</w:t>
            </w:r>
          </w:p>
        </w:tc>
        <w:tc>
          <w:tcPr>
            <w:tcW w:w="784" w:type="dxa"/>
          </w:tcPr>
          <w:p w14:paraId="403D3AC0" w14:textId="77777777" w:rsidR="00436DAA" w:rsidRPr="00330234" w:rsidRDefault="009B4B8E" w:rsidP="00987AB9">
            <w:pPr>
              <w:pStyle w:val="TableParagraph"/>
              <w:widowControl/>
              <w:jc w:val="center"/>
              <w:rPr>
                <w:b/>
                <w:sz w:val="20"/>
                <w:szCs w:val="20"/>
              </w:rPr>
            </w:pPr>
            <w:r w:rsidRPr="00330234">
              <w:rPr>
                <w:b/>
                <w:sz w:val="20"/>
                <w:szCs w:val="20"/>
              </w:rPr>
              <w:t>PBO + MTX</w:t>
            </w:r>
          </w:p>
        </w:tc>
        <w:tc>
          <w:tcPr>
            <w:tcW w:w="840" w:type="dxa"/>
          </w:tcPr>
          <w:p w14:paraId="08039C3D" w14:textId="77777777" w:rsidR="00436DAA" w:rsidRPr="00330234" w:rsidRDefault="009B4B8E" w:rsidP="00987AB9">
            <w:pPr>
              <w:pStyle w:val="TableParagraph"/>
              <w:widowControl/>
              <w:jc w:val="center"/>
              <w:rPr>
                <w:b/>
                <w:sz w:val="20"/>
                <w:szCs w:val="20"/>
              </w:rPr>
            </w:pPr>
            <w:r w:rsidRPr="00330234">
              <w:rPr>
                <w:b/>
                <w:sz w:val="20"/>
                <w:szCs w:val="20"/>
              </w:rPr>
              <w:t>TCZ</w:t>
            </w:r>
          </w:p>
          <w:p w14:paraId="091C9499" w14:textId="478766C4" w:rsidR="00436DAA" w:rsidRPr="00330234" w:rsidRDefault="009B4B8E" w:rsidP="00AD35FF">
            <w:pPr>
              <w:pStyle w:val="TableParagraph"/>
              <w:widowControl/>
              <w:jc w:val="center"/>
              <w:rPr>
                <w:b/>
                <w:sz w:val="20"/>
                <w:szCs w:val="20"/>
              </w:rPr>
            </w:pPr>
            <w:r w:rsidRPr="00330234">
              <w:rPr>
                <w:b/>
                <w:sz w:val="20"/>
                <w:szCs w:val="20"/>
              </w:rPr>
              <w:t>8 mg/kg</w:t>
            </w:r>
            <w:r w:rsidR="00AD35FF" w:rsidRPr="00330234">
              <w:rPr>
                <w:b/>
                <w:sz w:val="20"/>
                <w:szCs w:val="20"/>
              </w:rPr>
              <w:t xml:space="preserve"> </w:t>
            </w:r>
            <w:r w:rsidRPr="00330234">
              <w:rPr>
                <w:b/>
                <w:sz w:val="20"/>
                <w:szCs w:val="20"/>
              </w:rPr>
              <w:t>+ MTX</w:t>
            </w:r>
          </w:p>
        </w:tc>
        <w:tc>
          <w:tcPr>
            <w:tcW w:w="812" w:type="dxa"/>
          </w:tcPr>
          <w:p w14:paraId="287D61C3" w14:textId="77777777" w:rsidR="00436DAA" w:rsidRPr="00330234" w:rsidRDefault="009B4B8E" w:rsidP="00987AB9">
            <w:pPr>
              <w:pStyle w:val="TableParagraph"/>
              <w:widowControl/>
              <w:jc w:val="center"/>
              <w:rPr>
                <w:b/>
                <w:sz w:val="20"/>
                <w:szCs w:val="20"/>
              </w:rPr>
            </w:pPr>
            <w:r w:rsidRPr="00330234">
              <w:rPr>
                <w:b/>
                <w:sz w:val="20"/>
                <w:szCs w:val="20"/>
              </w:rPr>
              <w:t>PBO</w:t>
            </w:r>
          </w:p>
          <w:p w14:paraId="6D1C47CF" w14:textId="77777777" w:rsidR="00436DAA" w:rsidRPr="00330234" w:rsidRDefault="009B4B8E" w:rsidP="00987AB9">
            <w:pPr>
              <w:pStyle w:val="TableParagraph"/>
              <w:widowControl/>
              <w:jc w:val="center"/>
              <w:rPr>
                <w:b/>
                <w:sz w:val="20"/>
                <w:szCs w:val="20"/>
              </w:rPr>
            </w:pPr>
            <w:r w:rsidRPr="00330234">
              <w:rPr>
                <w:b/>
                <w:sz w:val="20"/>
                <w:szCs w:val="20"/>
              </w:rPr>
              <w:t>+ MTX</w:t>
            </w:r>
          </w:p>
        </w:tc>
        <w:tc>
          <w:tcPr>
            <w:tcW w:w="965" w:type="dxa"/>
          </w:tcPr>
          <w:p w14:paraId="70FBC576" w14:textId="77777777" w:rsidR="00436DAA" w:rsidRPr="00330234" w:rsidRDefault="009B4B8E" w:rsidP="00987AB9">
            <w:pPr>
              <w:pStyle w:val="TableParagraph"/>
              <w:widowControl/>
              <w:jc w:val="center"/>
              <w:rPr>
                <w:b/>
                <w:sz w:val="20"/>
                <w:szCs w:val="20"/>
              </w:rPr>
            </w:pPr>
            <w:r w:rsidRPr="00330234">
              <w:rPr>
                <w:b/>
                <w:sz w:val="20"/>
                <w:szCs w:val="20"/>
              </w:rPr>
              <w:t>TCZ</w:t>
            </w:r>
          </w:p>
          <w:p w14:paraId="05D3240D" w14:textId="77777777" w:rsidR="00436DAA" w:rsidRPr="00330234" w:rsidRDefault="009B4B8E" w:rsidP="00987AB9">
            <w:pPr>
              <w:pStyle w:val="TableParagraph"/>
              <w:widowControl/>
              <w:jc w:val="center"/>
              <w:rPr>
                <w:b/>
                <w:sz w:val="20"/>
                <w:szCs w:val="20"/>
              </w:rPr>
            </w:pPr>
            <w:r w:rsidRPr="00330234">
              <w:rPr>
                <w:b/>
                <w:sz w:val="20"/>
                <w:szCs w:val="20"/>
              </w:rPr>
              <w:t>8 mg/kg + DMARD</w:t>
            </w:r>
          </w:p>
        </w:tc>
        <w:tc>
          <w:tcPr>
            <w:tcW w:w="896" w:type="dxa"/>
          </w:tcPr>
          <w:p w14:paraId="101AB4A8" w14:textId="77777777" w:rsidR="00436DAA" w:rsidRPr="00330234" w:rsidRDefault="009B4B8E" w:rsidP="00987AB9">
            <w:pPr>
              <w:pStyle w:val="TableParagraph"/>
              <w:widowControl/>
              <w:jc w:val="center"/>
              <w:rPr>
                <w:b/>
                <w:sz w:val="20"/>
                <w:szCs w:val="20"/>
              </w:rPr>
            </w:pPr>
            <w:r w:rsidRPr="00330234">
              <w:rPr>
                <w:b/>
                <w:sz w:val="20"/>
                <w:szCs w:val="20"/>
              </w:rPr>
              <w:t>PBO + DMARD</w:t>
            </w:r>
          </w:p>
        </w:tc>
        <w:tc>
          <w:tcPr>
            <w:tcW w:w="896" w:type="dxa"/>
          </w:tcPr>
          <w:p w14:paraId="6B9151C4" w14:textId="77777777" w:rsidR="00436DAA" w:rsidRPr="00330234" w:rsidRDefault="009B4B8E" w:rsidP="00987AB9">
            <w:pPr>
              <w:pStyle w:val="TableParagraph"/>
              <w:widowControl/>
              <w:jc w:val="center"/>
              <w:rPr>
                <w:b/>
                <w:sz w:val="20"/>
                <w:szCs w:val="20"/>
              </w:rPr>
            </w:pPr>
            <w:r w:rsidRPr="00330234">
              <w:rPr>
                <w:b/>
                <w:sz w:val="20"/>
                <w:szCs w:val="20"/>
              </w:rPr>
              <w:t>TCZ</w:t>
            </w:r>
          </w:p>
          <w:p w14:paraId="702487AA" w14:textId="6628EFCA" w:rsidR="00436DAA" w:rsidRPr="00330234" w:rsidRDefault="009B4B8E" w:rsidP="00AD35FF">
            <w:pPr>
              <w:pStyle w:val="TableParagraph"/>
              <w:widowControl/>
              <w:jc w:val="center"/>
              <w:rPr>
                <w:b/>
                <w:sz w:val="20"/>
                <w:szCs w:val="20"/>
              </w:rPr>
            </w:pPr>
            <w:r w:rsidRPr="00330234">
              <w:rPr>
                <w:b/>
                <w:sz w:val="20"/>
                <w:szCs w:val="20"/>
              </w:rPr>
              <w:t>8 mg/kg</w:t>
            </w:r>
            <w:r w:rsidR="00AD35FF" w:rsidRPr="00330234">
              <w:rPr>
                <w:b/>
                <w:sz w:val="20"/>
                <w:szCs w:val="20"/>
              </w:rPr>
              <w:t xml:space="preserve"> </w:t>
            </w:r>
            <w:r w:rsidRPr="00330234">
              <w:rPr>
                <w:b/>
                <w:sz w:val="20"/>
                <w:szCs w:val="20"/>
              </w:rPr>
              <w:t>+ MTX</w:t>
            </w:r>
          </w:p>
        </w:tc>
        <w:tc>
          <w:tcPr>
            <w:tcW w:w="854" w:type="dxa"/>
          </w:tcPr>
          <w:p w14:paraId="447575E6" w14:textId="77777777" w:rsidR="00436DAA" w:rsidRPr="00330234" w:rsidRDefault="009B4B8E" w:rsidP="00987AB9">
            <w:pPr>
              <w:pStyle w:val="TableParagraph"/>
              <w:widowControl/>
              <w:jc w:val="center"/>
              <w:rPr>
                <w:b/>
                <w:sz w:val="20"/>
                <w:szCs w:val="20"/>
              </w:rPr>
            </w:pPr>
            <w:r w:rsidRPr="00330234">
              <w:rPr>
                <w:b/>
                <w:sz w:val="20"/>
                <w:szCs w:val="20"/>
              </w:rPr>
              <w:t>PBO + MTX</w:t>
            </w:r>
          </w:p>
        </w:tc>
      </w:tr>
      <w:tr w:rsidR="0037203A" w:rsidRPr="00330234" w14:paraId="4E97BDF8" w14:textId="77777777" w:rsidTr="0037203A">
        <w:trPr>
          <w:trHeight w:val="20"/>
        </w:trPr>
        <w:tc>
          <w:tcPr>
            <w:tcW w:w="625" w:type="dxa"/>
          </w:tcPr>
          <w:p w14:paraId="458A2BBE" w14:textId="77777777" w:rsidR="00436DAA" w:rsidRPr="00330234" w:rsidRDefault="00436DAA" w:rsidP="00987AB9">
            <w:pPr>
              <w:pStyle w:val="TableParagraph"/>
              <w:widowControl/>
              <w:jc w:val="center"/>
              <w:rPr>
                <w:sz w:val="20"/>
                <w:szCs w:val="20"/>
              </w:rPr>
            </w:pPr>
          </w:p>
        </w:tc>
        <w:tc>
          <w:tcPr>
            <w:tcW w:w="798" w:type="dxa"/>
          </w:tcPr>
          <w:p w14:paraId="60BCDF6E" w14:textId="77777777" w:rsidR="00436DAA" w:rsidRPr="00330234" w:rsidRDefault="009B4B8E" w:rsidP="00987AB9">
            <w:pPr>
              <w:pStyle w:val="TableParagraph"/>
              <w:widowControl/>
              <w:jc w:val="center"/>
              <w:rPr>
                <w:b/>
                <w:sz w:val="20"/>
                <w:szCs w:val="20"/>
              </w:rPr>
            </w:pPr>
            <w:r w:rsidRPr="00330234">
              <w:rPr>
                <w:b/>
                <w:sz w:val="20"/>
                <w:szCs w:val="20"/>
              </w:rPr>
              <w:t>N = 286</w:t>
            </w:r>
          </w:p>
        </w:tc>
        <w:tc>
          <w:tcPr>
            <w:tcW w:w="784" w:type="dxa"/>
          </w:tcPr>
          <w:p w14:paraId="48D45CC5" w14:textId="77777777" w:rsidR="00436DAA" w:rsidRPr="00330234" w:rsidRDefault="009B4B8E" w:rsidP="00987AB9">
            <w:pPr>
              <w:pStyle w:val="TableParagraph"/>
              <w:widowControl/>
              <w:jc w:val="center"/>
              <w:rPr>
                <w:b/>
                <w:sz w:val="20"/>
                <w:szCs w:val="20"/>
              </w:rPr>
            </w:pPr>
            <w:r w:rsidRPr="00330234">
              <w:rPr>
                <w:b/>
                <w:sz w:val="20"/>
                <w:szCs w:val="20"/>
              </w:rPr>
              <w:t>N = 284</w:t>
            </w:r>
          </w:p>
        </w:tc>
        <w:tc>
          <w:tcPr>
            <w:tcW w:w="812" w:type="dxa"/>
          </w:tcPr>
          <w:p w14:paraId="15F7DB4B" w14:textId="77777777" w:rsidR="00436DAA" w:rsidRPr="00330234" w:rsidRDefault="009B4B8E" w:rsidP="00987AB9">
            <w:pPr>
              <w:pStyle w:val="TableParagraph"/>
              <w:widowControl/>
              <w:jc w:val="center"/>
              <w:rPr>
                <w:b/>
                <w:sz w:val="20"/>
                <w:szCs w:val="20"/>
              </w:rPr>
            </w:pPr>
            <w:r w:rsidRPr="00330234">
              <w:rPr>
                <w:b/>
                <w:sz w:val="20"/>
                <w:szCs w:val="20"/>
              </w:rPr>
              <w:t>N = 398</w:t>
            </w:r>
          </w:p>
        </w:tc>
        <w:tc>
          <w:tcPr>
            <w:tcW w:w="784" w:type="dxa"/>
          </w:tcPr>
          <w:p w14:paraId="60A48B09" w14:textId="77777777" w:rsidR="00436DAA" w:rsidRPr="00330234" w:rsidRDefault="009B4B8E" w:rsidP="00987AB9">
            <w:pPr>
              <w:pStyle w:val="TableParagraph"/>
              <w:widowControl/>
              <w:jc w:val="center"/>
              <w:rPr>
                <w:b/>
                <w:sz w:val="20"/>
                <w:szCs w:val="20"/>
              </w:rPr>
            </w:pPr>
            <w:r w:rsidRPr="00330234">
              <w:rPr>
                <w:b/>
                <w:sz w:val="20"/>
                <w:szCs w:val="20"/>
              </w:rPr>
              <w:t>N = 393</w:t>
            </w:r>
          </w:p>
        </w:tc>
        <w:tc>
          <w:tcPr>
            <w:tcW w:w="840" w:type="dxa"/>
          </w:tcPr>
          <w:p w14:paraId="2376BA5A" w14:textId="77777777" w:rsidR="00436DAA" w:rsidRPr="00330234" w:rsidRDefault="009B4B8E" w:rsidP="00987AB9">
            <w:pPr>
              <w:pStyle w:val="TableParagraph"/>
              <w:widowControl/>
              <w:jc w:val="center"/>
              <w:rPr>
                <w:b/>
                <w:sz w:val="20"/>
                <w:szCs w:val="20"/>
              </w:rPr>
            </w:pPr>
            <w:r w:rsidRPr="00330234">
              <w:rPr>
                <w:b/>
                <w:sz w:val="20"/>
                <w:szCs w:val="20"/>
              </w:rPr>
              <w:t>N = 205</w:t>
            </w:r>
          </w:p>
        </w:tc>
        <w:tc>
          <w:tcPr>
            <w:tcW w:w="812" w:type="dxa"/>
          </w:tcPr>
          <w:p w14:paraId="1CD7DF9F" w14:textId="77777777" w:rsidR="00436DAA" w:rsidRPr="00330234" w:rsidRDefault="009B4B8E" w:rsidP="00987AB9">
            <w:pPr>
              <w:pStyle w:val="TableParagraph"/>
              <w:widowControl/>
              <w:jc w:val="center"/>
              <w:rPr>
                <w:b/>
                <w:sz w:val="20"/>
                <w:szCs w:val="20"/>
              </w:rPr>
            </w:pPr>
            <w:r w:rsidRPr="00330234">
              <w:rPr>
                <w:b/>
                <w:sz w:val="20"/>
                <w:szCs w:val="20"/>
              </w:rPr>
              <w:t>N = 204</w:t>
            </w:r>
          </w:p>
        </w:tc>
        <w:tc>
          <w:tcPr>
            <w:tcW w:w="965" w:type="dxa"/>
          </w:tcPr>
          <w:p w14:paraId="20AA90D5" w14:textId="77777777" w:rsidR="00436DAA" w:rsidRPr="00330234" w:rsidRDefault="009B4B8E" w:rsidP="00987AB9">
            <w:pPr>
              <w:pStyle w:val="TableParagraph"/>
              <w:widowControl/>
              <w:jc w:val="center"/>
              <w:rPr>
                <w:b/>
                <w:sz w:val="20"/>
                <w:szCs w:val="20"/>
              </w:rPr>
            </w:pPr>
            <w:r w:rsidRPr="00330234">
              <w:rPr>
                <w:b/>
                <w:sz w:val="20"/>
                <w:szCs w:val="20"/>
              </w:rPr>
              <w:t>N = 803</w:t>
            </w:r>
          </w:p>
        </w:tc>
        <w:tc>
          <w:tcPr>
            <w:tcW w:w="896" w:type="dxa"/>
          </w:tcPr>
          <w:p w14:paraId="4A830C73" w14:textId="77777777" w:rsidR="00436DAA" w:rsidRPr="00330234" w:rsidRDefault="009B4B8E" w:rsidP="00987AB9">
            <w:pPr>
              <w:pStyle w:val="TableParagraph"/>
              <w:widowControl/>
              <w:jc w:val="center"/>
              <w:rPr>
                <w:b/>
                <w:sz w:val="20"/>
                <w:szCs w:val="20"/>
              </w:rPr>
            </w:pPr>
            <w:r w:rsidRPr="00330234">
              <w:rPr>
                <w:b/>
                <w:sz w:val="20"/>
                <w:szCs w:val="20"/>
              </w:rPr>
              <w:t>N = 413</w:t>
            </w:r>
          </w:p>
        </w:tc>
        <w:tc>
          <w:tcPr>
            <w:tcW w:w="896" w:type="dxa"/>
          </w:tcPr>
          <w:p w14:paraId="20818626" w14:textId="77777777" w:rsidR="00436DAA" w:rsidRPr="00330234" w:rsidRDefault="009B4B8E" w:rsidP="00987AB9">
            <w:pPr>
              <w:pStyle w:val="TableParagraph"/>
              <w:widowControl/>
              <w:jc w:val="center"/>
              <w:rPr>
                <w:b/>
                <w:sz w:val="20"/>
                <w:szCs w:val="20"/>
              </w:rPr>
            </w:pPr>
            <w:r w:rsidRPr="00330234">
              <w:rPr>
                <w:b/>
                <w:sz w:val="20"/>
                <w:szCs w:val="20"/>
              </w:rPr>
              <w:t>N = 170</w:t>
            </w:r>
          </w:p>
        </w:tc>
        <w:tc>
          <w:tcPr>
            <w:tcW w:w="854" w:type="dxa"/>
          </w:tcPr>
          <w:p w14:paraId="240428A3" w14:textId="77777777" w:rsidR="00436DAA" w:rsidRPr="00330234" w:rsidRDefault="009B4B8E" w:rsidP="00987AB9">
            <w:pPr>
              <w:pStyle w:val="TableParagraph"/>
              <w:widowControl/>
              <w:jc w:val="center"/>
              <w:rPr>
                <w:b/>
                <w:sz w:val="20"/>
                <w:szCs w:val="20"/>
              </w:rPr>
            </w:pPr>
            <w:r w:rsidRPr="00330234">
              <w:rPr>
                <w:b/>
                <w:sz w:val="20"/>
                <w:szCs w:val="20"/>
              </w:rPr>
              <w:t>N = 158</w:t>
            </w:r>
          </w:p>
        </w:tc>
      </w:tr>
      <w:tr w:rsidR="00436DAA" w:rsidRPr="00330234" w14:paraId="299F25CC" w14:textId="77777777" w:rsidTr="0037203A">
        <w:trPr>
          <w:trHeight w:val="20"/>
        </w:trPr>
        <w:tc>
          <w:tcPr>
            <w:tcW w:w="9066" w:type="dxa"/>
            <w:gridSpan w:val="11"/>
          </w:tcPr>
          <w:p w14:paraId="2E5FBB3F" w14:textId="77777777" w:rsidR="00436DAA" w:rsidRPr="00330234" w:rsidRDefault="009B4B8E" w:rsidP="00987AB9">
            <w:pPr>
              <w:pStyle w:val="TableParagraph"/>
              <w:widowControl/>
              <w:jc w:val="center"/>
              <w:rPr>
                <w:b/>
                <w:sz w:val="20"/>
                <w:szCs w:val="20"/>
              </w:rPr>
            </w:pPr>
            <w:r w:rsidRPr="00330234">
              <w:rPr>
                <w:b/>
                <w:sz w:val="20"/>
                <w:szCs w:val="20"/>
              </w:rPr>
              <w:t>ACR20</w:t>
            </w:r>
          </w:p>
        </w:tc>
      </w:tr>
      <w:tr w:rsidR="0037203A" w:rsidRPr="00330234" w14:paraId="2A3C77C4" w14:textId="77777777" w:rsidTr="0037203A">
        <w:trPr>
          <w:trHeight w:val="20"/>
        </w:trPr>
        <w:tc>
          <w:tcPr>
            <w:tcW w:w="625" w:type="dxa"/>
          </w:tcPr>
          <w:p w14:paraId="5979C8A4" w14:textId="77777777" w:rsidR="00436DAA" w:rsidRPr="00330234" w:rsidRDefault="009B4B8E" w:rsidP="00987AB9">
            <w:pPr>
              <w:pStyle w:val="TableParagraph"/>
              <w:widowControl/>
              <w:jc w:val="center"/>
              <w:rPr>
                <w:sz w:val="20"/>
                <w:szCs w:val="20"/>
              </w:rPr>
            </w:pPr>
            <w:r w:rsidRPr="00330234">
              <w:rPr>
                <w:sz w:val="20"/>
                <w:szCs w:val="20"/>
              </w:rPr>
              <w:t>24</w:t>
            </w:r>
          </w:p>
        </w:tc>
        <w:tc>
          <w:tcPr>
            <w:tcW w:w="798" w:type="dxa"/>
          </w:tcPr>
          <w:p w14:paraId="6A65564B" w14:textId="1C5AD8D6" w:rsidR="00436DAA" w:rsidRPr="00330234" w:rsidRDefault="009B4B8E" w:rsidP="00987AB9">
            <w:pPr>
              <w:pStyle w:val="TableParagraph"/>
              <w:widowControl/>
              <w:jc w:val="center"/>
              <w:rPr>
                <w:sz w:val="20"/>
                <w:szCs w:val="20"/>
              </w:rPr>
            </w:pPr>
            <w:r w:rsidRPr="00330234">
              <w:rPr>
                <w:sz w:val="20"/>
                <w:szCs w:val="20"/>
              </w:rPr>
              <w:t>70%***</w:t>
            </w:r>
          </w:p>
        </w:tc>
        <w:tc>
          <w:tcPr>
            <w:tcW w:w="784" w:type="dxa"/>
          </w:tcPr>
          <w:p w14:paraId="4CAC7D65" w14:textId="77777777" w:rsidR="00436DAA" w:rsidRPr="00330234" w:rsidRDefault="009B4B8E" w:rsidP="00987AB9">
            <w:pPr>
              <w:pStyle w:val="TableParagraph"/>
              <w:widowControl/>
              <w:jc w:val="center"/>
              <w:rPr>
                <w:sz w:val="20"/>
                <w:szCs w:val="20"/>
              </w:rPr>
            </w:pPr>
            <w:r w:rsidRPr="00330234">
              <w:rPr>
                <w:sz w:val="20"/>
                <w:szCs w:val="20"/>
              </w:rPr>
              <w:t>52%</w:t>
            </w:r>
          </w:p>
        </w:tc>
        <w:tc>
          <w:tcPr>
            <w:tcW w:w="812" w:type="dxa"/>
          </w:tcPr>
          <w:p w14:paraId="10537917" w14:textId="77777777" w:rsidR="00436DAA" w:rsidRPr="00330234" w:rsidRDefault="009B4B8E" w:rsidP="00987AB9">
            <w:pPr>
              <w:pStyle w:val="TableParagraph"/>
              <w:widowControl/>
              <w:jc w:val="center"/>
              <w:rPr>
                <w:sz w:val="20"/>
                <w:szCs w:val="20"/>
              </w:rPr>
            </w:pPr>
            <w:r w:rsidRPr="00330234">
              <w:rPr>
                <w:sz w:val="20"/>
                <w:szCs w:val="20"/>
              </w:rPr>
              <w:t>56%***</w:t>
            </w:r>
          </w:p>
        </w:tc>
        <w:tc>
          <w:tcPr>
            <w:tcW w:w="784" w:type="dxa"/>
          </w:tcPr>
          <w:p w14:paraId="6D592252" w14:textId="77777777" w:rsidR="00436DAA" w:rsidRPr="00330234" w:rsidRDefault="009B4B8E" w:rsidP="00987AB9">
            <w:pPr>
              <w:pStyle w:val="TableParagraph"/>
              <w:widowControl/>
              <w:jc w:val="center"/>
              <w:rPr>
                <w:sz w:val="20"/>
                <w:szCs w:val="20"/>
              </w:rPr>
            </w:pPr>
            <w:r w:rsidRPr="00330234">
              <w:rPr>
                <w:sz w:val="20"/>
                <w:szCs w:val="20"/>
              </w:rPr>
              <w:t>27%</w:t>
            </w:r>
          </w:p>
        </w:tc>
        <w:tc>
          <w:tcPr>
            <w:tcW w:w="840" w:type="dxa"/>
          </w:tcPr>
          <w:p w14:paraId="0F86A21F" w14:textId="77777777" w:rsidR="00436DAA" w:rsidRPr="00330234" w:rsidRDefault="009B4B8E" w:rsidP="00987AB9">
            <w:pPr>
              <w:pStyle w:val="TableParagraph"/>
              <w:widowControl/>
              <w:jc w:val="center"/>
              <w:rPr>
                <w:sz w:val="20"/>
                <w:szCs w:val="20"/>
              </w:rPr>
            </w:pPr>
            <w:r w:rsidRPr="00330234">
              <w:rPr>
                <w:sz w:val="20"/>
                <w:szCs w:val="20"/>
              </w:rPr>
              <w:t>59%***</w:t>
            </w:r>
          </w:p>
        </w:tc>
        <w:tc>
          <w:tcPr>
            <w:tcW w:w="812" w:type="dxa"/>
          </w:tcPr>
          <w:p w14:paraId="3B063C54" w14:textId="77777777" w:rsidR="00436DAA" w:rsidRPr="00330234" w:rsidRDefault="009B4B8E" w:rsidP="00987AB9">
            <w:pPr>
              <w:pStyle w:val="TableParagraph"/>
              <w:widowControl/>
              <w:jc w:val="center"/>
              <w:rPr>
                <w:sz w:val="20"/>
                <w:szCs w:val="20"/>
              </w:rPr>
            </w:pPr>
            <w:r w:rsidRPr="00330234">
              <w:rPr>
                <w:sz w:val="20"/>
                <w:szCs w:val="20"/>
              </w:rPr>
              <w:t>26%</w:t>
            </w:r>
          </w:p>
        </w:tc>
        <w:tc>
          <w:tcPr>
            <w:tcW w:w="965" w:type="dxa"/>
          </w:tcPr>
          <w:p w14:paraId="79453DC6" w14:textId="77777777" w:rsidR="00436DAA" w:rsidRPr="00330234" w:rsidRDefault="009B4B8E" w:rsidP="00987AB9">
            <w:pPr>
              <w:pStyle w:val="TableParagraph"/>
              <w:widowControl/>
              <w:jc w:val="center"/>
              <w:rPr>
                <w:sz w:val="20"/>
                <w:szCs w:val="20"/>
              </w:rPr>
            </w:pPr>
            <w:r w:rsidRPr="00330234">
              <w:rPr>
                <w:sz w:val="20"/>
                <w:szCs w:val="20"/>
              </w:rPr>
              <w:t>61%***</w:t>
            </w:r>
          </w:p>
        </w:tc>
        <w:tc>
          <w:tcPr>
            <w:tcW w:w="896" w:type="dxa"/>
          </w:tcPr>
          <w:p w14:paraId="705FDE45" w14:textId="77777777" w:rsidR="00436DAA" w:rsidRPr="00330234" w:rsidRDefault="009B4B8E" w:rsidP="00987AB9">
            <w:pPr>
              <w:pStyle w:val="TableParagraph"/>
              <w:widowControl/>
              <w:jc w:val="center"/>
              <w:rPr>
                <w:sz w:val="20"/>
                <w:szCs w:val="20"/>
              </w:rPr>
            </w:pPr>
            <w:r w:rsidRPr="00330234">
              <w:rPr>
                <w:sz w:val="20"/>
                <w:szCs w:val="20"/>
              </w:rPr>
              <w:t>24%</w:t>
            </w:r>
          </w:p>
        </w:tc>
        <w:tc>
          <w:tcPr>
            <w:tcW w:w="896" w:type="dxa"/>
          </w:tcPr>
          <w:p w14:paraId="28DEFB53" w14:textId="77777777" w:rsidR="00436DAA" w:rsidRPr="00330234" w:rsidRDefault="009B4B8E" w:rsidP="00987AB9">
            <w:pPr>
              <w:pStyle w:val="TableParagraph"/>
              <w:widowControl/>
              <w:jc w:val="center"/>
              <w:rPr>
                <w:sz w:val="20"/>
                <w:szCs w:val="20"/>
              </w:rPr>
            </w:pPr>
            <w:r w:rsidRPr="00330234">
              <w:rPr>
                <w:sz w:val="20"/>
                <w:szCs w:val="20"/>
              </w:rPr>
              <w:t>50%***</w:t>
            </w:r>
          </w:p>
        </w:tc>
        <w:tc>
          <w:tcPr>
            <w:tcW w:w="854" w:type="dxa"/>
          </w:tcPr>
          <w:p w14:paraId="0D5C552E" w14:textId="77777777" w:rsidR="00436DAA" w:rsidRPr="00330234" w:rsidRDefault="009B4B8E" w:rsidP="00987AB9">
            <w:pPr>
              <w:pStyle w:val="TableParagraph"/>
              <w:widowControl/>
              <w:jc w:val="center"/>
              <w:rPr>
                <w:sz w:val="20"/>
                <w:szCs w:val="20"/>
              </w:rPr>
            </w:pPr>
            <w:r w:rsidRPr="00330234">
              <w:rPr>
                <w:sz w:val="20"/>
                <w:szCs w:val="20"/>
              </w:rPr>
              <w:t>10%</w:t>
            </w:r>
          </w:p>
        </w:tc>
      </w:tr>
      <w:tr w:rsidR="0037203A" w:rsidRPr="00330234" w14:paraId="1E575306" w14:textId="77777777" w:rsidTr="0037203A">
        <w:trPr>
          <w:trHeight w:val="20"/>
        </w:trPr>
        <w:tc>
          <w:tcPr>
            <w:tcW w:w="625" w:type="dxa"/>
          </w:tcPr>
          <w:p w14:paraId="6CCB5A90" w14:textId="77777777" w:rsidR="00436DAA" w:rsidRPr="00330234" w:rsidRDefault="009B4B8E" w:rsidP="00987AB9">
            <w:pPr>
              <w:pStyle w:val="TableParagraph"/>
              <w:widowControl/>
              <w:jc w:val="center"/>
              <w:rPr>
                <w:sz w:val="20"/>
                <w:szCs w:val="20"/>
              </w:rPr>
            </w:pPr>
            <w:r w:rsidRPr="00330234">
              <w:rPr>
                <w:sz w:val="20"/>
                <w:szCs w:val="20"/>
              </w:rPr>
              <w:t>52</w:t>
            </w:r>
          </w:p>
        </w:tc>
        <w:tc>
          <w:tcPr>
            <w:tcW w:w="798" w:type="dxa"/>
          </w:tcPr>
          <w:p w14:paraId="505E47A3" w14:textId="77777777" w:rsidR="00436DAA" w:rsidRPr="00330234" w:rsidRDefault="00436DAA" w:rsidP="00987AB9">
            <w:pPr>
              <w:pStyle w:val="TableParagraph"/>
              <w:widowControl/>
              <w:jc w:val="center"/>
              <w:rPr>
                <w:sz w:val="20"/>
                <w:szCs w:val="20"/>
              </w:rPr>
            </w:pPr>
          </w:p>
        </w:tc>
        <w:tc>
          <w:tcPr>
            <w:tcW w:w="784" w:type="dxa"/>
          </w:tcPr>
          <w:p w14:paraId="4BEF25D6" w14:textId="77777777" w:rsidR="00436DAA" w:rsidRPr="00330234" w:rsidRDefault="00436DAA" w:rsidP="00987AB9">
            <w:pPr>
              <w:pStyle w:val="TableParagraph"/>
              <w:widowControl/>
              <w:jc w:val="center"/>
              <w:rPr>
                <w:sz w:val="20"/>
                <w:szCs w:val="20"/>
              </w:rPr>
            </w:pPr>
          </w:p>
        </w:tc>
        <w:tc>
          <w:tcPr>
            <w:tcW w:w="812" w:type="dxa"/>
          </w:tcPr>
          <w:p w14:paraId="308B529E" w14:textId="77777777" w:rsidR="00436DAA" w:rsidRPr="00330234" w:rsidRDefault="009B4B8E" w:rsidP="00987AB9">
            <w:pPr>
              <w:pStyle w:val="TableParagraph"/>
              <w:widowControl/>
              <w:jc w:val="center"/>
              <w:rPr>
                <w:sz w:val="20"/>
                <w:szCs w:val="20"/>
              </w:rPr>
            </w:pPr>
            <w:r w:rsidRPr="00330234">
              <w:rPr>
                <w:sz w:val="20"/>
                <w:szCs w:val="20"/>
              </w:rPr>
              <w:t>56%***</w:t>
            </w:r>
          </w:p>
        </w:tc>
        <w:tc>
          <w:tcPr>
            <w:tcW w:w="784" w:type="dxa"/>
          </w:tcPr>
          <w:p w14:paraId="6BED4300" w14:textId="77777777" w:rsidR="00436DAA" w:rsidRPr="00330234" w:rsidRDefault="009B4B8E" w:rsidP="00987AB9">
            <w:pPr>
              <w:pStyle w:val="TableParagraph"/>
              <w:widowControl/>
              <w:jc w:val="center"/>
              <w:rPr>
                <w:sz w:val="20"/>
                <w:szCs w:val="20"/>
              </w:rPr>
            </w:pPr>
            <w:r w:rsidRPr="00330234">
              <w:rPr>
                <w:sz w:val="20"/>
                <w:szCs w:val="20"/>
              </w:rPr>
              <w:t>25%</w:t>
            </w:r>
          </w:p>
        </w:tc>
        <w:tc>
          <w:tcPr>
            <w:tcW w:w="840" w:type="dxa"/>
          </w:tcPr>
          <w:p w14:paraId="08303B68" w14:textId="77777777" w:rsidR="00436DAA" w:rsidRPr="00330234" w:rsidRDefault="00436DAA" w:rsidP="00987AB9">
            <w:pPr>
              <w:pStyle w:val="TableParagraph"/>
              <w:widowControl/>
              <w:jc w:val="center"/>
              <w:rPr>
                <w:sz w:val="20"/>
                <w:szCs w:val="20"/>
              </w:rPr>
            </w:pPr>
          </w:p>
        </w:tc>
        <w:tc>
          <w:tcPr>
            <w:tcW w:w="812" w:type="dxa"/>
          </w:tcPr>
          <w:p w14:paraId="3D63C78B" w14:textId="77777777" w:rsidR="00436DAA" w:rsidRPr="00330234" w:rsidRDefault="00436DAA" w:rsidP="00987AB9">
            <w:pPr>
              <w:pStyle w:val="TableParagraph"/>
              <w:widowControl/>
              <w:jc w:val="center"/>
              <w:rPr>
                <w:sz w:val="20"/>
                <w:szCs w:val="20"/>
              </w:rPr>
            </w:pPr>
          </w:p>
        </w:tc>
        <w:tc>
          <w:tcPr>
            <w:tcW w:w="965" w:type="dxa"/>
          </w:tcPr>
          <w:p w14:paraId="37EAF344" w14:textId="77777777" w:rsidR="00436DAA" w:rsidRPr="00330234" w:rsidRDefault="00436DAA" w:rsidP="00987AB9">
            <w:pPr>
              <w:pStyle w:val="TableParagraph"/>
              <w:widowControl/>
              <w:jc w:val="center"/>
              <w:rPr>
                <w:sz w:val="20"/>
                <w:szCs w:val="20"/>
              </w:rPr>
            </w:pPr>
          </w:p>
        </w:tc>
        <w:tc>
          <w:tcPr>
            <w:tcW w:w="896" w:type="dxa"/>
          </w:tcPr>
          <w:p w14:paraId="4B835464" w14:textId="77777777" w:rsidR="00436DAA" w:rsidRPr="00330234" w:rsidRDefault="00436DAA" w:rsidP="00987AB9">
            <w:pPr>
              <w:pStyle w:val="TableParagraph"/>
              <w:widowControl/>
              <w:jc w:val="center"/>
              <w:rPr>
                <w:sz w:val="20"/>
                <w:szCs w:val="20"/>
              </w:rPr>
            </w:pPr>
          </w:p>
        </w:tc>
        <w:tc>
          <w:tcPr>
            <w:tcW w:w="896" w:type="dxa"/>
          </w:tcPr>
          <w:p w14:paraId="08494E42" w14:textId="77777777" w:rsidR="00436DAA" w:rsidRPr="00330234" w:rsidRDefault="00436DAA" w:rsidP="00987AB9">
            <w:pPr>
              <w:pStyle w:val="TableParagraph"/>
              <w:widowControl/>
              <w:jc w:val="center"/>
              <w:rPr>
                <w:sz w:val="20"/>
                <w:szCs w:val="20"/>
              </w:rPr>
            </w:pPr>
          </w:p>
        </w:tc>
        <w:tc>
          <w:tcPr>
            <w:tcW w:w="854" w:type="dxa"/>
          </w:tcPr>
          <w:p w14:paraId="7F4BE9DA" w14:textId="77777777" w:rsidR="00436DAA" w:rsidRPr="00330234" w:rsidRDefault="00436DAA" w:rsidP="00987AB9">
            <w:pPr>
              <w:pStyle w:val="TableParagraph"/>
              <w:widowControl/>
              <w:jc w:val="center"/>
              <w:rPr>
                <w:sz w:val="20"/>
                <w:szCs w:val="20"/>
              </w:rPr>
            </w:pPr>
          </w:p>
        </w:tc>
      </w:tr>
      <w:tr w:rsidR="00436DAA" w:rsidRPr="00330234" w14:paraId="2C7E34E0" w14:textId="77777777" w:rsidTr="0037203A">
        <w:trPr>
          <w:trHeight w:val="20"/>
        </w:trPr>
        <w:tc>
          <w:tcPr>
            <w:tcW w:w="9066" w:type="dxa"/>
            <w:gridSpan w:val="11"/>
          </w:tcPr>
          <w:p w14:paraId="1718C65A" w14:textId="77777777" w:rsidR="00436DAA" w:rsidRPr="00330234" w:rsidRDefault="009B4B8E" w:rsidP="0047099E">
            <w:pPr>
              <w:pStyle w:val="TableParagraph"/>
              <w:keepNext/>
              <w:keepLines/>
              <w:widowControl/>
              <w:jc w:val="center"/>
              <w:rPr>
                <w:b/>
                <w:sz w:val="20"/>
                <w:szCs w:val="20"/>
              </w:rPr>
            </w:pPr>
            <w:r w:rsidRPr="00330234">
              <w:rPr>
                <w:b/>
                <w:sz w:val="20"/>
                <w:szCs w:val="20"/>
              </w:rPr>
              <w:lastRenderedPageBreak/>
              <w:t>ACR50</w:t>
            </w:r>
          </w:p>
        </w:tc>
      </w:tr>
      <w:tr w:rsidR="0037203A" w:rsidRPr="00330234" w14:paraId="1D79FF99" w14:textId="77777777" w:rsidTr="0037203A">
        <w:trPr>
          <w:trHeight w:val="20"/>
        </w:trPr>
        <w:tc>
          <w:tcPr>
            <w:tcW w:w="625" w:type="dxa"/>
          </w:tcPr>
          <w:p w14:paraId="00BF487A" w14:textId="77777777" w:rsidR="00436DAA" w:rsidRPr="00330234" w:rsidRDefault="009B4B8E" w:rsidP="0047099E">
            <w:pPr>
              <w:pStyle w:val="TableParagraph"/>
              <w:keepNext/>
              <w:keepLines/>
              <w:widowControl/>
              <w:jc w:val="center"/>
              <w:rPr>
                <w:sz w:val="20"/>
                <w:szCs w:val="20"/>
              </w:rPr>
            </w:pPr>
            <w:r w:rsidRPr="00330234">
              <w:rPr>
                <w:sz w:val="20"/>
                <w:szCs w:val="20"/>
              </w:rPr>
              <w:t>24</w:t>
            </w:r>
          </w:p>
        </w:tc>
        <w:tc>
          <w:tcPr>
            <w:tcW w:w="798" w:type="dxa"/>
          </w:tcPr>
          <w:p w14:paraId="454C0E4B" w14:textId="77777777" w:rsidR="00436DAA" w:rsidRPr="00330234" w:rsidRDefault="009B4B8E" w:rsidP="0047099E">
            <w:pPr>
              <w:pStyle w:val="TableParagraph"/>
              <w:keepNext/>
              <w:keepLines/>
              <w:widowControl/>
              <w:jc w:val="center"/>
              <w:rPr>
                <w:sz w:val="20"/>
                <w:szCs w:val="20"/>
              </w:rPr>
            </w:pPr>
            <w:r w:rsidRPr="00330234">
              <w:rPr>
                <w:sz w:val="20"/>
                <w:szCs w:val="20"/>
              </w:rPr>
              <w:t>44%**</w:t>
            </w:r>
          </w:p>
        </w:tc>
        <w:tc>
          <w:tcPr>
            <w:tcW w:w="784" w:type="dxa"/>
          </w:tcPr>
          <w:p w14:paraId="11CD1FE7" w14:textId="77777777" w:rsidR="00436DAA" w:rsidRPr="00330234" w:rsidRDefault="009B4B8E" w:rsidP="0047099E">
            <w:pPr>
              <w:pStyle w:val="TableParagraph"/>
              <w:keepNext/>
              <w:keepLines/>
              <w:widowControl/>
              <w:jc w:val="center"/>
              <w:rPr>
                <w:sz w:val="20"/>
                <w:szCs w:val="20"/>
              </w:rPr>
            </w:pPr>
            <w:r w:rsidRPr="00330234">
              <w:rPr>
                <w:sz w:val="20"/>
                <w:szCs w:val="20"/>
              </w:rPr>
              <w:t>33%</w:t>
            </w:r>
          </w:p>
        </w:tc>
        <w:tc>
          <w:tcPr>
            <w:tcW w:w="812" w:type="dxa"/>
          </w:tcPr>
          <w:p w14:paraId="054D98E5" w14:textId="77777777" w:rsidR="00436DAA" w:rsidRPr="00330234" w:rsidRDefault="009B4B8E" w:rsidP="0047099E">
            <w:pPr>
              <w:pStyle w:val="TableParagraph"/>
              <w:keepNext/>
              <w:keepLines/>
              <w:widowControl/>
              <w:jc w:val="center"/>
              <w:rPr>
                <w:sz w:val="20"/>
                <w:szCs w:val="20"/>
              </w:rPr>
            </w:pPr>
            <w:r w:rsidRPr="00330234">
              <w:rPr>
                <w:sz w:val="20"/>
                <w:szCs w:val="20"/>
              </w:rPr>
              <w:t>32%***</w:t>
            </w:r>
          </w:p>
        </w:tc>
        <w:tc>
          <w:tcPr>
            <w:tcW w:w="784" w:type="dxa"/>
          </w:tcPr>
          <w:p w14:paraId="0CEF309B" w14:textId="77777777" w:rsidR="00436DAA" w:rsidRPr="00330234" w:rsidRDefault="009B4B8E" w:rsidP="0047099E">
            <w:pPr>
              <w:pStyle w:val="TableParagraph"/>
              <w:keepNext/>
              <w:keepLines/>
              <w:widowControl/>
              <w:jc w:val="center"/>
              <w:rPr>
                <w:sz w:val="20"/>
                <w:szCs w:val="20"/>
              </w:rPr>
            </w:pPr>
            <w:r w:rsidRPr="00330234">
              <w:rPr>
                <w:sz w:val="20"/>
                <w:szCs w:val="20"/>
              </w:rPr>
              <w:t>10%</w:t>
            </w:r>
          </w:p>
        </w:tc>
        <w:tc>
          <w:tcPr>
            <w:tcW w:w="840" w:type="dxa"/>
          </w:tcPr>
          <w:p w14:paraId="4F28729D" w14:textId="77777777" w:rsidR="00436DAA" w:rsidRPr="00330234" w:rsidRDefault="009B4B8E" w:rsidP="0047099E">
            <w:pPr>
              <w:pStyle w:val="TableParagraph"/>
              <w:keepNext/>
              <w:keepLines/>
              <w:widowControl/>
              <w:jc w:val="center"/>
              <w:rPr>
                <w:sz w:val="20"/>
                <w:szCs w:val="20"/>
              </w:rPr>
            </w:pPr>
            <w:r w:rsidRPr="00330234">
              <w:rPr>
                <w:sz w:val="20"/>
                <w:szCs w:val="20"/>
              </w:rPr>
              <w:t>44%***</w:t>
            </w:r>
          </w:p>
        </w:tc>
        <w:tc>
          <w:tcPr>
            <w:tcW w:w="812" w:type="dxa"/>
          </w:tcPr>
          <w:p w14:paraId="5DC1D5BD" w14:textId="77777777" w:rsidR="00436DAA" w:rsidRPr="00330234" w:rsidRDefault="009B4B8E" w:rsidP="0047099E">
            <w:pPr>
              <w:pStyle w:val="TableParagraph"/>
              <w:keepNext/>
              <w:keepLines/>
              <w:widowControl/>
              <w:jc w:val="center"/>
              <w:rPr>
                <w:sz w:val="20"/>
                <w:szCs w:val="20"/>
              </w:rPr>
            </w:pPr>
            <w:r w:rsidRPr="00330234">
              <w:rPr>
                <w:sz w:val="20"/>
                <w:szCs w:val="20"/>
              </w:rPr>
              <w:t>11%</w:t>
            </w:r>
          </w:p>
        </w:tc>
        <w:tc>
          <w:tcPr>
            <w:tcW w:w="965" w:type="dxa"/>
          </w:tcPr>
          <w:p w14:paraId="7031924B" w14:textId="77777777" w:rsidR="00436DAA" w:rsidRPr="00330234" w:rsidRDefault="009B4B8E" w:rsidP="0047099E">
            <w:pPr>
              <w:pStyle w:val="TableParagraph"/>
              <w:keepNext/>
              <w:keepLines/>
              <w:widowControl/>
              <w:jc w:val="center"/>
              <w:rPr>
                <w:sz w:val="20"/>
                <w:szCs w:val="20"/>
              </w:rPr>
            </w:pPr>
            <w:r w:rsidRPr="00330234">
              <w:rPr>
                <w:sz w:val="20"/>
                <w:szCs w:val="20"/>
              </w:rPr>
              <w:t>38%***</w:t>
            </w:r>
          </w:p>
        </w:tc>
        <w:tc>
          <w:tcPr>
            <w:tcW w:w="896" w:type="dxa"/>
          </w:tcPr>
          <w:p w14:paraId="38C630E5" w14:textId="77777777" w:rsidR="00436DAA" w:rsidRPr="00330234" w:rsidRDefault="009B4B8E" w:rsidP="0047099E">
            <w:pPr>
              <w:pStyle w:val="TableParagraph"/>
              <w:keepNext/>
              <w:keepLines/>
              <w:widowControl/>
              <w:jc w:val="center"/>
              <w:rPr>
                <w:sz w:val="20"/>
                <w:szCs w:val="20"/>
              </w:rPr>
            </w:pPr>
            <w:r w:rsidRPr="00330234">
              <w:rPr>
                <w:sz w:val="20"/>
                <w:szCs w:val="20"/>
              </w:rPr>
              <w:t>9%</w:t>
            </w:r>
          </w:p>
        </w:tc>
        <w:tc>
          <w:tcPr>
            <w:tcW w:w="896" w:type="dxa"/>
          </w:tcPr>
          <w:p w14:paraId="264E9F87" w14:textId="77777777" w:rsidR="00436DAA" w:rsidRPr="00330234" w:rsidRDefault="009B4B8E" w:rsidP="0047099E">
            <w:pPr>
              <w:pStyle w:val="TableParagraph"/>
              <w:keepNext/>
              <w:keepLines/>
              <w:widowControl/>
              <w:jc w:val="center"/>
              <w:rPr>
                <w:sz w:val="20"/>
                <w:szCs w:val="20"/>
              </w:rPr>
            </w:pPr>
            <w:r w:rsidRPr="00330234">
              <w:rPr>
                <w:sz w:val="20"/>
                <w:szCs w:val="20"/>
              </w:rPr>
              <w:t>29%***</w:t>
            </w:r>
          </w:p>
        </w:tc>
        <w:tc>
          <w:tcPr>
            <w:tcW w:w="854" w:type="dxa"/>
          </w:tcPr>
          <w:p w14:paraId="314ACBD2" w14:textId="77777777" w:rsidR="00436DAA" w:rsidRPr="00330234" w:rsidRDefault="009B4B8E" w:rsidP="0047099E">
            <w:pPr>
              <w:pStyle w:val="TableParagraph"/>
              <w:keepNext/>
              <w:keepLines/>
              <w:widowControl/>
              <w:jc w:val="center"/>
              <w:rPr>
                <w:sz w:val="20"/>
                <w:szCs w:val="20"/>
              </w:rPr>
            </w:pPr>
            <w:r w:rsidRPr="00330234">
              <w:rPr>
                <w:sz w:val="20"/>
                <w:szCs w:val="20"/>
              </w:rPr>
              <w:t>4%</w:t>
            </w:r>
          </w:p>
        </w:tc>
      </w:tr>
      <w:tr w:rsidR="0037203A" w:rsidRPr="00330234" w14:paraId="3B452337" w14:textId="77777777" w:rsidTr="0037203A">
        <w:trPr>
          <w:trHeight w:val="20"/>
        </w:trPr>
        <w:tc>
          <w:tcPr>
            <w:tcW w:w="625" w:type="dxa"/>
          </w:tcPr>
          <w:p w14:paraId="6C4F4EEC" w14:textId="77777777" w:rsidR="00436DAA" w:rsidRPr="00330234" w:rsidRDefault="009B4B8E" w:rsidP="0047099E">
            <w:pPr>
              <w:pStyle w:val="TableParagraph"/>
              <w:keepNext/>
              <w:keepLines/>
              <w:widowControl/>
              <w:jc w:val="center"/>
              <w:rPr>
                <w:sz w:val="20"/>
                <w:szCs w:val="20"/>
              </w:rPr>
            </w:pPr>
            <w:r w:rsidRPr="00330234">
              <w:rPr>
                <w:sz w:val="20"/>
                <w:szCs w:val="20"/>
              </w:rPr>
              <w:t>52</w:t>
            </w:r>
          </w:p>
        </w:tc>
        <w:tc>
          <w:tcPr>
            <w:tcW w:w="798" w:type="dxa"/>
          </w:tcPr>
          <w:p w14:paraId="3993925F" w14:textId="77777777" w:rsidR="00436DAA" w:rsidRPr="00330234" w:rsidRDefault="00436DAA" w:rsidP="0047099E">
            <w:pPr>
              <w:pStyle w:val="TableParagraph"/>
              <w:keepNext/>
              <w:keepLines/>
              <w:widowControl/>
              <w:jc w:val="center"/>
              <w:rPr>
                <w:sz w:val="20"/>
                <w:szCs w:val="20"/>
              </w:rPr>
            </w:pPr>
          </w:p>
        </w:tc>
        <w:tc>
          <w:tcPr>
            <w:tcW w:w="784" w:type="dxa"/>
          </w:tcPr>
          <w:p w14:paraId="6D6309DF" w14:textId="77777777" w:rsidR="00436DAA" w:rsidRPr="00330234" w:rsidRDefault="00436DAA" w:rsidP="0047099E">
            <w:pPr>
              <w:pStyle w:val="TableParagraph"/>
              <w:keepNext/>
              <w:keepLines/>
              <w:widowControl/>
              <w:jc w:val="center"/>
              <w:rPr>
                <w:sz w:val="20"/>
                <w:szCs w:val="20"/>
              </w:rPr>
            </w:pPr>
          </w:p>
        </w:tc>
        <w:tc>
          <w:tcPr>
            <w:tcW w:w="812" w:type="dxa"/>
          </w:tcPr>
          <w:p w14:paraId="0B7E952B" w14:textId="77777777" w:rsidR="00436DAA" w:rsidRPr="00330234" w:rsidRDefault="009B4B8E" w:rsidP="0047099E">
            <w:pPr>
              <w:pStyle w:val="TableParagraph"/>
              <w:keepNext/>
              <w:keepLines/>
              <w:widowControl/>
              <w:jc w:val="center"/>
              <w:rPr>
                <w:sz w:val="20"/>
                <w:szCs w:val="20"/>
              </w:rPr>
            </w:pPr>
            <w:r w:rsidRPr="00330234">
              <w:rPr>
                <w:sz w:val="20"/>
                <w:szCs w:val="20"/>
              </w:rPr>
              <w:t>36%***</w:t>
            </w:r>
          </w:p>
        </w:tc>
        <w:tc>
          <w:tcPr>
            <w:tcW w:w="784" w:type="dxa"/>
          </w:tcPr>
          <w:p w14:paraId="122D4E7E" w14:textId="77777777" w:rsidR="00436DAA" w:rsidRPr="00330234" w:rsidRDefault="009B4B8E" w:rsidP="0047099E">
            <w:pPr>
              <w:pStyle w:val="TableParagraph"/>
              <w:keepNext/>
              <w:keepLines/>
              <w:widowControl/>
              <w:jc w:val="center"/>
              <w:rPr>
                <w:sz w:val="20"/>
                <w:szCs w:val="20"/>
              </w:rPr>
            </w:pPr>
            <w:r w:rsidRPr="00330234">
              <w:rPr>
                <w:sz w:val="20"/>
                <w:szCs w:val="20"/>
              </w:rPr>
              <w:t>10%</w:t>
            </w:r>
          </w:p>
        </w:tc>
        <w:tc>
          <w:tcPr>
            <w:tcW w:w="840" w:type="dxa"/>
          </w:tcPr>
          <w:p w14:paraId="6F28F044" w14:textId="77777777" w:rsidR="00436DAA" w:rsidRPr="00330234" w:rsidRDefault="00436DAA" w:rsidP="0047099E">
            <w:pPr>
              <w:pStyle w:val="TableParagraph"/>
              <w:keepNext/>
              <w:keepLines/>
              <w:widowControl/>
              <w:jc w:val="center"/>
              <w:rPr>
                <w:sz w:val="20"/>
                <w:szCs w:val="20"/>
              </w:rPr>
            </w:pPr>
          </w:p>
        </w:tc>
        <w:tc>
          <w:tcPr>
            <w:tcW w:w="812" w:type="dxa"/>
          </w:tcPr>
          <w:p w14:paraId="10965F43" w14:textId="77777777" w:rsidR="00436DAA" w:rsidRPr="00330234" w:rsidRDefault="00436DAA" w:rsidP="0047099E">
            <w:pPr>
              <w:pStyle w:val="TableParagraph"/>
              <w:keepNext/>
              <w:keepLines/>
              <w:widowControl/>
              <w:jc w:val="center"/>
              <w:rPr>
                <w:sz w:val="20"/>
                <w:szCs w:val="20"/>
              </w:rPr>
            </w:pPr>
          </w:p>
        </w:tc>
        <w:tc>
          <w:tcPr>
            <w:tcW w:w="965" w:type="dxa"/>
          </w:tcPr>
          <w:p w14:paraId="73D138DF" w14:textId="77777777" w:rsidR="00436DAA" w:rsidRPr="00330234" w:rsidRDefault="00436DAA" w:rsidP="0047099E">
            <w:pPr>
              <w:pStyle w:val="TableParagraph"/>
              <w:keepNext/>
              <w:keepLines/>
              <w:widowControl/>
              <w:jc w:val="center"/>
              <w:rPr>
                <w:sz w:val="20"/>
                <w:szCs w:val="20"/>
              </w:rPr>
            </w:pPr>
          </w:p>
        </w:tc>
        <w:tc>
          <w:tcPr>
            <w:tcW w:w="896" w:type="dxa"/>
          </w:tcPr>
          <w:p w14:paraId="3C7FB14F" w14:textId="77777777" w:rsidR="00436DAA" w:rsidRPr="00330234" w:rsidRDefault="00436DAA" w:rsidP="0047099E">
            <w:pPr>
              <w:pStyle w:val="TableParagraph"/>
              <w:keepNext/>
              <w:keepLines/>
              <w:widowControl/>
              <w:jc w:val="center"/>
              <w:rPr>
                <w:sz w:val="20"/>
                <w:szCs w:val="20"/>
              </w:rPr>
            </w:pPr>
          </w:p>
        </w:tc>
        <w:tc>
          <w:tcPr>
            <w:tcW w:w="896" w:type="dxa"/>
          </w:tcPr>
          <w:p w14:paraId="09C1E591" w14:textId="77777777" w:rsidR="00436DAA" w:rsidRPr="00330234" w:rsidRDefault="00436DAA" w:rsidP="0047099E">
            <w:pPr>
              <w:pStyle w:val="TableParagraph"/>
              <w:keepNext/>
              <w:keepLines/>
              <w:widowControl/>
              <w:jc w:val="center"/>
              <w:rPr>
                <w:sz w:val="20"/>
                <w:szCs w:val="20"/>
              </w:rPr>
            </w:pPr>
          </w:p>
        </w:tc>
        <w:tc>
          <w:tcPr>
            <w:tcW w:w="854" w:type="dxa"/>
          </w:tcPr>
          <w:p w14:paraId="6E909230" w14:textId="77777777" w:rsidR="00436DAA" w:rsidRPr="00330234" w:rsidRDefault="00436DAA" w:rsidP="0047099E">
            <w:pPr>
              <w:pStyle w:val="TableParagraph"/>
              <w:keepNext/>
              <w:keepLines/>
              <w:widowControl/>
              <w:jc w:val="center"/>
              <w:rPr>
                <w:sz w:val="20"/>
                <w:szCs w:val="20"/>
              </w:rPr>
            </w:pPr>
          </w:p>
        </w:tc>
      </w:tr>
      <w:tr w:rsidR="00436DAA" w:rsidRPr="00330234" w14:paraId="41EC7C27" w14:textId="77777777" w:rsidTr="0037203A">
        <w:trPr>
          <w:trHeight w:val="20"/>
        </w:trPr>
        <w:tc>
          <w:tcPr>
            <w:tcW w:w="9066" w:type="dxa"/>
            <w:gridSpan w:val="11"/>
          </w:tcPr>
          <w:p w14:paraId="6664BE7C" w14:textId="77777777" w:rsidR="00436DAA" w:rsidRPr="00330234" w:rsidRDefault="009B4B8E" w:rsidP="00987AB9">
            <w:pPr>
              <w:pStyle w:val="TableParagraph"/>
              <w:widowControl/>
              <w:jc w:val="center"/>
              <w:rPr>
                <w:b/>
                <w:sz w:val="20"/>
                <w:szCs w:val="20"/>
              </w:rPr>
            </w:pPr>
            <w:r w:rsidRPr="00330234">
              <w:rPr>
                <w:b/>
                <w:sz w:val="20"/>
                <w:szCs w:val="20"/>
              </w:rPr>
              <w:t>ACR70</w:t>
            </w:r>
          </w:p>
        </w:tc>
      </w:tr>
      <w:tr w:rsidR="0037203A" w:rsidRPr="00330234" w14:paraId="6A2C20B9" w14:textId="77777777" w:rsidTr="0037203A">
        <w:trPr>
          <w:trHeight w:val="20"/>
        </w:trPr>
        <w:tc>
          <w:tcPr>
            <w:tcW w:w="625" w:type="dxa"/>
          </w:tcPr>
          <w:p w14:paraId="2863CD98" w14:textId="77777777" w:rsidR="00436DAA" w:rsidRPr="00330234" w:rsidRDefault="009B4B8E" w:rsidP="00987AB9">
            <w:pPr>
              <w:pStyle w:val="TableParagraph"/>
              <w:widowControl/>
              <w:jc w:val="center"/>
              <w:rPr>
                <w:sz w:val="20"/>
                <w:szCs w:val="20"/>
              </w:rPr>
            </w:pPr>
            <w:r w:rsidRPr="00330234">
              <w:rPr>
                <w:sz w:val="20"/>
                <w:szCs w:val="20"/>
              </w:rPr>
              <w:t>24</w:t>
            </w:r>
          </w:p>
        </w:tc>
        <w:tc>
          <w:tcPr>
            <w:tcW w:w="798" w:type="dxa"/>
          </w:tcPr>
          <w:p w14:paraId="17D30980" w14:textId="77777777" w:rsidR="00436DAA" w:rsidRPr="00330234" w:rsidRDefault="009B4B8E" w:rsidP="00987AB9">
            <w:pPr>
              <w:pStyle w:val="TableParagraph"/>
              <w:widowControl/>
              <w:jc w:val="center"/>
              <w:rPr>
                <w:sz w:val="20"/>
                <w:szCs w:val="20"/>
              </w:rPr>
            </w:pPr>
            <w:r w:rsidRPr="00330234">
              <w:rPr>
                <w:sz w:val="20"/>
                <w:szCs w:val="20"/>
              </w:rPr>
              <w:t>28%**</w:t>
            </w:r>
          </w:p>
        </w:tc>
        <w:tc>
          <w:tcPr>
            <w:tcW w:w="784" w:type="dxa"/>
          </w:tcPr>
          <w:p w14:paraId="16203FB4" w14:textId="77777777" w:rsidR="00436DAA" w:rsidRPr="00330234" w:rsidRDefault="009B4B8E" w:rsidP="00987AB9">
            <w:pPr>
              <w:pStyle w:val="TableParagraph"/>
              <w:widowControl/>
              <w:jc w:val="center"/>
              <w:rPr>
                <w:sz w:val="20"/>
                <w:szCs w:val="20"/>
              </w:rPr>
            </w:pPr>
            <w:r w:rsidRPr="00330234">
              <w:rPr>
                <w:sz w:val="20"/>
                <w:szCs w:val="20"/>
              </w:rPr>
              <w:t>15%</w:t>
            </w:r>
          </w:p>
        </w:tc>
        <w:tc>
          <w:tcPr>
            <w:tcW w:w="812" w:type="dxa"/>
          </w:tcPr>
          <w:p w14:paraId="6E38ABD0" w14:textId="77777777" w:rsidR="00436DAA" w:rsidRPr="00330234" w:rsidRDefault="009B4B8E" w:rsidP="00987AB9">
            <w:pPr>
              <w:pStyle w:val="TableParagraph"/>
              <w:widowControl/>
              <w:jc w:val="center"/>
              <w:rPr>
                <w:sz w:val="20"/>
                <w:szCs w:val="20"/>
              </w:rPr>
            </w:pPr>
            <w:r w:rsidRPr="00330234">
              <w:rPr>
                <w:sz w:val="20"/>
                <w:szCs w:val="20"/>
              </w:rPr>
              <w:t>13%***</w:t>
            </w:r>
          </w:p>
        </w:tc>
        <w:tc>
          <w:tcPr>
            <w:tcW w:w="784" w:type="dxa"/>
          </w:tcPr>
          <w:p w14:paraId="0F243916" w14:textId="77777777" w:rsidR="00436DAA" w:rsidRPr="00330234" w:rsidRDefault="009B4B8E" w:rsidP="00987AB9">
            <w:pPr>
              <w:pStyle w:val="TableParagraph"/>
              <w:widowControl/>
              <w:jc w:val="center"/>
              <w:rPr>
                <w:sz w:val="20"/>
                <w:szCs w:val="20"/>
              </w:rPr>
            </w:pPr>
            <w:r w:rsidRPr="00330234">
              <w:rPr>
                <w:sz w:val="20"/>
                <w:szCs w:val="20"/>
              </w:rPr>
              <w:t>2%</w:t>
            </w:r>
          </w:p>
        </w:tc>
        <w:tc>
          <w:tcPr>
            <w:tcW w:w="840" w:type="dxa"/>
          </w:tcPr>
          <w:p w14:paraId="7BAEB178" w14:textId="77777777" w:rsidR="00436DAA" w:rsidRPr="00330234" w:rsidRDefault="009B4B8E" w:rsidP="00987AB9">
            <w:pPr>
              <w:pStyle w:val="TableParagraph"/>
              <w:widowControl/>
              <w:jc w:val="center"/>
              <w:rPr>
                <w:sz w:val="20"/>
                <w:szCs w:val="20"/>
              </w:rPr>
            </w:pPr>
            <w:r w:rsidRPr="00330234">
              <w:rPr>
                <w:sz w:val="20"/>
                <w:szCs w:val="20"/>
              </w:rPr>
              <w:t>22%***</w:t>
            </w:r>
          </w:p>
        </w:tc>
        <w:tc>
          <w:tcPr>
            <w:tcW w:w="812" w:type="dxa"/>
          </w:tcPr>
          <w:p w14:paraId="77DB3670" w14:textId="77777777" w:rsidR="00436DAA" w:rsidRPr="00330234" w:rsidRDefault="009B4B8E" w:rsidP="00987AB9">
            <w:pPr>
              <w:pStyle w:val="TableParagraph"/>
              <w:widowControl/>
              <w:jc w:val="center"/>
              <w:rPr>
                <w:sz w:val="20"/>
                <w:szCs w:val="20"/>
              </w:rPr>
            </w:pPr>
            <w:r w:rsidRPr="00330234">
              <w:rPr>
                <w:sz w:val="20"/>
                <w:szCs w:val="20"/>
              </w:rPr>
              <w:t>2%</w:t>
            </w:r>
          </w:p>
        </w:tc>
        <w:tc>
          <w:tcPr>
            <w:tcW w:w="965" w:type="dxa"/>
          </w:tcPr>
          <w:p w14:paraId="2FC44B9E" w14:textId="77777777" w:rsidR="00436DAA" w:rsidRPr="00330234" w:rsidRDefault="009B4B8E" w:rsidP="00987AB9">
            <w:pPr>
              <w:pStyle w:val="TableParagraph"/>
              <w:widowControl/>
              <w:jc w:val="center"/>
              <w:rPr>
                <w:sz w:val="20"/>
                <w:szCs w:val="20"/>
              </w:rPr>
            </w:pPr>
            <w:r w:rsidRPr="00330234">
              <w:rPr>
                <w:sz w:val="20"/>
                <w:szCs w:val="20"/>
              </w:rPr>
              <w:t>21%***</w:t>
            </w:r>
          </w:p>
        </w:tc>
        <w:tc>
          <w:tcPr>
            <w:tcW w:w="896" w:type="dxa"/>
          </w:tcPr>
          <w:p w14:paraId="1895B9A7" w14:textId="77777777" w:rsidR="00436DAA" w:rsidRPr="00330234" w:rsidRDefault="009B4B8E" w:rsidP="00987AB9">
            <w:pPr>
              <w:pStyle w:val="TableParagraph"/>
              <w:widowControl/>
              <w:jc w:val="center"/>
              <w:rPr>
                <w:sz w:val="20"/>
                <w:szCs w:val="20"/>
              </w:rPr>
            </w:pPr>
            <w:r w:rsidRPr="00330234">
              <w:rPr>
                <w:sz w:val="20"/>
                <w:szCs w:val="20"/>
              </w:rPr>
              <w:t>3%</w:t>
            </w:r>
          </w:p>
        </w:tc>
        <w:tc>
          <w:tcPr>
            <w:tcW w:w="896" w:type="dxa"/>
          </w:tcPr>
          <w:p w14:paraId="42FFF98F" w14:textId="77777777" w:rsidR="00436DAA" w:rsidRPr="00330234" w:rsidRDefault="009B4B8E" w:rsidP="00987AB9">
            <w:pPr>
              <w:pStyle w:val="TableParagraph"/>
              <w:widowControl/>
              <w:jc w:val="center"/>
              <w:rPr>
                <w:sz w:val="20"/>
                <w:szCs w:val="20"/>
              </w:rPr>
            </w:pPr>
            <w:r w:rsidRPr="00330234">
              <w:rPr>
                <w:sz w:val="20"/>
                <w:szCs w:val="20"/>
              </w:rPr>
              <w:t>12%**</w:t>
            </w:r>
          </w:p>
        </w:tc>
        <w:tc>
          <w:tcPr>
            <w:tcW w:w="854" w:type="dxa"/>
          </w:tcPr>
          <w:p w14:paraId="7115BE22" w14:textId="77777777" w:rsidR="00436DAA" w:rsidRPr="00330234" w:rsidRDefault="009B4B8E" w:rsidP="00987AB9">
            <w:pPr>
              <w:pStyle w:val="TableParagraph"/>
              <w:widowControl/>
              <w:jc w:val="center"/>
              <w:rPr>
                <w:sz w:val="20"/>
                <w:szCs w:val="20"/>
              </w:rPr>
            </w:pPr>
            <w:r w:rsidRPr="00330234">
              <w:rPr>
                <w:sz w:val="20"/>
                <w:szCs w:val="20"/>
              </w:rPr>
              <w:t>1%</w:t>
            </w:r>
          </w:p>
        </w:tc>
      </w:tr>
      <w:tr w:rsidR="00AD35FF" w:rsidRPr="00330234" w14:paraId="60DDB242" w14:textId="77777777" w:rsidTr="0037203A">
        <w:trPr>
          <w:trHeight w:val="20"/>
        </w:trPr>
        <w:tc>
          <w:tcPr>
            <w:tcW w:w="625" w:type="dxa"/>
          </w:tcPr>
          <w:p w14:paraId="39F05B82" w14:textId="77777777" w:rsidR="00436DAA" w:rsidRPr="00330234" w:rsidRDefault="009B4B8E" w:rsidP="00987AB9">
            <w:pPr>
              <w:pStyle w:val="TableParagraph"/>
              <w:widowControl/>
              <w:jc w:val="center"/>
              <w:rPr>
                <w:sz w:val="20"/>
                <w:szCs w:val="20"/>
              </w:rPr>
            </w:pPr>
            <w:r w:rsidRPr="00330234">
              <w:rPr>
                <w:sz w:val="20"/>
                <w:szCs w:val="20"/>
              </w:rPr>
              <w:t>52</w:t>
            </w:r>
          </w:p>
        </w:tc>
        <w:tc>
          <w:tcPr>
            <w:tcW w:w="1582" w:type="dxa"/>
            <w:gridSpan w:val="2"/>
          </w:tcPr>
          <w:p w14:paraId="54F35F32" w14:textId="77777777" w:rsidR="00436DAA" w:rsidRPr="00330234" w:rsidRDefault="00436DAA" w:rsidP="00987AB9">
            <w:pPr>
              <w:pStyle w:val="TableParagraph"/>
              <w:widowControl/>
              <w:jc w:val="center"/>
              <w:rPr>
                <w:sz w:val="20"/>
                <w:szCs w:val="20"/>
              </w:rPr>
            </w:pPr>
          </w:p>
        </w:tc>
        <w:tc>
          <w:tcPr>
            <w:tcW w:w="812" w:type="dxa"/>
          </w:tcPr>
          <w:p w14:paraId="1797DA42" w14:textId="77777777" w:rsidR="00436DAA" w:rsidRPr="00330234" w:rsidRDefault="009B4B8E" w:rsidP="00987AB9">
            <w:pPr>
              <w:pStyle w:val="TableParagraph"/>
              <w:widowControl/>
              <w:jc w:val="center"/>
              <w:rPr>
                <w:sz w:val="20"/>
                <w:szCs w:val="20"/>
              </w:rPr>
            </w:pPr>
            <w:r w:rsidRPr="00330234">
              <w:rPr>
                <w:sz w:val="20"/>
                <w:szCs w:val="20"/>
              </w:rPr>
              <w:t>20%***</w:t>
            </w:r>
          </w:p>
        </w:tc>
        <w:tc>
          <w:tcPr>
            <w:tcW w:w="784" w:type="dxa"/>
          </w:tcPr>
          <w:p w14:paraId="379CC854" w14:textId="77777777" w:rsidR="00436DAA" w:rsidRPr="00330234" w:rsidRDefault="009B4B8E" w:rsidP="00987AB9">
            <w:pPr>
              <w:pStyle w:val="TableParagraph"/>
              <w:widowControl/>
              <w:jc w:val="center"/>
              <w:rPr>
                <w:sz w:val="20"/>
                <w:szCs w:val="20"/>
              </w:rPr>
            </w:pPr>
            <w:r w:rsidRPr="00330234">
              <w:rPr>
                <w:sz w:val="20"/>
                <w:szCs w:val="20"/>
              </w:rPr>
              <w:t>4%</w:t>
            </w:r>
          </w:p>
        </w:tc>
        <w:tc>
          <w:tcPr>
            <w:tcW w:w="1652" w:type="dxa"/>
            <w:gridSpan w:val="2"/>
          </w:tcPr>
          <w:p w14:paraId="14BE1AC1" w14:textId="77777777" w:rsidR="00436DAA" w:rsidRPr="00330234" w:rsidRDefault="00436DAA" w:rsidP="00987AB9">
            <w:pPr>
              <w:pStyle w:val="TableParagraph"/>
              <w:widowControl/>
              <w:jc w:val="center"/>
              <w:rPr>
                <w:sz w:val="20"/>
                <w:szCs w:val="20"/>
              </w:rPr>
            </w:pPr>
          </w:p>
        </w:tc>
        <w:tc>
          <w:tcPr>
            <w:tcW w:w="965" w:type="dxa"/>
          </w:tcPr>
          <w:p w14:paraId="5C152897" w14:textId="77777777" w:rsidR="00436DAA" w:rsidRPr="00330234" w:rsidRDefault="00436DAA" w:rsidP="00987AB9">
            <w:pPr>
              <w:pStyle w:val="TableParagraph"/>
              <w:widowControl/>
              <w:jc w:val="center"/>
              <w:rPr>
                <w:sz w:val="20"/>
                <w:szCs w:val="20"/>
              </w:rPr>
            </w:pPr>
          </w:p>
        </w:tc>
        <w:tc>
          <w:tcPr>
            <w:tcW w:w="896" w:type="dxa"/>
          </w:tcPr>
          <w:p w14:paraId="32C317D3" w14:textId="77777777" w:rsidR="00436DAA" w:rsidRPr="00330234" w:rsidRDefault="00436DAA" w:rsidP="00987AB9">
            <w:pPr>
              <w:pStyle w:val="TableParagraph"/>
              <w:widowControl/>
              <w:jc w:val="center"/>
              <w:rPr>
                <w:sz w:val="20"/>
                <w:szCs w:val="20"/>
              </w:rPr>
            </w:pPr>
          </w:p>
        </w:tc>
        <w:tc>
          <w:tcPr>
            <w:tcW w:w="896" w:type="dxa"/>
          </w:tcPr>
          <w:p w14:paraId="0175D3DF" w14:textId="77777777" w:rsidR="00436DAA" w:rsidRPr="00330234" w:rsidRDefault="00436DAA" w:rsidP="00987AB9">
            <w:pPr>
              <w:pStyle w:val="TableParagraph"/>
              <w:widowControl/>
              <w:jc w:val="center"/>
              <w:rPr>
                <w:sz w:val="20"/>
                <w:szCs w:val="20"/>
              </w:rPr>
            </w:pPr>
          </w:p>
        </w:tc>
        <w:tc>
          <w:tcPr>
            <w:tcW w:w="854" w:type="dxa"/>
          </w:tcPr>
          <w:p w14:paraId="204DB9CD" w14:textId="77777777" w:rsidR="00436DAA" w:rsidRPr="00330234" w:rsidRDefault="00436DAA" w:rsidP="00987AB9">
            <w:pPr>
              <w:pStyle w:val="TableParagraph"/>
              <w:widowControl/>
              <w:jc w:val="center"/>
              <w:rPr>
                <w:sz w:val="20"/>
                <w:szCs w:val="20"/>
              </w:rPr>
            </w:pPr>
          </w:p>
        </w:tc>
      </w:tr>
    </w:tbl>
    <w:p w14:paraId="340C6994" w14:textId="258B42BC" w:rsidR="00436DAA" w:rsidRPr="00330234" w:rsidRDefault="009B4B8E" w:rsidP="0037203A">
      <w:pPr>
        <w:widowControl/>
        <w:ind w:left="1134" w:hanging="1134"/>
        <w:rPr>
          <w:i/>
          <w:sz w:val="18"/>
          <w:szCs w:val="18"/>
        </w:rPr>
      </w:pPr>
      <w:r w:rsidRPr="00330234">
        <w:rPr>
          <w:i/>
          <w:sz w:val="18"/>
          <w:szCs w:val="18"/>
        </w:rPr>
        <w:t>TCZ</w:t>
      </w:r>
      <w:r w:rsidRPr="00330234">
        <w:rPr>
          <w:i/>
          <w:sz w:val="18"/>
          <w:szCs w:val="18"/>
        </w:rPr>
        <w:tab/>
      </w:r>
      <w:r w:rsidR="00AD35FF" w:rsidRPr="00330234">
        <w:rPr>
          <w:i/>
          <w:sz w:val="18"/>
          <w:szCs w:val="18"/>
        </w:rPr>
        <w:tab/>
      </w:r>
      <w:r w:rsidRPr="00330234">
        <w:rPr>
          <w:i/>
          <w:sz w:val="18"/>
          <w:szCs w:val="18"/>
        </w:rPr>
        <w:t>- Tocilizumab</w:t>
      </w:r>
    </w:p>
    <w:p w14:paraId="5B3B1B98" w14:textId="77777777" w:rsidR="00436DAA" w:rsidRPr="00330234" w:rsidRDefault="009B4B8E" w:rsidP="0037203A">
      <w:pPr>
        <w:widowControl/>
        <w:ind w:left="1134" w:hanging="1134"/>
        <w:rPr>
          <w:i/>
          <w:sz w:val="18"/>
          <w:szCs w:val="18"/>
        </w:rPr>
      </w:pPr>
      <w:r w:rsidRPr="00330234">
        <w:rPr>
          <w:i/>
          <w:sz w:val="18"/>
          <w:szCs w:val="18"/>
        </w:rPr>
        <w:t>MTX</w:t>
      </w:r>
      <w:r w:rsidRPr="00330234">
        <w:rPr>
          <w:i/>
          <w:sz w:val="18"/>
          <w:szCs w:val="18"/>
        </w:rPr>
        <w:tab/>
        <w:t>- Methotrexaat</w:t>
      </w:r>
    </w:p>
    <w:p w14:paraId="059E8557" w14:textId="77777777" w:rsidR="00436DAA" w:rsidRPr="00330234" w:rsidRDefault="009B4B8E" w:rsidP="0037203A">
      <w:pPr>
        <w:widowControl/>
        <w:ind w:left="1134" w:hanging="1134"/>
        <w:rPr>
          <w:i/>
          <w:sz w:val="18"/>
          <w:szCs w:val="18"/>
        </w:rPr>
      </w:pPr>
      <w:r w:rsidRPr="00330234">
        <w:rPr>
          <w:i/>
          <w:sz w:val="18"/>
          <w:szCs w:val="18"/>
        </w:rPr>
        <w:t>PBO</w:t>
      </w:r>
      <w:r w:rsidRPr="00330234">
        <w:rPr>
          <w:i/>
          <w:sz w:val="18"/>
          <w:szCs w:val="18"/>
        </w:rPr>
        <w:tab/>
        <w:t>- Placebo</w:t>
      </w:r>
    </w:p>
    <w:p w14:paraId="2D6E1C65" w14:textId="77777777" w:rsidR="00436DAA" w:rsidRPr="00330234" w:rsidRDefault="009B4B8E" w:rsidP="0037203A">
      <w:pPr>
        <w:widowControl/>
        <w:ind w:left="1134" w:hanging="1134"/>
        <w:rPr>
          <w:i/>
          <w:sz w:val="18"/>
          <w:szCs w:val="18"/>
        </w:rPr>
      </w:pPr>
      <w:r w:rsidRPr="00330234">
        <w:rPr>
          <w:i/>
          <w:sz w:val="18"/>
          <w:szCs w:val="18"/>
        </w:rPr>
        <w:t>DMARD</w:t>
      </w:r>
      <w:r w:rsidRPr="00330234">
        <w:rPr>
          <w:i/>
          <w:sz w:val="18"/>
          <w:szCs w:val="18"/>
        </w:rPr>
        <w:tab/>
        <w:t>- Disease modifying anti-rheumatic drug</w:t>
      </w:r>
    </w:p>
    <w:p w14:paraId="74441499" w14:textId="77777777" w:rsidR="00436DAA" w:rsidRPr="00330234" w:rsidRDefault="009B4B8E" w:rsidP="0037203A">
      <w:pPr>
        <w:widowControl/>
        <w:ind w:left="1134" w:hanging="1134"/>
        <w:rPr>
          <w:i/>
          <w:sz w:val="18"/>
          <w:szCs w:val="18"/>
        </w:rPr>
      </w:pPr>
      <w:r w:rsidRPr="00330234">
        <w:rPr>
          <w:i/>
          <w:sz w:val="18"/>
          <w:szCs w:val="18"/>
        </w:rPr>
        <w:t>**</w:t>
      </w:r>
      <w:r w:rsidRPr="00330234">
        <w:rPr>
          <w:i/>
          <w:sz w:val="18"/>
          <w:szCs w:val="18"/>
        </w:rPr>
        <w:tab/>
        <w:t>- p&lt; 0,01, TCZ vs. PBO + MTX / DMARD</w:t>
      </w:r>
    </w:p>
    <w:p w14:paraId="72D71D7A" w14:textId="77777777" w:rsidR="00436DAA" w:rsidRPr="00330234" w:rsidRDefault="009B4B8E" w:rsidP="0037203A">
      <w:pPr>
        <w:widowControl/>
        <w:ind w:left="1134" w:hanging="1134"/>
        <w:rPr>
          <w:i/>
          <w:sz w:val="18"/>
          <w:szCs w:val="18"/>
        </w:rPr>
      </w:pPr>
      <w:r w:rsidRPr="00330234">
        <w:rPr>
          <w:i/>
          <w:sz w:val="18"/>
          <w:szCs w:val="18"/>
        </w:rPr>
        <w:t>***</w:t>
      </w:r>
      <w:r w:rsidRPr="00330234">
        <w:rPr>
          <w:i/>
          <w:sz w:val="18"/>
          <w:szCs w:val="18"/>
        </w:rPr>
        <w:tab/>
        <w:t>- p&lt; 0,0001, TCZ vs. PBO + MTX / DMARD</w:t>
      </w:r>
    </w:p>
    <w:p w14:paraId="4192C0BD" w14:textId="77777777" w:rsidR="00436DAA" w:rsidRPr="00330234" w:rsidRDefault="00436DAA" w:rsidP="00BD109B">
      <w:pPr>
        <w:pStyle w:val="a3"/>
        <w:widowControl/>
        <w:ind w:left="0"/>
        <w:rPr>
          <w:i/>
        </w:rPr>
      </w:pPr>
    </w:p>
    <w:p w14:paraId="35F8F065" w14:textId="77777777" w:rsidR="00436DAA" w:rsidRPr="00330234" w:rsidRDefault="009B4B8E" w:rsidP="00BD109B">
      <w:pPr>
        <w:widowControl/>
        <w:rPr>
          <w:i/>
        </w:rPr>
      </w:pPr>
      <w:r w:rsidRPr="00330234">
        <w:rPr>
          <w:i/>
        </w:rPr>
        <w:t>Belangrijke klinische respons</w:t>
      </w:r>
    </w:p>
    <w:p w14:paraId="2A2B3573" w14:textId="03A58A68" w:rsidR="00436DAA" w:rsidRPr="00330234" w:rsidRDefault="009B4B8E" w:rsidP="00BD109B">
      <w:pPr>
        <w:pStyle w:val="a3"/>
        <w:widowControl/>
        <w:ind w:left="0"/>
      </w:pPr>
      <w:r w:rsidRPr="00330234">
        <w:t xml:space="preserve">Na 2 jaar behandeling met </w:t>
      </w:r>
      <w:r w:rsidR="00971E1F" w:rsidRPr="00330234">
        <w:t>tocilizumab</w:t>
      </w:r>
      <w:r w:rsidRPr="00330234">
        <w:t xml:space="preserve"> plus MTX bereikte 14% van de patiënten een belangrijke klinische respons (handhaving van een ACR70-respons gedurende 24 weken of langer).</w:t>
      </w:r>
    </w:p>
    <w:p w14:paraId="4539FC00" w14:textId="77777777" w:rsidR="00AD35FF" w:rsidRPr="00330234" w:rsidRDefault="00AD35FF" w:rsidP="00BD109B">
      <w:pPr>
        <w:pStyle w:val="a3"/>
        <w:widowControl/>
        <w:ind w:left="0"/>
      </w:pPr>
    </w:p>
    <w:p w14:paraId="56AE3FB0" w14:textId="77777777" w:rsidR="00436DAA" w:rsidRPr="00330234" w:rsidRDefault="009B4B8E" w:rsidP="00BD109B">
      <w:pPr>
        <w:widowControl/>
        <w:rPr>
          <w:i/>
        </w:rPr>
      </w:pPr>
      <w:r w:rsidRPr="00330234">
        <w:rPr>
          <w:i/>
        </w:rPr>
        <w:t>Radiografische respons</w:t>
      </w:r>
    </w:p>
    <w:p w14:paraId="75CE24A4" w14:textId="00BB70F5" w:rsidR="00436DAA" w:rsidRPr="00330234" w:rsidRDefault="009B4B8E" w:rsidP="00BD109B">
      <w:pPr>
        <w:pStyle w:val="a3"/>
        <w:widowControl/>
        <w:ind w:left="0"/>
      </w:pPr>
      <w:r w:rsidRPr="00330234">
        <w:t xml:space="preserve">Tijdens studie II werd bij patiënten met onvoldoende respons op MTX de remming van de structurele gewrichtsschade bepaald middels radiografie en uitgedrukt als verandering in gemodificeerde </w:t>
      </w:r>
      <w:r w:rsidRPr="00330234">
        <w:rPr>
          <w:i/>
        </w:rPr>
        <w:t xml:space="preserve">Sharp Score </w:t>
      </w:r>
      <w:r w:rsidRPr="00330234">
        <w:t xml:space="preserve">en de bijbehorende componenten, de Erosiescore en </w:t>
      </w:r>
      <w:r w:rsidRPr="00330234">
        <w:rPr>
          <w:i/>
        </w:rPr>
        <w:t>Joint Space Narrowing Score</w:t>
      </w:r>
      <w:r w:rsidRPr="00330234">
        <w:t xml:space="preserve">. Remming van de structurele gewrichtsschade is aangetoond met significant minder radiografische progressie bij patiënten met </w:t>
      </w:r>
      <w:r w:rsidR="00971E1F" w:rsidRPr="00330234">
        <w:t>tocilizumab</w:t>
      </w:r>
      <w:r w:rsidRPr="00330234">
        <w:t xml:space="preserve"> vergeleken met de controlegroep (tabel 6).</w:t>
      </w:r>
    </w:p>
    <w:p w14:paraId="035349C8" w14:textId="77777777" w:rsidR="00AD35FF" w:rsidRPr="00330234" w:rsidRDefault="00AD35FF" w:rsidP="00BD109B">
      <w:pPr>
        <w:pStyle w:val="a3"/>
        <w:widowControl/>
        <w:ind w:left="0"/>
      </w:pPr>
    </w:p>
    <w:p w14:paraId="16427EB8" w14:textId="5450ED63" w:rsidR="00436DAA" w:rsidRPr="00330234" w:rsidRDefault="009B4B8E" w:rsidP="00BD109B">
      <w:pPr>
        <w:pStyle w:val="a3"/>
        <w:widowControl/>
        <w:ind w:left="0"/>
      </w:pPr>
      <w:r w:rsidRPr="00330234">
        <w:t xml:space="preserve">Tijdens de open-label-extensie van studie II bleef de remming van de progressie van structurele gewrichtsschade bij patiënten die met </w:t>
      </w:r>
      <w:r w:rsidR="00971E1F" w:rsidRPr="00330234">
        <w:t>tocilizumab</w:t>
      </w:r>
      <w:r w:rsidRPr="00330234">
        <w:t xml:space="preserve"> en MTX werden behandeld in het tweede jaar van behandeling gehandhaafd. De gemiddelde verandering ten opzichte van baseline op week 104 van de </w:t>
      </w:r>
      <w:r w:rsidRPr="00330234">
        <w:rPr>
          <w:i/>
        </w:rPr>
        <w:t>Total Sharp-Genant-</w:t>
      </w:r>
      <w:r w:rsidRPr="00330234">
        <w:t xml:space="preserve">score was significant lager bij patiënten die naar </w:t>
      </w:r>
      <w:r w:rsidR="00971E1F" w:rsidRPr="00330234">
        <w:t>tocilizumab</w:t>
      </w:r>
      <w:r w:rsidRPr="00330234">
        <w:t xml:space="preserve"> 8 mg/kg plus MTX waren gerandomiseerd (p&lt; 0,0001) dan bij patiënten gerandomiseerd naar placebo plus MTX.</w:t>
      </w:r>
    </w:p>
    <w:p w14:paraId="100408A7" w14:textId="77777777" w:rsidR="00436DAA" w:rsidRPr="00330234" w:rsidRDefault="00436DAA" w:rsidP="00BD109B">
      <w:pPr>
        <w:pStyle w:val="a3"/>
        <w:widowControl/>
        <w:ind w:left="0"/>
      </w:pPr>
    </w:p>
    <w:p w14:paraId="05CCAC2B" w14:textId="21F0AACE" w:rsidR="00436DAA" w:rsidRPr="00330234" w:rsidRDefault="009B4B8E" w:rsidP="0037203A">
      <w:pPr>
        <w:widowControl/>
        <w:ind w:left="1134" w:hanging="1134"/>
        <w:rPr>
          <w:i/>
        </w:rPr>
      </w:pPr>
      <w:r w:rsidRPr="00330234">
        <w:rPr>
          <w:i/>
        </w:rPr>
        <w:t>Tabel 6.</w:t>
      </w:r>
      <w:r w:rsidR="0037203A" w:rsidRPr="00330234">
        <w:rPr>
          <w:i/>
        </w:rPr>
        <w:tab/>
      </w:r>
      <w:r w:rsidRPr="00330234">
        <w:rPr>
          <w:i/>
        </w:rPr>
        <w:t>Gemiddelde radiografische verandering in 52 weken in studie II</w:t>
      </w:r>
    </w:p>
    <w:p w14:paraId="17F5ADD2" w14:textId="77777777" w:rsidR="00436DAA" w:rsidRPr="00330234" w:rsidRDefault="00436DAA" w:rsidP="00BD109B">
      <w:pPr>
        <w:pStyle w:val="a3"/>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5"/>
        <w:gridCol w:w="3121"/>
        <w:gridCol w:w="3080"/>
      </w:tblGrid>
      <w:tr w:rsidR="00436DAA" w:rsidRPr="00330234" w14:paraId="236EECFE" w14:textId="77777777" w:rsidTr="0037203A">
        <w:trPr>
          <w:trHeight w:val="20"/>
        </w:trPr>
        <w:tc>
          <w:tcPr>
            <w:tcW w:w="2865" w:type="dxa"/>
          </w:tcPr>
          <w:p w14:paraId="4719FFCD" w14:textId="77777777" w:rsidR="00436DAA" w:rsidRPr="00330234" w:rsidRDefault="00436DAA" w:rsidP="00BD109B">
            <w:pPr>
              <w:pStyle w:val="TableParagraph"/>
              <w:widowControl/>
            </w:pPr>
          </w:p>
        </w:tc>
        <w:tc>
          <w:tcPr>
            <w:tcW w:w="3121" w:type="dxa"/>
          </w:tcPr>
          <w:p w14:paraId="4B773571" w14:textId="77777777" w:rsidR="00436DAA" w:rsidRPr="00330234" w:rsidRDefault="009B4B8E" w:rsidP="00AD35FF">
            <w:pPr>
              <w:pStyle w:val="TableParagraph"/>
              <w:widowControl/>
              <w:jc w:val="center"/>
              <w:rPr>
                <w:b/>
              </w:rPr>
            </w:pPr>
            <w:r w:rsidRPr="00330234">
              <w:rPr>
                <w:b/>
              </w:rPr>
              <w:t>PBO + MTX</w:t>
            </w:r>
          </w:p>
          <w:p w14:paraId="1372FD14" w14:textId="77777777" w:rsidR="00AD35FF" w:rsidRPr="00330234" w:rsidRDefault="009B4B8E" w:rsidP="00AD35FF">
            <w:pPr>
              <w:pStyle w:val="TableParagraph"/>
              <w:widowControl/>
              <w:jc w:val="center"/>
              <w:rPr>
                <w:b/>
              </w:rPr>
            </w:pPr>
            <w:r w:rsidRPr="00330234">
              <w:rPr>
                <w:b/>
              </w:rPr>
              <w:t>(+TCZ vanaf week 24)</w:t>
            </w:r>
          </w:p>
          <w:p w14:paraId="374A1787" w14:textId="383990C1" w:rsidR="00436DAA" w:rsidRPr="00330234" w:rsidRDefault="009B4B8E" w:rsidP="00AD35FF">
            <w:pPr>
              <w:pStyle w:val="TableParagraph"/>
              <w:widowControl/>
              <w:jc w:val="center"/>
              <w:rPr>
                <w:b/>
              </w:rPr>
            </w:pPr>
            <w:r w:rsidRPr="00330234">
              <w:rPr>
                <w:b/>
              </w:rPr>
              <w:t>N = 393</w:t>
            </w:r>
          </w:p>
        </w:tc>
        <w:tc>
          <w:tcPr>
            <w:tcW w:w="3080" w:type="dxa"/>
          </w:tcPr>
          <w:p w14:paraId="1057729A" w14:textId="77777777" w:rsidR="00AD35FF" w:rsidRPr="00330234" w:rsidRDefault="009B4B8E" w:rsidP="00AD35FF">
            <w:pPr>
              <w:pStyle w:val="TableParagraph"/>
              <w:widowControl/>
              <w:jc w:val="center"/>
              <w:rPr>
                <w:b/>
              </w:rPr>
            </w:pPr>
            <w:r w:rsidRPr="00330234">
              <w:rPr>
                <w:b/>
              </w:rPr>
              <w:t>TCZ 8 mg/kg + MTX</w:t>
            </w:r>
          </w:p>
          <w:p w14:paraId="1C38656B" w14:textId="77777777" w:rsidR="0037203A" w:rsidRPr="00330234" w:rsidRDefault="0037203A" w:rsidP="00AD35FF">
            <w:pPr>
              <w:pStyle w:val="TableParagraph"/>
              <w:widowControl/>
              <w:jc w:val="center"/>
              <w:rPr>
                <w:b/>
              </w:rPr>
            </w:pPr>
          </w:p>
          <w:p w14:paraId="307569F7" w14:textId="42068CE1" w:rsidR="00436DAA" w:rsidRPr="00330234" w:rsidRDefault="009B4B8E" w:rsidP="00AD35FF">
            <w:pPr>
              <w:pStyle w:val="TableParagraph"/>
              <w:widowControl/>
              <w:jc w:val="center"/>
              <w:rPr>
                <w:b/>
              </w:rPr>
            </w:pPr>
            <w:r w:rsidRPr="00330234">
              <w:rPr>
                <w:b/>
              </w:rPr>
              <w:t>N = 398</w:t>
            </w:r>
          </w:p>
        </w:tc>
      </w:tr>
      <w:tr w:rsidR="00436DAA" w:rsidRPr="00330234" w14:paraId="7D7BB301" w14:textId="77777777" w:rsidTr="0037203A">
        <w:trPr>
          <w:trHeight w:val="20"/>
        </w:trPr>
        <w:tc>
          <w:tcPr>
            <w:tcW w:w="2865" w:type="dxa"/>
          </w:tcPr>
          <w:p w14:paraId="529A3AFF" w14:textId="65026A4E" w:rsidR="00436DAA" w:rsidRPr="00330234" w:rsidRDefault="009B4B8E" w:rsidP="00AD35FF">
            <w:pPr>
              <w:pStyle w:val="TableParagraph"/>
              <w:widowControl/>
            </w:pPr>
            <w:r w:rsidRPr="00330234">
              <w:rPr>
                <w:i/>
              </w:rPr>
              <w:t>Total Sharp-Genant-</w:t>
            </w:r>
            <w:r w:rsidR="0037203A" w:rsidRPr="00330234">
              <w:rPr>
                <w:i/>
              </w:rPr>
              <w:t xml:space="preserve"> </w:t>
            </w:r>
            <w:r w:rsidRPr="00330234">
              <w:t>score</w:t>
            </w:r>
          </w:p>
        </w:tc>
        <w:tc>
          <w:tcPr>
            <w:tcW w:w="3121" w:type="dxa"/>
          </w:tcPr>
          <w:p w14:paraId="01D61E22" w14:textId="77777777" w:rsidR="00436DAA" w:rsidRPr="00330234" w:rsidRDefault="009B4B8E" w:rsidP="00AD35FF">
            <w:pPr>
              <w:pStyle w:val="TableParagraph"/>
              <w:widowControl/>
              <w:jc w:val="center"/>
            </w:pPr>
            <w:r w:rsidRPr="00330234">
              <w:t>1,13</w:t>
            </w:r>
          </w:p>
        </w:tc>
        <w:tc>
          <w:tcPr>
            <w:tcW w:w="3080" w:type="dxa"/>
          </w:tcPr>
          <w:p w14:paraId="0E4EBB7F" w14:textId="77777777" w:rsidR="00436DAA" w:rsidRPr="00330234" w:rsidRDefault="009B4B8E" w:rsidP="00AD35FF">
            <w:pPr>
              <w:pStyle w:val="TableParagraph"/>
              <w:widowControl/>
              <w:jc w:val="center"/>
            </w:pPr>
            <w:r w:rsidRPr="00330234">
              <w:t>0,29*</w:t>
            </w:r>
          </w:p>
        </w:tc>
      </w:tr>
      <w:tr w:rsidR="00436DAA" w:rsidRPr="00330234" w14:paraId="77389557" w14:textId="77777777" w:rsidTr="0037203A">
        <w:trPr>
          <w:trHeight w:val="20"/>
        </w:trPr>
        <w:tc>
          <w:tcPr>
            <w:tcW w:w="2865" w:type="dxa"/>
          </w:tcPr>
          <w:p w14:paraId="0D8F233B" w14:textId="77777777" w:rsidR="00436DAA" w:rsidRPr="00330234" w:rsidRDefault="009B4B8E" w:rsidP="00BD109B">
            <w:pPr>
              <w:pStyle w:val="TableParagraph"/>
              <w:widowControl/>
            </w:pPr>
            <w:r w:rsidRPr="00330234">
              <w:t>Erosiescore</w:t>
            </w:r>
          </w:p>
        </w:tc>
        <w:tc>
          <w:tcPr>
            <w:tcW w:w="3121" w:type="dxa"/>
          </w:tcPr>
          <w:p w14:paraId="47473745" w14:textId="77777777" w:rsidR="00436DAA" w:rsidRPr="00330234" w:rsidRDefault="009B4B8E" w:rsidP="00AD35FF">
            <w:pPr>
              <w:pStyle w:val="TableParagraph"/>
              <w:widowControl/>
              <w:jc w:val="center"/>
            </w:pPr>
            <w:r w:rsidRPr="00330234">
              <w:t>0,71</w:t>
            </w:r>
          </w:p>
        </w:tc>
        <w:tc>
          <w:tcPr>
            <w:tcW w:w="3080" w:type="dxa"/>
          </w:tcPr>
          <w:p w14:paraId="12202BAF" w14:textId="77777777" w:rsidR="00436DAA" w:rsidRPr="00330234" w:rsidRDefault="009B4B8E" w:rsidP="00AD35FF">
            <w:pPr>
              <w:pStyle w:val="TableParagraph"/>
              <w:widowControl/>
              <w:jc w:val="center"/>
            </w:pPr>
            <w:r w:rsidRPr="00330234">
              <w:t>0,17*</w:t>
            </w:r>
          </w:p>
        </w:tc>
      </w:tr>
      <w:tr w:rsidR="00436DAA" w:rsidRPr="00330234" w14:paraId="086D05DA" w14:textId="77777777" w:rsidTr="0037203A">
        <w:trPr>
          <w:trHeight w:val="20"/>
        </w:trPr>
        <w:tc>
          <w:tcPr>
            <w:tcW w:w="2865" w:type="dxa"/>
          </w:tcPr>
          <w:p w14:paraId="50C6105B" w14:textId="77777777" w:rsidR="00436DAA" w:rsidRPr="00330234" w:rsidRDefault="009B4B8E" w:rsidP="00BD109B">
            <w:pPr>
              <w:pStyle w:val="TableParagraph"/>
              <w:widowControl/>
            </w:pPr>
            <w:r w:rsidRPr="00330234">
              <w:t>JSN-score</w:t>
            </w:r>
          </w:p>
        </w:tc>
        <w:tc>
          <w:tcPr>
            <w:tcW w:w="3121" w:type="dxa"/>
          </w:tcPr>
          <w:p w14:paraId="596E66AC" w14:textId="77777777" w:rsidR="00436DAA" w:rsidRPr="00330234" w:rsidRDefault="009B4B8E" w:rsidP="00AD35FF">
            <w:pPr>
              <w:pStyle w:val="TableParagraph"/>
              <w:widowControl/>
              <w:jc w:val="center"/>
            </w:pPr>
            <w:r w:rsidRPr="00330234">
              <w:t>0,42</w:t>
            </w:r>
          </w:p>
        </w:tc>
        <w:tc>
          <w:tcPr>
            <w:tcW w:w="3080" w:type="dxa"/>
          </w:tcPr>
          <w:p w14:paraId="7B65B8BC" w14:textId="77777777" w:rsidR="00436DAA" w:rsidRPr="00330234" w:rsidRDefault="009B4B8E" w:rsidP="00AD35FF">
            <w:pPr>
              <w:pStyle w:val="TableParagraph"/>
              <w:widowControl/>
              <w:jc w:val="center"/>
            </w:pPr>
            <w:r w:rsidRPr="00330234">
              <w:t>0,12**</w:t>
            </w:r>
          </w:p>
        </w:tc>
      </w:tr>
    </w:tbl>
    <w:p w14:paraId="728C2914" w14:textId="77777777" w:rsidR="002149A1" w:rsidRPr="00330234" w:rsidRDefault="009B4B8E" w:rsidP="0037203A">
      <w:pPr>
        <w:widowControl/>
        <w:ind w:left="1134" w:hanging="1134"/>
        <w:rPr>
          <w:rFonts w:eastAsia="SimSun"/>
          <w:i/>
          <w:sz w:val="18"/>
          <w:szCs w:val="18"/>
          <w:lang w:eastAsia="zh-CN"/>
        </w:rPr>
      </w:pPr>
      <w:r w:rsidRPr="00330234">
        <w:rPr>
          <w:i/>
          <w:sz w:val="18"/>
          <w:szCs w:val="18"/>
        </w:rPr>
        <w:t>PBO</w:t>
      </w:r>
      <w:r w:rsidRPr="00330234">
        <w:rPr>
          <w:i/>
          <w:sz w:val="18"/>
          <w:szCs w:val="18"/>
        </w:rPr>
        <w:tab/>
        <w:t>- Placebo</w:t>
      </w:r>
    </w:p>
    <w:p w14:paraId="11B91A13" w14:textId="3BA8B340" w:rsidR="002149A1" w:rsidRPr="00330234" w:rsidRDefault="009B4B8E" w:rsidP="0037203A">
      <w:pPr>
        <w:widowControl/>
        <w:ind w:left="1134" w:hanging="1134"/>
        <w:rPr>
          <w:rFonts w:eastAsia="SimSun"/>
          <w:i/>
          <w:sz w:val="18"/>
          <w:szCs w:val="18"/>
          <w:lang w:eastAsia="zh-CN"/>
        </w:rPr>
      </w:pPr>
      <w:r w:rsidRPr="00330234">
        <w:rPr>
          <w:i/>
          <w:sz w:val="18"/>
          <w:szCs w:val="18"/>
        </w:rPr>
        <w:t>MTX</w:t>
      </w:r>
      <w:r w:rsidRPr="00330234">
        <w:rPr>
          <w:i/>
          <w:sz w:val="18"/>
          <w:szCs w:val="18"/>
        </w:rPr>
        <w:tab/>
        <w:t>- Methotrexaat</w:t>
      </w:r>
    </w:p>
    <w:p w14:paraId="598631EB" w14:textId="51F17A43" w:rsidR="00436DAA" w:rsidRPr="00330234" w:rsidRDefault="009B4B8E" w:rsidP="0037203A">
      <w:pPr>
        <w:widowControl/>
        <w:ind w:left="1134" w:hanging="1134"/>
        <w:rPr>
          <w:i/>
          <w:sz w:val="18"/>
          <w:szCs w:val="18"/>
        </w:rPr>
      </w:pPr>
      <w:r w:rsidRPr="00330234">
        <w:rPr>
          <w:i/>
          <w:sz w:val="18"/>
          <w:szCs w:val="18"/>
        </w:rPr>
        <w:t>TCZ</w:t>
      </w:r>
      <w:r w:rsidRPr="00330234">
        <w:rPr>
          <w:i/>
          <w:sz w:val="18"/>
          <w:szCs w:val="18"/>
        </w:rPr>
        <w:tab/>
        <w:t>- Tocilizumab</w:t>
      </w:r>
    </w:p>
    <w:p w14:paraId="0C35E748" w14:textId="77777777" w:rsidR="00436DAA" w:rsidRPr="00330234" w:rsidRDefault="009B4B8E" w:rsidP="0037203A">
      <w:pPr>
        <w:widowControl/>
        <w:ind w:left="1134" w:hanging="1134"/>
        <w:rPr>
          <w:i/>
          <w:sz w:val="18"/>
          <w:szCs w:val="18"/>
        </w:rPr>
      </w:pPr>
      <w:r w:rsidRPr="00330234">
        <w:rPr>
          <w:i/>
          <w:sz w:val="18"/>
          <w:szCs w:val="18"/>
        </w:rPr>
        <w:t>JSN</w:t>
      </w:r>
      <w:r w:rsidRPr="00330234">
        <w:rPr>
          <w:i/>
          <w:sz w:val="18"/>
          <w:szCs w:val="18"/>
        </w:rPr>
        <w:tab/>
        <w:t>- Joint space narrowing</w:t>
      </w:r>
    </w:p>
    <w:p w14:paraId="0AF65FA5" w14:textId="77777777" w:rsidR="00436DAA" w:rsidRPr="00330234" w:rsidRDefault="009B4B8E" w:rsidP="0037203A">
      <w:pPr>
        <w:widowControl/>
        <w:ind w:left="1134" w:hanging="1134"/>
        <w:rPr>
          <w:i/>
          <w:sz w:val="18"/>
          <w:szCs w:val="18"/>
        </w:rPr>
      </w:pPr>
      <w:r w:rsidRPr="00330234">
        <w:rPr>
          <w:i/>
          <w:sz w:val="18"/>
          <w:szCs w:val="18"/>
        </w:rPr>
        <w:t>*</w:t>
      </w:r>
      <w:r w:rsidRPr="00330234">
        <w:rPr>
          <w:i/>
          <w:sz w:val="18"/>
          <w:szCs w:val="18"/>
        </w:rPr>
        <w:tab/>
        <w:t>- p≤ 0,0001, TCZ vs. Placebo + MTX</w:t>
      </w:r>
    </w:p>
    <w:p w14:paraId="28BFF00B" w14:textId="77777777" w:rsidR="00436DAA" w:rsidRPr="00330234" w:rsidRDefault="009B4B8E" w:rsidP="0037203A">
      <w:pPr>
        <w:widowControl/>
        <w:ind w:left="1134" w:hanging="1134"/>
        <w:rPr>
          <w:i/>
          <w:sz w:val="18"/>
          <w:szCs w:val="18"/>
        </w:rPr>
      </w:pPr>
      <w:r w:rsidRPr="00330234">
        <w:rPr>
          <w:i/>
          <w:sz w:val="18"/>
          <w:szCs w:val="18"/>
        </w:rPr>
        <w:t>**</w:t>
      </w:r>
      <w:r w:rsidRPr="00330234">
        <w:rPr>
          <w:i/>
          <w:sz w:val="18"/>
          <w:szCs w:val="18"/>
        </w:rPr>
        <w:tab/>
        <w:t>- p&lt; 0,005, TCZ vs. Placebo + MTX</w:t>
      </w:r>
    </w:p>
    <w:p w14:paraId="6668AB30" w14:textId="77777777" w:rsidR="00436DAA" w:rsidRPr="00330234" w:rsidRDefault="00436DAA" w:rsidP="00BD109B">
      <w:pPr>
        <w:pStyle w:val="a3"/>
        <w:widowControl/>
        <w:ind w:left="0"/>
        <w:rPr>
          <w:iCs/>
        </w:rPr>
      </w:pPr>
    </w:p>
    <w:p w14:paraId="3173F4AD" w14:textId="3FAFBECD" w:rsidR="00436DAA" w:rsidRPr="00330234" w:rsidRDefault="009B4B8E" w:rsidP="00AD35FF">
      <w:pPr>
        <w:pStyle w:val="a3"/>
        <w:widowControl/>
        <w:ind w:left="0"/>
      </w:pPr>
      <w:r w:rsidRPr="00330234">
        <w:t xml:space="preserve">Na 1 jaar behandeling met </w:t>
      </w:r>
      <w:r w:rsidR="00971E1F" w:rsidRPr="00330234">
        <w:t>tocilizumab</w:t>
      </w:r>
      <w:r w:rsidRPr="00330234">
        <w:t xml:space="preserve"> plus MTX vertoonde 85% van de patiënten (n = 348) geen progressie van structurele gewrichtsschade, zoals gedefinieerd als een verandering van de </w:t>
      </w:r>
      <w:r w:rsidRPr="00330234">
        <w:rPr>
          <w:i/>
        </w:rPr>
        <w:t xml:space="preserve">Total Sharp- </w:t>
      </w:r>
      <w:r w:rsidRPr="00330234">
        <w:t>score van nul of minder, vergeleken met 67% van de met placebo plus MTX behandelde patiënten</w:t>
      </w:r>
      <w:r w:rsidR="00AD35FF" w:rsidRPr="00330234">
        <w:t xml:space="preserve"> </w:t>
      </w:r>
      <w:r w:rsidRPr="00330234">
        <w:t>(n</w:t>
      </w:r>
      <w:r w:rsidR="00AD35FF" w:rsidRPr="00330234">
        <w:t> </w:t>
      </w:r>
      <w:r w:rsidRPr="00330234">
        <w:t>=</w:t>
      </w:r>
      <w:r w:rsidR="00AD35FF" w:rsidRPr="00330234">
        <w:t> </w:t>
      </w:r>
      <w:r w:rsidRPr="00330234">
        <w:t>290) (p</w:t>
      </w:r>
      <w:r w:rsidRPr="00330234">
        <w:t> 0,001). Dit bleef gelijk na 2 jaar behandeling (83%; n = 353). Drieënnegentig procent (93%; n = 271) van de patiënten vertoonde geen progressie tussen week 52 en week 104.</w:t>
      </w:r>
    </w:p>
    <w:p w14:paraId="79182F84" w14:textId="77777777" w:rsidR="00AD35FF" w:rsidRPr="00330234" w:rsidRDefault="00AD35FF" w:rsidP="00AD35FF">
      <w:pPr>
        <w:pStyle w:val="a3"/>
        <w:widowControl/>
        <w:ind w:left="0"/>
      </w:pPr>
    </w:p>
    <w:p w14:paraId="487E6E35" w14:textId="77777777" w:rsidR="00436DAA" w:rsidRPr="00330234" w:rsidRDefault="009B4B8E" w:rsidP="00AD35FF">
      <w:pPr>
        <w:keepNext/>
        <w:keepLines/>
        <w:widowControl/>
        <w:rPr>
          <w:i/>
        </w:rPr>
      </w:pPr>
      <w:r w:rsidRPr="00330234">
        <w:rPr>
          <w:i/>
        </w:rPr>
        <w:lastRenderedPageBreak/>
        <w:t>Resultaten gerelateerd aan gezondheid en kwaliteit van leven</w:t>
      </w:r>
    </w:p>
    <w:p w14:paraId="3556CD88" w14:textId="543799BC" w:rsidR="00436DAA" w:rsidRPr="00330234" w:rsidRDefault="009B4B8E" w:rsidP="00AD35FF">
      <w:pPr>
        <w:keepNext/>
        <w:keepLines/>
        <w:widowControl/>
      </w:pPr>
      <w:r w:rsidRPr="00330234">
        <w:t xml:space="preserve">Bij patiënten die met </w:t>
      </w:r>
      <w:r w:rsidR="00971E1F" w:rsidRPr="00330234">
        <w:t>tocilizumab</w:t>
      </w:r>
      <w:r w:rsidRPr="00330234">
        <w:t xml:space="preserve"> werden behandeld, werd een verbetering gemeld van alle door de patiënt gerapporteerde resultaten (</w:t>
      </w:r>
      <w:r w:rsidRPr="00330234">
        <w:rPr>
          <w:i/>
        </w:rPr>
        <w:t xml:space="preserve">Health Assessment Questionnaire Disability Index </w:t>
      </w:r>
      <w:r w:rsidRPr="00330234">
        <w:t xml:space="preserve">– HAQ-DI, </w:t>
      </w:r>
      <w:r w:rsidRPr="00330234">
        <w:rPr>
          <w:i/>
        </w:rPr>
        <w:t xml:space="preserve">Short Form-36 </w:t>
      </w:r>
      <w:r w:rsidRPr="00330234">
        <w:t xml:space="preserve">en </w:t>
      </w:r>
      <w:r w:rsidRPr="00330234">
        <w:rPr>
          <w:i/>
        </w:rPr>
        <w:t>Functional Assessment of Chronic Illness Therapy-</w:t>
      </w:r>
      <w:r w:rsidRPr="00330234">
        <w:t>vragenlijst).</w:t>
      </w:r>
    </w:p>
    <w:p w14:paraId="5E17B1EC" w14:textId="72DBA903" w:rsidR="00436DAA" w:rsidRPr="00330234" w:rsidRDefault="009B4B8E" w:rsidP="00BD109B">
      <w:pPr>
        <w:pStyle w:val="a3"/>
        <w:widowControl/>
        <w:ind w:left="0"/>
      </w:pPr>
      <w:r w:rsidRPr="00330234">
        <w:t xml:space="preserve">Een statistisch significante verbetering van de HAQ-DI scores werd waargenomen bij patiënten behandeld met </w:t>
      </w:r>
      <w:r w:rsidR="00971E1F" w:rsidRPr="00330234">
        <w:t>tocilizumab</w:t>
      </w:r>
      <w:r w:rsidRPr="00330234">
        <w:t xml:space="preserve"> vergeleken met patiënten behandeld met DMARD</w:t>
      </w:r>
      <w:r w:rsidR="00753185" w:rsidRPr="00330234">
        <w:t>’</w:t>
      </w:r>
      <w:r w:rsidRPr="00330234">
        <w:t xml:space="preserve">s. Gedurende de open- label-periode van studie II bleef de verbetering van het lichamelijk functioneren tot wel 2 jaar gehandhaafd. Op week 52 was de gemiddelde verandering in HAQ-DI -0,58 in de groep met </w:t>
      </w:r>
      <w:r w:rsidR="00971E1F" w:rsidRPr="00330234">
        <w:t>tocilizumab</w:t>
      </w:r>
      <w:r w:rsidRPr="00330234">
        <w:t xml:space="preserve"> 8 mg/kg plus MTX versus -0,39 in de groep met placebo plus MTX. De gemiddelde verandering van HAQ-DI bleef op week 104 bij de groep met </w:t>
      </w:r>
      <w:r w:rsidR="00971E1F" w:rsidRPr="00330234">
        <w:t>tocilizumab</w:t>
      </w:r>
      <w:r w:rsidRPr="00330234">
        <w:t xml:space="preserve"> 8 mg/kg plus MTX (-0,61) gehandhaafd.</w:t>
      </w:r>
    </w:p>
    <w:p w14:paraId="16FC67D2" w14:textId="77777777" w:rsidR="00AD35FF" w:rsidRPr="00330234" w:rsidRDefault="00AD35FF" w:rsidP="00BD109B">
      <w:pPr>
        <w:pStyle w:val="a3"/>
        <w:widowControl/>
        <w:ind w:left="0"/>
      </w:pPr>
    </w:p>
    <w:p w14:paraId="4E118A91" w14:textId="77777777" w:rsidR="00436DAA" w:rsidRPr="00330234" w:rsidRDefault="009B4B8E" w:rsidP="00BD109B">
      <w:pPr>
        <w:widowControl/>
        <w:rPr>
          <w:i/>
        </w:rPr>
      </w:pPr>
      <w:r w:rsidRPr="00330234">
        <w:rPr>
          <w:i/>
        </w:rPr>
        <w:t>Hemoglobinespiegels</w:t>
      </w:r>
    </w:p>
    <w:p w14:paraId="11FDC2BB" w14:textId="6FEFD405" w:rsidR="00436DAA" w:rsidRPr="00330234" w:rsidRDefault="009B4B8E" w:rsidP="00BD109B">
      <w:pPr>
        <w:pStyle w:val="a3"/>
        <w:widowControl/>
        <w:ind w:left="0"/>
      </w:pPr>
      <w:r w:rsidRPr="00330234">
        <w:t xml:space="preserve">Op week 24 is een statistisch significante verbetering van de hemoglobinespiegels waargenomen bij de </w:t>
      </w:r>
      <w:r w:rsidR="00971E1F" w:rsidRPr="00330234">
        <w:t>tocilizumab</w:t>
      </w:r>
      <w:r w:rsidRPr="00330234">
        <w:t>-groep vergeleken met de groep die met DMARD</w:t>
      </w:r>
      <w:r w:rsidR="00753185" w:rsidRPr="00330234">
        <w:t>’</w:t>
      </w:r>
      <w:r w:rsidRPr="00330234">
        <w:t>s is behandeld (p&lt; 0,0001). De gemiddelde hemoglobinespiegel was toegenomen op week 2 en bleef gehandhaafd binnen het normale bereik tot en met week 24.</w:t>
      </w:r>
    </w:p>
    <w:p w14:paraId="4970251A" w14:textId="77777777" w:rsidR="00AD35FF" w:rsidRPr="00330234" w:rsidRDefault="00AD35FF" w:rsidP="00BD109B">
      <w:pPr>
        <w:pStyle w:val="a3"/>
        <w:widowControl/>
        <w:ind w:left="0"/>
      </w:pPr>
    </w:p>
    <w:p w14:paraId="4F24428B" w14:textId="5EA5AE70" w:rsidR="00436DAA" w:rsidRPr="00330234" w:rsidRDefault="00971E1F" w:rsidP="00BD109B">
      <w:pPr>
        <w:widowControl/>
        <w:rPr>
          <w:i/>
        </w:rPr>
      </w:pPr>
      <w:r w:rsidRPr="00330234">
        <w:rPr>
          <w:i/>
        </w:rPr>
        <w:t xml:space="preserve">Tocilizumab </w:t>
      </w:r>
      <w:r w:rsidR="009B4B8E" w:rsidRPr="00330234">
        <w:rPr>
          <w:i/>
        </w:rPr>
        <w:t>versus adalimumab als monotherapie</w:t>
      </w:r>
    </w:p>
    <w:p w14:paraId="3D19BAB1" w14:textId="35192731" w:rsidR="00436DAA" w:rsidRPr="00330234" w:rsidRDefault="009B4B8E" w:rsidP="00BD109B">
      <w:pPr>
        <w:pStyle w:val="a3"/>
        <w:widowControl/>
        <w:ind w:left="0"/>
      </w:pPr>
      <w:r w:rsidRPr="00330234">
        <w:t xml:space="preserve">Tijdens studie VI (WA19924), een 24 weken dubbelblinde studie die </w:t>
      </w:r>
      <w:r w:rsidR="00971E1F" w:rsidRPr="00330234">
        <w:t>tocilizumab</w:t>
      </w:r>
      <w:r w:rsidRPr="00330234">
        <w:t xml:space="preserve"> monotherapie vergeleek met adalimumab monotherapie, werden 326 patiënten geëvalueerd met RA die MTX niet verdroegen of voor wie voortzetting van de behandeling met MTX niet geschikt werd geacht (inclusief patiënten met een ontoereikende respons op MTX). Patiënten in de </w:t>
      </w:r>
      <w:r w:rsidR="00971E1F" w:rsidRPr="00330234">
        <w:t>tocilizumab</w:t>
      </w:r>
      <w:r w:rsidRPr="00330234">
        <w:t xml:space="preserve">-arm kregen elke 4 weken (q4w) een intraveneuze (i.v.) infusie met </w:t>
      </w:r>
      <w:r w:rsidR="00971E1F" w:rsidRPr="00330234">
        <w:t>tocilizumab</w:t>
      </w:r>
      <w:r w:rsidRPr="00330234">
        <w:t xml:space="preserve"> (8 mg/kg) en elke 2 weken (q2w) een subcutane (s.c.) placebo-injectie. Patiënten in de adalimumab-arm kregen q2w een adalimumab s.c. injectie (40 mg) plus q4w een i.v. placebo-infusie.</w:t>
      </w:r>
    </w:p>
    <w:p w14:paraId="7D945ECA" w14:textId="77777777" w:rsidR="00AD35FF" w:rsidRPr="00330234" w:rsidRDefault="00AD35FF" w:rsidP="00BD109B">
      <w:pPr>
        <w:pStyle w:val="a3"/>
        <w:widowControl/>
        <w:ind w:left="0"/>
      </w:pPr>
    </w:p>
    <w:p w14:paraId="0FCE8D9D" w14:textId="21015FB7" w:rsidR="00436DAA" w:rsidRPr="00330234" w:rsidRDefault="009B4B8E" w:rsidP="00BD109B">
      <w:pPr>
        <w:pStyle w:val="a3"/>
        <w:widowControl/>
        <w:ind w:left="0"/>
      </w:pPr>
      <w:r w:rsidRPr="00330234">
        <w:t xml:space="preserve">Er werd een statistisch significant superieur effect van de behandeling gezien, ten gunste van </w:t>
      </w:r>
      <w:r w:rsidR="00971E1F" w:rsidRPr="00330234">
        <w:t>tocilizumab</w:t>
      </w:r>
      <w:r w:rsidRPr="00330234">
        <w:t xml:space="preserve"> boven adalimumab, in het onderdrukken van de ziekteactiviteit ten opzichte van baseline tot week 24 voor zowel het primaire eindpunt van verandering in DAS28, als voor alle secundaire eindpunten (tabel 7).</w:t>
      </w:r>
    </w:p>
    <w:p w14:paraId="021B76F6" w14:textId="77777777" w:rsidR="00436DAA" w:rsidRPr="00330234" w:rsidRDefault="00436DAA" w:rsidP="00BD109B">
      <w:pPr>
        <w:pStyle w:val="a3"/>
        <w:widowControl/>
        <w:ind w:left="0"/>
      </w:pPr>
    </w:p>
    <w:p w14:paraId="72AF744F" w14:textId="5161A0DD" w:rsidR="00436DAA" w:rsidRPr="00330234" w:rsidRDefault="009B4B8E" w:rsidP="0037203A">
      <w:pPr>
        <w:widowControl/>
        <w:ind w:left="1134" w:hanging="1134"/>
        <w:rPr>
          <w:i/>
        </w:rPr>
      </w:pPr>
      <w:r w:rsidRPr="00330234">
        <w:rPr>
          <w:i/>
        </w:rPr>
        <w:t>Tabel 7:</w:t>
      </w:r>
      <w:r w:rsidR="0037203A" w:rsidRPr="00330234">
        <w:rPr>
          <w:i/>
        </w:rPr>
        <w:tab/>
      </w:r>
      <w:r w:rsidRPr="00330234">
        <w:rPr>
          <w:i/>
        </w:rPr>
        <w:t>Werkzaamheidsresultaten voor studie VI (WA19924)</w:t>
      </w:r>
    </w:p>
    <w:p w14:paraId="500DFCB4" w14:textId="77777777" w:rsidR="00436DAA" w:rsidRPr="00330234" w:rsidRDefault="00436DAA" w:rsidP="00BD109B">
      <w:pPr>
        <w:pStyle w:val="a3"/>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0"/>
        <w:gridCol w:w="1881"/>
        <w:gridCol w:w="1945"/>
        <w:gridCol w:w="1890"/>
      </w:tblGrid>
      <w:tr w:rsidR="00436DAA" w:rsidRPr="00330234" w14:paraId="5316ED13" w14:textId="77777777" w:rsidTr="001B3E1E">
        <w:trPr>
          <w:trHeight w:val="20"/>
        </w:trPr>
        <w:tc>
          <w:tcPr>
            <w:tcW w:w="3350" w:type="dxa"/>
          </w:tcPr>
          <w:p w14:paraId="43A4557D" w14:textId="77777777" w:rsidR="00436DAA" w:rsidRPr="00330234" w:rsidRDefault="00436DAA" w:rsidP="00BD109B">
            <w:pPr>
              <w:pStyle w:val="TableParagraph"/>
              <w:widowControl/>
            </w:pPr>
          </w:p>
        </w:tc>
        <w:tc>
          <w:tcPr>
            <w:tcW w:w="1881" w:type="dxa"/>
          </w:tcPr>
          <w:p w14:paraId="12707CEC" w14:textId="77777777" w:rsidR="00436DAA" w:rsidRPr="00330234" w:rsidRDefault="009B4B8E" w:rsidP="00AD35FF">
            <w:pPr>
              <w:pStyle w:val="TableParagraph"/>
              <w:widowControl/>
              <w:jc w:val="center"/>
              <w:rPr>
                <w:b/>
              </w:rPr>
            </w:pPr>
            <w:r w:rsidRPr="00330234">
              <w:rPr>
                <w:b/>
              </w:rPr>
              <w:t>ADA + placebo (i.v.)</w:t>
            </w:r>
          </w:p>
          <w:p w14:paraId="00751B6B" w14:textId="77777777" w:rsidR="00436DAA" w:rsidRPr="00330234" w:rsidRDefault="009B4B8E" w:rsidP="00AD35FF">
            <w:pPr>
              <w:pStyle w:val="TableParagraph"/>
              <w:widowControl/>
              <w:jc w:val="center"/>
              <w:rPr>
                <w:b/>
              </w:rPr>
            </w:pPr>
            <w:r w:rsidRPr="00330234">
              <w:rPr>
                <w:b/>
              </w:rPr>
              <w:t>N = 162</w:t>
            </w:r>
          </w:p>
        </w:tc>
        <w:tc>
          <w:tcPr>
            <w:tcW w:w="1945" w:type="dxa"/>
          </w:tcPr>
          <w:p w14:paraId="27A97565" w14:textId="77777777" w:rsidR="00436DAA" w:rsidRPr="00330234" w:rsidRDefault="009B4B8E" w:rsidP="00AD35FF">
            <w:pPr>
              <w:pStyle w:val="TableParagraph"/>
              <w:widowControl/>
              <w:jc w:val="center"/>
              <w:rPr>
                <w:b/>
              </w:rPr>
            </w:pPr>
            <w:r w:rsidRPr="00330234">
              <w:rPr>
                <w:b/>
              </w:rPr>
              <w:t>TCZ + placebo (s.c.)</w:t>
            </w:r>
          </w:p>
          <w:p w14:paraId="2B096CE6" w14:textId="77777777" w:rsidR="00436DAA" w:rsidRPr="00330234" w:rsidRDefault="009B4B8E" w:rsidP="00AD35FF">
            <w:pPr>
              <w:pStyle w:val="TableParagraph"/>
              <w:widowControl/>
              <w:jc w:val="center"/>
              <w:rPr>
                <w:b/>
              </w:rPr>
            </w:pPr>
            <w:r w:rsidRPr="00330234">
              <w:rPr>
                <w:b/>
              </w:rPr>
              <w:t>N = 163</w:t>
            </w:r>
          </w:p>
        </w:tc>
        <w:tc>
          <w:tcPr>
            <w:tcW w:w="1890" w:type="dxa"/>
            <w:vAlign w:val="bottom"/>
          </w:tcPr>
          <w:p w14:paraId="23A3844B" w14:textId="77777777" w:rsidR="00436DAA" w:rsidRPr="00330234" w:rsidRDefault="009B4B8E" w:rsidP="00454EF1">
            <w:pPr>
              <w:pStyle w:val="TableParagraph"/>
              <w:widowControl/>
              <w:jc w:val="center"/>
              <w:rPr>
                <w:b/>
                <w:bCs/>
              </w:rPr>
            </w:pPr>
            <w:r w:rsidRPr="00330234">
              <w:rPr>
                <w:b/>
                <w:bCs/>
              </w:rPr>
              <w:t>p-waarde</w:t>
            </w:r>
            <w:r w:rsidRPr="00330234">
              <w:rPr>
                <w:b/>
                <w:bCs/>
                <w:vertAlign w:val="superscript"/>
              </w:rPr>
              <w:t>(a)</w:t>
            </w:r>
          </w:p>
        </w:tc>
      </w:tr>
      <w:tr w:rsidR="00436DAA" w:rsidRPr="00330234" w14:paraId="445CD5E6" w14:textId="77777777" w:rsidTr="00AD35FF">
        <w:trPr>
          <w:trHeight w:val="20"/>
        </w:trPr>
        <w:tc>
          <w:tcPr>
            <w:tcW w:w="9066" w:type="dxa"/>
            <w:gridSpan w:val="4"/>
          </w:tcPr>
          <w:p w14:paraId="3191E076" w14:textId="77777777" w:rsidR="00436DAA" w:rsidRPr="00330234" w:rsidRDefault="009B4B8E" w:rsidP="00BD109B">
            <w:pPr>
              <w:pStyle w:val="TableParagraph"/>
              <w:widowControl/>
              <w:rPr>
                <w:b/>
              </w:rPr>
            </w:pPr>
            <w:r w:rsidRPr="00330234">
              <w:rPr>
                <w:b/>
              </w:rPr>
              <w:t>Primair eindpunt – gemiddelde verandering ten opzichte van baseline op week 24</w:t>
            </w:r>
          </w:p>
        </w:tc>
      </w:tr>
      <w:tr w:rsidR="00436DAA" w:rsidRPr="00330234" w14:paraId="0606B70F" w14:textId="77777777" w:rsidTr="00AD35FF">
        <w:trPr>
          <w:trHeight w:val="20"/>
        </w:trPr>
        <w:tc>
          <w:tcPr>
            <w:tcW w:w="3350" w:type="dxa"/>
          </w:tcPr>
          <w:p w14:paraId="3886B9E3" w14:textId="77777777" w:rsidR="00436DAA" w:rsidRPr="00330234" w:rsidRDefault="009B4B8E" w:rsidP="00AD35FF">
            <w:pPr>
              <w:pStyle w:val="TableParagraph"/>
              <w:widowControl/>
              <w:jc w:val="right"/>
              <w:rPr>
                <w:bCs/>
              </w:rPr>
            </w:pPr>
            <w:r w:rsidRPr="00330234">
              <w:rPr>
                <w:bCs/>
              </w:rPr>
              <w:t>DAS28 (aangepast gemiddelde)</w:t>
            </w:r>
          </w:p>
        </w:tc>
        <w:tc>
          <w:tcPr>
            <w:tcW w:w="1881" w:type="dxa"/>
          </w:tcPr>
          <w:p w14:paraId="2396116F" w14:textId="77777777" w:rsidR="00436DAA" w:rsidRPr="00330234" w:rsidRDefault="009B4B8E" w:rsidP="00AD35FF">
            <w:pPr>
              <w:pStyle w:val="TableParagraph"/>
              <w:widowControl/>
              <w:jc w:val="center"/>
              <w:rPr>
                <w:bCs/>
              </w:rPr>
            </w:pPr>
            <w:r w:rsidRPr="00330234">
              <w:rPr>
                <w:bCs/>
              </w:rPr>
              <w:t>-1,8</w:t>
            </w:r>
          </w:p>
        </w:tc>
        <w:tc>
          <w:tcPr>
            <w:tcW w:w="1945" w:type="dxa"/>
          </w:tcPr>
          <w:p w14:paraId="4F278C3E" w14:textId="77777777" w:rsidR="00436DAA" w:rsidRPr="00330234" w:rsidRDefault="009B4B8E" w:rsidP="00AD35FF">
            <w:pPr>
              <w:pStyle w:val="TableParagraph"/>
              <w:widowControl/>
              <w:jc w:val="center"/>
              <w:rPr>
                <w:bCs/>
              </w:rPr>
            </w:pPr>
            <w:r w:rsidRPr="00330234">
              <w:rPr>
                <w:bCs/>
              </w:rPr>
              <w:t>-3,3</w:t>
            </w:r>
          </w:p>
        </w:tc>
        <w:tc>
          <w:tcPr>
            <w:tcW w:w="1890" w:type="dxa"/>
          </w:tcPr>
          <w:p w14:paraId="3B3BF3DA" w14:textId="77777777" w:rsidR="00436DAA" w:rsidRPr="00330234" w:rsidRDefault="00436DAA" w:rsidP="00AD35FF">
            <w:pPr>
              <w:pStyle w:val="TableParagraph"/>
              <w:widowControl/>
              <w:jc w:val="center"/>
              <w:rPr>
                <w:bCs/>
              </w:rPr>
            </w:pPr>
          </w:p>
        </w:tc>
      </w:tr>
      <w:tr w:rsidR="00436DAA" w:rsidRPr="00330234" w14:paraId="36C24789" w14:textId="77777777" w:rsidTr="00AD35FF">
        <w:trPr>
          <w:trHeight w:val="20"/>
        </w:trPr>
        <w:tc>
          <w:tcPr>
            <w:tcW w:w="3350" w:type="dxa"/>
          </w:tcPr>
          <w:p w14:paraId="4AA96B27" w14:textId="77777777" w:rsidR="00436DAA" w:rsidRPr="00330234" w:rsidRDefault="009B4B8E" w:rsidP="00AD35FF">
            <w:pPr>
              <w:pStyle w:val="TableParagraph"/>
              <w:widowControl/>
              <w:jc w:val="right"/>
              <w:rPr>
                <w:bCs/>
              </w:rPr>
            </w:pPr>
            <w:r w:rsidRPr="00330234">
              <w:rPr>
                <w:bCs/>
              </w:rPr>
              <w:t>Verschil in aangepast gemiddelde (95%-BI)</w:t>
            </w:r>
          </w:p>
        </w:tc>
        <w:tc>
          <w:tcPr>
            <w:tcW w:w="3826" w:type="dxa"/>
            <w:gridSpan w:val="2"/>
          </w:tcPr>
          <w:p w14:paraId="6080938E" w14:textId="77777777" w:rsidR="00436DAA" w:rsidRPr="00330234" w:rsidRDefault="009B4B8E" w:rsidP="00AD35FF">
            <w:pPr>
              <w:pStyle w:val="TableParagraph"/>
              <w:widowControl/>
              <w:jc w:val="center"/>
              <w:rPr>
                <w:bCs/>
              </w:rPr>
            </w:pPr>
            <w:r w:rsidRPr="00330234">
              <w:rPr>
                <w:bCs/>
              </w:rPr>
              <w:t>-1,5 (-1,8, -1,1)</w:t>
            </w:r>
          </w:p>
        </w:tc>
        <w:tc>
          <w:tcPr>
            <w:tcW w:w="1890" w:type="dxa"/>
          </w:tcPr>
          <w:p w14:paraId="65ACF1BA" w14:textId="6038DAFE" w:rsidR="00436DAA" w:rsidRPr="00330234" w:rsidRDefault="009B4B8E" w:rsidP="004C0949">
            <w:pPr>
              <w:pStyle w:val="TableParagraph"/>
              <w:widowControl/>
              <w:jc w:val="center"/>
              <w:rPr>
                <w:bCs/>
              </w:rPr>
            </w:pPr>
            <w:r w:rsidRPr="00330234">
              <w:rPr>
                <w:bCs/>
              </w:rPr>
              <w:t>&lt; 0,0001</w:t>
            </w:r>
          </w:p>
        </w:tc>
      </w:tr>
      <w:tr w:rsidR="00436DAA" w:rsidRPr="00330234" w14:paraId="4DD08EAD" w14:textId="77777777" w:rsidTr="00AD35FF">
        <w:trPr>
          <w:trHeight w:val="20"/>
        </w:trPr>
        <w:tc>
          <w:tcPr>
            <w:tcW w:w="9066" w:type="dxa"/>
            <w:gridSpan w:val="4"/>
          </w:tcPr>
          <w:p w14:paraId="563F19E0" w14:textId="77777777" w:rsidR="00436DAA" w:rsidRPr="00330234" w:rsidRDefault="009B4B8E" w:rsidP="00BD109B">
            <w:pPr>
              <w:pStyle w:val="TableParagraph"/>
              <w:widowControl/>
              <w:rPr>
                <w:b/>
              </w:rPr>
            </w:pPr>
            <w:r w:rsidRPr="00330234">
              <w:rPr>
                <w:b/>
              </w:rPr>
              <w:t xml:space="preserve">Secundaire eindpunten - percentage responderende patiënten op week 24 </w:t>
            </w:r>
            <w:r w:rsidRPr="00330234">
              <w:rPr>
                <w:b/>
                <w:vertAlign w:val="superscript"/>
              </w:rPr>
              <w:t>(b)</w:t>
            </w:r>
          </w:p>
        </w:tc>
      </w:tr>
      <w:tr w:rsidR="00436DAA" w:rsidRPr="00330234" w14:paraId="68941B6D" w14:textId="77777777" w:rsidTr="00AD35FF">
        <w:trPr>
          <w:trHeight w:val="20"/>
        </w:trPr>
        <w:tc>
          <w:tcPr>
            <w:tcW w:w="3350" w:type="dxa"/>
          </w:tcPr>
          <w:p w14:paraId="54FE56B1" w14:textId="77777777" w:rsidR="00436DAA" w:rsidRPr="00330234" w:rsidRDefault="009B4B8E" w:rsidP="00AD35FF">
            <w:pPr>
              <w:pStyle w:val="TableParagraph"/>
              <w:widowControl/>
              <w:jc w:val="right"/>
            </w:pPr>
            <w:r w:rsidRPr="00330234">
              <w:t>DAS28 &lt; 2,6, n (%)</w:t>
            </w:r>
          </w:p>
        </w:tc>
        <w:tc>
          <w:tcPr>
            <w:tcW w:w="1881" w:type="dxa"/>
          </w:tcPr>
          <w:p w14:paraId="3C50A7F5" w14:textId="77777777" w:rsidR="00436DAA" w:rsidRPr="00330234" w:rsidRDefault="009B4B8E" w:rsidP="00AD35FF">
            <w:pPr>
              <w:pStyle w:val="TableParagraph"/>
              <w:widowControl/>
              <w:jc w:val="center"/>
            </w:pPr>
            <w:r w:rsidRPr="00330234">
              <w:t>17 (10,5)</w:t>
            </w:r>
          </w:p>
        </w:tc>
        <w:tc>
          <w:tcPr>
            <w:tcW w:w="1945" w:type="dxa"/>
          </w:tcPr>
          <w:p w14:paraId="7D482BCE" w14:textId="77777777" w:rsidR="00436DAA" w:rsidRPr="00330234" w:rsidRDefault="009B4B8E" w:rsidP="00AD35FF">
            <w:pPr>
              <w:pStyle w:val="TableParagraph"/>
              <w:widowControl/>
              <w:jc w:val="center"/>
            </w:pPr>
            <w:r w:rsidRPr="00330234">
              <w:t>65 (39,9)</w:t>
            </w:r>
          </w:p>
        </w:tc>
        <w:tc>
          <w:tcPr>
            <w:tcW w:w="1890" w:type="dxa"/>
          </w:tcPr>
          <w:p w14:paraId="37057CDE" w14:textId="00362C9A" w:rsidR="00436DAA" w:rsidRPr="00330234" w:rsidRDefault="009B4B8E" w:rsidP="004C0949">
            <w:pPr>
              <w:pStyle w:val="TableParagraph"/>
              <w:widowControl/>
              <w:jc w:val="center"/>
            </w:pPr>
            <w:r w:rsidRPr="00330234">
              <w:t>&lt; 0,0001</w:t>
            </w:r>
          </w:p>
        </w:tc>
      </w:tr>
      <w:tr w:rsidR="00436DAA" w:rsidRPr="00330234" w14:paraId="507C9F26" w14:textId="77777777" w:rsidTr="00AD35FF">
        <w:trPr>
          <w:trHeight w:val="20"/>
        </w:trPr>
        <w:tc>
          <w:tcPr>
            <w:tcW w:w="3350" w:type="dxa"/>
          </w:tcPr>
          <w:p w14:paraId="14ED0914" w14:textId="77777777" w:rsidR="00436DAA" w:rsidRPr="00330234" w:rsidRDefault="009B4B8E" w:rsidP="00AD35FF">
            <w:pPr>
              <w:pStyle w:val="TableParagraph"/>
              <w:widowControl/>
              <w:jc w:val="right"/>
            </w:pPr>
            <w:r w:rsidRPr="00330234">
              <w:t>DAS28 ≤ 3,2, n (%)</w:t>
            </w:r>
          </w:p>
        </w:tc>
        <w:tc>
          <w:tcPr>
            <w:tcW w:w="1881" w:type="dxa"/>
          </w:tcPr>
          <w:p w14:paraId="64820DFE" w14:textId="77777777" w:rsidR="00436DAA" w:rsidRPr="00330234" w:rsidRDefault="009B4B8E" w:rsidP="00AD35FF">
            <w:pPr>
              <w:pStyle w:val="TableParagraph"/>
              <w:widowControl/>
              <w:jc w:val="center"/>
            </w:pPr>
            <w:r w:rsidRPr="00330234">
              <w:t>32 (19,8)</w:t>
            </w:r>
          </w:p>
        </w:tc>
        <w:tc>
          <w:tcPr>
            <w:tcW w:w="1945" w:type="dxa"/>
          </w:tcPr>
          <w:p w14:paraId="6C5FBF48" w14:textId="77777777" w:rsidR="00436DAA" w:rsidRPr="00330234" w:rsidRDefault="009B4B8E" w:rsidP="00AD35FF">
            <w:pPr>
              <w:pStyle w:val="TableParagraph"/>
              <w:widowControl/>
              <w:jc w:val="center"/>
            </w:pPr>
            <w:r w:rsidRPr="00330234">
              <w:t>84 (51,5)</w:t>
            </w:r>
          </w:p>
        </w:tc>
        <w:tc>
          <w:tcPr>
            <w:tcW w:w="1890" w:type="dxa"/>
          </w:tcPr>
          <w:p w14:paraId="43668EAF" w14:textId="3959B9C2" w:rsidR="00436DAA" w:rsidRPr="00330234" w:rsidRDefault="009B4B8E" w:rsidP="004C0949">
            <w:pPr>
              <w:pStyle w:val="TableParagraph"/>
              <w:widowControl/>
              <w:jc w:val="center"/>
            </w:pPr>
            <w:r w:rsidRPr="00330234">
              <w:t>&lt; 0,0001</w:t>
            </w:r>
          </w:p>
        </w:tc>
      </w:tr>
      <w:tr w:rsidR="00436DAA" w:rsidRPr="00330234" w14:paraId="3E80D5F5" w14:textId="77777777" w:rsidTr="00AD35FF">
        <w:trPr>
          <w:trHeight w:val="20"/>
        </w:trPr>
        <w:tc>
          <w:tcPr>
            <w:tcW w:w="3350" w:type="dxa"/>
          </w:tcPr>
          <w:p w14:paraId="57F24AE5" w14:textId="77777777" w:rsidR="00436DAA" w:rsidRPr="00330234" w:rsidRDefault="009B4B8E" w:rsidP="00AD35FF">
            <w:pPr>
              <w:pStyle w:val="TableParagraph"/>
              <w:widowControl/>
              <w:jc w:val="right"/>
            </w:pPr>
            <w:r w:rsidRPr="00330234">
              <w:t>ACR20-respons, n (%)</w:t>
            </w:r>
          </w:p>
        </w:tc>
        <w:tc>
          <w:tcPr>
            <w:tcW w:w="1881" w:type="dxa"/>
          </w:tcPr>
          <w:p w14:paraId="05302815" w14:textId="77777777" w:rsidR="00436DAA" w:rsidRPr="00330234" w:rsidRDefault="009B4B8E" w:rsidP="00AD35FF">
            <w:pPr>
              <w:pStyle w:val="TableParagraph"/>
              <w:widowControl/>
              <w:jc w:val="center"/>
            </w:pPr>
            <w:r w:rsidRPr="00330234">
              <w:t>80 (49,4)</w:t>
            </w:r>
          </w:p>
        </w:tc>
        <w:tc>
          <w:tcPr>
            <w:tcW w:w="1945" w:type="dxa"/>
          </w:tcPr>
          <w:p w14:paraId="237E6EE5" w14:textId="77777777" w:rsidR="00436DAA" w:rsidRPr="00330234" w:rsidRDefault="009B4B8E" w:rsidP="00AD35FF">
            <w:pPr>
              <w:pStyle w:val="TableParagraph"/>
              <w:widowControl/>
              <w:jc w:val="center"/>
            </w:pPr>
            <w:r w:rsidRPr="00330234">
              <w:t>106 (65,0)</w:t>
            </w:r>
          </w:p>
        </w:tc>
        <w:tc>
          <w:tcPr>
            <w:tcW w:w="1890" w:type="dxa"/>
          </w:tcPr>
          <w:p w14:paraId="447102AF" w14:textId="77777777" w:rsidR="00436DAA" w:rsidRPr="00330234" w:rsidRDefault="009B4B8E" w:rsidP="00AD35FF">
            <w:pPr>
              <w:pStyle w:val="TableParagraph"/>
              <w:widowControl/>
              <w:jc w:val="center"/>
            </w:pPr>
            <w:r w:rsidRPr="00330234">
              <w:t>0,0038</w:t>
            </w:r>
          </w:p>
        </w:tc>
      </w:tr>
      <w:tr w:rsidR="00436DAA" w:rsidRPr="00330234" w14:paraId="05530D50" w14:textId="77777777" w:rsidTr="00AD35FF">
        <w:trPr>
          <w:trHeight w:val="20"/>
        </w:trPr>
        <w:tc>
          <w:tcPr>
            <w:tcW w:w="3350" w:type="dxa"/>
          </w:tcPr>
          <w:p w14:paraId="6F9CDE6F" w14:textId="77777777" w:rsidR="00436DAA" w:rsidRPr="00330234" w:rsidRDefault="009B4B8E" w:rsidP="00AD35FF">
            <w:pPr>
              <w:pStyle w:val="TableParagraph"/>
              <w:widowControl/>
              <w:jc w:val="right"/>
            </w:pPr>
            <w:r w:rsidRPr="00330234">
              <w:t>ACR50-respons, n (%)</w:t>
            </w:r>
          </w:p>
        </w:tc>
        <w:tc>
          <w:tcPr>
            <w:tcW w:w="1881" w:type="dxa"/>
          </w:tcPr>
          <w:p w14:paraId="700E3EA2" w14:textId="77777777" w:rsidR="00436DAA" w:rsidRPr="00330234" w:rsidRDefault="009B4B8E" w:rsidP="00AD35FF">
            <w:pPr>
              <w:pStyle w:val="TableParagraph"/>
              <w:widowControl/>
              <w:jc w:val="center"/>
            </w:pPr>
            <w:r w:rsidRPr="00330234">
              <w:t>45 (27,8)</w:t>
            </w:r>
          </w:p>
        </w:tc>
        <w:tc>
          <w:tcPr>
            <w:tcW w:w="1945" w:type="dxa"/>
          </w:tcPr>
          <w:p w14:paraId="6D85C5DC" w14:textId="77777777" w:rsidR="00436DAA" w:rsidRPr="00330234" w:rsidRDefault="009B4B8E" w:rsidP="00AD35FF">
            <w:pPr>
              <w:pStyle w:val="TableParagraph"/>
              <w:widowControl/>
              <w:jc w:val="center"/>
            </w:pPr>
            <w:r w:rsidRPr="00330234">
              <w:t>77 (47,2)</w:t>
            </w:r>
          </w:p>
        </w:tc>
        <w:tc>
          <w:tcPr>
            <w:tcW w:w="1890" w:type="dxa"/>
          </w:tcPr>
          <w:p w14:paraId="40047040" w14:textId="77777777" w:rsidR="00436DAA" w:rsidRPr="00330234" w:rsidRDefault="009B4B8E" w:rsidP="00AD35FF">
            <w:pPr>
              <w:pStyle w:val="TableParagraph"/>
              <w:widowControl/>
              <w:jc w:val="center"/>
            </w:pPr>
            <w:r w:rsidRPr="00330234">
              <w:t>0,0002</w:t>
            </w:r>
          </w:p>
        </w:tc>
      </w:tr>
      <w:tr w:rsidR="00436DAA" w:rsidRPr="00330234" w14:paraId="02CB7C00" w14:textId="77777777" w:rsidTr="00AD35FF">
        <w:trPr>
          <w:trHeight w:val="20"/>
        </w:trPr>
        <w:tc>
          <w:tcPr>
            <w:tcW w:w="3350" w:type="dxa"/>
          </w:tcPr>
          <w:p w14:paraId="5E32632B" w14:textId="77777777" w:rsidR="00436DAA" w:rsidRPr="00330234" w:rsidRDefault="009B4B8E" w:rsidP="00AD35FF">
            <w:pPr>
              <w:pStyle w:val="TableParagraph"/>
              <w:widowControl/>
              <w:jc w:val="right"/>
            </w:pPr>
            <w:r w:rsidRPr="00330234">
              <w:t>ACR70-respons, n (%)</w:t>
            </w:r>
          </w:p>
        </w:tc>
        <w:tc>
          <w:tcPr>
            <w:tcW w:w="1881" w:type="dxa"/>
          </w:tcPr>
          <w:p w14:paraId="4E134FCC" w14:textId="77777777" w:rsidR="00436DAA" w:rsidRPr="00330234" w:rsidRDefault="009B4B8E" w:rsidP="00AD35FF">
            <w:pPr>
              <w:pStyle w:val="TableParagraph"/>
              <w:widowControl/>
              <w:jc w:val="center"/>
            </w:pPr>
            <w:r w:rsidRPr="00330234">
              <w:t>29 (17,9)</w:t>
            </w:r>
          </w:p>
        </w:tc>
        <w:tc>
          <w:tcPr>
            <w:tcW w:w="1945" w:type="dxa"/>
          </w:tcPr>
          <w:p w14:paraId="55E92385" w14:textId="77777777" w:rsidR="00436DAA" w:rsidRPr="00330234" w:rsidRDefault="009B4B8E" w:rsidP="00AD35FF">
            <w:pPr>
              <w:pStyle w:val="TableParagraph"/>
              <w:widowControl/>
              <w:jc w:val="center"/>
            </w:pPr>
            <w:r w:rsidRPr="00330234">
              <w:t>53 (32,5)</w:t>
            </w:r>
          </w:p>
        </w:tc>
        <w:tc>
          <w:tcPr>
            <w:tcW w:w="1890" w:type="dxa"/>
          </w:tcPr>
          <w:p w14:paraId="6C047A0F" w14:textId="77777777" w:rsidR="00436DAA" w:rsidRPr="00330234" w:rsidRDefault="009B4B8E" w:rsidP="00AD35FF">
            <w:pPr>
              <w:pStyle w:val="TableParagraph"/>
              <w:widowControl/>
              <w:jc w:val="center"/>
            </w:pPr>
            <w:r w:rsidRPr="00330234">
              <w:t>0,0023</w:t>
            </w:r>
          </w:p>
        </w:tc>
      </w:tr>
    </w:tbl>
    <w:p w14:paraId="5360CADD" w14:textId="6D6CCD16" w:rsidR="00436DAA" w:rsidRPr="00330234" w:rsidRDefault="009B4B8E" w:rsidP="0037203A">
      <w:pPr>
        <w:widowControl/>
        <w:ind w:left="284" w:hanging="284"/>
        <w:rPr>
          <w:i/>
          <w:sz w:val="18"/>
          <w:szCs w:val="18"/>
        </w:rPr>
      </w:pPr>
      <w:r w:rsidRPr="00330234">
        <w:rPr>
          <w:i/>
          <w:sz w:val="18"/>
          <w:szCs w:val="18"/>
          <w:vertAlign w:val="superscript"/>
        </w:rPr>
        <w:t>a</w:t>
      </w:r>
      <w:r w:rsidR="0037203A" w:rsidRPr="00330234">
        <w:rPr>
          <w:i/>
          <w:sz w:val="18"/>
          <w:szCs w:val="18"/>
        </w:rPr>
        <w:tab/>
      </w:r>
      <w:r w:rsidRPr="00330234">
        <w:rPr>
          <w:i/>
          <w:sz w:val="18"/>
          <w:szCs w:val="18"/>
        </w:rPr>
        <w:t>p-waarde is aangepast voor locatie en ziekteduur van RA voor alle eindpunten en daarnaast de baseline-waarde voor alle continue eindpunten</w:t>
      </w:r>
    </w:p>
    <w:p w14:paraId="43536956" w14:textId="09FCF8B6" w:rsidR="00436DAA" w:rsidRPr="00330234" w:rsidRDefault="009B4B8E" w:rsidP="0037203A">
      <w:pPr>
        <w:widowControl/>
        <w:ind w:left="284" w:hanging="284"/>
        <w:rPr>
          <w:i/>
          <w:sz w:val="18"/>
          <w:szCs w:val="18"/>
        </w:rPr>
      </w:pPr>
      <w:r w:rsidRPr="00330234">
        <w:rPr>
          <w:i/>
          <w:sz w:val="18"/>
          <w:szCs w:val="18"/>
          <w:vertAlign w:val="superscript"/>
        </w:rPr>
        <w:t>b</w:t>
      </w:r>
      <w:r w:rsidR="0037203A" w:rsidRPr="00330234">
        <w:rPr>
          <w:i/>
          <w:sz w:val="18"/>
          <w:szCs w:val="18"/>
        </w:rPr>
        <w:tab/>
      </w:r>
      <w:r w:rsidRPr="00330234">
        <w:rPr>
          <w:i/>
          <w:sz w:val="18"/>
          <w:szCs w:val="18"/>
        </w:rPr>
        <w:t>‘Non-responder Imputation’ gebruikt voor ontbrekende gegevens. ‘Multiplicity’-gecontroleerd met gebruik van Bonferroni- Holm-procedure</w:t>
      </w:r>
    </w:p>
    <w:p w14:paraId="71FCEC0B" w14:textId="77777777" w:rsidR="00436DAA" w:rsidRPr="00330234" w:rsidRDefault="00436DAA" w:rsidP="00BD109B">
      <w:pPr>
        <w:pStyle w:val="a3"/>
        <w:widowControl/>
        <w:ind w:left="0"/>
        <w:rPr>
          <w:i/>
        </w:rPr>
      </w:pPr>
    </w:p>
    <w:p w14:paraId="0EF8601B" w14:textId="3C5C0EB9" w:rsidR="00436DAA" w:rsidRPr="00330234" w:rsidRDefault="009B4B8E" w:rsidP="00BD109B">
      <w:pPr>
        <w:pStyle w:val="a3"/>
        <w:widowControl/>
        <w:ind w:left="0"/>
      </w:pPr>
      <w:r w:rsidRPr="00330234">
        <w:t xml:space="preserve">Het totale klinische bijwerkingenprofiel was vergelijkbaar tussen </w:t>
      </w:r>
      <w:r w:rsidR="00971E1F" w:rsidRPr="00330234">
        <w:t>tocilizumab</w:t>
      </w:r>
      <w:r w:rsidRPr="00330234">
        <w:t xml:space="preserve"> en adalimumab. Het percentage patiënten met ernstige bijwerkingen was in evenwicht tussen de behandelingsgroepen (</w:t>
      </w:r>
      <w:r w:rsidR="00971E1F" w:rsidRPr="00330234">
        <w:t>tocilizumab</w:t>
      </w:r>
      <w:r w:rsidRPr="00330234">
        <w:t xml:space="preserve"> 11,7% vs. adalimumab 9,9%). De soort bijwerkingen in de </w:t>
      </w:r>
      <w:r w:rsidR="00971E1F" w:rsidRPr="00330234">
        <w:t>tocilizumab</w:t>
      </w:r>
      <w:r w:rsidRPr="00330234">
        <w:t xml:space="preserve">-arm kwam overeen met het bekende veiligheidsprofiel van </w:t>
      </w:r>
      <w:r w:rsidR="00971E1F" w:rsidRPr="00330234">
        <w:t>tocilizumab</w:t>
      </w:r>
      <w:r w:rsidRPr="00330234">
        <w:t xml:space="preserve"> en bijwerkingen werden gemeld met een vergelijkbare frequentie als in tabel 1. In de </w:t>
      </w:r>
      <w:r w:rsidR="00971E1F" w:rsidRPr="00330234">
        <w:t>tocilizumab</w:t>
      </w:r>
      <w:r w:rsidRPr="00330234">
        <w:t xml:space="preserve">-arm werd een hogere incidentie van infecties </w:t>
      </w:r>
      <w:r w:rsidRPr="00330234">
        <w:lastRenderedPageBreak/>
        <w:t xml:space="preserve">en parasitaire aandoeningen gemeld (48% vs. 42%), met daarbij geen verschil in de incidentie van ernstige infecties (3,1%). Beide studiebehandelingen leidden tot eenzelfde patroon van veranderingen in de veiligheids-laboratoriumparameters (afname in aantal neutrofielen en trombocyten, toename in ALAT, ASAT en lipiden). Echter, de omvang van de verandering en de frequentie van duidelijke afwijkingen was hoger bij </w:t>
      </w:r>
      <w:r w:rsidR="00971E1F" w:rsidRPr="00330234">
        <w:t>tocilizumab</w:t>
      </w:r>
      <w:r w:rsidRPr="00330234">
        <w:t xml:space="preserve"> vergeleken met adalimumab. Vier (2,5%) patiënten in de </w:t>
      </w:r>
      <w:r w:rsidR="00971E1F" w:rsidRPr="00330234">
        <w:t>tocilizumab</w:t>
      </w:r>
      <w:r w:rsidRPr="00330234">
        <w:t xml:space="preserve">-arm en twee (1,2%) patiënten in de adalimumab-arm hadden een afname in het aantal neutrofielen van CTC-graad 3 of 4. Elf (6,8%) patiënten in de </w:t>
      </w:r>
      <w:r w:rsidR="00971E1F" w:rsidRPr="00330234">
        <w:t>tocilizumab</w:t>
      </w:r>
      <w:r w:rsidRPr="00330234">
        <w:t xml:space="preserve">-arm en vijf (3,1%) patiënten in de adalimumab-arm hadden verhoogde ALAT-waarden van CTC-graad 2 of hoger. De gemiddelde toename in LDL ten opzichte van baseline was 0,64 mmol/l (25 mg/dl) voor patiënten in de </w:t>
      </w:r>
      <w:r w:rsidR="00971E1F" w:rsidRPr="00330234">
        <w:t>tocilizumab</w:t>
      </w:r>
      <w:r w:rsidRPr="00330234">
        <w:t xml:space="preserve">-arm en 0,19 mmol/l (7 mg/dl) voor patiënten in de adalimumab-arm. De veiligheid die gezien werd in de tocilizumab-arm kwam overeen met het bekende veiligheidsprofiel van </w:t>
      </w:r>
      <w:r w:rsidR="00971E1F" w:rsidRPr="00330234">
        <w:t>tocilizumab</w:t>
      </w:r>
      <w:r w:rsidRPr="00330234">
        <w:t xml:space="preserve"> en er werden geen nieuwe of onverwachte bijwerkingen gezien (zie tabel 1).</w:t>
      </w:r>
    </w:p>
    <w:p w14:paraId="3DC78679" w14:textId="77777777" w:rsidR="00AD35FF" w:rsidRPr="00330234" w:rsidRDefault="00AD35FF" w:rsidP="00BD109B">
      <w:pPr>
        <w:pStyle w:val="a3"/>
        <w:widowControl/>
        <w:ind w:left="0"/>
      </w:pPr>
    </w:p>
    <w:p w14:paraId="2AB598DA" w14:textId="65627F43" w:rsidR="00436DAA" w:rsidRPr="00330234" w:rsidRDefault="005328BF" w:rsidP="00BD109B">
      <w:pPr>
        <w:pStyle w:val="2"/>
      </w:pPr>
      <w:r w:rsidRPr="00330234">
        <w:t>5.2</w:t>
      </w:r>
      <w:r w:rsidRPr="00330234">
        <w:tab/>
      </w:r>
      <w:r w:rsidR="009B4B8E" w:rsidRPr="00330234">
        <w:t>Farmacokinetische eigenschappen</w:t>
      </w:r>
    </w:p>
    <w:p w14:paraId="58CEC293" w14:textId="77777777" w:rsidR="00AD35FF" w:rsidRPr="00330234" w:rsidRDefault="00AD35FF" w:rsidP="00BD109B">
      <w:pPr>
        <w:pStyle w:val="a3"/>
        <w:widowControl/>
        <w:ind w:left="0"/>
      </w:pPr>
    </w:p>
    <w:p w14:paraId="13B5A2D0" w14:textId="291FF4F6" w:rsidR="00436DAA" w:rsidRPr="00330234" w:rsidRDefault="009B4B8E" w:rsidP="00BD109B">
      <w:pPr>
        <w:pStyle w:val="a3"/>
        <w:widowControl/>
        <w:ind w:left="0"/>
      </w:pPr>
      <w:r w:rsidRPr="00330234">
        <w:t xml:space="preserve">De farmacokinetiek van </w:t>
      </w:r>
      <w:r w:rsidR="00971E1F" w:rsidRPr="00330234">
        <w:t>tocilizumab</w:t>
      </w:r>
      <w:r w:rsidRPr="00330234">
        <w:t xml:space="preserve"> wordt gekenmerkt door non-lineaire eliminatie, die een combinatie van lineaire klaring en Michaelis-Menten-eliminatie is. Het non-lineaire deel van de </w:t>
      </w:r>
      <w:r w:rsidR="00971E1F" w:rsidRPr="00330234">
        <w:t>tocilizumab</w:t>
      </w:r>
      <w:r w:rsidRPr="00330234">
        <w:t xml:space="preserve">-eliminatie leidt tot een verhoging van de blootstelling die meer dan dosisproportioneel is. De farmacokinetische parameters van </w:t>
      </w:r>
      <w:r w:rsidR="00971E1F" w:rsidRPr="00330234">
        <w:t>tocilizumab</w:t>
      </w:r>
      <w:r w:rsidRPr="00330234">
        <w:t xml:space="preserve"> veranderen niet in de tijd. Omdat de totale klaring afhankelijk is van de serumconcentraties van </w:t>
      </w:r>
      <w:r w:rsidR="00971E1F" w:rsidRPr="00330234">
        <w:t>tocilizumab</w:t>
      </w:r>
      <w:r w:rsidRPr="00330234">
        <w:t xml:space="preserve">, is de halfwaardetijd van </w:t>
      </w:r>
      <w:r w:rsidR="005A695D" w:rsidRPr="00330234">
        <w:t>tocilizumab</w:t>
      </w:r>
      <w:r w:rsidRPr="00330234">
        <w:t xml:space="preserve"> ook concentratieafhankelijk en varieert deze afhankelijk van de serumconcentratiewaarden. De farmacokinetische populatieanalyse van alle tot nu toe geteste patiëntenpopulaties gaf aan dat er geen relatie is tussen schijnbare klaring en aanwezigheid van anti-geneesmiddelantilichamen.</w:t>
      </w:r>
    </w:p>
    <w:p w14:paraId="3A33C135" w14:textId="77777777" w:rsidR="00436DAA" w:rsidRPr="00330234" w:rsidRDefault="00436DAA" w:rsidP="00BD109B">
      <w:pPr>
        <w:pStyle w:val="a3"/>
        <w:widowControl/>
        <w:ind w:left="0"/>
      </w:pPr>
    </w:p>
    <w:p w14:paraId="6E87D835" w14:textId="77777777" w:rsidR="00436DAA" w:rsidRPr="00330234" w:rsidRDefault="009B4B8E" w:rsidP="00BD109B">
      <w:pPr>
        <w:pStyle w:val="a3"/>
        <w:widowControl/>
        <w:ind w:left="0"/>
      </w:pPr>
      <w:r w:rsidRPr="00330234">
        <w:rPr>
          <w:u w:val="single"/>
        </w:rPr>
        <w:t>RA</w:t>
      </w:r>
    </w:p>
    <w:p w14:paraId="6C7E4DCE" w14:textId="77777777" w:rsidR="00436DAA" w:rsidRPr="00330234" w:rsidRDefault="009B4B8E" w:rsidP="00BD109B">
      <w:pPr>
        <w:pStyle w:val="a3"/>
        <w:widowControl/>
        <w:ind w:left="0"/>
      </w:pPr>
      <w:r w:rsidRPr="00330234">
        <w:rPr>
          <w:u w:val="single"/>
        </w:rPr>
        <w:t>Intraveneus gebruik</w:t>
      </w:r>
    </w:p>
    <w:p w14:paraId="447BCF0C" w14:textId="49CDFA55" w:rsidR="00436DAA" w:rsidRPr="00330234" w:rsidRDefault="009B4B8E" w:rsidP="00BD109B">
      <w:pPr>
        <w:pStyle w:val="a3"/>
        <w:widowControl/>
        <w:ind w:left="0"/>
      </w:pPr>
      <w:r w:rsidRPr="00330234">
        <w:t xml:space="preserve">De farmacokinetiek van </w:t>
      </w:r>
      <w:r w:rsidR="005A695D" w:rsidRPr="00330234">
        <w:t>tocilizumab</w:t>
      </w:r>
      <w:r w:rsidRPr="00330234">
        <w:t xml:space="preserve"> is bepaald middels een farmacokinetische populatieanalyse van een database met 3552 RA-patiënten die elke vier weken tocilizumab 4 of 8 mg/kg infusie, gedurende 1 uur kregen toegediend en behandeld werden gedurende een periode van 24 weken of RA-patiënten die elke week of om de week 162 mg </w:t>
      </w:r>
      <w:r w:rsidR="005A695D" w:rsidRPr="00330234">
        <w:t>tocilizumab</w:t>
      </w:r>
      <w:r w:rsidRPr="00330234">
        <w:t xml:space="preserve"> subcutaan toegediend kregen gedurende een periode van 24 weken.</w:t>
      </w:r>
    </w:p>
    <w:p w14:paraId="40C0F651" w14:textId="77777777" w:rsidR="00AD35FF" w:rsidRPr="00330234" w:rsidRDefault="00AD35FF" w:rsidP="00BD109B">
      <w:pPr>
        <w:pStyle w:val="a3"/>
        <w:widowControl/>
        <w:ind w:left="0"/>
      </w:pPr>
    </w:p>
    <w:p w14:paraId="3A07CBB8" w14:textId="3696F6D5" w:rsidR="00436DAA" w:rsidRPr="00330234" w:rsidRDefault="009B4B8E" w:rsidP="00AD35FF">
      <w:pPr>
        <w:pStyle w:val="a3"/>
        <w:widowControl/>
        <w:ind w:left="0"/>
      </w:pPr>
      <w:r w:rsidRPr="00330234">
        <w:t xml:space="preserve">De volgende parameters (voorspelde gemiddelde ± SD) zijn geschat voor een dosis van 8 mg/kg </w:t>
      </w:r>
      <w:r w:rsidR="005A695D" w:rsidRPr="00330234">
        <w:t>tocilizumab</w:t>
      </w:r>
      <w:r w:rsidRPr="00330234">
        <w:t xml:space="preserve"> elke vier weken: steady-state oppervlakte onder de curve (AUC) = 38000 ±</w:t>
      </w:r>
      <w:r w:rsidR="00AD35FF" w:rsidRPr="00330234">
        <w:t xml:space="preserve"> </w:t>
      </w:r>
      <w:r w:rsidRPr="00330234">
        <w:t>13000</w:t>
      </w:r>
      <w:r w:rsidR="00AD35FF" w:rsidRPr="00330234">
        <w:t> </w:t>
      </w:r>
      <w:r w:rsidRPr="00330234">
        <w:t>mcg•uur/ml, dalconcentratie (C</w:t>
      </w:r>
      <w:r w:rsidRPr="00330234">
        <w:rPr>
          <w:vertAlign w:val="subscript"/>
        </w:rPr>
        <w:t>min</w:t>
      </w:r>
      <w:r w:rsidRPr="00330234">
        <w:t>) = 15,9 ± 13,1 mcg/ml en maximale concentratie (C</w:t>
      </w:r>
      <w:r w:rsidRPr="00330234">
        <w:rPr>
          <w:vertAlign w:val="subscript"/>
        </w:rPr>
        <w:t>max</w:t>
      </w:r>
      <w:r w:rsidRPr="00330234">
        <w:t>) = 182 ± 50,4 mcg/ml en de accumulatieratio</w:t>
      </w:r>
      <w:r w:rsidR="00753185" w:rsidRPr="00330234">
        <w:t>’</w:t>
      </w:r>
      <w:r w:rsidRPr="00330234">
        <w:t>s voor de AUC en C</w:t>
      </w:r>
      <w:r w:rsidRPr="00330234">
        <w:rPr>
          <w:vertAlign w:val="subscript"/>
        </w:rPr>
        <w:t>max</w:t>
      </w:r>
      <w:r w:rsidRPr="00330234">
        <w:t xml:space="preserve"> waren klein, respectievelijk 1,32 en 1,09. De accumulatieratio voor de C</w:t>
      </w:r>
      <w:r w:rsidRPr="00330234">
        <w:rPr>
          <w:vertAlign w:val="subscript"/>
        </w:rPr>
        <w:t>min</w:t>
      </w:r>
      <w:r w:rsidRPr="00330234">
        <w:t xml:space="preserve"> was groter (2,49). Dit werd verwacht op basis van de niet- lineaire klaring bij lagere concentraties. Steady-state werd bereikt na de eerste toediening voor C</w:t>
      </w:r>
      <w:r w:rsidRPr="00330234">
        <w:rPr>
          <w:vertAlign w:val="subscript"/>
        </w:rPr>
        <w:t>max</w:t>
      </w:r>
      <w:r w:rsidRPr="00330234">
        <w:t xml:space="preserve"> en na 8 en 20 weken voor respectievelijk AUC en C</w:t>
      </w:r>
      <w:r w:rsidRPr="00330234">
        <w:rPr>
          <w:vertAlign w:val="subscript"/>
        </w:rPr>
        <w:t>min</w:t>
      </w:r>
      <w:r w:rsidRPr="00330234">
        <w:t>. De AUC, C</w:t>
      </w:r>
      <w:r w:rsidRPr="00330234">
        <w:rPr>
          <w:vertAlign w:val="subscript"/>
        </w:rPr>
        <w:t>min</w:t>
      </w:r>
      <w:r w:rsidRPr="00330234">
        <w:t xml:space="preserve"> en C</w:t>
      </w:r>
      <w:r w:rsidRPr="00330234">
        <w:rPr>
          <w:vertAlign w:val="subscript"/>
        </w:rPr>
        <w:t>max</w:t>
      </w:r>
      <w:r w:rsidRPr="00330234">
        <w:t xml:space="preserve"> voor </w:t>
      </w:r>
      <w:r w:rsidR="005A695D" w:rsidRPr="00330234">
        <w:t>tocilizumab</w:t>
      </w:r>
      <w:r w:rsidRPr="00330234">
        <w:t xml:space="preserve"> namen toe bij een toename in het lichaamsgewicht. Bij een lichaamsgewicht van ≥ 100 kg waren de voorspelde gemiddelden (± SD) van AUC, C</w:t>
      </w:r>
      <w:r w:rsidRPr="00330234">
        <w:rPr>
          <w:vertAlign w:val="subscript"/>
        </w:rPr>
        <w:t>min</w:t>
      </w:r>
      <w:r w:rsidRPr="00330234">
        <w:t xml:space="preserve"> en C</w:t>
      </w:r>
      <w:r w:rsidRPr="00330234">
        <w:rPr>
          <w:vertAlign w:val="subscript"/>
        </w:rPr>
        <w:t>max</w:t>
      </w:r>
      <w:r w:rsidRPr="00330234">
        <w:t xml:space="preserve"> bij steady-state voor </w:t>
      </w:r>
      <w:r w:rsidR="005A695D" w:rsidRPr="00330234">
        <w:t>tocilizumab</w:t>
      </w:r>
      <w:r w:rsidRPr="00330234">
        <w:t xml:space="preserve"> respectievelijk 50000 ± 16800 mcg•uur/ml, 24,4 ± 17,5 mcg/ml, en 226 ± 50,3 mcg/ml, wat hoger is dan de gemiddelde blootstellingwaarden voor de hierboven vermelde patiëntenpopulatie (d.</w:t>
      </w:r>
      <w:r w:rsidR="00AC5A5C">
        <w:rPr>
          <w:rFonts w:eastAsia="맑은 고딕" w:hint="eastAsia"/>
          <w:lang w:eastAsia="ko-KR"/>
        </w:rPr>
        <w:t>w</w:t>
      </w:r>
      <w:r w:rsidRPr="00330234">
        <w:t>.</w:t>
      </w:r>
      <w:r w:rsidR="00AC5A5C">
        <w:rPr>
          <w:rFonts w:eastAsia="맑은 고딕" w:hint="eastAsia"/>
          <w:lang w:eastAsia="ko-KR"/>
        </w:rPr>
        <w:t>z</w:t>
      </w:r>
      <w:r w:rsidRPr="00330234">
        <w:t xml:space="preserve">. alle lichaamsgewichten). De dosisresponscurve voor tocilizumab vlakt af bij een hogere blootstelling, resulterend in een kleinere toename in de werkzaamheid voor elke stijging van de </w:t>
      </w:r>
      <w:r w:rsidR="005A695D" w:rsidRPr="00330234">
        <w:t>tocilizumab</w:t>
      </w:r>
      <w:r w:rsidRPr="00330234">
        <w:t xml:space="preserve">- concentratie zodat een klinisch belangrijke toename in de werkzaamheid niet werd bewezen bij patiënten die met &gt; 800 mg </w:t>
      </w:r>
      <w:r w:rsidR="005A695D" w:rsidRPr="00330234">
        <w:t>tocilizumab</w:t>
      </w:r>
      <w:r w:rsidRPr="00330234">
        <w:t xml:space="preserve"> werden behandeld. Daarom worden doses </w:t>
      </w:r>
      <w:r w:rsidR="005A695D" w:rsidRPr="00330234">
        <w:t>tocilizumab</w:t>
      </w:r>
      <w:r w:rsidRPr="00330234">
        <w:t xml:space="preserve"> hoger dan 800 mg per infusie niet aanbevolen (zie rubriek 4.2).</w:t>
      </w:r>
    </w:p>
    <w:p w14:paraId="581F155A" w14:textId="77777777" w:rsidR="00436DAA" w:rsidRPr="00330234" w:rsidRDefault="00436DAA" w:rsidP="00BD109B">
      <w:pPr>
        <w:pStyle w:val="a3"/>
        <w:widowControl/>
        <w:ind w:left="0"/>
      </w:pPr>
    </w:p>
    <w:p w14:paraId="3B8310C9" w14:textId="77777777" w:rsidR="00436DAA" w:rsidRPr="00330234" w:rsidRDefault="009B4B8E" w:rsidP="00E913C4">
      <w:pPr>
        <w:pStyle w:val="a3"/>
        <w:keepNext/>
        <w:widowControl/>
        <w:ind w:left="0"/>
      </w:pPr>
      <w:r w:rsidRPr="00330234">
        <w:rPr>
          <w:u w:val="single"/>
        </w:rPr>
        <w:t>Distributie</w:t>
      </w:r>
    </w:p>
    <w:p w14:paraId="2E27C8DC" w14:textId="77777777" w:rsidR="00436DAA" w:rsidRPr="00330234" w:rsidRDefault="009B4B8E" w:rsidP="00BD109B">
      <w:pPr>
        <w:pStyle w:val="a3"/>
        <w:widowControl/>
        <w:ind w:left="0"/>
      </w:pPr>
      <w:r w:rsidRPr="00330234">
        <w:t>Bij RA-patiënten was het centrale verdelingsvolume 3,72 l, het perifere verdelingsvolume was 3,35 l, resulterend in een steady-state verdelingsvolume van 7,07 l.</w:t>
      </w:r>
    </w:p>
    <w:p w14:paraId="6E7BF040" w14:textId="77777777" w:rsidR="00AD35FF" w:rsidRPr="00330234" w:rsidRDefault="00AD35FF" w:rsidP="00BD109B">
      <w:pPr>
        <w:pStyle w:val="a3"/>
        <w:widowControl/>
        <w:ind w:left="0"/>
      </w:pPr>
    </w:p>
    <w:p w14:paraId="47517198" w14:textId="77777777" w:rsidR="00436DAA" w:rsidRPr="00330234" w:rsidRDefault="009B4B8E" w:rsidP="00AD35FF">
      <w:pPr>
        <w:pStyle w:val="a3"/>
        <w:keepNext/>
        <w:keepLines/>
        <w:widowControl/>
        <w:ind w:left="0"/>
      </w:pPr>
      <w:r w:rsidRPr="00330234">
        <w:rPr>
          <w:u w:val="single"/>
        </w:rPr>
        <w:t>Eliminatie</w:t>
      </w:r>
    </w:p>
    <w:p w14:paraId="2F3407E6" w14:textId="362E5227" w:rsidR="00436DAA" w:rsidRPr="00330234" w:rsidRDefault="009B4B8E" w:rsidP="001B3E1E">
      <w:pPr>
        <w:pStyle w:val="a3"/>
        <w:widowControl/>
        <w:ind w:left="0"/>
      </w:pPr>
      <w:r w:rsidRPr="00330234">
        <w:t xml:space="preserve">Na intraveneuze toediening ondergaat </w:t>
      </w:r>
      <w:r w:rsidR="005A695D" w:rsidRPr="00330234">
        <w:t>tocilizumab</w:t>
      </w:r>
      <w:r w:rsidRPr="00330234">
        <w:t xml:space="preserve"> een bifasische eliminatie vanuit de circulatie.</w:t>
      </w:r>
      <w:r w:rsidR="005257B7" w:rsidRPr="00330234">
        <w:t xml:space="preserve"> </w:t>
      </w:r>
      <w:r w:rsidRPr="00330234">
        <w:t xml:space="preserve">De totale klaring van </w:t>
      </w:r>
      <w:r w:rsidR="005A695D" w:rsidRPr="00330234">
        <w:t>tocilizumab</w:t>
      </w:r>
      <w:r w:rsidRPr="00330234">
        <w:t xml:space="preserve"> was concentratieafhankelijk en is de som van de lineaire klaring en de niet-lineaire klaring. De lineaire klaring is geschat als parameter in de farmacokinetische </w:t>
      </w:r>
      <w:r w:rsidRPr="00330234">
        <w:lastRenderedPageBreak/>
        <w:t xml:space="preserve">populatieanalyse en was 9,5 ml/uur. De concentratieafhankelijke niet-lineaire klaring speelt een belangrijke rol bij lagere </w:t>
      </w:r>
      <w:r w:rsidR="005A695D" w:rsidRPr="00330234">
        <w:t>tocilizumab</w:t>
      </w:r>
      <w:r w:rsidRPr="00330234">
        <w:t xml:space="preserve">-concentraties. Zodra de niet-lineaire klaringsroute verzadigd is, bij hogere concentraties </w:t>
      </w:r>
      <w:r w:rsidR="005A695D" w:rsidRPr="00330234">
        <w:t>tocilizumab</w:t>
      </w:r>
      <w:r w:rsidRPr="00330234">
        <w:t>, verloopt de klaring voornamelijk lineair.</w:t>
      </w:r>
    </w:p>
    <w:p w14:paraId="7A1FCE4E" w14:textId="77777777" w:rsidR="00436DAA" w:rsidRPr="00330234" w:rsidRDefault="00436DAA" w:rsidP="00BD109B">
      <w:pPr>
        <w:pStyle w:val="a3"/>
        <w:widowControl/>
        <w:ind w:left="0"/>
      </w:pPr>
    </w:p>
    <w:p w14:paraId="2B3465E2" w14:textId="2A127737" w:rsidR="00436DAA" w:rsidRPr="00330234" w:rsidRDefault="009B4B8E" w:rsidP="00AD35FF">
      <w:pPr>
        <w:pStyle w:val="a3"/>
        <w:widowControl/>
        <w:ind w:left="0"/>
      </w:pPr>
      <w:r w:rsidRPr="00330234">
        <w:t>De t</w:t>
      </w:r>
      <w:r w:rsidRPr="00330234">
        <w:rPr>
          <w:vertAlign w:val="subscript"/>
        </w:rPr>
        <w:t>1/2</w:t>
      </w:r>
      <w:r w:rsidRPr="00330234">
        <w:t xml:space="preserve"> van </w:t>
      </w:r>
      <w:r w:rsidR="005A695D" w:rsidRPr="00330234">
        <w:t>tocilizumab</w:t>
      </w:r>
      <w:r w:rsidRPr="00330234">
        <w:t xml:space="preserve"> was concentratieafhankelijk. In steady-state na een dosering van 8 mg/kg elke 4 weken nam de effectieve t</w:t>
      </w:r>
      <w:r w:rsidRPr="00330234">
        <w:rPr>
          <w:vertAlign w:val="subscript"/>
        </w:rPr>
        <w:t>1/2</w:t>
      </w:r>
      <w:r w:rsidRPr="00330234">
        <w:t xml:space="preserve"> bij afnemende concentraties binnen het doseringsinterval af van</w:t>
      </w:r>
      <w:r w:rsidR="00AD35FF" w:rsidRPr="00330234">
        <w:t xml:space="preserve"> </w:t>
      </w:r>
      <w:r w:rsidRPr="00330234">
        <w:t>18</w:t>
      </w:r>
      <w:r w:rsidR="00AD35FF" w:rsidRPr="00330234">
        <w:t> </w:t>
      </w:r>
      <w:r w:rsidRPr="00330234">
        <w:t>dagen naar 6 dagen.</w:t>
      </w:r>
    </w:p>
    <w:p w14:paraId="14354B32" w14:textId="77777777" w:rsidR="00436DAA" w:rsidRPr="00330234" w:rsidRDefault="00436DAA" w:rsidP="00BD109B">
      <w:pPr>
        <w:pStyle w:val="a3"/>
        <w:widowControl/>
        <w:ind w:left="0"/>
      </w:pPr>
    </w:p>
    <w:p w14:paraId="5B928A90" w14:textId="77777777" w:rsidR="00436DAA" w:rsidRPr="00330234" w:rsidRDefault="009B4B8E" w:rsidP="00BD109B">
      <w:pPr>
        <w:pStyle w:val="a3"/>
        <w:widowControl/>
        <w:ind w:left="0"/>
      </w:pPr>
      <w:r w:rsidRPr="00330234">
        <w:rPr>
          <w:u w:val="single"/>
        </w:rPr>
        <w:t>Lineariteit</w:t>
      </w:r>
    </w:p>
    <w:p w14:paraId="0459F4F7" w14:textId="217432AD" w:rsidR="00436DAA" w:rsidRPr="00330234" w:rsidRDefault="009B4B8E" w:rsidP="00AD35FF">
      <w:pPr>
        <w:pStyle w:val="a3"/>
        <w:widowControl/>
        <w:ind w:left="0"/>
      </w:pPr>
      <w:r w:rsidRPr="00330234">
        <w:t xml:space="preserve">Farmacokinetische parameters van </w:t>
      </w:r>
      <w:r w:rsidR="005A695D" w:rsidRPr="00330234">
        <w:t>tocilizumab</w:t>
      </w:r>
      <w:r w:rsidRPr="00330234">
        <w:t xml:space="preserve"> veranderden niet met de loop van tijd. Een meer dan dosisproportionele stijging van de AUC en C</w:t>
      </w:r>
      <w:r w:rsidRPr="00330234">
        <w:rPr>
          <w:vertAlign w:val="subscript"/>
        </w:rPr>
        <w:t>min</w:t>
      </w:r>
      <w:r w:rsidRPr="00330234">
        <w:t xml:space="preserve"> werd waargenomen bij doses van 4 mg/kg en 8</w:t>
      </w:r>
      <w:r w:rsidR="00AD35FF" w:rsidRPr="00330234">
        <w:t> </w:t>
      </w:r>
      <w:r w:rsidRPr="00330234">
        <w:t>mg/kg elke 4 weken. De C</w:t>
      </w:r>
      <w:r w:rsidRPr="00330234">
        <w:rPr>
          <w:vertAlign w:val="subscript"/>
        </w:rPr>
        <w:t>max</w:t>
      </w:r>
      <w:r w:rsidRPr="00330234">
        <w:t xml:space="preserve"> nam dosisproportioneel toe in verhouding met de dosering. In steady-state</w:t>
      </w:r>
      <w:r w:rsidR="00AD35FF" w:rsidRPr="00330234">
        <w:t xml:space="preserve"> </w:t>
      </w:r>
      <w:r w:rsidRPr="00330234">
        <w:t>waren de voorspelde AUC en C</w:t>
      </w:r>
      <w:r w:rsidRPr="00330234">
        <w:rPr>
          <w:vertAlign w:val="subscript"/>
        </w:rPr>
        <w:t>min</w:t>
      </w:r>
      <w:r w:rsidRPr="00330234">
        <w:t xml:space="preserve"> respectievelijk 3,2 en 30 keer hoger bij 8 mg/kg vergeleken met 4</w:t>
      </w:r>
      <w:r w:rsidR="004C0949" w:rsidRPr="00330234">
        <w:t> </w:t>
      </w:r>
      <w:r w:rsidRPr="00330234">
        <w:t>mg/kg.</w:t>
      </w:r>
    </w:p>
    <w:p w14:paraId="1E30620E" w14:textId="77777777" w:rsidR="00AD35FF" w:rsidRPr="00330234" w:rsidRDefault="00AD35FF" w:rsidP="00AD35FF">
      <w:pPr>
        <w:pStyle w:val="a3"/>
        <w:widowControl/>
        <w:ind w:left="0"/>
      </w:pPr>
    </w:p>
    <w:p w14:paraId="0A175644" w14:textId="77777777" w:rsidR="00436DAA" w:rsidRPr="00330234" w:rsidRDefault="009B4B8E" w:rsidP="00BD109B">
      <w:pPr>
        <w:pStyle w:val="a3"/>
        <w:widowControl/>
        <w:ind w:left="0"/>
      </w:pPr>
      <w:r w:rsidRPr="00330234">
        <w:rPr>
          <w:u w:val="single"/>
        </w:rPr>
        <w:t>Subcutaan gebruik</w:t>
      </w:r>
    </w:p>
    <w:p w14:paraId="3C551A76" w14:textId="01C8EB72" w:rsidR="00436DAA" w:rsidRPr="00330234" w:rsidRDefault="009B4B8E" w:rsidP="00BD109B">
      <w:pPr>
        <w:pStyle w:val="a3"/>
        <w:widowControl/>
        <w:ind w:left="0"/>
      </w:pPr>
      <w:r w:rsidRPr="00330234">
        <w:t xml:space="preserve">De farmacokinetiek van </w:t>
      </w:r>
      <w:r w:rsidR="005A695D" w:rsidRPr="00330234">
        <w:t>tocilizumab</w:t>
      </w:r>
      <w:r w:rsidRPr="00330234">
        <w:t xml:space="preserve"> is bepaald met behulp van een farmacokinetische populatieanalyse van een database die bestond uit 3552 RA-patiënten die gedurende 24 weken behandeld werden met een wekelijkse subcutane injectie van 162 mg, om de week een subcutane injectie van 162 mg of elke 4 weken een intraveneuze infusie van 4 of 8 mg/kg.</w:t>
      </w:r>
    </w:p>
    <w:p w14:paraId="2FAAEB3F" w14:textId="77777777" w:rsidR="00AD35FF" w:rsidRPr="00330234" w:rsidRDefault="00AD35FF" w:rsidP="00BD109B">
      <w:pPr>
        <w:pStyle w:val="a3"/>
        <w:widowControl/>
        <w:ind w:left="0"/>
      </w:pPr>
    </w:p>
    <w:p w14:paraId="27E4FDB5" w14:textId="725A82B7" w:rsidR="00436DAA" w:rsidRPr="00330234" w:rsidRDefault="009B4B8E" w:rsidP="00BD109B">
      <w:pPr>
        <w:pStyle w:val="a3"/>
        <w:widowControl/>
        <w:ind w:left="0"/>
      </w:pPr>
      <w:r w:rsidRPr="00330234">
        <w:t xml:space="preserve">De farmacokinetische parameters van </w:t>
      </w:r>
      <w:r w:rsidR="005A695D" w:rsidRPr="00330234">
        <w:t>tocilizumab</w:t>
      </w:r>
      <w:r w:rsidRPr="00330234">
        <w:t xml:space="preserve"> veranderden niet in de tijd. Voor de wekelijkse 162</w:t>
      </w:r>
      <w:r w:rsidR="00AD35FF" w:rsidRPr="00330234">
        <w:t> </w:t>
      </w:r>
      <w:r w:rsidRPr="00330234">
        <w:t>mg dosering waren de voorspelde gemiddelden (± SD) steady-state AUC</w:t>
      </w:r>
      <w:r w:rsidRPr="00330234">
        <w:rPr>
          <w:vertAlign w:val="subscript"/>
        </w:rPr>
        <w:t>1week</w:t>
      </w:r>
      <w:r w:rsidRPr="00330234">
        <w:t>, C</w:t>
      </w:r>
      <w:r w:rsidRPr="00330234">
        <w:rPr>
          <w:vertAlign w:val="subscript"/>
        </w:rPr>
        <w:t>min</w:t>
      </w:r>
      <w:r w:rsidRPr="00330234">
        <w:t xml:space="preserve"> en C</w:t>
      </w:r>
      <w:r w:rsidRPr="00330234">
        <w:rPr>
          <w:vertAlign w:val="subscript"/>
        </w:rPr>
        <w:t>max</w:t>
      </w:r>
      <w:r w:rsidRPr="00330234">
        <w:t xml:space="preserve"> van </w:t>
      </w:r>
      <w:r w:rsidR="005A695D" w:rsidRPr="00330234">
        <w:t>tocilizumab</w:t>
      </w:r>
      <w:r w:rsidRPr="00330234">
        <w:t xml:space="preserve"> respectievelijk 7970 ± 3432 μg•uur/ml, 43,0 ± 19,8 μg/ml en 49,8 ± 21,0 μg/ml. De accumulatieratio’s voor de AUC, C</w:t>
      </w:r>
      <w:r w:rsidRPr="00330234">
        <w:rPr>
          <w:vertAlign w:val="subscript"/>
        </w:rPr>
        <w:t>min</w:t>
      </w:r>
      <w:r w:rsidRPr="00330234">
        <w:t xml:space="preserve"> en C</w:t>
      </w:r>
      <w:r w:rsidRPr="00330234">
        <w:rPr>
          <w:vertAlign w:val="subscript"/>
        </w:rPr>
        <w:t>max</w:t>
      </w:r>
      <w:r w:rsidRPr="00330234">
        <w:t xml:space="preserve"> waren respectievelijk 6,32, 6,30 en 5,27. Steady-state werd bereikt na 12 weken voor de AUC, C</w:t>
      </w:r>
      <w:r w:rsidRPr="00330234">
        <w:rPr>
          <w:vertAlign w:val="subscript"/>
        </w:rPr>
        <w:t>min</w:t>
      </w:r>
      <w:r w:rsidRPr="00330234">
        <w:t xml:space="preserve"> en C</w:t>
      </w:r>
      <w:r w:rsidRPr="00330234">
        <w:rPr>
          <w:vertAlign w:val="subscript"/>
        </w:rPr>
        <w:t>max</w:t>
      </w:r>
      <w:r w:rsidRPr="00330234">
        <w:t>.</w:t>
      </w:r>
    </w:p>
    <w:p w14:paraId="7EBDE4CE" w14:textId="77777777" w:rsidR="00556703" w:rsidRPr="00330234" w:rsidRDefault="00556703" w:rsidP="00BD109B">
      <w:pPr>
        <w:pStyle w:val="a3"/>
        <w:widowControl/>
        <w:ind w:left="0"/>
      </w:pPr>
    </w:p>
    <w:p w14:paraId="16E5BE41" w14:textId="155597DA" w:rsidR="00436DAA" w:rsidRPr="00330234" w:rsidRDefault="009B4B8E" w:rsidP="00BD109B">
      <w:pPr>
        <w:pStyle w:val="a3"/>
        <w:widowControl/>
        <w:ind w:left="0"/>
      </w:pPr>
      <w:r w:rsidRPr="00330234">
        <w:t>Voor de 162 mg dosering om de week waren de voorspelde gemiddelden (± SD) steady-state AUC</w:t>
      </w:r>
      <w:r w:rsidRPr="00330234">
        <w:rPr>
          <w:vertAlign w:val="subscript"/>
        </w:rPr>
        <w:t>2week</w:t>
      </w:r>
      <w:r w:rsidRPr="00330234">
        <w:t>, C</w:t>
      </w:r>
      <w:r w:rsidRPr="00330234">
        <w:rPr>
          <w:vertAlign w:val="subscript"/>
        </w:rPr>
        <w:t>min</w:t>
      </w:r>
      <w:r w:rsidRPr="00330234">
        <w:t xml:space="preserve"> en C</w:t>
      </w:r>
      <w:r w:rsidRPr="00330234">
        <w:rPr>
          <w:vertAlign w:val="subscript"/>
        </w:rPr>
        <w:t>max</w:t>
      </w:r>
      <w:r w:rsidRPr="00330234">
        <w:t xml:space="preserve"> van </w:t>
      </w:r>
      <w:r w:rsidR="005A695D" w:rsidRPr="00330234">
        <w:t>tocilizumab</w:t>
      </w:r>
      <w:r w:rsidRPr="00330234">
        <w:t xml:space="preserve"> respectievelijk 3430 ± 2660 μg•uur/ml, 5,7 ± 6,8 μg/ml en 13,2</w:t>
      </w:r>
      <w:r w:rsidR="00556703" w:rsidRPr="00330234">
        <w:t> </w:t>
      </w:r>
      <w:r w:rsidRPr="00330234">
        <w:t>± 8,8 μg/ml. De accumulatieratio’s voor de AUC, C</w:t>
      </w:r>
      <w:r w:rsidRPr="00330234">
        <w:rPr>
          <w:vertAlign w:val="subscript"/>
        </w:rPr>
        <w:t>min</w:t>
      </w:r>
      <w:r w:rsidRPr="00330234">
        <w:t xml:space="preserve"> en C</w:t>
      </w:r>
      <w:r w:rsidRPr="00330234">
        <w:rPr>
          <w:vertAlign w:val="subscript"/>
        </w:rPr>
        <w:t>max</w:t>
      </w:r>
      <w:r w:rsidRPr="00330234">
        <w:t xml:space="preserve"> waren respectievelijk 2,67, 6,02 en 2,12. Steady-state werd bereikt na 12 weken voor de AUC en C</w:t>
      </w:r>
      <w:r w:rsidRPr="00330234">
        <w:rPr>
          <w:vertAlign w:val="subscript"/>
        </w:rPr>
        <w:t>min</w:t>
      </w:r>
      <w:r w:rsidRPr="00330234">
        <w:t>, en na 10 weken voor C</w:t>
      </w:r>
      <w:r w:rsidRPr="00330234">
        <w:rPr>
          <w:vertAlign w:val="subscript"/>
        </w:rPr>
        <w:t>max</w:t>
      </w:r>
      <w:r w:rsidRPr="00330234">
        <w:t>.</w:t>
      </w:r>
    </w:p>
    <w:p w14:paraId="06C0919E" w14:textId="77777777" w:rsidR="00436DAA" w:rsidRPr="00330234" w:rsidRDefault="00436DAA" w:rsidP="00BD109B">
      <w:pPr>
        <w:pStyle w:val="a3"/>
        <w:widowControl/>
        <w:ind w:left="0"/>
      </w:pPr>
    </w:p>
    <w:p w14:paraId="249F113F" w14:textId="77777777" w:rsidR="00436DAA" w:rsidRPr="00330234" w:rsidRDefault="009B4B8E" w:rsidP="00BD109B">
      <w:pPr>
        <w:pStyle w:val="a3"/>
        <w:widowControl/>
        <w:ind w:left="0"/>
      </w:pPr>
      <w:r w:rsidRPr="00330234">
        <w:rPr>
          <w:u w:val="single"/>
        </w:rPr>
        <w:t>Absorptie</w:t>
      </w:r>
    </w:p>
    <w:p w14:paraId="0565763B" w14:textId="0FAF32EE" w:rsidR="00436DAA" w:rsidRPr="00330234" w:rsidRDefault="009B4B8E" w:rsidP="00BD109B">
      <w:pPr>
        <w:pStyle w:val="a3"/>
        <w:widowControl/>
        <w:ind w:left="0"/>
      </w:pPr>
      <w:r w:rsidRPr="00330234">
        <w:t xml:space="preserve">Na subcutane toediening bij RA-patiënten was de tijd tot piek-serumconcentraties van </w:t>
      </w:r>
      <w:r w:rsidR="005A695D" w:rsidRPr="00330234">
        <w:t>tocilizumab</w:t>
      </w:r>
      <w:r w:rsidRPr="00330234">
        <w:t xml:space="preserve"> t</w:t>
      </w:r>
      <w:r w:rsidRPr="00330234">
        <w:rPr>
          <w:vertAlign w:val="subscript"/>
        </w:rPr>
        <w:t>max</w:t>
      </w:r>
      <w:r w:rsidRPr="00330234">
        <w:t xml:space="preserve"> 2,8 dagen. De biologische beschikbaarheid van de subcutane formulering was 79%.</w:t>
      </w:r>
    </w:p>
    <w:p w14:paraId="20756ED5" w14:textId="77777777" w:rsidR="00436DAA" w:rsidRPr="00330234" w:rsidRDefault="00436DAA" w:rsidP="00BD109B">
      <w:pPr>
        <w:pStyle w:val="a3"/>
        <w:widowControl/>
        <w:ind w:left="0"/>
      </w:pPr>
    </w:p>
    <w:p w14:paraId="54299A19" w14:textId="77777777" w:rsidR="00436DAA" w:rsidRPr="00330234" w:rsidRDefault="009B4B8E" w:rsidP="00BD109B">
      <w:pPr>
        <w:pStyle w:val="a3"/>
        <w:widowControl/>
        <w:ind w:left="0"/>
      </w:pPr>
      <w:r w:rsidRPr="00330234">
        <w:rPr>
          <w:u w:val="single"/>
        </w:rPr>
        <w:t>Eliminatie</w:t>
      </w:r>
    </w:p>
    <w:p w14:paraId="5B099E2D" w14:textId="77777777" w:rsidR="00436DAA" w:rsidRPr="00330234" w:rsidRDefault="009B4B8E" w:rsidP="00BD109B">
      <w:pPr>
        <w:pStyle w:val="a3"/>
        <w:widowControl/>
        <w:ind w:left="0"/>
      </w:pPr>
      <w:r w:rsidRPr="00330234">
        <w:t>Voor de subcutane toediening is de effectieve t</w:t>
      </w:r>
      <w:r w:rsidRPr="00330234">
        <w:rPr>
          <w:vertAlign w:val="subscript"/>
        </w:rPr>
        <w:t>1/2</w:t>
      </w:r>
      <w:r w:rsidRPr="00330234">
        <w:t xml:space="preserve"> tot 13 dagen voor de wekelijkse 162 mg en 5 dagen voor de 162 mg om de week voor patiënten met RA in steady-state.</w:t>
      </w:r>
    </w:p>
    <w:p w14:paraId="1B06102C" w14:textId="77777777" w:rsidR="00436DAA" w:rsidRPr="00330234" w:rsidRDefault="00436DAA" w:rsidP="00BD109B">
      <w:pPr>
        <w:pStyle w:val="a3"/>
        <w:widowControl/>
        <w:ind w:left="0"/>
      </w:pPr>
    </w:p>
    <w:p w14:paraId="52A72A12" w14:textId="77777777" w:rsidR="00436DAA" w:rsidRPr="00330234" w:rsidRDefault="009B4B8E" w:rsidP="00BD109B">
      <w:pPr>
        <w:pStyle w:val="a3"/>
        <w:widowControl/>
        <w:ind w:left="0"/>
      </w:pPr>
      <w:r w:rsidRPr="00330234">
        <w:rPr>
          <w:u w:val="single"/>
        </w:rPr>
        <w:t>sJIA</w:t>
      </w:r>
    </w:p>
    <w:p w14:paraId="7205D651" w14:textId="77777777" w:rsidR="00436DAA" w:rsidRPr="00330234" w:rsidRDefault="009B4B8E" w:rsidP="00BD109B">
      <w:pPr>
        <w:pStyle w:val="a3"/>
        <w:widowControl/>
        <w:ind w:left="0"/>
      </w:pPr>
      <w:r w:rsidRPr="00330234">
        <w:rPr>
          <w:u w:val="single"/>
        </w:rPr>
        <w:t>Subcutaan gebruik</w:t>
      </w:r>
    </w:p>
    <w:p w14:paraId="64FBE333" w14:textId="4F4198CC" w:rsidR="00436DAA" w:rsidRPr="00330234" w:rsidRDefault="009B4B8E" w:rsidP="00BD109B">
      <w:pPr>
        <w:pStyle w:val="a3"/>
        <w:widowControl/>
        <w:ind w:left="0"/>
      </w:pPr>
      <w:r w:rsidRPr="00330234">
        <w:t xml:space="preserve">De farmacokinetiek van </w:t>
      </w:r>
      <w:r w:rsidR="005A695D" w:rsidRPr="00330234">
        <w:t>tocilizumab</w:t>
      </w:r>
      <w:r w:rsidRPr="00330234">
        <w:t xml:space="preserve"> bij sJIA-patiënten is bepaald middels een farmacokinetische populatieanalyse met 140 patiënten, die werden behandeld met elke 2 weken 8 mg/kg intraveneus (patiënten die 30 kg of meer wogen), elke 2 weken 12 mg/kg intraveneus (patiënten die minder dan 30</w:t>
      </w:r>
      <w:r w:rsidR="00556703" w:rsidRPr="00330234">
        <w:t> </w:t>
      </w:r>
      <w:r w:rsidRPr="00330234">
        <w:t>kg wogen), elke week 162 mg subcutaan (patiënten die 30 kg of meer wogen), of elke 10 dagen of elke 2 weken 162 mg subcutaan (patiënten die minder dan 30 kg wogen).</w:t>
      </w:r>
    </w:p>
    <w:p w14:paraId="563126DC" w14:textId="77777777" w:rsidR="00556703" w:rsidRPr="00330234" w:rsidRDefault="00556703" w:rsidP="00BD109B">
      <w:pPr>
        <w:pStyle w:val="a3"/>
        <w:widowControl/>
        <w:ind w:left="0"/>
      </w:pPr>
    </w:p>
    <w:p w14:paraId="2E480C72" w14:textId="77777777" w:rsidR="00436DAA" w:rsidRPr="00330234" w:rsidRDefault="009B4B8E" w:rsidP="00BD109B">
      <w:pPr>
        <w:pStyle w:val="a3"/>
        <w:widowControl/>
        <w:ind w:left="0"/>
      </w:pPr>
      <w:r w:rsidRPr="00330234">
        <w:t>Beperkte gegevens zijn beschikbaar over de blootstelling na subcutane toediening bij sJIA-patiënten onder de 2 jaar die minder dan 10 kg wegen.</w:t>
      </w:r>
    </w:p>
    <w:p w14:paraId="1D1240FE" w14:textId="228F96C3" w:rsidR="00436DAA" w:rsidRPr="00330234" w:rsidRDefault="009B4B8E" w:rsidP="00BD109B">
      <w:pPr>
        <w:pStyle w:val="a3"/>
        <w:widowControl/>
        <w:ind w:left="0"/>
      </w:pPr>
      <w:r w:rsidRPr="00330234">
        <w:t xml:space="preserve">Patiënten met sJIA moeten minstens 10 kg wegen als ze </w:t>
      </w:r>
      <w:r w:rsidR="005A695D" w:rsidRPr="00330234">
        <w:t>tocilizumab</w:t>
      </w:r>
      <w:r w:rsidRPr="00330234">
        <w:t xml:space="preserve"> subcutaan krijgen (zie rubriek</w:t>
      </w:r>
      <w:r w:rsidR="00556703" w:rsidRPr="00330234">
        <w:t> </w:t>
      </w:r>
      <w:r w:rsidRPr="00330234">
        <w:t>4.2).</w:t>
      </w:r>
    </w:p>
    <w:p w14:paraId="2189F2C9" w14:textId="77777777" w:rsidR="00556703" w:rsidRPr="00330234" w:rsidRDefault="00556703" w:rsidP="00BD109B">
      <w:pPr>
        <w:pStyle w:val="a3"/>
        <w:widowControl/>
        <w:ind w:left="0"/>
      </w:pPr>
    </w:p>
    <w:p w14:paraId="60540000" w14:textId="3180325A" w:rsidR="00436DAA" w:rsidRPr="00330234" w:rsidRDefault="009B4B8E" w:rsidP="001B3E1E">
      <w:pPr>
        <w:keepNext/>
        <w:keepLines/>
        <w:widowControl/>
        <w:ind w:left="1134" w:hanging="1134"/>
        <w:rPr>
          <w:i/>
        </w:rPr>
      </w:pPr>
      <w:r w:rsidRPr="00330234">
        <w:rPr>
          <w:i/>
        </w:rPr>
        <w:lastRenderedPageBreak/>
        <w:t xml:space="preserve">Tabel </w:t>
      </w:r>
      <w:r w:rsidRPr="00330234">
        <w:t>8</w:t>
      </w:r>
      <w:r w:rsidRPr="00330234">
        <w:rPr>
          <w:i/>
        </w:rPr>
        <w:t>.</w:t>
      </w:r>
      <w:r w:rsidR="004C0949" w:rsidRPr="00330234">
        <w:rPr>
          <w:i/>
        </w:rPr>
        <w:tab/>
      </w:r>
      <w:r w:rsidRPr="00330234">
        <w:rPr>
          <w:i/>
        </w:rPr>
        <w:t>Voorspelde gemiddelde ± SD PK-parameters bij steady-state na s.c. toediening bij sJIA</w:t>
      </w:r>
    </w:p>
    <w:p w14:paraId="1190F4E4" w14:textId="77777777" w:rsidR="00436DAA" w:rsidRPr="00330234" w:rsidRDefault="00436DAA" w:rsidP="001B3E1E">
      <w:pPr>
        <w:pStyle w:val="a3"/>
        <w:keepNext/>
        <w:keepLines/>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9"/>
        <w:gridCol w:w="2673"/>
        <w:gridCol w:w="2674"/>
      </w:tblGrid>
      <w:tr w:rsidR="00436DAA" w:rsidRPr="00330234" w14:paraId="0D023F47" w14:textId="77777777" w:rsidTr="001B3E1E">
        <w:trPr>
          <w:trHeight w:val="20"/>
          <w:tblHeader/>
        </w:trPr>
        <w:tc>
          <w:tcPr>
            <w:tcW w:w="3719" w:type="dxa"/>
          </w:tcPr>
          <w:p w14:paraId="010F9018" w14:textId="799789B5" w:rsidR="00436DAA" w:rsidRPr="00330234" w:rsidRDefault="005A695D" w:rsidP="001B3E1E">
            <w:pPr>
              <w:pStyle w:val="TableParagraph"/>
              <w:keepNext/>
              <w:keepLines/>
              <w:widowControl/>
              <w:rPr>
                <w:b/>
              </w:rPr>
            </w:pPr>
            <w:r w:rsidRPr="00330234">
              <w:rPr>
                <w:b/>
              </w:rPr>
              <w:t xml:space="preserve">Tocilizumab </w:t>
            </w:r>
            <w:r w:rsidR="009B4B8E" w:rsidRPr="00330234">
              <w:rPr>
                <w:b/>
              </w:rPr>
              <w:t>PK-parameter</w:t>
            </w:r>
          </w:p>
        </w:tc>
        <w:tc>
          <w:tcPr>
            <w:tcW w:w="2673" w:type="dxa"/>
          </w:tcPr>
          <w:p w14:paraId="4D17A436" w14:textId="77777777" w:rsidR="00436DAA" w:rsidRPr="00330234" w:rsidRDefault="009B4B8E" w:rsidP="001B3E1E">
            <w:pPr>
              <w:pStyle w:val="TableParagraph"/>
              <w:keepNext/>
              <w:keepLines/>
              <w:widowControl/>
              <w:jc w:val="center"/>
              <w:rPr>
                <w:b/>
              </w:rPr>
            </w:pPr>
            <w:r w:rsidRPr="00330234">
              <w:rPr>
                <w:b/>
              </w:rPr>
              <w:t>162 mg QW</w:t>
            </w:r>
          </w:p>
          <w:p w14:paraId="1F038E00" w14:textId="77777777" w:rsidR="00436DAA" w:rsidRPr="00330234" w:rsidRDefault="009B4B8E" w:rsidP="001B3E1E">
            <w:pPr>
              <w:pStyle w:val="TableParagraph"/>
              <w:keepNext/>
              <w:keepLines/>
              <w:widowControl/>
              <w:jc w:val="center"/>
              <w:rPr>
                <w:b/>
              </w:rPr>
            </w:pPr>
            <w:r w:rsidRPr="00330234">
              <w:rPr>
                <w:b/>
              </w:rPr>
              <w:t>≥ 30 kg</w:t>
            </w:r>
          </w:p>
        </w:tc>
        <w:tc>
          <w:tcPr>
            <w:tcW w:w="2674" w:type="dxa"/>
          </w:tcPr>
          <w:p w14:paraId="666B67E5" w14:textId="77777777" w:rsidR="00436DAA" w:rsidRPr="00330234" w:rsidRDefault="009B4B8E" w:rsidP="001B3E1E">
            <w:pPr>
              <w:pStyle w:val="TableParagraph"/>
              <w:keepNext/>
              <w:keepLines/>
              <w:widowControl/>
              <w:jc w:val="center"/>
              <w:rPr>
                <w:b/>
              </w:rPr>
            </w:pPr>
            <w:r w:rsidRPr="00330234">
              <w:rPr>
                <w:b/>
              </w:rPr>
              <w:t>162 mg Q2W</w:t>
            </w:r>
          </w:p>
          <w:p w14:paraId="417DAA7C" w14:textId="77777777" w:rsidR="00436DAA" w:rsidRPr="00330234" w:rsidRDefault="009B4B8E" w:rsidP="001B3E1E">
            <w:pPr>
              <w:pStyle w:val="TableParagraph"/>
              <w:keepNext/>
              <w:keepLines/>
              <w:widowControl/>
              <w:jc w:val="center"/>
              <w:rPr>
                <w:b/>
              </w:rPr>
            </w:pPr>
            <w:r w:rsidRPr="00330234">
              <w:rPr>
                <w:b/>
              </w:rPr>
              <w:t>Minder dan 30 kg</w:t>
            </w:r>
          </w:p>
        </w:tc>
      </w:tr>
      <w:tr w:rsidR="00436DAA" w:rsidRPr="00330234" w14:paraId="6F4B13DE" w14:textId="77777777" w:rsidTr="001B3E1E">
        <w:trPr>
          <w:trHeight w:val="20"/>
        </w:trPr>
        <w:tc>
          <w:tcPr>
            <w:tcW w:w="3719" w:type="dxa"/>
          </w:tcPr>
          <w:p w14:paraId="2A422D4F" w14:textId="77777777" w:rsidR="00436DAA" w:rsidRPr="00330234" w:rsidRDefault="009B4B8E" w:rsidP="00BD109B">
            <w:pPr>
              <w:pStyle w:val="TableParagraph"/>
              <w:widowControl/>
            </w:pPr>
            <w:r w:rsidRPr="00330234">
              <w:t>C</w:t>
            </w:r>
            <w:r w:rsidRPr="00330234">
              <w:rPr>
                <w:vertAlign w:val="subscript"/>
              </w:rPr>
              <w:t>max</w:t>
            </w:r>
            <w:r w:rsidRPr="00330234">
              <w:t xml:space="preserve"> (µg/ml)</w:t>
            </w:r>
          </w:p>
        </w:tc>
        <w:tc>
          <w:tcPr>
            <w:tcW w:w="2673" w:type="dxa"/>
          </w:tcPr>
          <w:p w14:paraId="47D0F11D" w14:textId="77777777" w:rsidR="00436DAA" w:rsidRPr="00330234" w:rsidRDefault="009B4B8E" w:rsidP="00556703">
            <w:pPr>
              <w:pStyle w:val="TableParagraph"/>
              <w:widowControl/>
              <w:jc w:val="center"/>
            </w:pPr>
            <w:r w:rsidRPr="00330234">
              <w:t>99,8 ± 46,2</w:t>
            </w:r>
          </w:p>
        </w:tc>
        <w:tc>
          <w:tcPr>
            <w:tcW w:w="2674" w:type="dxa"/>
          </w:tcPr>
          <w:p w14:paraId="35BEAEF7" w14:textId="77777777" w:rsidR="00436DAA" w:rsidRPr="00330234" w:rsidRDefault="009B4B8E" w:rsidP="00556703">
            <w:pPr>
              <w:pStyle w:val="TableParagraph"/>
              <w:widowControl/>
              <w:jc w:val="center"/>
            </w:pPr>
            <w:r w:rsidRPr="00330234">
              <w:t>134 ± 58,6</w:t>
            </w:r>
          </w:p>
        </w:tc>
      </w:tr>
      <w:tr w:rsidR="00436DAA" w:rsidRPr="00330234" w14:paraId="13CF3827" w14:textId="77777777" w:rsidTr="001B3E1E">
        <w:trPr>
          <w:trHeight w:val="20"/>
        </w:trPr>
        <w:tc>
          <w:tcPr>
            <w:tcW w:w="3719" w:type="dxa"/>
          </w:tcPr>
          <w:p w14:paraId="2E461932" w14:textId="77777777" w:rsidR="00436DAA" w:rsidRPr="00330234" w:rsidRDefault="009B4B8E" w:rsidP="00BD109B">
            <w:pPr>
              <w:pStyle w:val="TableParagraph"/>
              <w:widowControl/>
            </w:pPr>
            <w:r w:rsidRPr="00330234">
              <w:t>C</w:t>
            </w:r>
            <w:r w:rsidRPr="00330234">
              <w:rPr>
                <w:vertAlign w:val="subscript"/>
              </w:rPr>
              <w:t>min</w:t>
            </w:r>
            <w:r w:rsidRPr="00330234">
              <w:t xml:space="preserve"> (µg/ml)</w:t>
            </w:r>
          </w:p>
        </w:tc>
        <w:tc>
          <w:tcPr>
            <w:tcW w:w="2673" w:type="dxa"/>
          </w:tcPr>
          <w:p w14:paraId="52415C38" w14:textId="77777777" w:rsidR="00436DAA" w:rsidRPr="00330234" w:rsidRDefault="009B4B8E" w:rsidP="00556703">
            <w:pPr>
              <w:pStyle w:val="TableParagraph"/>
              <w:widowControl/>
              <w:jc w:val="center"/>
            </w:pPr>
            <w:r w:rsidRPr="00330234">
              <w:t>79,2 ± 35,6</w:t>
            </w:r>
          </w:p>
        </w:tc>
        <w:tc>
          <w:tcPr>
            <w:tcW w:w="2674" w:type="dxa"/>
          </w:tcPr>
          <w:p w14:paraId="307BAE01" w14:textId="77777777" w:rsidR="00436DAA" w:rsidRPr="00330234" w:rsidRDefault="009B4B8E" w:rsidP="00556703">
            <w:pPr>
              <w:pStyle w:val="TableParagraph"/>
              <w:widowControl/>
              <w:jc w:val="center"/>
            </w:pPr>
            <w:r w:rsidRPr="00330234">
              <w:t>65,9 ± 31,3</w:t>
            </w:r>
          </w:p>
        </w:tc>
      </w:tr>
      <w:tr w:rsidR="00436DAA" w:rsidRPr="00330234" w14:paraId="18245ABF" w14:textId="77777777" w:rsidTr="001B3E1E">
        <w:trPr>
          <w:trHeight w:val="20"/>
        </w:trPr>
        <w:tc>
          <w:tcPr>
            <w:tcW w:w="3719" w:type="dxa"/>
          </w:tcPr>
          <w:p w14:paraId="0FA9F734" w14:textId="77777777" w:rsidR="00436DAA" w:rsidRPr="00330234" w:rsidRDefault="009B4B8E" w:rsidP="00BD109B">
            <w:pPr>
              <w:pStyle w:val="TableParagraph"/>
              <w:widowControl/>
            </w:pPr>
            <w:r w:rsidRPr="00330234">
              <w:t>C</w:t>
            </w:r>
            <w:r w:rsidRPr="00330234">
              <w:rPr>
                <w:vertAlign w:val="subscript"/>
              </w:rPr>
              <w:t>gemiddelde</w:t>
            </w:r>
            <w:r w:rsidRPr="00330234">
              <w:t xml:space="preserve"> (µg/ml)</w:t>
            </w:r>
          </w:p>
        </w:tc>
        <w:tc>
          <w:tcPr>
            <w:tcW w:w="2673" w:type="dxa"/>
          </w:tcPr>
          <w:p w14:paraId="067D40DD" w14:textId="77777777" w:rsidR="00436DAA" w:rsidRPr="00330234" w:rsidRDefault="009B4B8E" w:rsidP="00556703">
            <w:pPr>
              <w:pStyle w:val="TableParagraph"/>
              <w:widowControl/>
              <w:jc w:val="center"/>
            </w:pPr>
            <w:r w:rsidRPr="00330234">
              <w:t>91,3 ± 40,4</w:t>
            </w:r>
          </w:p>
        </w:tc>
        <w:tc>
          <w:tcPr>
            <w:tcW w:w="2674" w:type="dxa"/>
          </w:tcPr>
          <w:p w14:paraId="0E2E0FE4" w14:textId="77777777" w:rsidR="00436DAA" w:rsidRPr="00330234" w:rsidRDefault="009B4B8E" w:rsidP="00556703">
            <w:pPr>
              <w:pStyle w:val="TableParagraph"/>
              <w:widowControl/>
              <w:jc w:val="center"/>
            </w:pPr>
            <w:r w:rsidRPr="00330234">
              <w:t>101 ± 43,2</w:t>
            </w:r>
          </w:p>
        </w:tc>
      </w:tr>
      <w:tr w:rsidR="00436DAA" w:rsidRPr="00330234" w14:paraId="569B11DF" w14:textId="77777777" w:rsidTr="001B3E1E">
        <w:trPr>
          <w:trHeight w:val="20"/>
        </w:trPr>
        <w:tc>
          <w:tcPr>
            <w:tcW w:w="3719" w:type="dxa"/>
          </w:tcPr>
          <w:p w14:paraId="45BA1EB6" w14:textId="77777777" w:rsidR="00436DAA" w:rsidRPr="00330234" w:rsidRDefault="009B4B8E" w:rsidP="00BD109B">
            <w:pPr>
              <w:pStyle w:val="TableParagraph"/>
              <w:widowControl/>
            </w:pPr>
            <w:r w:rsidRPr="00330234">
              <w:t>Accumulatie C</w:t>
            </w:r>
            <w:r w:rsidRPr="00330234">
              <w:rPr>
                <w:vertAlign w:val="subscript"/>
              </w:rPr>
              <w:t>max</w:t>
            </w:r>
          </w:p>
        </w:tc>
        <w:tc>
          <w:tcPr>
            <w:tcW w:w="2673" w:type="dxa"/>
          </w:tcPr>
          <w:p w14:paraId="10391758" w14:textId="77777777" w:rsidR="00436DAA" w:rsidRPr="00330234" w:rsidRDefault="009B4B8E" w:rsidP="00556703">
            <w:pPr>
              <w:pStyle w:val="TableParagraph"/>
              <w:widowControl/>
              <w:jc w:val="center"/>
            </w:pPr>
            <w:r w:rsidRPr="00330234">
              <w:t>3,66</w:t>
            </w:r>
          </w:p>
        </w:tc>
        <w:tc>
          <w:tcPr>
            <w:tcW w:w="2674" w:type="dxa"/>
          </w:tcPr>
          <w:p w14:paraId="79413BAB" w14:textId="77777777" w:rsidR="00436DAA" w:rsidRPr="00330234" w:rsidRDefault="009B4B8E" w:rsidP="00556703">
            <w:pPr>
              <w:pStyle w:val="TableParagraph"/>
              <w:widowControl/>
              <w:jc w:val="center"/>
            </w:pPr>
            <w:r w:rsidRPr="00330234">
              <w:t>1,88</w:t>
            </w:r>
          </w:p>
        </w:tc>
      </w:tr>
      <w:tr w:rsidR="00436DAA" w:rsidRPr="00330234" w14:paraId="789F2135" w14:textId="77777777" w:rsidTr="001B3E1E">
        <w:trPr>
          <w:trHeight w:val="20"/>
        </w:trPr>
        <w:tc>
          <w:tcPr>
            <w:tcW w:w="3719" w:type="dxa"/>
          </w:tcPr>
          <w:p w14:paraId="16097081" w14:textId="77777777" w:rsidR="00436DAA" w:rsidRPr="00330234" w:rsidRDefault="009B4B8E" w:rsidP="00BD109B">
            <w:pPr>
              <w:pStyle w:val="TableParagraph"/>
              <w:widowControl/>
            </w:pPr>
            <w:r w:rsidRPr="00330234">
              <w:t>Accumulatie C</w:t>
            </w:r>
            <w:r w:rsidRPr="00330234">
              <w:rPr>
                <w:vertAlign w:val="subscript"/>
              </w:rPr>
              <w:t>min</w:t>
            </w:r>
          </w:p>
        </w:tc>
        <w:tc>
          <w:tcPr>
            <w:tcW w:w="2673" w:type="dxa"/>
          </w:tcPr>
          <w:p w14:paraId="032DCC33" w14:textId="77777777" w:rsidR="00436DAA" w:rsidRPr="00330234" w:rsidRDefault="009B4B8E" w:rsidP="00556703">
            <w:pPr>
              <w:pStyle w:val="TableParagraph"/>
              <w:widowControl/>
              <w:jc w:val="center"/>
            </w:pPr>
            <w:r w:rsidRPr="00330234">
              <w:t>4,39</w:t>
            </w:r>
          </w:p>
        </w:tc>
        <w:tc>
          <w:tcPr>
            <w:tcW w:w="2674" w:type="dxa"/>
          </w:tcPr>
          <w:p w14:paraId="0EFF7102" w14:textId="77777777" w:rsidR="00436DAA" w:rsidRPr="00330234" w:rsidRDefault="009B4B8E" w:rsidP="00556703">
            <w:pPr>
              <w:pStyle w:val="TableParagraph"/>
              <w:widowControl/>
              <w:jc w:val="center"/>
            </w:pPr>
            <w:r w:rsidRPr="00330234">
              <w:t>3,21</w:t>
            </w:r>
          </w:p>
        </w:tc>
      </w:tr>
      <w:tr w:rsidR="00436DAA" w:rsidRPr="00330234" w14:paraId="1742CFED" w14:textId="77777777" w:rsidTr="001B3E1E">
        <w:trPr>
          <w:trHeight w:val="20"/>
        </w:trPr>
        <w:tc>
          <w:tcPr>
            <w:tcW w:w="3719" w:type="dxa"/>
          </w:tcPr>
          <w:p w14:paraId="0BC9EA0A" w14:textId="77777777" w:rsidR="00436DAA" w:rsidRPr="00330234" w:rsidRDefault="009B4B8E" w:rsidP="00BD109B">
            <w:pPr>
              <w:pStyle w:val="TableParagraph"/>
              <w:widowControl/>
            </w:pPr>
            <w:r w:rsidRPr="00330234">
              <w:t>Accumulatie C</w:t>
            </w:r>
            <w:r w:rsidRPr="00330234">
              <w:rPr>
                <w:vertAlign w:val="subscript"/>
              </w:rPr>
              <w:t>gemiddelde</w:t>
            </w:r>
            <w:r w:rsidRPr="00330234">
              <w:t xml:space="preserve"> of AUC</w:t>
            </w:r>
            <w:r w:rsidRPr="00330234">
              <w:rPr>
                <w:vertAlign w:val="subscript"/>
              </w:rPr>
              <w:t>τ</w:t>
            </w:r>
            <w:r w:rsidRPr="00330234">
              <w:t>*</w:t>
            </w:r>
          </w:p>
        </w:tc>
        <w:tc>
          <w:tcPr>
            <w:tcW w:w="2673" w:type="dxa"/>
          </w:tcPr>
          <w:p w14:paraId="5C2437CE" w14:textId="77777777" w:rsidR="00436DAA" w:rsidRPr="00330234" w:rsidRDefault="009B4B8E" w:rsidP="00556703">
            <w:pPr>
              <w:pStyle w:val="TableParagraph"/>
              <w:widowControl/>
              <w:jc w:val="center"/>
            </w:pPr>
            <w:r w:rsidRPr="00330234">
              <w:t>4,28</w:t>
            </w:r>
          </w:p>
        </w:tc>
        <w:tc>
          <w:tcPr>
            <w:tcW w:w="2674" w:type="dxa"/>
          </w:tcPr>
          <w:p w14:paraId="747DC02F" w14:textId="77777777" w:rsidR="00436DAA" w:rsidRPr="00330234" w:rsidRDefault="009B4B8E" w:rsidP="00556703">
            <w:pPr>
              <w:pStyle w:val="TableParagraph"/>
              <w:widowControl/>
              <w:jc w:val="center"/>
            </w:pPr>
            <w:r w:rsidRPr="00330234">
              <w:t>2,27</w:t>
            </w:r>
          </w:p>
        </w:tc>
      </w:tr>
    </w:tbl>
    <w:p w14:paraId="792F6C85" w14:textId="6CF5B4BE" w:rsidR="00436DAA" w:rsidRPr="00330234" w:rsidRDefault="009B4B8E" w:rsidP="004C0949">
      <w:pPr>
        <w:widowControl/>
        <w:ind w:left="284" w:hanging="284"/>
        <w:rPr>
          <w:sz w:val="18"/>
          <w:szCs w:val="18"/>
        </w:rPr>
      </w:pPr>
      <w:r w:rsidRPr="00330234">
        <w:rPr>
          <w:sz w:val="18"/>
          <w:szCs w:val="18"/>
        </w:rPr>
        <w:t>*</w:t>
      </w:r>
      <w:r w:rsidR="004C0949" w:rsidRPr="00330234">
        <w:rPr>
          <w:sz w:val="18"/>
          <w:szCs w:val="18"/>
        </w:rPr>
        <w:tab/>
      </w:r>
      <w:r w:rsidRPr="00330234">
        <w:rPr>
          <w:sz w:val="18"/>
          <w:szCs w:val="18"/>
        </w:rPr>
        <w:t>τ = 1 of 2 weken voor de 2 subcutane regimes</w:t>
      </w:r>
    </w:p>
    <w:p w14:paraId="3C87CA5E" w14:textId="77777777" w:rsidR="00436DAA" w:rsidRPr="00330234" w:rsidRDefault="00436DAA" w:rsidP="00BD109B">
      <w:pPr>
        <w:widowControl/>
      </w:pPr>
    </w:p>
    <w:p w14:paraId="13918274" w14:textId="77777777" w:rsidR="00436DAA" w:rsidRPr="00330234" w:rsidRDefault="009B4B8E" w:rsidP="00BD109B">
      <w:pPr>
        <w:pStyle w:val="a3"/>
        <w:widowControl/>
        <w:ind w:left="0"/>
      </w:pPr>
      <w:r w:rsidRPr="00330234">
        <w:t>Na subcutane toediening was ongeveer 90% van de steady-state bereikt na 12 weken voor zowel het QW als het Q2W 162 mg-regime.</w:t>
      </w:r>
    </w:p>
    <w:p w14:paraId="50464DBE" w14:textId="77777777" w:rsidR="00436DAA" w:rsidRPr="00330234" w:rsidRDefault="00436DAA" w:rsidP="00BD109B">
      <w:pPr>
        <w:pStyle w:val="a3"/>
        <w:widowControl/>
        <w:ind w:left="0"/>
      </w:pPr>
    </w:p>
    <w:p w14:paraId="3421554E" w14:textId="77777777" w:rsidR="00436DAA" w:rsidRPr="00330234" w:rsidRDefault="009B4B8E" w:rsidP="00BD109B">
      <w:pPr>
        <w:pStyle w:val="a3"/>
        <w:widowControl/>
        <w:ind w:left="0"/>
      </w:pPr>
      <w:r w:rsidRPr="00330234">
        <w:rPr>
          <w:u w:val="single"/>
        </w:rPr>
        <w:t>Absorptie</w:t>
      </w:r>
    </w:p>
    <w:p w14:paraId="7DD25EA9" w14:textId="77777777" w:rsidR="00436DAA" w:rsidRPr="00330234" w:rsidRDefault="009B4B8E" w:rsidP="00BD109B">
      <w:pPr>
        <w:pStyle w:val="a3"/>
        <w:widowControl/>
        <w:ind w:left="0"/>
      </w:pPr>
      <w:r w:rsidRPr="00330234">
        <w:t>Na subcutane toediening bij sJIA-patiënten was de absorptiehalfwaardetijd rond de 2 dagen en de biologische beschikbaarheid van de subcutane formulering bij sJIA-patiënten was 95%.</w:t>
      </w:r>
    </w:p>
    <w:p w14:paraId="6FAE0EA8" w14:textId="77777777" w:rsidR="00556703" w:rsidRPr="00330234" w:rsidRDefault="00556703" w:rsidP="00BD109B">
      <w:pPr>
        <w:pStyle w:val="a3"/>
        <w:widowControl/>
        <w:ind w:left="0"/>
      </w:pPr>
    </w:p>
    <w:p w14:paraId="0A86649F" w14:textId="77777777" w:rsidR="00436DAA" w:rsidRPr="00330234" w:rsidRDefault="009B4B8E" w:rsidP="00BD109B">
      <w:pPr>
        <w:pStyle w:val="a3"/>
        <w:widowControl/>
        <w:ind w:left="0"/>
      </w:pPr>
      <w:r w:rsidRPr="00330234">
        <w:rPr>
          <w:u w:val="single"/>
        </w:rPr>
        <w:t>Distributie</w:t>
      </w:r>
    </w:p>
    <w:p w14:paraId="60CED88A" w14:textId="77777777" w:rsidR="00436DAA" w:rsidRPr="00330234" w:rsidRDefault="009B4B8E" w:rsidP="00BD109B">
      <w:pPr>
        <w:pStyle w:val="a3"/>
        <w:widowControl/>
        <w:ind w:left="0"/>
      </w:pPr>
      <w:r w:rsidRPr="00330234">
        <w:t>Bij pediatrische patiënten met sJIA was het centrale verdelingsvolume 1,87 l en het perifere verdelingsvolume 2,14 l, resulterend in een steady-state verdelingsvolume van 4,01 l.</w:t>
      </w:r>
    </w:p>
    <w:p w14:paraId="44D7C429" w14:textId="77777777" w:rsidR="00556703" w:rsidRPr="00330234" w:rsidRDefault="00556703" w:rsidP="00BD109B">
      <w:pPr>
        <w:pStyle w:val="a3"/>
        <w:widowControl/>
        <w:ind w:left="0"/>
      </w:pPr>
    </w:p>
    <w:p w14:paraId="7A56097C" w14:textId="77777777" w:rsidR="00436DAA" w:rsidRPr="00330234" w:rsidRDefault="009B4B8E" w:rsidP="00BD109B">
      <w:pPr>
        <w:pStyle w:val="a3"/>
        <w:widowControl/>
        <w:ind w:left="0"/>
      </w:pPr>
      <w:r w:rsidRPr="00330234">
        <w:rPr>
          <w:u w:val="single"/>
        </w:rPr>
        <w:t>Eliminatie</w:t>
      </w:r>
    </w:p>
    <w:p w14:paraId="51B6D4B4" w14:textId="458AE0E9" w:rsidR="00436DAA" w:rsidRPr="00330234" w:rsidRDefault="009B4B8E" w:rsidP="00BD109B">
      <w:pPr>
        <w:pStyle w:val="a3"/>
        <w:widowControl/>
        <w:ind w:left="0"/>
      </w:pPr>
      <w:r w:rsidRPr="00330234">
        <w:t>De totale klaring van tocilizumab was concentratieafhankelijk en is de som van de lineaire klaring en de niet-lineaire klaring. De lineaire klaring is geschat als parameter in de farmacokinetische populatieanalyse en was 5,7 ml/uur bij pediatrische patiënten met sJIA. Bij sJIA-patiënten is na subcutane toediening de effectieve t</w:t>
      </w:r>
      <w:r w:rsidRPr="00330234">
        <w:rPr>
          <w:vertAlign w:val="subscript"/>
        </w:rPr>
        <w:t>1/2</w:t>
      </w:r>
      <w:r w:rsidRPr="00330234">
        <w:t xml:space="preserve"> van </w:t>
      </w:r>
      <w:r w:rsidR="005A695D" w:rsidRPr="00330234">
        <w:t>tocilizumab</w:t>
      </w:r>
      <w:r w:rsidRPr="00330234">
        <w:t xml:space="preserve"> maximaal 14 dagen voor zowel het QW als het Q2W subcutane 162 mg-regime gedurende een doseringsinterval bij steady-state.</w:t>
      </w:r>
    </w:p>
    <w:p w14:paraId="59A93368" w14:textId="77777777" w:rsidR="00556703" w:rsidRPr="00330234" w:rsidRDefault="00556703" w:rsidP="00BD109B">
      <w:pPr>
        <w:pStyle w:val="a3"/>
        <w:widowControl/>
        <w:ind w:left="0"/>
      </w:pPr>
    </w:p>
    <w:p w14:paraId="6E0AE490" w14:textId="77777777" w:rsidR="00436DAA" w:rsidRPr="00330234" w:rsidRDefault="009B4B8E" w:rsidP="00BD109B">
      <w:pPr>
        <w:pStyle w:val="a3"/>
        <w:widowControl/>
        <w:ind w:left="0"/>
      </w:pPr>
      <w:r w:rsidRPr="00330234">
        <w:rPr>
          <w:u w:val="single"/>
        </w:rPr>
        <w:t>pJIA</w:t>
      </w:r>
    </w:p>
    <w:p w14:paraId="32EF6D16" w14:textId="77777777" w:rsidR="00436DAA" w:rsidRPr="00330234" w:rsidRDefault="009B4B8E" w:rsidP="00BD109B">
      <w:pPr>
        <w:pStyle w:val="a3"/>
        <w:widowControl/>
        <w:ind w:left="0"/>
      </w:pPr>
      <w:r w:rsidRPr="00330234">
        <w:rPr>
          <w:u w:val="single"/>
        </w:rPr>
        <w:t>Subcutaan gebruik</w:t>
      </w:r>
    </w:p>
    <w:p w14:paraId="2638B9BD" w14:textId="7BE323BB" w:rsidR="00436DAA" w:rsidRPr="00330234" w:rsidRDefault="009B4B8E" w:rsidP="00BD109B">
      <w:pPr>
        <w:pStyle w:val="a3"/>
        <w:widowControl/>
        <w:ind w:left="0"/>
      </w:pPr>
      <w:r w:rsidRPr="00330234">
        <w:t xml:space="preserve">De farmacokinetiek van </w:t>
      </w:r>
      <w:r w:rsidR="005A695D" w:rsidRPr="00330234">
        <w:t>tocilizumab</w:t>
      </w:r>
      <w:r w:rsidRPr="00330234">
        <w:t xml:space="preserve"> bij pJIA-patiënten is bepaald middels een farmacokinetische populatieanalyse met 237 patiënten die werden behandeld met elke 4 weken 8 mg/kg intraveneus (patiënten die 30 kg of meer wogen), elke 4 weken 10 mg/kg intraveneus (patiënten die minder dan 30</w:t>
      </w:r>
      <w:r w:rsidR="00556703" w:rsidRPr="00330234">
        <w:t> </w:t>
      </w:r>
      <w:r w:rsidRPr="00330234">
        <w:t>kg wogen), elke 2 weken 162 mg subcutaan (patiënten die 30 kg of meer wogen), of elke 3 weken 162 mg subcutaan (patiënten die minder dan 30 kg wogen).</w:t>
      </w:r>
    </w:p>
    <w:p w14:paraId="14A18B2E" w14:textId="77777777" w:rsidR="00556703" w:rsidRPr="00330234" w:rsidRDefault="00556703" w:rsidP="00BD109B">
      <w:pPr>
        <w:pStyle w:val="a3"/>
        <w:widowControl/>
        <w:ind w:left="0"/>
      </w:pPr>
    </w:p>
    <w:p w14:paraId="693A4BD8" w14:textId="2DD27200" w:rsidR="00436DAA" w:rsidRPr="00330234" w:rsidRDefault="009B4B8E" w:rsidP="004C0949">
      <w:pPr>
        <w:widowControl/>
        <w:ind w:left="1134" w:hanging="1134"/>
        <w:rPr>
          <w:i/>
        </w:rPr>
      </w:pPr>
      <w:r w:rsidRPr="00330234">
        <w:rPr>
          <w:i/>
        </w:rPr>
        <w:t>Tabel 9.</w:t>
      </w:r>
      <w:r w:rsidR="004C0949" w:rsidRPr="00330234">
        <w:rPr>
          <w:i/>
        </w:rPr>
        <w:tab/>
      </w:r>
      <w:r w:rsidRPr="00330234">
        <w:rPr>
          <w:i/>
        </w:rPr>
        <w:t>Voorspelde gemiddelde ± SD PK-parameters bij steady-state na s.c. toediening bij pJIA</w:t>
      </w:r>
    </w:p>
    <w:p w14:paraId="7C7C828B" w14:textId="77777777" w:rsidR="00436DAA" w:rsidRPr="00330234" w:rsidRDefault="00436DAA" w:rsidP="00BD109B">
      <w:pPr>
        <w:pStyle w:val="a3"/>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9"/>
        <w:gridCol w:w="2673"/>
        <w:gridCol w:w="2674"/>
      </w:tblGrid>
      <w:tr w:rsidR="00436DAA" w:rsidRPr="00330234" w14:paraId="03215601" w14:textId="77777777" w:rsidTr="001B3E1E">
        <w:trPr>
          <w:trHeight w:val="20"/>
        </w:trPr>
        <w:tc>
          <w:tcPr>
            <w:tcW w:w="3719" w:type="dxa"/>
          </w:tcPr>
          <w:p w14:paraId="4FA90FF9" w14:textId="53DEBC03" w:rsidR="00436DAA" w:rsidRPr="00330234" w:rsidRDefault="005A695D" w:rsidP="00BD109B">
            <w:pPr>
              <w:pStyle w:val="TableParagraph"/>
              <w:widowControl/>
              <w:rPr>
                <w:b/>
              </w:rPr>
            </w:pPr>
            <w:r w:rsidRPr="00330234">
              <w:rPr>
                <w:b/>
              </w:rPr>
              <w:t xml:space="preserve">Tocilizumab </w:t>
            </w:r>
            <w:r w:rsidR="009B4B8E" w:rsidRPr="00330234">
              <w:rPr>
                <w:b/>
              </w:rPr>
              <w:t>PK- parameter</w:t>
            </w:r>
          </w:p>
        </w:tc>
        <w:tc>
          <w:tcPr>
            <w:tcW w:w="2673" w:type="dxa"/>
          </w:tcPr>
          <w:p w14:paraId="23D69881" w14:textId="77777777" w:rsidR="00436DAA" w:rsidRPr="00330234" w:rsidRDefault="009B4B8E" w:rsidP="00556703">
            <w:pPr>
              <w:pStyle w:val="TableParagraph"/>
              <w:widowControl/>
              <w:jc w:val="center"/>
              <w:rPr>
                <w:b/>
              </w:rPr>
            </w:pPr>
            <w:r w:rsidRPr="00330234">
              <w:rPr>
                <w:b/>
              </w:rPr>
              <w:t>162 mg Q2W</w:t>
            </w:r>
          </w:p>
          <w:p w14:paraId="7AA5468E" w14:textId="77777777" w:rsidR="00436DAA" w:rsidRPr="00330234" w:rsidRDefault="009B4B8E" w:rsidP="00556703">
            <w:pPr>
              <w:pStyle w:val="TableParagraph"/>
              <w:widowControl/>
              <w:jc w:val="center"/>
              <w:rPr>
                <w:b/>
              </w:rPr>
            </w:pPr>
            <w:r w:rsidRPr="00330234">
              <w:rPr>
                <w:b/>
              </w:rPr>
              <w:t>≥ 30 kg</w:t>
            </w:r>
          </w:p>
        </w:tc>
        <w:tc>
          <w:tcPr>
            <w:tcW w:w="2674" w:type="dxa"/>
          </w:tcPr>
          <w:p w14:paraId="3190B08B" w14:textId="77777777" w:rsidR="00436DAA" w:rsidRPr="00330234" w:rsidRDefault="009B4B8E" w:rsidP="00556703">
            <w:pPr>
              <w:pStyle w:val="TableParagraph"/>
              <w:widowControl/>
              <w:jc w:val="center"/>
              <w:rPr>
                <w:b/>
              </w:rPr>
            </w:pPr>
            <w:r w:rsidRPr="00330234">
              <w:rPr>
                <w:b/>
              </w:rPr>
              <w:t>162 mg Q3W</w:t>
            </w:r>
          </w:p>
          <w:p w14:paraId="16D1A12F" w14:textId="77777777" w:rsidR="00436DAA" w:rsidRPr="00330234" w:rsidRDefault="009B4B8E" w:rsidP="00556703">
            <w:pPr>
              <w:pStyle w:val="TableParagraph"/>
              <w:widowControl/>
              <w:jc w:val="center"/>
              <w:rPr>
                <w:b/>
              </w:rPr>
            </w:pPr>
            <w:r w:rsidRPr="00330234">
              <w:rPr>
                <w:b/>
              </w:rPr>
              <w:t>&lt; 30 kg</w:t>
            </w:r>
          </w:p>
        </w:tc>
      </w:tr>
      <w:tr w:rsidR="00436DAA" w:rsidRPr="00330234" w14:paraId="24C7195E" w14:textId="77777777" w:rsidTr="001B3E1E">
        <w:trPr>
          <w:trHeight w:val="20"/>
        </w:trPr>
        <w:tc>
          <w:tcPr>
            <w:tcW w:w="3719" w:type="dxa"/>
          </w:tcPr>
          <w:p w14:paraId="30ED143E" w14:textId="77777777" w:rsidR="00436DAA" w:rsidRPr="00330234" w:rsidRDefault="009B4B8E" w:rsidP="00BD109B">
            <w:pPr>
              <w:pStyle w:val="TableParagraph"/>
              <w:widowControl/>
            </w:pPr>
            <w:r w:rsidRPr="00330234">
              <w:t>C</w:t>
            </w:r>
            <w:r w:rsidRPr="00330234">
              <w:rPr>
                <w:vertAlign w:val="subscript"/>
              </w:rPr>
              <w:t>max</w:t>
            </w:r>
            <w:r w:rsidRPr="00330234">
              <w:t xml:space="preserve"> (µg/ml)</w:t>
            </w:r>
          </w:p>
        </w:tc>
        <w:tc>
          <w:tcPr>
            <w:tcW w:w="2673" w:type="dxa"/>
          </w:tcPr>
          <w:p w14:paraId="122E6AFE" w14:textId="77777777" w:rsidR="00436DAA" w:rsidRPr="00330234" w:rsidRDefault="009B4B8E" w:rsidP="00556703">
            <w:pPr>
              <w:pStyle w:val="TableParagraph"/>
              <w:widowControl/>
              <w:jc w:val="center"/>
            </w:pPr>
            <w:r w:rsidRPr="00330234">
              <w:t>29,4 ± 13,5</w:t>
            </w:r>
          </w:p>
        </w:tc>
        <w:tc>
          <w:tcPr>
            <w:tcW w:w="2674" w:type="dxa"/>
          </w:tcPr>
          <w:p w14:paraId="19CB3BF0" w14:textId="77777777" w:rsidR="00436DAA" w:rsidRPr="00330234" w:rsidRDefault="009B4B8E" w:rsidP="00556703">
            <w:pPr>
              <w:pStyle w:val="TableParagraph"/>
              <w:widowControl/>
              <w:jc w:val="center"/>
            </w:pPr>
            <w:r w:rsidRPr="00330234">
              <w:t>75,5 ± 24,1</w:t>
            </w:r>
          </w:p>
        </w:tc>
      </w:tr>
      <w:tr w:rsidR="00436DAA" w:rsidRPr="00330234" w14:paraId="21F04B03" w14:textId="77777777" w:rsidTr="001B3E1E">
        <w:trPr>
          <w:trHeight w:val="20"/>
        </w:trPr>
        <w:tc>
          <w:tcPr>
            <w:tcW w:w="3719" w:type="dxa"/>
          </w:tcPr>
          <w:p w14:paraId="0524E0F3" w14:textId="77777777" w:rsidR="00436DAA" w:rsidRPr="00330234" w:rsidRDefault="009B4B8E" w:rsidP="00BD109B">
            <w:pPr>
              <w:pStyle w:val="TableParagraph"/>
              <w:widowControl/>
            </w:pPr>
            <w:r w:rsidRPr="00330234">
              <w:t>C</w:t>
            </w:r>
            <w:r w:rsidRPr="00330234">
              <w:rPr>
                <w:vertAlign w:val="subscript"/>
              </w:rPr>
              <w:t>min</w:t>
            </w:r>
            <w:r w:rsidRPr="00330234">
              <w:t xml:space="preserve"> (µg/ml)</w:t>
            </w:r>
          </w:p>
        </w:tc>
        <w:tc>
          <w:tcPr>
            <w:tcW w:w="2673" w:type="dxa"/>
          </w:tcPr>
          <w:p w14:paraId="72D68DC9" w14:textId="77777777" w:rsidR="00436DAA" w:rsidRPr="00330234" w:rsidRDefault="009B4B8E" w:rsidP="00556703">
            <w:pPr>
              <w:pStyle w:val="TableParagraph"/>
              <w:widowControl/>
              <w:jc w:val="center"/>
            </w:pPr>
            <w:r w:rsidRPr="00330234">
              <w:t>11,8 ± 7,08</w:t>
            </w:r>
          </w:p>
        </w:tc>
        <w:tc>
          <w:tcPr>
            <w:tcW w:w="2674" w:type="dxa"/>
          </w:tcPr>
          <w:p w14:paraId="2C0A4B1C" w14:textId="77777777" w:rsidR="00436DAA" w:rsidRPr="00330234" w:rsidRDefault="009B4B8E" w:rsidP="00556703">
            <w:pPr>
              <w:pStyle w:val="TableParagraph"/>
              <w:widowControl/>
              <w:jc w:val="center"/>
            </w:pPr>
            <w:r w:rsidRPr="00330234">
              <w:t>18,4 ± 12,9</w:t>
            </w:r>
          </w:p>
        </w:tc>
      </w:tr>
      <w:tr w:rsidR="00436DAA" w:rsidRPr="00330234" w14:paraId="2D8FC126" w14:textId="77777777" w:rsidTr="001B3E1E">
        <w:trPr>
          <w:trHeight w:val="20"/>
        </w:trPr>
        <w:tc>
          <w:tcPr>
            <w:tcW w:w="3719" w:type="dxa"/>
          </w:tcPr>
          <w:p w14:paraId="1A7A83C4" w14:textId="77777777" w:rsidR="00436DAA" w:rsidRPr="00330234" w:rsidRDefault="009B4B8E" w:rsidP="00BD109B">
            <w:pPr>
              <w:pStyle w:val="TableParagraph"/>
              <w:widowControl/>
            </w:pPr>
            <w:r w:rsidRPr="00330234">
              <w:t>C</w:t>
            </w:r>
            <w:r w:rsidRPr="00330234">
              <w:rPr>
                <w:vertAlign w:val="subscript"/>
              </w:rPr>
              <w:t>gemiddelde</w:t>
            </w:r>
            <w:r w:rsidRPr="00330234">
              <w:t xml:space="preserve"> (µg/ml)</w:t>
            </w:r>
          </w:p>
        </w:tc>
        <w:tc>
          <w:tcPr>
            <w:tcW w:w="2673" w:type="dxa"/>
          </w:tcPr>
          <w:p w14:paraId="691DA93A" w14:textId="77777777" w:rsidR="00436DAA" w:rsidRPr="00330234" w:rsidRDefault="009B4B8E" w:rsidP="00556703">
            <w:pPr>
              <w:pStyle w:val="TableParagraph"/>
              <w:widowControl/>
              <w:jc w:val="center"/>
            </w:pPr>
            <w:r w:rsidRPr="00330234">
              <w:t>21,7 ± 10,4</w:t>
            </w:r>
          </w:p>
        </w:tc>
        <w:tc>
          <w:tcPr>
            <w:tcW w:w="2674" w:type="dxa"/>
          </w:tcPr>
          <w:p w14:paraId="31F20AA9" w14:textId="77777777" w:rsidR="00436DAA" w:rsidRPr="00330234" w:rsidRDefault="009B4B8E" w:rsidP="00556703">
            <w:pPr>
              <w:pStyle w:val="TableParagraph"/>
              <w:widowControl/>
              <w:jc w:val="center"/>
            </w:pPr>
            <w:r w:rsidRPr="00330234">
              <w:t>45,5 ± 19,8</w:t>
            </w:r>
          </w:p>
        </w:tc>
      </w:tr>
      <w:tr w:rsidR="00436DAA" w:rsidRPr="00330234" w14:paraId="0EA6AF78" w14:textId="77777777" w:rsidTr="001B3E1E">
        <w:trPr>
          <w:trHeight w:val="20"/>
        </w:trPr>
        <w:tc>
          <w:tcPr>
            <w:tcW w:w="3719" w:type="dxa"/>
          </w:tcPr>
          <w:p w14:paraId="01A42709" w14:textId="77777777" w:rsidR="00436DAA" w:rsidRPr="00330234" w:rsidRDefault="009B4B8E" w:rsidP="00BD109B">
            <w:pPr>
              <w:pStyle w:val="TableParagraph"/>
              <w:widowControl/>
            </w:pPr>
            <w:r w:rsidRPr="00330234">
              <w:t>Accumulatie C</w:t>
            </w:r>
            <w:r w:rsidRPr="00330234">
              <w:rPr>
                <w:vertAlign w:val="subscript"/>
              </w:rPr>
              <w:t>max</w:t>
            </w:r>
          </w:p>
        </w:tc>
        <w:tc>
          <w:tcPr>
            <w:tcW w:w="2673" w:type="dxa"/>
          </w:tcPr>
          <w:p w14:paraId="117A3859" w14:textId="77777777" w:rsidR="00436DAA" w:rsidRPr="00330234" w:rsidRDefault="009B4B8E" w:rsidP="00556703">
            <w:pPr>
              <w:pStyle w:val="TableParagraph"/>
              <w:widowControl/>
              <w:jc w:val="center"/>
            </w:pPr>
            <w:r w:rsidRPr="00330234">
              <w:t>1,72</w:t>
            </w:r>
          </w:p>
        </w:tc>
        <w:tc>
          <w:tcPr>
            <w:tcW w:w="2674" w:type="dxa"/>
          </w:tcPr>
          <w:p w14:paraId="18D06B07" w14:textId="77777777" w:rsidR="00436DAA" w:rsidRPr="00330234" w:rsidRDefault="009B4B8E" w:rsidP="00556703">
            <w:pPr>
              <w:pStyle w:val="TableParagraph"/>
              <w:widowControl/>
              <w:jc w:val="center"/>
            </w:pPr>
            <w:r w:rsidRPr="00330234">
              <w:t>1,32</w:t>
            </w:r>
          </w:p>
        </w:tc>
      </w:tr>
      <w:tr w:rsidR="00436DAA" w:rsidRPr="00330234" w14:paraId="2A5FCE47" w14:textId="77777777" w:rsidTr="001B3E1E">
        <w:trPr>
          <w:trHeight w:val="20"/>
        </w:trPr>
        <w:tc>
          <w:tcPr>
            <w:tcW w:w="3719" w:type="dxa"/>
          </w:tcPr>
          <w:p w14:paraId="2BA6481A" w14:textId="77777777" w:rsidR="00436DAA" w:rsidRPr="00330234" w:rsidRDefault="009B4B8E" w:rsidP="00BD109B">
            <w:pPr>
              <w:pStyle w:val="TableParagraph"/>
              <w:widowControl/>
            </w:pPr>
            <w:r w:rsidRPr="00330234">
              <w:t>Accumulatie C</w:t>
            </w:r>
            <w:r w:rsidRPr="00330234">
              <w:rPr>
                <w:vertAlign w:val="subscript"/>
              </w:rPr>
              <w:t>min</w:t>
            </w:r>
          </w:p>
        </w:tc>
        <w:tc>
          <w:tcPr>
            <w:tcW w:w="2673" w:type="dxa"/>
          </w:tcPr>
          <w:p w14:paraId="2528E3CD" w14:textId="77777777" w:rsidR="00436DAA" w:rsidRPr="00330234" w:rsidRDefault="009B4B8E" w:rsidP="00556703">
            <w:pPr>
              <w:pStyle w:val="TableParagraph"/>
              <w:widowControl/>
              <w:jc w:val="center"/>
            </w:pPr>
            <w:r w:rsidRPr="00330234">
              <w:t>3,58</w:t>
            </w:r>
          </w:p>
        </w:tc>
        <w:tc>
          <w:tcPr>
            <w:tcW w:w="2674" w:type="dxa"/>
          </w:tcPr>
          <w:p w14:paraId="2CB80335" w14:textId="77777777" w:rsidR="00436DAA" w:rsidRPr="00330234" w:rsidRDefault="009B4B8E" w:rsidP="00556703">
            <w:pPr>
              <w:pStyle w:val="TableParagraph"/>
              <w:widowControl/>
              <w:jc w:val="center"/>
            </w:pPr>
            <w:r w:rsidRPr="00330234">
              <w:t>2,08</w:t>
            </w:r>
          </w:p>
        </w:tc>
      </w:tr>
      <w:tr w:rsidR="00436DAA" w:rsidRPr="00330234" w14:paraId="02667722" w14:textId="77777777" w:rsidTr="001B3E1E">
        <w:trPr>
          <w:trHeight w:val="20"/>
        </w:trPr>
        <w:tc>
          <w:tcPr>
            <w:tcW w:w="3719" w:type="dxa"/>
          </w:tcPr>
          <w:p w14:paraId="38793699" w14:textId="77777777" w:rsidR="00436DAA" w:rsidRPr="00330234" w:rsidRDefault="009B4B8E" w:rsidP="00BD109B">
            <w:pPr>
              <w:pStyle w:val="TableParagraph"/>
              <w:widowControl/>
            </w:pPr>
            <w:r w:rsidRPr="00330234">
              <w:t>Accumulatie C</w:t>
            </w:r>
            <w:r w:rsidRPr="00330234">
              <w:rPr>
                <w:vertAlign w:val="subscript"/>
              </w:rPr>
              <w:t>gemiddelde</w:t>
            </w:r>
            <w:r w:rsidRPr="00330234">
              <w:t xml:space="preserve"> of AUC</w:t>
            </w:r>
            <w:r w:rsidRPr="00330234">
              <w:rPr>
                <w:vertAlign w:val="subscript"/>
              </w:rPr>
              <w:t>τ</w:t>
            </w:r>
            <w:r w:rsidRPr="00330234">
              <w:t>*</w:t>
            </w:r>
          </w:p>
        </w:tc>
        <w:tc>
          <w:tcPr>
            <w:tcW w:w="2673" w:type="dxa"/>
          </w:tcPr>
          <w:p w14:paraId="1D3061A4" w14:textId="77777777" w:rsidR="00436DAA" w:rsidRPr="00330234" w:rsidRDefault="009B4B8E" w:rsidP="00556703">
            <w:pPr>
              <w:pStyle w:val="TableParagraph"/>
              <w:widowControl/>
              <w:jc w:val="center"/>
            </w:pPr>
            <w:r w:rsidRPr="00330234">
              <w:t>2,04</w:t>
            </w:r>
          </w:p>
        </w:tc>
        <w:tc>
          <w:tcPr>
            <w:tcW w:w="2674" w:type="dxa"/>
          </w:tcPr>
          <w:p w14:paraId="641E8879" w14:textId="77777777" w:rsidR="00436DAA" w:rsidRPr="00330234" w:rsidRDefault="009B4B8E" w:rsidP="00556703">
            <w:pPr>
              <w:pStyle w:val="TableParagraph"/>
              <w:widowControl/>
              <w:jc w:val="center"/>
            </w:pPr>
            <w:r w:rsidRPr="00330234">
              <w:t>1,46</w:t>
            </w:r>
          </w:p>
        </w:tc>
      </w:tr>
    </w:tbl>
    <w:p w14:paraId="2FF4F96B" w14:textId="03A0FB5A" w:rsidR="00436DAA" w:rsidRPr="00330234" w:rsidRDefault="009B4B8E" w:rsidP="004C0949">
      <w:pPr>
        <w:widowControl/>
        <w:ind w:left="284" w:hanging="284"/>
        <w:rPr>
          <w:sz w:val="18"/>
          <w:szCs w:val="18"/>
        </w:rPr>
      </w:pPr>
      <w:r w:rsidRPr="00330234">
        <w:rPr>
          <w:sz w:val="18"/>
          <w:szCs w:val="18"/>
        </w:rPr>
        <w:t>*</w:t>
      </w:r>
      <w:r w:rsidR="004C0949" w:rsidRPr="00330234">
        <w:rPr>
          <w:sz w:val="18"/>
          <w:szCs w:val="18"/>
        </w:rPr>
        <w:tab/>
      </w:r>
      <w:r w:rsidRPr="00330234">
        <w:rPr>
          <w:sz w:val="18"/>
          <w:szCs w:val="18"/>
        </w:rPr>
        <w:t>τ = 2 of 3 weken voor de 2 subcutane regimes</w:t>
      </w:r>
    </w:p>
    <w:p w14:paraId="38239A87" w14:textId="77777777" w:rsidR="00556703" w:rsidRPr="00330234" w:rsidRDefault="00556703" w:rsidP="00BD109B">
      <w:pPr>
        <w:pStyle w:val="a3"/>
        <w:widowControl/>
        <w:ind w:left="0"/>
      </w:pPr>
    </w:p>
    <w:p w14:paraId="64113BD6" w14:textId="21246589" w:rsidR="00436DAA" w:rsidRPr="00330234" w:rsidRDefault="009B4B8E" w:rsidP="00BD109B">
      <w:pPr>
        <w:pStyle w:val="a3"/>
        <w:widowControl/>
        <w:ind w:left="0"/>
      </w:pPr>
      <w:r w:rsidRPr="00330234">
        <w:t>Na intraveneuze toediening was ongeveer 90% van de steady-state bereikt na 12 weken voor de dosering van 10 mg/kg (gewicht minder dan 30 kg) en na 16 weken voor de dosering van 8 mg/kg (gewicht 30 kg of meer). Na subcutane toediening was ongeveer 90% van de steady-state bereikt na 12</w:t>
      </w:r>
      <w:r w:rsidR="00556703" w:rsidRPr="00330234">
        <w:t> </w:t>
      </w:r>
      <w:r w:rsidRPr="00330234">
        <w:t>weken voor zowel het Q2W als het Q3W subcutane 162 mg-regime.</w:t>
      </w:r>
    </w:p>
    <w:p w14:paraId="043179E8" w14:textId="77777777" w:rsidR="00436DAA" w:rsidRPr="00330234" w:rsidRDefault="00436DAA" w:rsidP="00BD109B">
      <w:pPr>
        <w:pStyle w:val="a3"/>
        <w:widowControl/>
        <w:ind w:left="0"/>
      </w:pPr>
    </w:p>
    <w:p w14:paraId="791E61BD" w14:textId="77777777" w:rsidR="00436DAA" w:rsidRPr="00330234" w:rsidRDefault="009B4B8E" w:rsidP="00556703">
      <w:pPr>
        <w:pStyle w:val="a3"/>
        <w:keepNext/>
        <w:keepLines/>
        <w:widowControl/>
        <w:ind w:left="0"/>
      </w:pPr>
      <w:r w:rsidRPr="00330234">
        <w:rPr>
          <w:u w:val="single"/>
        </w:rPr>
        <w:lastRenderedPageBreak/>
        <w:t>Absorptie</w:t>
      </w:r>
    </w:p>
    <w:p w14:paraId="1D989329" w14:textId="77777777" w:rsidR="00436DAA" w:rsidRPr="00330234" w:rsidRDefault="009B4B8E" w:rsidP="001B3E1E">
      <w:pPr>
        <w:pStyle w:val="a3"/>
        <w:widowControl/>
        <w:ind w:left="0"/>
      </w:pPr>
      <w:r w:rsidRPr="00330234">
        <w:t>Na subcutane toediening bij pJIA-patiënten was de absorptiehalfwaardetijd rond de 2 dagen en de biologische beschikbaarheid van de subcutane formulering bij pJIA-patiënten was 96%.</w:t>
      </w:r>
    </w:p>
    <w:p w14:paraId="268D21DA" w14:textId="77777777" w:rsidR="00556703" w:rsidRPr="00330234" w:rsidRDefault="00556703" w:rsidP="00BD109B">
      <w:pPr>
        <w:pStyle w:val="a3"/>
        <w:widowControl/>
        <w:ind w:left="0"/>
      </w:pPr>
    </w:p>
    <w:p w14:paraId="01525D59" w14:textId="77777777" w:rsidR="00436DAA" w:rsidRPr="00330234" w:rsidRDefault="009B4B8E" w:rsidP="00BD109B">
      <w:pPr>
        <w:pStyle w:val="a3"/>
        <w:widowControl/>
        <w:ind w:left="0"/>
      </w:pPr>
      <w:r w:rsidRPr="00330234">
        <w:rPr>
          <w:u w:val="single"/>
        </w:rPr>
        <w:t>Distributie</w:t>
      </w:r>
    </w:p>
    <w:p w14:paraId="4FD3BD74" w14:textId="77777777" w:rsidR="00436DAA" w:rsidRPr="00330234" w:rsidRDefault="009B4B8E" w:rsidP="00BD109B">
      <w:pPr>
        <w:pStyle w:val="a3"/>
        <w:widowControl/>
        <w:ind w:left="0"/>
      </w:pPr>
      <w:r w:rsidRPr="00330234">
        <w:t>Bij pediatrische patiënten met pJIA was het centrale verdelingsvolume 1,97 l en het perifere verdelingsvolume 2,03 l, resulterend in een steady-state verdelingsvolume van 4,0 l.</w:t>
      </w:r>
    </w:p>
    <w:p w14:paraId="4C909DD8" w14:textId="77777777" w:rsidR="00436DAA" w:rsidRPr="00330234" w:rsidRDefault="00436DAA" w:rsidP="00BD109B">
      <w:pPr>
        <w:widowControl/>
      </w:pPr>
    </w:p>
    <w:p w14:paraId="74D50D06" w14:textId="77777777" w:rsidR="00436DAA" w:rsidRPr="00330234" w:rsidRDefault="009B4B8E" w:rsidP="00BD109B">
      <w:pPr>
        <w:pStyle w:val="a3"/>
        <w:widowControl/>
        <w:ind w:left="0"/>
      </w:pPr>
      <w:r w:rsidRPr="00330234">
        <w:rPr>
          <w:u w:val="single"/>
        </w:rPr>
        <w:t>Eliminatie</w:t>
      </w:r>
    </w:p>
    <w:p w14:paraId="2C619412" w14:textId="77777777" w:rsidR="00436DAA" w:rsidRPr="00330234" w:rsidRDefault="009B4B8E" w:rsidP="00BD109B">
      <w:pPr>
        <w:pStyle w:val="a3"/>
        <w:widowControl/>
        <w:ind w:left="0"/>
      </w:pPr>
      <w:r w:rsidRPr="00330234">
        <w:t>Bij pJIA-patiënten liet farmacokinetische populatieanalyse zien dat lichaamsgrootte impact heeft op de lineaire klaring, daarom moet rekening worden gehouden met de dosering op basis van lichaamsgewicht (zie tabel 9).</w:t>
      </w:r>
    </w:p>
    <w:p w14:paraId="367A37CD" w14:textId="77777777" w:rsidR="00436DAA" w:rsidRPr="00330234" w:rsidRDefault="00436DAA" w:rsidP="00BD109B">
      <w:pPr>
        <w:pStyle w:val="a3"/>
        <w:widowControl/>
        <w:ind w:left="0"/>
      </w:pPr>
    </w:p>
    <w:p w14:paraId="09BB9555" w14:textId="22DF9B54" w:rsidR="00436DAA" w:rsidRPr="00330234" w:rsidRDefault="009B4B8E" w:rsidP="00BD109B">
      <w:pPr>
        <w:pStyle w:val="a3"/>
        <w:widowControl/>
        <w:ind w:left="0"/>
      </w:pPr>
      <w:r w:rsidRPr="00330234">
        <w:t>Na subcutane toediening bij pJIA-patiënten is de effectieve t</w:t>
      </w:r>
      <w:r w:rsidRPr="00330234">
        <w:rPr>
          <w:vertAlign w:val="subscript"/>
        </w:rPr>
        <w:t>1/2</w:t>
      </w:r>
      <w:r w:rsidRPr="00330234">
        <w:t xml:space="preserve"> van </w:t>
      </w:r>
      <w:r w:rsidR="005A695D" w:rsidRPr="00330234">
        <w:t>tocilizumab</w:t>
      </w:r>
      <w:r w:rsidRPr="00330234">
        <w:t xml:space="preserve"> tot 10 dagen voor patiënten die minder dan 30 kg wegen (162 mg Q3W regime) en tot 7 dagen voor patiënten die 30 kg of meer wegen (162 mg Q2W regime) gedurende een doseringsinterval in steady-state. Na intraveneuze toediening ondergaat tocilizumab een bifasische eliminatie vanuit de circulatie. De totale klaring van tocilizumab was concentratieafhankelijk en is de som van de lineaire klaring en de niet- lineaire klaring. De lineaire klaring is geschat als parameter in de farmacokinetische populatieanalyse en was 6,25 ml/uur. De concentratieafhankelijke niet-lineaire klaring speelt een belangrijke rol bij lagere tocilizumab-concentraties. Zodra de niet-lineaire klaringsroute verzadigd is, bij hogere concentraties tocilizumab, verloopt de klaring voornamelijk lineair.</w:t>
      </w:r>
    </w:p>
    <w:p w14:paraId="08BD9C58" w14:textId="77777777" w:rsidR="00556703" w:rsidRPr="00330234" w:rsidRDefault="00556703" w:rsidP="00BD109B">
      <w:pPr>
        <w:pStyle w:val="a3"/>
        <w:widowControl/>
        <w:ind w:left="0"/>
      </w:pPr>
    </w:p>
    <w:p w14:paraId="7C5C99E5" w14:textId="77777777" w:rsidR="00436DAA" w:rsidRPr="00330234" w:rsidRDefault="009B4B8E" w:rsidP="00BD109B">
      <w:pPr>
        <w:pStyle w:val="a3"/>
        <w:widowControl/>
        <w:ind w:left="0"/>
      </w:pPr>
      <w:r w:rsidRPr="00330234">
        <w:rPr>
          <w:u w:val="single"/>
        </w:rPr>
        <w:t>GCA</w:t>
      </w:r>
    </w:p>
    <w:p w14:paraId="0788D2FE" w14:textId="77777777" w:rsidR="00436DAA" w:rsidRPr="00330234" w:rsidRDefault="009B4B8E" w:rsidP="00BD109B">
      <w:pPr>
        <w:pStyle w:val="a3"/>
        <w:widowControl/>
        <w:ind w:left="0"/>
      </w:pPr>
      <w:r w:rsidRPr="00330234">
        <w:rPr>
          <w:u w:val="single"/>
        </w:rPr>
        <w:t>Subcutaan gebruik</w:t>
      </w:r>
    </w:p>
    <w:p w14:paraId="271303DC" w14:textId="51B92ED0" w:rsidR="00436DAA" w:rsidRPr="00330234" w:rsidRDefault="009B4B8E" w:rsidP="00BD109B">
      <w:pPr>
        <w:pStyle w:val="a3"/>
        <w:widowControl/>
        <w:ind w:left="0"/>
      </w:pPr>
      <w:r w:rsidRPr="00330234">
        <w:t xml:space="preserve">De PK van </w:t>
      </w:r>
      <w:r w:rsidR="005A695D" w:rsidRPr="00330234">
        <w:t>tocilizumab</w:t>
      </w:r>
      <w:r w:rsidRPr="00330234">
        <w:t xml:space="preserve"> bij GCA-patiënten werd bepaald met behulp van een PK-populatiemodel van een analysedataset bestaande uit 149 GCA-patiënten die wekelijks met 162 mg subcutaan </w:t>
      </w:r>
      <w:r w:rsidR="000A7E61" w:rsidRPr="00330234">
        <w:t>tocilizumab</w:t>
      </w:r>
      <w:r w:rsidRPr="00330234">
        <w:t xml:space="preserve"> of om de week met 162 mg subcutaan </w:t>
      </w:r>
      <w:r w:rsidR="000A7E61" w:rsidRPr="00330234">
        <w:t>tocilizumab</w:t>
      </w:r>
      <w:r w:rsidRPr="00330234">
        <w:t xml:space="preserve"> behandeld werden. Het ontwikkelingsmodel had dezelfde structuur als het PK-populatiemodel dat eerder gemaakt was gebaseerd op de data van RA- patiënten (zie tabel 10).</w:t>
      </w:r>
    </w:p>
    <w:p w14:paraId="1F87E17F" w14:textId="77777777" w:rsidR="00436DAA" w:rsidRPr="00330234" w:rsidRDefault="00436DAA" w:rsidP="00BD109B">
      <w:pPr>
        <w:pStyle w:val="a3"/>
        <w:widowControl/>
        <w:ind w:left="0"/>
      </w:pPr>
    </w:p>
    <w:p w14:paraId="3AE27F0F" w14:textId="0B3D434F" w:rsidR="00436DAA" w:rsidRPr="00330234" w:rsidRDefault="009B4B8E" w:rsidP="004C0949">
      <w:pPr>
        <w:widowControl/>
        <w:ind w:left="1134" w:hanging="1134"/>
        <w:rPr>
          <w:i/>
        </w:rPr>
      </w:pPr>
      <w:r w:rsidRPr="00330234">
        <w:rPr>
          <w:i/>
        </w:rPr>
        <w:t>Tabel 10.</w:t>
      </w:r>
      <w:r w:rsidR="004C0949" w:rsidRPr="00330234">
        <w:rPr>
          <w:i/>
        </w:rPr>
        <w:tab/>
      </w:r>
      <w:r w:rsidRPr="00330234">
        <w:rPr>
          <w:i/>
        </w:rPr>
        <w:t>Voorspelde gemiddelde ± SD PK-parameters bij steady-state na subcutane toediening bij GCA</w:t>
      </w:r>
    </w:p>
    <w:p w14:paraId="1E312596" w14:textId="77777777" w:rsidR="00436DAA" w:rsidRPr="00330234" w:rsidRDefault="00436DAA" w:rsidP="00BD109B">
      <w:pPr>
        <w:pStyle w:val="a3"/>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5"/>
        <w:gridCol w:w="2729"/>
        <w:gridCol w:w="2632"/>
      </w:tblGrid>
      <w:tr w:rsidR="00436DAA" w:rsidRPr="00330234" w14:paraId="25E84B9C" w14:textId="77777777" w:rsidTr="00556703">
        <w:trPr>
          <w:trHeight w:val="20"/>
        </w:trPr>
        <w:tc>
          <w:tcPr>
            <w:tcW w:w="3705" w:type="dxa"/>
          </w:tcPr>
          <w:p w14:paraId="5E7BBBBD" w14:textId="77777777" w:rsidR="00436DAA" w:rsidRPr="00330234" w:rsidRDefault="00436DAA" w:rsidP="00BD109B">
            <w:pPr>
              <w:pStyle w:val="TableParagraph"/>
              <w:widowControl/>
            </w:pPr>
          </w:p>
        </w:tc>
        <w:tc>
          <w:tcPr>
            <w:tcW w:w="5361" w:type="dxa"/>
            <w:gridSpan w:val="2"/>
          </w:tcPr>
          <w:p w14:paraId="4BDE301B" w14:textId="77777777" w:rsidR="00436DAA" w:rsidRPr="00330234" w:rsidRDefault="009B4B8E" w:rsidP="00556703">
            <w:pPr>
              <w:pStyle w:val="TableParagraph"/>
              <w:widowControl/>
              <w:jc w:val="center"/>
              <w:rPr>
                <w:b/>
              </w:rPr>
            </w:pPr>
            <w:r w:rsidRPr="00330234">
              <w:rPr>
                <w:b/>
              </w:rPr>
              <w:t>Subcutaan</w:t>
            </w:r>
          </w:p>
        </w:tc>
      </w:tr>
      <w:tr w:rsidR="00436DAA" w:rsidRPr="00330234" w14:paraId="2D0749C7" w14:textId="77777777" w:rsidTr="00556703">
        <w:trPr>
          <w:trHeight w:val="20"/>
        </w:trPr>
        <w:tc>
          <w:tcPr>
            <w:tcW w:w="3705" w:type="dxa"/>
          </w:tcPr>
          <w:p w14:paraId="5BA9644E" w14:textId="77777777" w:rsidR="00436DAA" w:rsidRPr="00330234" w:rsidRDefault="009B4B8E" w:rsidP="00BD109B">
            <w:pPr>
              <w:pStyle w:val="TableParagraph"/>
              <w:widowControl/>
              <w:rPr>
                <w:b/>
              </w:rPr>
            </w:pPr>
            <w:r w:rsidRPr="00330234">
              <w:rPr>
                <w:b/>
              </w:rPr>
              <w:t>Tocilizumab PK-parameter</w:t>
            </w:r>
          </w:p>
        </w:tc>
        <w:tc>
          <w:tcPr>
            <w:tcW w:w="2729" w:type="dxa"/>
          </w:tcPr>
          <w:p w14:paraId="0C79ECDD" w14:textId="77777777" w:rsidR="00436DAA" w:rsidRPr="00330234" w:rsidRDefault="009B4B8E" w:rsidP="00556703">
            <w:pPr>
              <w:pStyle w:val="TableParagraph"/>
              <w:widowControl/>
              <w:jc w:val="center"/>
              <w:rPr>
                <w:b/>
              </w:rPr>
            </w:pPr>
            <w:r w:rsidRPr="00330234">
              <w:rPr>
                <w:b/>
              </w:rPr>
              <w:t>162 mg om de week</w:t>
            </w:r>
          </w:p>
        </w:tc>
        <w:tc>
          <w:tcPr>
            <w:tcW w:w="2632" w:type="dxa"/>
          </w:tcPr>
          <w:p w14:paraId="3C809CAC" w14:textId="77777777" w:rsidR="00436DAA" w:rsidRPr="00330234" w:rsidRDefault="009B4B8E" w:rsidP="00556703">
            <w:pPr>
              <w:pStyle w:val="TableParagraph"/>
              <w:widowControl/>
              <w:jc w:val="center"/>
              <w:rPr>
                <w:b/>
              </w:rPr>
            </w:pPr>
            <w:r w:rsidRPr="00330234">
              <w:rPr>
                <w:b/>
              </w:rPr>
              <w:t>162 mg wekelijks</w:t>
            </w:r>
          </w:p>
        </w:tc>
      </w:tr>
      <w:tr w:rsidR="00436DAA" w:rsidRPr="00330234" w14:paraId="6D826910" w14:textId="77777777" w:rsidTr="00556703">
        <w:trPr>
          <w:trHeight w:val="20"/>
        </w:trPr>
        <w:tc>
          <w:tcPr>
            <w:tcW w:w="3705" w:type="dxa"/>
          </w:tcPr>
          <w:p w14:paraId="0BA6223A" w14:textId="77777777" w:rsidR="00436DAA" w:rsidRPr="00330234" w:rsidRDefault="009B4B8E" w:rsidP="00BD109B">
            <w:pPr>
              <w:pStyle w:val="TableParagraph"/>
              <w:widowControl/>
            </w:pPr>
            <w:r w:rsidRPr="00330234">
              <w:t>C</w:t>
            </w:r>
            <w:r w:rsidRPr="00330234">
              <w:rPr>
                <w:vertAlign w:val="subscript"/>
              </w:rPr>
              <w:t>max</w:t>
            </w:r>
            <w:r w:rsidRPr="00330234">
              <w:t xml:space="preserve"> (µg/ml)</w:t>
            </w:r>
          </w:p>
        </w:tc>
        <w:tc>
          <w:tcPr>
            <w:tcW w:w="2729" w:type="dxa"/>
          </w:tcPr>
          <w:p w14:paraId="7F7BB0C1" w14:textId="77777777" w:rsidR="00436DAA" w:rsidRPr="00330234" w:rsidRDefault="009B4B8E" w:rsidP="00556703">
            <w:pPr>
              <w:pStyle w:val="TableParagraph"/>
              <w:widowControl/>
              <w:jc w:val="center"/>
            </w:pPr>
            <w:r w:rsidRPr="00330234">
              <w:t>19,3 ± 12,8</w:t>
            </w:r>
          </w:p>
        </w:tc>
        <w:tc>
          <w:tcPr>
            <w:tcW w:w="2632" w:type="dxa"/>
          </w:tcPr>
          <w:p w14:paraId="4738EA54" w14:textId="77777777" w:rsidR="00436DAA" w:rsidRPr="00330234" w:rsidRDefault="009B4B8E" w:rsidP="00556703">
            <w:pPr>
              <w:pStyle w:val="TableParagraph"/>
              <w:widowControl/>
              <w:jc w:val="center"/>
            </w:pPr>
            <w:r w:rsidRPr="00330234">
              <w:t>73 ± 30,4</w:t>
            </w:r>
          </w:p>
        </w:tc>
      </w:tr>
      <w:tr w:rsidR="00436DAA" w:rsidRPr="00330234" w14:paraId="2B5ACA05" w14:textId="77777777" w:rsidTr="00556703">
        <w:trPr>
          <w:trHeight w:val="20"/>
        </w:trPr>
        <w:tc>
          <w:tcPr>
            <w:tcW w:w="3705" w:type="dxa"/>
          </w:tcPr>
          <w:p w14:paraId="3F056EC4" w14:textId="77777777" w:rsidR="00436DAA" w:rsidRPr="00330234" w:rsidRDefault="009B4B8E" w:rsidP="00BD109B">
            <w:pPr>
              <w:pStyle w:val="TableParagraph"/>
              <w:widowControl/>
            </w:pPr>
            <w:r w:rsidRPr="00330234">
              <w:t>C</w:t>
            </w:r>
            <w:r w:rsidRPr="00330234">
              <w:rPr>
                <w:vertAlign w:val="subscript"/>
              </w:rPr>
              <w:t>min</w:t>
            </w:r>
            <w:r w:rsidRPr="00330234">
              <w:t xml:space="preserve"> (µg/ml)</w:t>
            </w:r>
          </w:p>
        </w:tc>
        <w:tc>
          <w:tcPr>
            <w:tcW w:w="2729" w:type="dxa"/>
          </w:tcPr>
          <w:p w14:paraId="4E773B08" w14:textId="77777777" w:rsidR="00436DAA" w:rsidRPr="00330234" w:rsidRDefault="009B4B8E" w:rsidP="00556703">
            <w:pPr>
              <w:pStyle w:val="TableParagraph"/>
              <w:widowControl/>
              <w:jc w:val="center"/>
            </w:pPr>
            <w:r w:rsidRPr="00330234">
              <w:t>11,1 ± 10,3</w:t>
            </w:r>
          </w:p>
        </w:tc>
        <w:tc>
          <w:tcPr>
            <w:tcW w:w="2632" w:type="dxa"/>
          </w:tcPr>
          <w:p w14:paraId="4F2075FA" w14:textId="1B3EC64E" w:rsidR="00436DAA" w:rsidRPr="00330234" w:rsidRDefault="009B4B8E" w:rsidP="00556703">
            <w:pPr>
              <w:pStyle w:val="TableParagraph"/>
              <w:widowControl/>
              <w:jc w:val="center"/>
            </w:pPr>
            <w:r w:rsidRPr="00330234">
              <w:t>68,1</w:t>
            </w:r>
            <w:r w:rsidR="00A77368" w:rsidRPr="00330234">
              <w:rPr>
                <w:rFonts w:eastAsia="SimSun"/>
                <w:lang w:eastAsia="zh-CN"/>
              </w:rPr>
              <w:t xml:space="preserve"> </w:t>
            </w:r>
            <w:r w:rsidRPr="00330234">
              <w:t>± 29,5</w:t>
            </w:r>
          </w:p>
        </w:tc>
      </w:tr>
      <w:tr w:rsidR="00436DAA" w:rsidRPr="00330234" w14:paraId="4D5EA908" w14:textId="77777777" w:rsidTr="00556703">
        <w:trPr>
          <w:trHeight w:val="20"/>
        </w:trPr>
        <w:tc>
          <w:tcPr>
            <w:tcW w:w="3705" w:type="dxa"/>
          </w:tcPr>
          <w:p w14:paraId="5504DF42" w14:textId="77777777" w:rsidR="00436DAA" w:rsidRPr="00330234" w:rsidRDefault="009B4B8E" w:rsidP="00BD109B">
            <w:pPr>
              <w:pStyle w:val="TableParagraph"/>
              <w:widowControl/>
            </w:pPr>
            <w:r w:rsidRPr="00330234">
              <w:t>C</w:t>
            </w:r>
            <w:r w:rsidRPr="00330234">
              <w:rPr>
                <w:vertAlign w:val="subscript"/>
              </w:rPr>
              <w:t>gemiddelde</w:t>
            </w:r>
            <w:r w:rsidRPr="00330234">
              <w:t xml:space="preserve"> (µg/ml)</w:t>
            </w:r>
          </w:p>
        </w:tc>
        <w:tc>
          <w:tcPr>
            <w:tcW w:w="2729" w:type="dxa"/>
          </w:tcPr>
          <w:p w14:paraId="36F5BEB8" w14:textId="77777777" w:rsidR="00436DAA" w:rsidRPr="00330234" w:rsidRDefault="009B4B8E" w:rsidP="00556703">
            <w:pPr>
              <w:pStyle w:val="TableParagraph"/>
              <w:widowControl/>
              <w:jc w:val="center"/>
            </w:pPr>
            <w:r w:rsidRPr="00330234">
              <w:t>16,2 ± 11,8</w:t>
            </w:r>
          </w:p>
        </w:tc>
        <w:tc>
          <w:tcPr>
            <w:tcW w:w="2632" w:type="dxa"/>
          </w:tcPr>
          <w:p w14:paraId="0CA26739" w14:textId="77777777" w:rsidR="00436DAA" w:rsidRPr="00330234" w:rsidRDefault="009B4B8E" w:rsidP="00556703">
            <w:pPr>
              <w:pStyle w:val="TableParagraph"/>
              <w:widowControl/>
              <w:jc w:val="center"/>
            </w:pPr>
            <w:r w:rsidRPr="00330234">
              <w:t>71,3 ± 30,1</w:t>
            </w:r>
          </w:p>
        </w:tc>
      </w:tr>
      <w:tr w:rsidR="00436DAA" w:rsidRPr="00330234" w14:paraId="78CCA854" w14:textId="77777777" w:rsidTr="00556703">
        <w:trPr>
          <w:trHeight w:val="20"/>
        </w:trPr>
        <w:tc>
          <w:tcPr>
            <w:tcW w:w="3705" w:type="dxa"/>
          </w:tcPr>
          <w:p w14:paraId="43878201" w14:textId="77777777" w:rsidR="00436DAA" w:rsidRPr="00330234" w:rsidRDefault="009B4B8E" w:rsidP="00BD109B">
            <w:pPr>
              <w:pStyle w:val="TableParagraph"/>
              <w:widowControl/>
            </w:pPr>
            <w:r w:rsidRPr="00330234">
              <w:t>Accumulatie C</w:t>
            </w:r>
            <w:r w:rsidRPr="00330234">
              <w:rPr>
                <w:vertAlign w:val="subscript"/>
              </w:rPr>
              <w:t>max</w:t>
            </w:r>
          </w:p>
        </w:tc>
        <w:tc>
          <w:tcPr>
            <w:tcW w:w="2729" w:type="dxa"/>
          </w:tcPr>
          <w:p w14:paraId="409341FF" w14:textId="77777777" w:rsidR="00436DAA" w:rsidRPr="00330234" w:rsidRDefault="009B4B8E" w:rsidP="00556703">
            <w:pPr>
              <w:pStyle w:val="TableParagraph"/>
              <w:widowControl/>
              <w:jc w:val="center"/>
            </w:pPr>
            <w:r w:rsidRPr="00330234">
              <w:t>2,18</w:t>
            </w:r>
          </w:p>
        </w:tc>
        <w:tc>
          <w:tcPr>
            <w:tcW w:w="2632" w:type="dxa"/>
          </w:tcPr>
          <w:p w14:paraId="6C57A11C" w14:textId="77777777" w:rsidR="00436DAA" w:rsidRPr="00330234" w:rsidRDefault="009B4B8E" w:rsidP="00556703">
            <w:pPr>
              <w:pStyle w:val="TableParagraph"/>
              <w:widowControl/>
              <w:jc w:val="center"/>
            </w:pPr>
            <w:r w:rsidRPr="00330234">
              <w:t>8,88</w:t>
            </w:r>
          </w:p>
        </w:tc>
      </w:tr>
      <w:tr w:rsidR="00436DAA" w:rsidRPr="00330234" w14:paraId="3882C17B" w14:textId="77777777" w:rsidTr="00556703">
        <w:trPr>
          <w:trHeight w:val="20"/>
        </w:trPr>
        <w:tc>
          <w:tcPr>
            <w:tcW w:w="3705" w:type="dxa"/>
          </w:tcPr>
          <w:p w14:paraId="5E6293C7" w14:textId="77777777" w:rsidR="00436DAA" w:rsidRPr="00330234" w:rsidRDefault="009B4B8E" w:rsidP="00BD109B">
            <w:pPr>
              <w:pStyle w:val="TableParagraph"/>
              <w:widowControl/>
            </w:pPr>
            <w:r w:rsidRPr="00330234">
              <w:t>Accumulatie C</w:t>
            </w:r>
            <w:r w:rsidRPr="00330234">
              <w:rPr>
                <w:vertAlign w:val="subscript"/>
              </w:rPr>
              <w:t>min</w:t>
            </w:r>
          </w:p>
        </w:tc>
        <w:tc>
          <w:tcPr>
            <w:tcW w:w="2729" w:type="dxa"/>
          </w:tcPr>
          <w:p w14:paraId="06CC1D7A" w14:textId="77777777" w:rsidR="00436DAA" w:rsidRPr="00330234" w:rsidRDefault="009B4B8E" w:rsidP="00556703">
            <w:pPr>
              <w:pStyle w:val="TableParagraph"/>
              <w:widowControl/>
              <w:jc w:val="center"/>
            </w:pPr>
            <w:r w:rsidRPr="00330234">
              <w:t>5,61</w:t>
            </w:r>
          </w:p>
        </w:tc>
        <w:tc>
          <w:tcPr>
            <w:tcW w:w="2632" w:type="dxa"/>
          </w:tcPr>
          <w:p w14:paraId="5F937F2D" w14:textId="77777777" w:rsidR="00436DAA" w:rsidRPr="00330234" w:rsidRDefault="009B4B8E" w:rsidP="00556703">
            <w:pPr>
              <w:pStyle w:val="TableParagraph"/>
              <w:widowControl/>
              <w:jc w:val="center"/>
            </w:pPr>
            <w:r w:rsidRPr="00330234">
              <w:t>9,59</w:t>
            </w:r>
          </w:p>
        </w:tc>
      </w:tr>
      <w:tr w:rsidR="00436DAA" w:rsidRPr="00330234" w14:paraId="07261BE3" w14:textId="77777777" w:rsidTr="00556703">
        <w:trPr>
          <w:trHeight w:val="20"/>
        </w:trPr>
        <w:tc>
          <w:tcPr>
            <w:tcW w:w="3705" w:type="dxa"/>
          </w:tcPr>
          <w:p w14:paraId="0B456740" w14:textId="77777777" w:rsidR="00436DAA" w:rsidRPr="00330234" w:rsidRDefault="009B4B8E" w:rsidP="00BD109B">
            <w:pPr>
              <w:pStyle w:val="TableParagraph"/>
              <w:widowControl/>
            </w:pPr>
            <w:r w:rsidRPr="00330234">
              <w:t>Accumulatie C</w:t>
            </w:r>
            <w:r w:rsidRPr="00330234">
              <w:rPr>
                <w:vertAlign w:val="subscript"/>
              </w:rPr>
              <w:t>gemiddelde</w:t>
            </w:r>
            <w:r w:rsidRPr="00330234">
              <w:t xml:space="preserve"> of AUC</w:t>
            </w:r>
            <w:r w:rsidRPr="00330234">
              <w:rPr>
                <w:vertAlign w:val="subscript"/>
              </w:rPr>
              <w:t>τ</w:t>
            </w:r>
            <w:r w:rsidRPr="00330234">
              <w:t>*</w:t>
            </w:r>
          </w:p>
        </w:tc>
        <w:tc>
          <w:tcPr>
            <w:tcW w:w="2729" w:type="dxa"/>
          </w:tcPr>
          <w:p w14:paraId="0096B462" w14:textId="77777777" w:rsidR="00436DAA" w:rsidRPr="00330234" w:rsidRDefault="009B4B8E" w:rsidP="00556703">
            <w:pPr>
              <w:pStyle w:val="TableParagraph"/>
              <w:widowControl/>
              <w:jc w:val="center"/>
            </w:pPr>
            <w:r w:rsidRPr="00330234">
              <w:t>2,81</w:t>
            </w:r>
          </w:p>
        </w:tc>
        <w:tc>
          <w:tcPr>
            <w:tcW w:w="2632" w:type="dxa"/>
          </w:tcPr>
          <w:p w14:paraId="3092B492" w14:textId="77777777" w:rsidR="00436DAA" w:rsidRPr="00330234" w:rsidRDefault="009B4B8E" w:rsidP="00556703">
            <w:pPr>
              <w:pStyle w:val="TableParagraph"/>
              <w:widowControl/>
              <w:jc w:val="center"/>
            </w:pPr>
            <w:r w:rsidRPr="00330234">
              <w:t>10,91</w:t>
            </w:r>
          </w:p>
        </w:tc>
      </w:tr>
    </w:tbl>
    <w:p w14:paraId="5C088015" w14:textId="68BF2AC7" w:rsidR="00436DAA" w:rsidRPr="00330234" w:rsidRDefault="009B4B8E" w:rsidP="004C0949">
      <w:pPr>
        <w:widowControl/>
        <w:ind w:left="284" w:hanging="284"/>
        <w:rPr>
          <w:sz w:val="18"/>
          <w:szCs w:val="18"/>
        </w:rPr>
      </w:pPr>
      <w:r w:rsidRPr="00330234">
        <w:rPr>
          <w:sz w:val="18"/>
          <w:szCs w:val="18"/>
        </w:rPr>
        <w:t>*</w:t>
      </w:r>
      <w:r w:rsidR="004C0949" w:rsidRPr="00330234">
        <w:rPr>
          <w:sz w:val="18"/>
          <w:szCs w:val="18"/>
        </w:rPr>
        <w:tab/>
      </w:r>
      <w:r w:rsidR="004C0949" w:rsidRPr="00330234">
        <w:rPr>
          <w:sz w:val="18"/>
          <w:szCs w:val="18"/>
        </w:rPr>
        <w:tab/>
      </w:r>
      <w:r w:rsidR="004C0949" w:rsidRPr="00330234">
        <w:rPr>
          <w:sz w:val="18"/>
          <w:szCs w:val="18"/>
        </w:rPr>
        <w:tab/>
      </w:r>
      <w:r w:rsidRPr="00330234">
        <w:rPr>
          <w:sz w:val="18"/>
          <w:szCs w:val="18"/>
        </w:rPr>
        <w:t>τ = 2 weken of 1 week voor de twee subcutane doseringsregimes</w:t>
      </w:r>
    </w:p>
    <w:p w14:paraId="4D26990E" w14:textId="77777777" w:rsidR="00436DAA" w:rsidRPr="00330234" w:rsidRDefault="00436DAA" w:rsidP="00BD109B">
      <w:pPr>
        <w:pStyle w:val="a3"/>
        <w:widowControl/>
        <w:ind w:left="0"/>
      </w:pPr>
    </w:p>
    <w:p w14:paraId="5CCA9423" w14:textId="357E183D" w:rsidR="00436DAA" w:rsidRPr="00330234" w:rsidRDefault="009B4B8E" w:rsidP="00BD109B">
      <w:pPr>
        <w:pStyle w:val="a3"/>
        <w:widowControl/>
        <w:ind w:left="0"/>
      </w:pPr>
      <w:r w:rsidRPr="00330234">
        <w:t xml:space="preserve">Het steady-state profiel na de wekelijkse dosis </w:t>
      </w:r>
      <w:r w:rsidR="005A695D" w:rsidRPr="00330234">
        <w:t>tocilizumab</w:t>
      </w:r>
      <w:r w:rsidRPr="00330234">
        <w:t xml:space="preserve"> was vrijwel vlak, met erg kleine schommelingen tussen de dal- en piekwaarden, terwijl er substantiële schommelingen waren voor de om de week toegediende dosis </w:t>
      </w:r>
      <w:r w:rsidR="005A695D" w:rsidRPr="00330234">
        <w:t>tocilizumab</w:t>
      </w:r>
      <w:r w:rsidRPr="00330234">
        <w:t>. Ongeveer 90% van de steady-state (AUC</w:t>
      </w:r>
      <w:r w:rsidRPr="00330234">
        <w:rPr>
          <w:vertAlign w:val="subscript"/>
        </w:rPr>
        <w:t>τ</w:t>
      </w:r>
      <w:r w:rsidRPr="00330234">
        <w:t>) was in week 14</w:t>
      </w:r>
      <w:r w:rsidR="00856751" w:rsidRPr="00330234">
        <w:t> </w:t>
      </w:r>
      <w:r w:rsidRPr="00330234">
        <w:t>bereikt voor de groep met toediening om de week en in week 17 voor de groep met een wekelijkse dosis.</w:t>
      </w:r>
    </w:p>
    <w:p w14:paraId="62A1EBB0" w14:textId="77777777" w:rsidR="00436DAA" w:rsidRPr="00330234" w:rsidRDefault="00436DAA" w:rsidP="00BD109B">
      <w:pPr>
        <w:pStyle w:val="a3"/>
        <w:widowControl/>
        <w:ind w:left="0"/>
      </w:pPr>
    </w:p>
    <w:p w14:paraId="78DBAB21" w14:textId="4174ACA2" w:rsidR="00436DAA" w:rsidRPr="00330234" w:rsidRDefault="009B4B8E" w:rsidP="00BD109B">
      <w:pPr>
        <w:pStyle w:val="a3"/>
        <w:widowControl/>
        <w:ind w:left="0"/>
      </w:pPr>
      <w:r w:rsidRPr="00330234">
        <w:t xml:space="preserve">Gebaseerd op de huidige PK-karakterisatie waren de </w:t>
      </w:r>
      <w:r w:rsidR="005A695D" w:rsidRPr="00330234">
        <w:t>tocilizumab</w:t>
      </w:r>
      <w:r w:rsidRPr="00330234">
        <w:t xml:space="preserve"> dal-concentraties bij steady-state 50% hoger in deze populatie ten opzichte van de gemiddelde concentraties in een grote dataset van de RA-populatie. Deze verschillen treden op om onbekende redenen. PK-verschillen gingen niet gepaard met duidelijke verschillen in PD-parameters waardoor de klinische relevantie niet bekend is.</w:t>
      </w:r>
    </w:p>
    <w:p w14:paraId="1E411C48" w14:textId="77777777" w:rsidR="00436DAA" w:rsidRPr="00330234" w:rsidRDefault="00436DAA" w:rsidP="00BD109B">
      <w:pPr>
        <w:pStyle w:val="a3"/>
        <w:widowControl/>
        <w:ind w:left="0"/>
      </w:pPr>
    </w:p>
    <w:p w14:paraId="10A8A176" w14:textId="4148AC09" w:rsidR="00436DAA" w:rsidRPr="00330234" w:rsidRDefault="009B4B8E" w:rsidP="00556703">
      <w:pPr>
        <w:pStyle w:val="a3"/>
        <w:widowControl/>
        <w:ind w:left="0"/>
      </w:pPr>
      <w:r w:rsidRPr="00330234">
        <w:t xml:space="preserve">Bij GCA-patiënten werd een hogere blootstelling waargenomen bij patiënten met een lager lichaamsgewicht. Voor het wekelijkse 162 mg doseringsregime was de steady-state Cavg 51% hoger </w:t>
      </w:r>
      <w:r w:rsidRPr="00330234">
        <w:lastRenderedPageBreak/>
        <w:t>bij patiënten met een lichaamsgewicht van minder dan 60 kg vergeleken met patiënten die tussen de 60 kg en 100 kg wogen. Voor het om de week 162 mg doseringsregime was de steady-state Cavg 129% hoger bij patiënten met een lichaamsgewicht van minder dan 60 kg vergeleken met patiënten die</w:t>
      </w:r>
      <w:r w:rsidR="00556703" w:rsidRPr="00330234">
        <w:t xml:space="preserve"> </w:t>
      </w:r>
      <w:r w:rsidRPr="00330234">
        <w:t>tussen de 60 kg en 100 kg wogen. Er zijn beperkte gegevens beschikbaar voor patiënten die meer dan 100 kg wegen (n = 7).</w:t>
      </w:r>
    </w:p>
    <w:p w14:paraId="3046E184" w14:textId="77777777" w:rsidR="00436DAA" w:rsidRPr="00330234" w:rsidRDefault="00436DAA" w:rsidP="00BD109B">
      <w:pPr>
        <w:pStyle w:val="a3"/>
        <w:widowControl/>
        <w:ind w:left="0"/>
      </w:pPr>
    </w:p>
    <w:p w14:paraId="2A4660E4" w14:textId="77777777" w:rsidR="00436DAA" w:rsidRPr="00330234" w:rsidRDefault="009B4B8E" w:rsidP="004C0949">
      <w:pPr>
        <w:pStyle w:val="a3"/>
        <w:keepNext/>
        <w:keepLines/>
        <w:widowControl/>
        <w:ind w:left="0"/>
      </w:pPr>
      <w:r w:rsidRPr="00330234">
        <w:rPr>
          <w:u w:val="single"/>
        </w:rPr>
        <w:t>Absorptie</w:t>
      </w:r>
    </w:p>
    <w:p w14:paraId="68FFDFCB" w14:textId="340F9FD7" w:rsidR="00436DAA" w:rsidRPr="00330234" w:rsidRDefault="009B4B8E" w:rsidP="004C0949">
      <w:pPr>
        <w:pStyle w:val="a3"/>
        <w:keepNext/>
        <w:keepLines/>
        <w:widowControl/>
        <w:ind w:left="0"/>
      </w:pPr>
      <w:r w:rsidRPr="00330234">
        <w:t>Na subcutane toediening bij GCA-patiënten was de absorptie t</w:t>
      </w:r>
      <w:r w:rsidRPr="00330234">
        <w:rPr>
          <w:vertAlign w:val="subscript"/>
        </w:rPr>
        <w:t>1/2</w:t>
      </w:r>
      <w:r w:rsidRPr="00330234">
        <w:t xml:space="preserve"> ongeveer 4 dagen. De biologische beschikbaarheid van de subcutane formulering was 0,8. De mediane waarden van T</w:t>
      </w:r>
      <w:r w:rsidRPr="00330234">
        <w:rPr>
          <w:vertAlign w:val="subscript"/>
        </w:rPr>
        <w:t>max</w:t>
      </w:r>
      <w:r w:rsidRPr="00330234">
        <w:t xml:space="preserve"> waren 3</w:t>
      </w:r>
      <w:r w:rsidR="00556703" w:rsidRPr="00330234">
        <w:t> </w:t>
      </w:r>
      <w:r w:rsidRPr="00330234">
        <w:t xml:space="preserve">dagen na de wekelijkse </w:t>
      </w:r>
      <w:r w:rsidR="005A695D" w:rsidRPr="00330234">
        <w:t>tocilizumab</w:t>
      </w:r>
      <w:r w:rsidRPr="00330234">
        <w:t>-dosis en 4,5 dagen na de om de week tocilizumab-dosis.</w:t>
      </w:r>
    </w:p>
    <w:p w14:paraId="3B396E33" w14:textId="77777777" w:rsidR="00436DAA" w:rsidRPr="00330234" w:rsidRDefault="00436DAA" w:rsidP="00BD109B">
      <w:pPr>
        <w:pStyle w:val="a3"/>
        <w:widowControl/>
        <w:ind w:left="0"/>
      </w:pPr>
    </w:p>
    <w:p w14:paraId="2545733F" w14:textId="77777777" w:rsidR="00436DAA" w:rsidRPr="00330234" w:rsidRDefault="009B4B8E" w:rsidP="00BD109B">
      <w:pPr>
        <w:pStyle w:val="a3"/>
        <w:widowControl/>
        <w:ind w:left="0"/>
      </w:pPr>
      <w:r w:rsidRPr="00330234">
        <w:rPr>
          <w:u w:val="single"/>
        </w:rPr>
        <w:t>Distributie</w:t>
      </w:r>
    </w:p>
    <w:p w14:paraId="7462EDC2" w14:textId="77777777" w:rsidR="00436DAA" w:rsidRPr="00330234" w:rsidRDefault="009B4B8E" w:rsidP="00BD109B">
      <w:pPr>
        <w:pStyle w:val="a3"/>
        <w:widowControl/>
        <w:ind w:left="0"/>
      </w:pPr>
      <w:r w:rsidRPr="00330234">
        <w:t>Bij GCA-patiënten was het centrale verdelingsvolume 4,09 l, het perifere verdelingsvolume 3,37 l, resulterend in een distributievolume bij steady-state van 7,46 l.</w:t>
      </w:r>
    </w:p>
    <w:p w14:paraId="65199689" w14:textId="77777777" w:rsidR="00556703" w:rsidRPr="00330234" w:rsidRDefault="00556703" w:rsidP="00BD109B">
      <w:pPr>
        <w:pStyle w:val="a3"/>
        <w:widowControl/>
        <w:ind w:left="0"/>
      </w:pPr>
    </w:p>
    <w:p w14:paraId="12481C52" w14:textId="77777777" w:rsidR="00436DAA" w:rsidRPr="00330234" w:rsidRDefault="009B4B8E" w:rsidP="00BD109B">
      <w:pPr>
        <w:pStyle w:val="a3"/>
        <w:widowControl/>
        <w:ind w:left="0"/>
      </w:pPr>
      <w:r w:rsidRPr="00330234">
        <w:rPr>
          <w:u w:val="single"/>
        </w:rPr>
        <w:t>Eliminatie</w:t>
      </w:r>
    </w:p>
    <w:p w14:paraId="73733E8B" w14:textId="5673BE8A" w:rsidR="00436DAA" w:rsidRPr="00330234" w:rsidRDefault="009B4B8E" w:rsidP="00BD109B">
      <w:pPr>
        <w:pStyle w:val="a3"/>
        <w:widowControl/>
        <w:ind w:left="0"/>
      </w:pPr>
      <w:r w:rsidRPr="00330234">
        <w:t xml:space="preserve">De totale klaring van </w:t>
      </w:r>
      <w:r w:rsidR="005A695D" w:rsidRPr="00330234">
        <w:t>tocilizumab</w:t>
      </w:r>
      <w:r w:rsidRPr="00330234">
        <w:t xml:space="preserve"> was concentratie-afhankelijk en is de som van de lineaire klaring en de non-lineaire klaring. De lineaire klaring is geschat als parameter in de farmacokinetische populatieanalyse en was 6,7 ml/uur bij GCA-patiënten.</w:t>
      </w:r>
    </w:p>
    <w:p w14:paraId="1EB7D936" w14:textId="77777777" w:rsidR="00556703" w:rsidRPr="00330234" w:rsidRDefault="00556703" w:rsidP="00BD109B">
      <w:pPr>
        <w:pStyle w:val="a3"/>
        <w:widowControl/>
        <w:ind w:left="0"/>
      </w:pPr>
    </w:p>
    <w:p w14:paraId="7490A05C" w14:textId="094DBB94" w:rsidR="00436DAA" w:rsidRPr="00330234" w:rsidRDefault="009B4B8E" w:rsidP="00556703">
      <w:pPr>
        <w:pStyle w:val="a3"/>
        <w:widowControl/>
        <w:ind w:left="0"/>
      </w:pPr>
      <w:r w:rsidRPr="00330234">
        <w:t>De effectieve t</w:t>
      </w:r>
      <w:r w:rsidRPr="00330234">
        <w:rPr>
          <w:vertAlign w:val="subscript"/>
        </w:rPr>
        <w:t>1/2</w:t>
      </w:r>
      <w:r w:rsidRPr="00330234">
        <w:t xml:space="preserve"> van </w:t>
      </w:r>
      <w:r w:rsidR="00947DA6" w:rsidRPr="00330234">
        <w:t>tocilizumab</w:t>
      </w:r>
      <w:r w:rsidRPr="00330234">
        <w:t xml:space="preserve"> bij GCA-patiënten bij steady-state varieerde tussen 18,3 en</w:t>
      </w:r>
      <w:r w:rsidR="00556703" w:rsidRPr="00330234">
        <w:t xml:space="preserve"> </w:t>
      </w:r>
      <w:r w:rsidRPr="00330234">
        <w:t>18,9</w:t>
      </w:r>
      <w:r w:rsidR="00556703" w:rsidRPr="00330234">
        <w:t> </w:t>
      </w:r>
      <w:r w:rsidRPr="00330234">
        <w:t xml:space="preserve">dagen voor het schema met wekelijkse toediening van 162 mg en tussen 4,2 en 7,9 dagen voor het schema met om de week toediening van 162 mg. Bij de hoge serumconcentraties, waarbij de totale klaring van </w:t>
      </w:r>
      <w:r w:rsidR="00947DA6" w:rsidRPr="00330234">
        <w:t>tocilizumab</w:t>
      </w:r>
      <w:r w:rsidRPr="00330234">
        <w:t xml:space="preserve"> voornamelijk lineair is, werd een effectieve t</w:t>
      </w:r>
      <w:r w:rsidRPr="00330234">
        <w:rPr>
          <w:vertAlign w:val="subscript"/>
        </w:rPr>
        <w:t>1/2</w:t>
      </w:r>
      <w:r w:rsidRPr="00330234">
        <w:t xml:space="preserve"> geschat van ongeveer 32 dagen afgeleid van de geschatte populatieparameters.</w:t>
      </w:r>
    </w:p>
    <w:p w14:paraId="488527EF" w14:textId="77777777" w:rsidR="00556703" w:rsidRPr="00330234" w:rsidRDefault="00556703" w:rsidP="00BD109B">
      <w:pPr>
        <w:pStyle w:val="a3"/>
        <w:widowControl/>
        <w:ind w:left="0"/>
      </w:pPr>
    </w:p>
    <w:p w14:paraId="6B64E341" w14:textId="77777777" w:rsidR="00436DAA" w:rsidRPr="00330234" w:rsidRDefault="009B4B8E" w:rsidP="00BD109B">
      <w:pPr>
        <w:pStyle w:val="a3"/>
        <w:widowControl/>
        <w:ind w:left="0"/>
      </w:pPr>
      <w:r w:rsidRPr="00330234">
        <w:rPr>
          <w:u w:val="single"/>
        </w:rPr>
        <w:t>Speciale populaties</w:t>
      </w:r>
    </w:p>
    <w:p w14:paraId="186F1BF1" w14:textId="58F6FAF0" w:rsidR="00436DAA" w:rsidRPr="00330234" w:rsidRDefault="009B4B8E" w:rsidP="00BD109B">
      <w:pPr>
        <w:pStyle w:val="a3"/>
        <w:widowControl/>
        <w:ind w:left="0"/>
      </w:pPr>
      <w:r w:rsidRPr="00330234">
        <w:rPr>
          <w:i/>
        </w:rPr>
        <w:t xml:space="preserve">Verminderde nierfunctie: </w:t>
      </w:r>
      <w:r w:rsidRPr="00330234">
        <w:t xml:space="preserve">Er is geen formeel onderzoek uitgevoerd naar de effecten van verminderde nierfunctie op de farmacokinetiek van </w:t>
      </w:r>
      <w:r w:rsidR="00947DA6" w:rsidRPr="00330234">
        <w:t>tocilizumab</w:t>
      </w:r>
      <w:r w:rsidRPr="00330234">
        <w:t xml:space="preserve">. De meeste patiënten in de RA- en GCA- onderzoeken farmacokinetische populatieanalyse hadden een normale nierfunctie of een licht verminderde nierfunctie. Een licht verminderde nierfunctie (geschatte creatinineklaring op basis van Cockcroft-Gault formule) had geen invloed op de farmacokinetiek van </w:t>
      </w:r>
      <w:r w:rsidR="00947DA6" w:rsidRPr="00330234">
        <w:t>tocilizumab</w:t>
      </w:r>
      <w:r w:rsidRPr="00330234">
        <w:t>.</w:t>
      </w:r>
    </w:p>
    <w:p w14:paraId="798FB29B" w14:textId="77777777" w:rsidR="00436DAA" w:rsidRPr="00330234" w:rsidRDefault="00436DAA" w:rsidP="00BD109B">
      <w:pPr>
        <w:pStyle w:val="a3"/>
        <w:widowControl/>
        <w:ind w:left="0"/>
      </w:pPr>
    </w:p>
    <w:p w14:paraId="18C3DE25" w14:textId="1605AC05" w:rsidR="00436DAA" w:rsidRPr="00330234" w:rsidRDefault="009B4B8E" w:rsidP="00BD109B">
      <w:pPr>
        <w:pStyle w:val="a3"/>
        <w:widowControl/>
        <w:ind w:left="0"/>
      </w:pPr>
      <w:r w:rsidRPr="00330234">
        <w:t xml:space="preserve">Ongeveer één derde van de patiënten in het GCA-onderzoek had een matig verminderde nierfunctie bij baseline (geschatte creatinineklaring van 30-59 ml/min). Er werd geen effect op </w:t>
      </w:r>
      <w:r w:rsidR="00947DA6" w:rsidRPr="00330234">
        <w:t>tocilizumab</w:t>
      </w:r>
      <w:r w:rsidRPr="00330234">
        <w:t>- blootstelling waargenomen voor deze patiënten.</w:t>
      </w:r>
    </w:p>
    <w:p w14:paraId="55328CEA" w14:textId="77777777" w:rsidR="00556703" w:rsidRPr="00330234" w:rsidRDefault="00556703" w:rsidP="00BD109B">
      <w:pPr>
        <w:pStyle w:val="a3"/>
        <w:widowControl/>
        <w:ind w:left="0"/>
      </w:pPr>
    </w:p>
    <w:p w14:paraId="2D2DF268" w14:textId="77777777" w:rsidR="00436DAA" w:rsidRPr="00330234" w:rsidRDefault="009B4B8E" w:rsidP="00BD109B">
      <w:pPr>
        <w:pStyle w:val="a3"/>
        <w:widowControl/>
        <w:ind w:left="0"/>
      </w:pPr>
      <w:r w:rsidRPr="00330234">
        <w:t>Er is geen dosisaanpassing noodzakelijk bij patiënten met een licht of matig verminderde nierfunctie.</w:t>
      </w:r>
    </w:p>
    <w:p w14:paraId="56B945C3" w14:textId="77777777" w:rsidR="00436DAA" w:rsidRPr="00330234" w:rsidRDefault="00436DAA" w:rsidP="00BD109B">
      <w:pPr>
        <w:pStyle w:val="a3"/>
        <w:widowControl/>
        <w:ind w:left="0"/>
      </w:pPr>
    </w:p>
    <w:p w14:paraId="1CB63CB5" w14:textId="72A505B1" w:rsidR="00436DAA" w:rsidRPr="00330234" w:rsidRDefault="009B4B8E" w:rsidP="00BD109B">
      <w:pPr>
        <w:pStyle w:val="a3"/>
        <w:widowControl/>
        <w:ind w:left="0"/>
      </w:pPr>
      <w:r w:rsidRPr="00330234">
        <w:rPr>
          <w:i/>
        </w:rPr>
        <w:t xml:space="preserve">Verminderde leverfunctie: </w:t>
      </w:r>
      <w:r w:rsidRPr="00330234">
        <w:t xml:space="preserve">Er is geen formeel onderzoek uitgevoerd naar de effecten van verminderde leverfunctie op de farmacokinetiek van </w:t>
      </w:r>
      <w:r w:rsidR="00947DA6" w:rsidRPr="00330234">
        <w:t>tocilizumab</w:t>
      </w:r>
      <w:r w:rsidRPr="00330234">
        <w:t>.</w:t>
      </w:r>
    </w:p>
    <w:p w14:paraId="1643B0B1" w14:textId="77777777" w:rsidR="00436DAA" w:rsidRPr="00330234" w:rsidRDefault="00436DAA" w:rsidP="00BD109B">
      <w:pPr>
        <w:pStyle w:val="a3"/>
        <w:widowControl/>
        <w:ind w:left="0"/>
      </w:pPr>
    </w:p>
    <w:p w14:paraId="3DDE2DF9" w14:textId="3FD85B40" w:rsidR="00436DAA" w:rsidRPr="00330234" w:rsidRDefault="009B4B8E" w:rsidP="00BD109B">
      <w:pPr>
        <w:pStyle w:val="a3"/>
        <w:widowControl/>
        <w:ind w:left="0"/>
      </w:pPr>
      <w:r w:rsidRPr="00330234">
        <w:rPr>
          <w:i/>
        </w:rPr>
        <w:t xml:space="preserve">Leeftijd, geslacht en etniciteit: </w:t>
      </w:r>
      <w:r w:rsidRPr="00330234">
        <w:t xml:space="preserve">Farmacokinetische populatieanalyses bij RA- en GCA-patiënten hebben aangetoond dat de farmacokinetiek van </w:t>
      </w:r>
      <w:r w:rsidR="00947DA6" w:rsidRPr="00330234">
        <w:t>tocilizumab</w:t>
      </w:r>
      <w:r w:rsidRPr="00330234">
        <w:t xml:space="preserve"> niet wordt beïnvloed door leeftijd, geslacht of etnische achtergrond.</w:t>
      </w:r>
    </w:p>
    <w:p w14:paraId="0F9681BA" w14:textId="77777777" w:rsidR="00436DAA" w:rsidRPr="00330234" w:rsidRDefault="00436DAA" w:rsidP="00BD109B">
      <w:pPr>
        <w:pStyle w:val="a3"/>
        <w:widowControl/>
        <w:ind w:left="0"/>
      </w:pPr>
    </w:p>
    <w:p w14:paraId="1BFB6F00" w14:textId="6A317B24" w:rsidR="00436DAA" w:rsidRPr="00330234" w:rsidRDefault="009B4B8E" w:rsidP="00BD109B">
      <w:pPr>
        <w:pStyle w:val="a3"/>
        <w:widowControl/>
        <w:ind w:left="0"/>
      </w:pPr>
      <w:r w:rsidRPr="00330234">
        <w:t xml:space="preserve">Resultaten van de farmacokinetische populatieanalyse bij sJIA- en pJIA-patiënten hebben bevestigd dat lichaamsgrootte de enige covariant is met een waarneembare invloed op de farmacokinetiek van </w:t>
      </w:r>
      <w:r w:rsidR="00947DA6" w:rsidRPr="00330234">
        <w:t>tocilizumab</w:t>
      </w:r>
      <w:r w:rsidRPr="00330234">
        <w:t xml:space="preserve"> waaronder eliminatie en absorptie, daarom moet rekening worden gehouden met de dosering op basis van lichaamsgewicht (zie tabel 8 en 9).</w:t>
      </w:r>
    </w:p>
    <w:p w14:paraId="17DE0FD8" w14:textId="77777777" w:rsidR="00436DAA" w:rsidRPr="00330234" w:rsidRDefault="00436DAA" w:rsidP="00BD109B">
      <w:pPr>
        <w:pStyle w:val="a3"/>
        <w:widowControl/>
        <w:ind w:left="0"/>
      </w:pPr>
    </w:p>
    <w:p w14:paraId="3D1297D4" w14:textId="5DF399DC" w:rsidR="00436DAA" w:rsidRPr="00330234" w:rsidRDefault="005328BF" w:rsidP="00BD109B">
      <w:pPr>
        <w:pStyle w:val="2"/>
      </w:pPr>
      <w:r w:rsidRPr="00330234">
        <w:t>5.3</w:t>
      </w:r>
      <w:r w:rsidRPr="00330234">
        <w:tab/>
      </w:r>
      <w:r w:rsidR="009B4B8E" w:rsidRPr="00330234">
        <w:t>Gegevens uit het preklinisch veiligheidsonderzoek</w:t>
      </w:r>
    </w:p>
    <w:p w14:paraId="4196ED6D" w14:textId="77777777" w:rsidR="00556703" w:rsidRPr="00330234" w:rsidRDefault="00556703" w:rsidP="00BD109B">
      <w:pPr>
        <w:pStyle w:val="a3"/>
        <w:widowControl/>
        <w:ind w:left="0"/>
      </w:pPr>
    </w:p>
    <w:p w14:paraId="0D576900" w14:textId="0F54C1AE" w:rsidR="00436DAA" w:rsidRPr="00330234" w:rsidRDefault="009B4B8E" w:rsidP="00BD109B">
      <w:pPr>
        <w:pStyle w:val="a3"/>
        <w:widowControl/>
        <w:ind w:left="0"/>
      </w:pPr>
      <w:r w:rsidRPr="00330234">
        <w:t>Niet-klinische gegevens duiden niet op een speciaal risico voor mensen. Deze gegevens zijn afkomstig van conventioneel onderzoek op het gebied van veiligheidsfarmacologie, toxiciteit bij herhaalde dosering, genotoxiciteit, en reproductie- en ontwikkelingstoxiciteit.</w:t>
      </w:r>
    </w:p>
    <w:p w14:paraId="6D63D554" w14:textId="77777777" w:rsidR="00436DAA" w:rsidRPr="00330234" w:rsidRDefault="00436DAA" w:rsidP="00BD109B">
      <w:pPr>
        <w:pStyle w:val="a3"/>
        <w:widowControl/>
        <w:ind w:left="0"/>
      </w:pPr>
    </w:p>
    <w:p w14:paraId="29FBD76D" w14:textId="77777777" w:rsidR="00436DAA" w:rsidRPr="00330234" w:rsidRDefault="009B4B8E" w:rsidP="00BD109B">
      <w:pPr>
        <w:pStyle w:val="a3"/>
        <w:widowControl/>
        <w:ind w:left="0"/>
      </w:pPr>
      <w:r w:rsidRPr="00330234">
        <w:lastRenderedPageBreak/>
        <w:t>Carcinogeniteitsstudies zijn niet uitgevoerd omdat er vanuit gegaan wordt dat IgG1 monoklonale antilichamen geen intrinsieke carcinogene potentie hebben.</w:t>
      </w:r>
    </w:p>
    <w:p w14:paraId="0B7807DA" w14:textId="77777777" w:rsidR="00556703" w:rsidRPr="00330234" w:rsidRDefault="00556703" w:rsidP="00BD109B">
      <w:pPr>
        <w:pStyle w:val="a3"/>
        <w:widowControl/>
        <w:ind w:left="0"/>
      </w:pPr>
    </w:p>
    <w:p w14:paraId="14489D78" w14:textId="074E0C91" w:rsidR="00436DAA" w:rsidRPr="00330234" w:rsidRDefault="009B4B8E" w:rsidP="00BD109B">
      <w:pPr>
        <w:pStyle w:val="a3"/>
        <w:widowControl/>
        <w:ind w:left="0"/>
      </w:pPr>
      <w:r w:rsidRPr="00330234">
        <w:t xml:space="preserve">Beschikbare niet-klinische gegevens tonen een effect van IL-6 op de progressie van maligniteiten en apoptoseresistentie van verschillende typen carcinomen. Deze gegevens duiden niet op een relevant risico voor het ontstaan van kanker en progressie daarvan gedurende behandeling met </w:t>
      </w:r>
      <w:r w:rsidR="00947DA6" w:rsidRPr="00330234">
        <w:t>tocilizumab</w:t>
      </w:r>
      <w:r w:rsidRPr="00330234">
        <w:t>. Bovendien zijn proliferatieve laesies niet waargenomen gedurende een 6 maanden chronische toxiciteitsstudie in cynomolgus-apen of bij IL-6-deficiënte muizen.</w:t>
      </w:r>
    </w:p>
    <w:p w14:paraId="40CDCACD" w14:textId="77777777" w:rsidR="00436DAA" w:rsidRPr="00330234" w:rsidRDefault="00436DAA" w:rsidP="00BD109B">
      <w:pPr>
        <w:pStyle w:val="a3"/>
        <w:widowControl/>
        <w:ind w:left="0"/>
      </w:pPr>
    </w:p>
    <w:p w14:paraId="7870C5AB" w14:textId="6754B04C" w:rsidR="00436DAA" w:rsidRPr="00330234" w:rsidRDefault="009B4B8E" w:rsidP="00BD109B">
      <w:pPr>
        <w:pStyle w:val="a3"/>
        <w:widowControl/>
        <w:ind w:left="0"/>
      </w:pPr>
      <w:r w:rsidRPr="00330234">
        <w:t xml:space="preserve">Beschikbare niet-klinische gegevens duiden niet op een effect van </w:t>
      </w:r>
      <w:r w:rsidR="00947DA6" w:rsidRPr="00330234">
        <w:t>tocilizumab</w:t>
      </w:r>
      <w:r w:rsidRPr="00330234">
        <w:t xml:space="preserve"> op de fertiliteit. Effecten op endocrien-actieve en voortplantingsorganen zijn in een chronische toxiciteitstudie met cynomolgus-apen niet waargenomen en de reproductieve prestatie van IL-6-deficiënte muizen was niet veranderd. </w:t>
      </w:r>
      <w:r w:rsidR="00C52A60" w:rsidRPr="00330234">
        <w:t>T</w:t>
      </w:r>
      <w:r w:rsidR="00947DA6" w:rsidRPr="00330234">
        <w:t>ocilizumab</w:t>
      </w:r>
      <w:r w:rsidRPr="00330234">
        <w:t xml:space="preserve"> toegediend aan cynomolgus-apen tijdens de vroege fase van de dracht had geen directe of indirecte schadelijke invloed op de zwangerschap of embryo-foetale ontwikkeling.</w:t>
      </w:r>
      <w:r w:rsidR="006E0FF7" w:rsidRPr="00330234">
        <w:t xml:space="preserve"> </w:t>
      </w:r>
      <w:r w:rsidRPr="00330234">
        <w:t xml:space="preserve">Toch werd een kleine toename van miskramen en/of embryo-foetale dood waargenomen bij een hoge systemische blootstelling (&gt; 100 x de humane blootstelling) in de 50 mg/kg/dag hoge-dosisgroep vergeleken met placebo en andere lage-dosisgroepen. Hoewel IL-6 geen kritisch cytokine voor de foetale groei of immunologische controle van de moeder/foetus barrière lijkt te zijn, kan de rol van </w:t>
      </w:r>
      <w:r w:rsidR="009430E4" w:rsidRPr="00330234">
        <w:t>tocilizumab</w:t>
      </w:r>
      <w:r w:rsidRPr="00330234">
        <w:t xml:space="preserve"> hierin niet worden uitgesloten.</w:t>
      </w:r>
    </w:p>
    <w:p w14:paraId="3787D883" w14:textId="77777777" w:rsidR="00556703" w:rsidRPr="00330234" w:rsidRDefault="00556703" w:rsidP="00BD109B">
      <w:pPr>
        <w:pStyle w:val="a3"/>
        <w:widowControl/>
        <w:ind w:left="0"/>
      </w:pPr>
    </w:p>
    <w:p w14:paraId="195C36A5" w14:textId="77777777" w:rsidR="00436DAA" w:rsidRPr="00330234" w:rsidRDefault="009B4B8E" w:rsidP="00BD109B">
      <w:pPr>
        <w:pStyle w:val="a3"/>
        <w:widowControl/>
        <w:ind w:left="0"/>
      </w:pPr>
      <w:r w:rsidRPr="00330234">
        <w:t>Behandeling met een murine-analoog liet geen toxiciteit zien bij juveniele muizen. In het bijzonder was er geen verstoring van de skeletgroei, immuunfunctie en seksuele rijping.</w:t>
      </w:r>
    </w:p>
    <w:p w14:paraId="01A925CC" w14:textId="77777777" w:rsidR="00436DAA" w:rsidRPr="00330234" w:rsidRDefault="00436DAA" w:rsidP="00BD109B">
      <w:pPr>
        <w:pStyle w:val="a3"/>
        <w:widowControl/>
        <w:ind w:left="0"/>
      </w:pPr>
    </w:p>
    <w:p w14:paraId="511BAC05" w14:textId="36FC335E" w:rsidR="00436DAA" w:rsidRPr="00330234" w:rsidRDefault="009B4B8E" w:rsidP="00BD109B">
      <w:pPr>
        <w:pStyle w:val="a3"/>
        <w:widowControl/>
        <w:ind w:left="0"/>
      </w:pPr>
      <w:r w:rsidRPr="00330234">
        <w:t xml:space="preserve">Het niet-klinische veiligheidsprofiel van </w:t>
      </w:r>
      <w:r w:rsidR="009430E4" w:rsidRPr="00330234">
        <w:t>tocilizumab</w:t>
      </w:r>
      <w:r w:rsidRPr="00330234">
        <w:t xml:space="preserve"> bij cynomolgusapen lijkt niet te wijzen op een verschil tussen intraveneuze en subcutane toedieningswegen.</w:t>
      </w:r>
    </w:p>
    <w:p w14:paraId="2DA31C67" w14:textId="77777777" w:rsidR="00436DAA" w:rsidRPr="00330234" w:rsidRDefault="00436DAA" w:rsidP="00BD109B">
      <w:pPr>
        <w:pStyle w:val="a3"/>
        <w:widowControl/>
        <w:ind w:left="0"/>
      </w:pPr>
    </w:p>
    <w:p w14:paraId="65855F87" w14:textId="77777777" w:rsidR="00436DAA" w:rsidRPr="00330234" w:rsidRDefault="00436DAA" w:rsidP="00BD109B">
      <w:pPr>
        <w:pStyle w:val="a3"/>
        <w:widowControl/>
        <w:ind w:left="0"/>
      </w:pPr>
    </w:p>
    <w:p w14:paraId="48AE9C27" w14:textId="016D6CCD" w:rsidR="00436DAA" w:rsidRPr="00330234" w:rsidRDefault="005328BF" w:rsidP="001031F9">
      <w:pPr>
        <w:pStyle w:val="1"/>
      </w:pPr>
      <w:r w:rsidRPr="00330234">
        <w:t>6.</w:t>
      </w:r>
      <w:r w:rsidRPr="00330234">
        <w:tab/>
      </w:r>
      <w:r w:rsidR="009B4B8E" w:rsidRPr="00330234">
        <w:t>FARMACEUTISCHE GEGEVENS</w:t>
      </w:r>
    </w:p>
    <w:p w14:paraId="6DA96366" w14:textId="77777777" w:rsidR="00436DAA" w:rsidRPr="00330234" w:rsidRDefault="00436DAA" w:rsidP="00BD109B">
      <w:pPr>
        <w:pStyle w:val="a3"/>
        <w:widowControl/>
        <w:ind w:left="0"/>
        <w:rPr>
          <w:bCs/>
        </w:rPr>
      </w:pPr>
    </w:p>
    <w:p w14:paraId="16573B17" w14:textId="17ADCBBA" w:rsidR="00436DAA" w:rsidRPr="00330234" w:rsidRDefault="005328BF" w:rsidP="00BD109B">
      <w:pPr>
        <w:pStyle w:val="2"/>
      </w:pPr>
      <w:r w:rsidRPr="00330234">
        <w:t>6.1</w:t>
      </w:r>
      <w:r w:rsidRPr="00330234">
        <w:tab/>
      </w:r>
      <w:r w:rsidR="009B4B8E" w:rsidRPr="00330234">
        <w:t>Lijst van hulpstoffen</w:t>
      </w:r>
    </w:p>
    <w:p w14:paraId="043F0E4E" w14:textId="77777777" w:rsidR="00556703" w:rsidRPr="00330234" w:rsidRDefault="00556703" w:rsidP="00BD109B">
      <w:pPr>
        <w:pStyle w:val="a3"/>
        <w:widowControl/>
        <w:ind w:left="0"/>
      </w:pPr>
    </w:p>
    <w:p w14:paraId="2B829EB9" w14:textId="637E6D96" w:rsidR="00436DAA" w:rsidRDefault="009B4B8E" w:rsidP="00BD109B">
      <w:pPr>
        <w:pStyle w:val="a3"/>
        <w:widowControl/>
        <w:ind w:left="0"/>
        <w:rPr>
          <w:rFonts w:eastAsia="맑은 고딕"/>
          <w:lang w:eastAsia="ko-KR"/>
        </w:rPr>
      </w:pPr>
      <w:r w:rsidRPr="00330234">
        <w:t>L-histidine</w:t>
      </w:r>
    </w:p>
    <w:p w14:paraId="1750A6C3" w14:textId="0274FFF1" w:rsidR="00545170" w:rsidRPr="00144E79" w:rsidRDefault="0065408F" w:rsidP="00BD109B">
      <w:pPr>
        <w:pStyle w:val="a3"/>
        <w:widowControl/>
        <w:ind w:left="0"/>
        <w:rPr>
          <w:rFonts w:eastAsia="맑은 고딕"/>
          <w:lang w:eastAsia="ko-KR"/>
        </w:rPr>
      </w:pPr>
      <w:r w:rsidRPr="0065408F">
        <w:rPr>
          <w:rFonts w:eastAsia="맑은 고딕" w:hint="eastAsia"/>
          <w:lang w:eastAsia="ko-KR"/>
        </w:rPr>
        <w:t>L-histidine monohydrochloride monohydraat</w:t>
      </w:r>
    </w:p>
    <w:p w14:paraId="4D0FEFFB" w14:textId="5EE9D087" w:rsidR="00436DAA" w:rsidRPr="00330234" w:rsidRDefault="009430E4" w:rsidP="00BD109B">
      <w:pPr>
        <w:pStyle w:val="a3"/>
        <w:widowControl/>
        <w:ind w:left="0"/>
      </w:pPr>
      <w:r w:rsidRPr="00330234">
        <w:t>L-threonine</w:t>
      </w:r>
    </w:p>
    <w:p w14:paraId="31935CA4" w14:textId="77777777" w:rsidR="00556703" w:rsidRPr="00330234" w:rsidRDefault="009B4B8E" w:rsidP="00BD109B">
      <w:pPr>
        <w:pStyle w:val="a3"/>
        <w:widowControl/>
        <w:ind w:left="0"/>
      </w:pPr>
      <w:r w:rsidRPr="00330234">
        <w:t>L-methionine</w:t>
      </w:r>
    </w:p>
    <w:p w14:paraId="0A1185F2" w14:textId="51F7FC35" w:rsidR="00556703" w:rsidRPr="00330234" w:rsidRDefault="009B4B8E" w:rsidP="00BD109B">
      <w:pPr>
        <w:pStyle w:val="a3"/>
        <w:widowControl/>
        <w:ind w:left="0"/>
      </w:pPr>
      <w:r w:rsidRPr="00330234">
        <w:t>Polysorbaat 80</w:t>
      </w:r>
    </w:p>
    <w:p w14:paraId="777642AD" w14:textId="59E38FD3" w:rsidR="00436DAA" w:rsidRPr="00330234" w:rsidRDefault="009B4B8E" w:rsidP="00BD109B">
      <w:pPr>
        <w:pStyle w:val="a3"/>
        <w:widowControl/>
        <w:ind w:left="0"/>
      </w:pPr>
      <w:r w:rsidRPr="00330234">
        <w:t>Water voor injecties</w:t>
      </w:r>
    </w:p>
    <w:p w14:paraId="0EE8E687" w14:textId="77777777" w:rsidR="00436DAA" w:rsidRPr="00330234" w:rsidRDefault="00436DAA" w:rsidP="00BD109B">
      <w:pPr>
        <w:pStyle w:val="a3"/>
        <w:widowControl/>
        <w:ind w:left="0"/>
      </w:pPr>
    </w:p>
    <w:p w14:paraId="17E0904D" w14:textId="16D22A4F" w:rsidR="00436DAA" w:rsidRPr="00330234" w:rsidRDefault="005328BF" w:rsidP="00BD109B">
      <w:pPr>
        <w:pStyle w:val="2"/>
      </w:pPr>
      <w:r w:rsidRPr="00330234">
        <w:t>6.2</w:t>
      </w:r>
      <w:r w:rsidRPr="00330234">
        <w:tab/>
      </w:r>
      <w:r w:rsidR="009B4B8E" w:rsidRPr="00330234">
        <w:t>Gevallen van onverenigbaarheid</w:t>
      </w:r>
    </w:p>
    <w:p w14:paraId="5D1342A0" w14:textId="77777777" w:rsidR="00556703" w:rsidRPr="00330234" w:rsidRDefault="00556703" w:rsidP="00BD109B">
      <w:pPr>
        <w:pStyle w:val="a3"/>
        <w:widowControl/>
        <w:ind w:left="0"/>
      </w:pPr>
    </w:p>
    <w:p w14:paraId="1D0CA9D9" w14:textId="7D55BBD1" w:rsidR="00436DAA" w:rsidRPr="00330234" w:rsidRDefault="009B4B8E" w:rsidP="00BD109B">
      <w:pPr>
        <w:pStyle w:val="a3"/>
        <w:widowControl/>
        <w:ind w:left="0"/>
      </w:pPr>
      <w:r w:rsidRPr="00330234">
        <w:t>Bij gebrek aan onderzoek naar onverenigbaarheden, mag dit geneesmiddel niet met andere geneesmiddelen gemengd worden.</w:t>
      </w:r>
    </w:p>
    <w:p w14:paraId="09DCB570" w14:textId="77777777" w:rsidR="00436DAA" w:rsidRPr="00330234" w:rsidRDefault="00436DAA" w:rsidP="00BD109B">
      <w:pPr>
        <w:pStyle w:val="a3"/>
        <w:widowControl/>
        <w:ind w:left="0"/>
      </w:pPr>
    </w:p>
    <w:p w14:paraId="732947BA" w14:textId="3DC3AD0A" w:rsidR="00436DAA" w:rsidRPr="00330234" w:rsidRDefault="005328BF" w:rsidP="00BD109B">
      <w:pPr>
        <w:pStyle w:val="2"/>
      </w:pPr>
      <w:r w:rsidRPr="00330234">
        <w:t>6.3</w:t>
      </w:r>
      <w:r w:rsidRPr="00330234">
        <w:tab/>
      </w:r>
      <w:r w:rsidR="009B4B8E" w:rsidRPr="00330234">
        <w:t>Houdbaarheid</w:t>
      </w:r>
    </w:p>
    <w:p w14:paraId="7B2A3277" w14:textId="77777777" w:rsidR="00556703" w:rsidRPr="00330234" w:rsidRDefault="00556703" w:rsidP="00BD109B">
      <w:pPr>
        <w:pStyle w:val="a3"/>
        <w:widowControl/>
        <w:ind w:left="0"/>
      </w:pPr>
    </w:p>
    <w:p w14:paraId="11B193B3" w14:textId="5D8B66EA" w:rsidR="00436DAA" w:rsidRPr="00330234" w:rsidRDefault="00D03358" w:rsidP="00BD109B">
      <w:pPr>
        <w:pStyle w:val="a3"/>
        <w:widowControl/>
        <w:ind w:left="0"/>
      </w:pPr>
      <w:r>
        <w:rPr>
          <w:rFonts w:eastAsia="맑은 고딕" w:hint="eastAsia"/>
          <w:lang w:eastAsia="ko-KR"/>
        </w:rPr>
        <w:t>42</w:t>
      </w:r>
      <w:r w:rsidRPr="00330234">
        <w:t xml:space="preserve"> </w:t>
      </w:r>
      <w:r w:rsidR="009B4B8E" w:rsidRPr="00330234">
        <w:t>maanden</w:t>
      </w:r>
    </w:p>
    <w:p w14:paraId="647BE782" w14:textId="77777777" w:rsidR="00436DAA" w:rsidRPr="00330234" w:rsidRDefault="00436DAA" w:rsidP="00BD109B">
      <w:pPr>
        <w:pStyle w:val="a3"/>
        <w:widowControl/>
        <w:ind w:left="0"/>
      </w:pPr>
    </w:p>
    <w:p w14:paraId="006D49E3" w14:textId="361E26CF" w:rsidR="00436DAA" w:rsidRPr="00330234" w:rsidRDefault="005328BF" w:rsidP="00BD109B">
      <w:pPr>
        <w:pStyle w:val="2"/>
      </w:pPr>
      <w:r w:rsidRPr="00330234">
        <w:t>6.4</w:t>
      </w:r>
      <w:r w:rsidRPr="00330234">
        <w:tab/>
      </w:r>
      <w:r w:rsidR="009B4B8E" w:rsidRPr="00330234">
        <w:t>Speciale voorzorgsmaatregelen bij bewaren</w:t>
      </w:r>
    </w:p>
    <w:p w14:paraId="30BDE54C" w14:textId="77777777" w:rsidR="00556703" w:rsidRPr="00330234" w:rsidRDefault="00556703" w:rsidP="00BD109B">
      <w:pPr>
        <w:pStyle w:val="a3"/>
        <w:widowControl/>
        <w:ind w:left="0"/>
      </w:pPr>
    </w:p>
    <w:p w14:paraId="7BB82CE7" w14:textId="4AF1B6DD" w:rsidR="00436DAA" w:rsidRPr="00330234" w:rsidRDefault="009B4B8E" w:rsidP="00BD109B">
      <w:pPr>
        <w:pStyle w:val="a3"/>
        <w:widowControl/>
        <w:ind w:left="0"/>
      </w:pPr>
      <w:r w:rsidRPr="00330234">
        <w:t xml:space="preserve">Bewaren in de koelkast (2°C – 8°C). Niet invriezen. Eenmaal uit de koelkast gehaald, kan de voorgevulde spuit tot </w:t>
      </w:r>
      <w:r w:rsidR="00703357" w:rsidRPr="00330234">
        <w:t>3 </w:t>
      </w:r>
      <w:r w:rsidRPr="00330234">
        <w:t>weken beneden 30°C worden bewaard.</w:t>
      </w:r>
    </w:p>
    <w:p w14:paraId="639F96E6" w14:textId="77777777" w:rsidR="00436DAA" w:rsidRPr="00330234" w:rsidRDefault="00436DAA" w:rsidP="00BD109B">
      <w:pPr>
        <w:pStyle w:val="a3"/>
        <w:widowControl/>
        <w:ind w:left="0"/>
      </w:pPr>
    </w:p>
    <w:p w14:paraId="7C6CDA08" w14:textId="77777777" w:rsidR="00436DAA" w:rsidRPr="00330234" w:rsidRDefault="009B4B8E" w:rsidP="00BD109B">
      <w:pPr>
        <w:pStyle w:val="a3"/>
        <w:widowControl/>
        <w:ind w:left="0"/>
      </w:pPr>
      <w:r w:rsidRPr="00330234">
        <w:t>Bewaar de voorgevulde spuiten in de buitenverpakking ter bescherming tegen licht en vocht.</w:t>
      </w:r>
    </w:p>
    <w:p w14:paraId="76F554FF" w14:textId="77777777" w:rsidR="00436DAA" w:rsidRPr="00330234" w:rsidRDefault="00436DAA" w:rsidP="00BD109B">
      <w:pPr>
        <w:pStyle w:val="a3"/>
        <w:widowControl/>
        <w:ind w:left="0"/>
      </w:pPr>
    </w:p>
    <w:p w14:paraId="3CCAB0A6" w14:textId="5DD45718" w:rsidR="00436DAA" w:rsidRPr="00330234" w:rsidRDefault="005328BF" w:rsidP="00556703">
      <w:pPr>
        <w:pStyle w:val="2"/>
        <w:keepNext/>
        <w:keepLines/>
      </w:pPr>
      <w:r w:rsidRPr="00330234">
        <w:lastRenderedPageBreak/>
        <w:t>6.5</w:t>
      </w:r>
      <w:r w:rsidRPr="00330234">
        <w:tab/>
      </w:r>
      <w:r w:rsidR="009B4B8E" w:rsidRPr="00330234">
        <w:t>Aard en inhoud van de verpakking</w:t>
      </w:r>
    </w:p>
    <w:p w14:paraId="5E0FE45A" w14:textId="77777777" w:rsidR="00556703" w:rsidRPr="00330234" w:rsidRDefault="00556703" w:rsidP="00556703">
      <w:pPr>
        <w:pStyle w:val="a3"/>
        <w:keepNext/>
        <w:keepLines/>
        <w:widowControl/>
        <w:ind w:left="0"/>
      </w:pPr>
    </w:p>
    <w:p w14:paraId="46E7AD71" w14:textId="64EB2214" w:rsidR="00436DAA" w:rsidRPr="00330234" w:rsidRDefault="009B4B8E" w:rsidP="001B3E1E">
      <w:pPr>
        <w:pStyle w:val="a3"/>
        <w:widowControl/>
        <w:ind w:left="0"/>
      </w:pPr>
      <w:r w:rsidRPr="00330234">
        <w:t>0,9 ml oplossing in een voorgevulde spuit (type I-glas) met een afgeschermde naald. De spuit wordt afgesloten door een beschermdop (</w:t>
      </w:r>
      <w:r w:rsidR="00A35845" w:rsidRPr="00330234">
        <w:t>polyisopreenrubber en polypropyleen</w:t>
      </w:r>
      <w:r w:rsidRPr="00330234">
        <w:t xml:space="preserve">) en een </w:t>
      </w:r>
      <w:r w:rsidR="00A35845" w:rsidRPr="00330234">
        <w:t>steriele</w:t>
      </w:r>
      <w:r w:rsidR="008A40BC" w:rsidRPr="00330234">
        <w:t>, met</w:t>
      </w:r>
      <w:r w:rsidR="00A35845" w:rsidRPr="00330234">
        <w:t xml:space="preserve"> fluorotec gecoat</w:t>
      </w:r>
      <w:r w:rsidR="008A40BC" w:rsidRPr="00330234">
        <w:t>e</w:t>
      </w:r>
      <w:r w:rsidR="00A35845" w:rsidRPr="00330234">
        <w:t xml:space="preserve"> elastomer</w:t>
      </w:r>
      <w:r w:rsidR="008A40BC" w:rsidRPr="00330234">
        <w:t>e</w:t>
      </w:r>
      <w:r w:rsidR="00A35845" w:rsidRPr="00330234">
        <w:t xml:space="preserve"> </w:t>
      </w:r>
      <w:r w:rsidRPr="00330234">
        <w:t>zuigerstopper (</w:t>
      </w:r>
      <w:r w:rsidR="00A35845" w:rsidRPr="00330234">
        <w:t>met silicone</w:t>
      </w:r>
      <w:r w:rsidRPr="00330234">
        <w:t>).</w:t>
      </w:r>
    </w:p>
    <w:p w14:paraId="12861811" w14:textId="77777777" w:rsidR="00436DAA" w:rsidRPr="00330234" w:rsidRDefault="00436DAA" w:rsidP="00BD109B">
      <w:pPr>
        <w:widowControl/>
      </w:pPr>
    </w:p>
    <w:p w14:paraId="537E1CBB" w14:textId="2B8734AE" w:rsidR="00A35845" w:rsidRPr="00330234" w:rsidRDefault="00A35845" w:rsidP="001B3E1E">
      <w:pPr>
        <w:pStyle w:val="a3"/>
        <w:keepNext/>
        <w:keepLines/>
        <w:widowControl/>
        <w:ind w:left="0"/>
      </w:pPr>
      <w:r w:rsidRPr="00330234">
        <w:t xml:space="preserve">De Avtozma voorgevulde spuit voor gebruik door </w:t>
      </w:r>
      <w:r w:rsidR="00AD1D5F" w:rsidRPr="00330234">
        <w:t>patiënten</w:t>
      </w:r>
      <w:r w:rsidRPr="00330234">
        <w:t xml:space="preserve"> is </w:t>
      </w:r>
      <w:r w:rsidR="005416ED" w:rsidRPr="00330234">
        <w:t>beschikbaar in verpakkingen met:</w:t>
      </w:r>
      <w:r w:rsidR="00C02B52" w:rsidRPr="00330234">
        <w:tab/>
      </w:r>
      <w:r w:rsidR="00C02B52" w:rsidRPr="00330234">
        <w:tab/>
      </w:r>
    </w:p>
    <w:p w14:paraId="7BB113EE" w14:textId="45CC491A" w:rsidR="005416ED" w:rsidRPr="00330234" w:rsidRDefault="005416ED" w:rsidP="00726A52">
      <w:pPr>
        <w:pStyle w:val="a3"/>
        <w:widowControl/>
        <w:numPr>
          <w:ilvl w:val="0"/>
          <w:numId w:val="34"/>
        </w:numPr>
        <w:tabs>
          <w:tab w:val="left" w:pos="567"/>
        </w:tabs>
        <w:ind w:left="567" w:hanging="567"/>
      </w:pPr>
      <w:r w:rsidRPr="00330234">
        <w:t>1 voorgevulde spuit</w:t>
      </w:r>
    </w:p>
    <w:p w14:paraId="3B62167A" w14:textId="13289FD1" w:rsidR="002C41D8" w:rsidRPr="00330234" w:rsidRDefault="002C41D8" w:rsidP="002C41D8">
      <w:pPr>
        <w:pStyle w:val="a3"/>
        <w:widowControl/>
        <w:numPr>
          <w:ilvl w:val="0"/>
          <w:numId w:val="34"/>
        </w:numPr>
        <w:tabs>
          <w:tab w:val="left" w:pos="567"/>
        </w:tabs>
        <w:ind w:left="567" w:hanging="567"/>
        <w:rPr>
          <w:ins w:id="17" w:author="만든 이"/>
        </w:rPr>
      </w:pPr>
      <w:ins w:id="18" w:author="만든 이">
        <w:r>
          <w:rPr>
            <w:rFonts w:eastAsia="맑은 고딕" w:hint="eastAsia"/>
            <w:lang w:eastAsia="ko-KR"/>
          </w:rPr>
          <w:t>2</w:t>
        </w:r>
        <w:r w:rsidRPr="00330234">
          <w:t> voorgevulde spuiten</w:t>
        </w:r>
      </w:ins>
    </w:p>
    <w:p w14:paraId="52C487FC" w14:textId="3FB870F8" w:rsidR="005416ED" w:rsidRPr="00330234" w:rsidRDefault="005416ED" w:rsidP="00726A52">
      <w:pPr>
        <w:pStyle w:val="a3"/>
        <w:widowControl/>
        <w:numPr>
          <w:ilvl w:val="0"/>
          <w:numId w:val="34"/>
        </w:numPr>
        <w:tabs>
          <w:tab w:val="left" w:pos="567"/>
        </w:tabs>
        <w:ind w:left="567" w:hanging="567"/>
      </w:pPr>
      <w:r w:rsidRPr="00330234">
        <w:t>4 voorgevulde spuiten</w:t>
      </w:r>
    </w:p>
    <w:p w14:paraId="065FAAF6" w14:textId="70A29B99" w:rsidR="005416ED" w:rsidRPr="00330234" w:rsidRDefault="005416ED" w:rsidP="00726A52">
      <w:pPr>
        <w:pStyle w:val="a3"/>
        <w:widowControl/>
        <w:numPr>
          <w:ilvl w:val="0"/>
          <w:numId w:val="34"/>
        </w:numPr>
        <w:tabs>
          <w:tab w:val="left" w:pos="567"/>
        </w:tabs>
        <w:ind w:left="567" w:hanging="567"/>
      </w:pPr>
      <w:r w:rsidRPr="00330234">
        <w:t>12 (3 verpakkingen van 4) voorgevulde spuiten (multi-packs)</w:t>
      </w:r>
    </w:p>
    <w:p w14:paraId="0D52C7B0" w14:textId="77777777" w:rsidR="00A35845" w:rsidRPr="00330234" w:rsidRDefault="00A35845" w:rsidP="00BD109B">
      <w:pPr>
        <w:pStyle w:val="a3"/>
        <w:widowControl/>
        <w:ind w:left="0"/>
      </w:pPr>
    </w:p>
    <w:p w14:paraId="290BA81E" w14:textId="6B49E7E9" w:rsidR="00436DAA" w:rsidRPr="00330234" w:rsidRDefault="009B4B8E" w:rsidP="00BD109B">
      <w:pPr>
        <w:pStyle w:val="a3"/>
        <w:widowControl/>
        <w:ind w:left="0"/>
      </w:pPr>
      <w:r w:rsidRPr="001B3E1E">
        <w:rPr>
          <w:b/>
          <w:bCs/>
        </w:rPr>
        <w:t>Niet alle genoemde verpakkingsgrootten worden in de handel gebracht</w:t>
      </w:r>
      <w:r w:rsidRPr="00330234">
        <w:t>.</w:t>
      </w:r>
    </w:p>
    <w:p w14:paraId="3F3D3F3F" w14:textId="77777777" w:rsidR="00436DAA" w:rsidRPr="00330234" w:rsidRDefault="00436DAA" w:rsidP="00BD109B">
      <w:pPr>
        <w:pStyle w:val="a3"/>
        <w:widowControl/>
        <w:ind w:left="0"/>
      </w:pPr>
    </w:p>
    <w:p w14:paraId="2BB01E24" w14:textId="0C3EBC8E" w:rsidR="00436DAA" w:rsidRPr="00330234" w:rsidRDefault="005328BF" w:rsidP="00BD109B">
      <w:pPr>
        <w:pStyle w:val="2"/>
      </w:pPr>
      <w:r w:rsidRPr="00330234">
        <w:t>6.6</w:t>
      </w:r>
      <w:r w:rsidRPr="00330234">
        <w:tab/>
      </w:r>
      <w:r w:rsidR="009B4B8E" w:rsidRPr="00330234">
        <w:t>Speciale voorzorgsmaatregelen voor het verwijderen en andere instructies</w:t>
      </w:r>
    </w:p>
    <w:p w14:paraId="42D4BEAE" w14:textId="77777777" w:rsidR="00556703" w:rsidRPr="00330234" w:rsidRDefault="00556703" w:rsidP="00BD109B">
      <w:pPr>
        <w:pStyle w:val="a3"/>
        <w:widowControl/>
        <w:ind w:left="0"/>
      </w:pPr>
    </w:p>
    <w:p w14:paraId="6839B692" w14:textId="0372E317" w:rsidR="000B504C" w:rsidRPr="00330234" w:rsidRDefault="00C02B52" w:rsidP="00BD109B">
      <w:pPr>
        <w:pStyle w:val="a3"/>
        <w:widowControl/>
        <w:ind w:left="0"/>
      </w:pPr>
      <w:r w:rsidRPr="00330234">
        <w:t xml:space="preserve">Avtozma </w:t>
      </w:r>
      <w:r w:rsidR="009B4B8E" w:rsidRPr="00330234">
        <w:t>wordt geleverd in een voorgevulde spuit voor eenmalig gebruik, voorzien van een naald met veiligheidsmechanisme. Nadat de voorgevulde spuit uit de koelkast is gehaald, moet deze op kamertemperatuur (</w:t>
      </w:r>
      <w:r w:rsidR="00027C2F">
        <w:rPr>
          <w:rFonts w:eastAsia="맑은 고딕" w:hint="eastAsia"/>
          <w:lang w:eastAsia="ko-KR"/>
        </w:rPr>
        <w:t>18</w:t>
      </w:r>
      <w:r w:rsidRPr="00330234">
        <w:t xml:space="preserve">°C tot </w:t>
      </w:r>
      <w:r w:rsidR="00E704B5" w:rsidRPr="00330234">
        <w:t>2</w:t>
      </w:r>
      <w:r w:rsidR="00E704B5">
        <w:rPr>
          <w:rFonts w:eastAsia="맑은 고딕" w:hint="eastAsia"/>
          <w:lang w:eastAsia="ko-KR"/>
        </w:rPr>
        <w:t>8</w:t>
      </w:r>
      <w:r w:rsidRPr="00330234">
        <w:t>°C</w:t>
      </w:r>
      <w:r w:rsidR="009B4B8E" w:rsidRPr="00330234">
        <w:t xml:space="preserve">) komen door gedurende 30 minuten te wachten voordat </w:t>
      </w:r>
      <w:r w:rsidRPr="00330234">
        <w:t>Avtozma</w:t>
      </w:r>
      <w:r w:rsidR="009B4B8E" w:rsidRPr="00330234">
        <w:t xml:space="preserve"> wordt geïnjecteerd. De voorgevulde spuit mag niet geschud worden. </w:t>
      </w:r>
    </w:p>
    <w:p w14:paraId="087F849E" w14:textId="75E61945" w:rsidR="00556703" w:rsidRPr="00330234" w:rsidRDefault="009B4B8E" w:rsidP="00BD109B">
      <w:pPr>
        <w:pStyle w:val="a3"/>
        <w:widowControl/>
        <w:ind w:left="0"/>
      </w:pPr>
      <w:r w:rsidRPr="00330234">
        <w:t>Na het verwijderen van de dop moet de injectie binnen 5 minuten worden gestart om te voorkomen dat het geneesmiddel uitdroogt waardoor de naald blokkeert. Als de voorgevulde spuit niet binnen 5</w:t>
      </w:r>
      <w:r w:rsidR="000B504C" w:rsidRPr="00330234">
        <w:t> </w:t>
      </w:r>
      <w:r w:rsidRPr="00330234">
        <w:t>minuten na het verwijderen van de dop wordt gebruikt, dan moet deze worden weggegooid in een naaldencontainer en moet er een nieuwe voorgevulde spuit worden gebruikt.</w:t>
      </w:r>
    </w:p>
    <w:p w14:paraId="5B7ABCA7" w14:textId="77777777" w:rsidR="00436DAA" w:rsidRPr="00330234" w:rsidRDefault="009B4B8E" w:rsidP="00BD109B">
      <w:pPr>
        <w:pStyle w:val="a3"/>
        <w:widowControl/>
        <w:ind w:left="0"/>
      </w:pPr>
      <w:r w:rsidRPr="00330234">
        <w:t>Als het niet lukt, na het inbrengen van de naald, om de zuiger naar beneden te drukken, dan moet de voorgevulde spuit worden weggegooid in een naaldencontainer en moet er een nieuwe voorgevulde spuit worden gebruikt.</w:t>
      </w:r>
    </w:p>
    <w:p w14:paraId="0EA44610" w14:textId="77777777" w:rsidR="00436DAA" w:rsidRPr="00330234" w:rsidRDefault="00436DAA" w:rsidP="00BD109B">
      <w:pPr>
        <w:pStyle w:val="a3"/>
        <w:widowControl/>
        <w:ind w:left="0"/>
      </w:pPr>
    </w:p>
    <w:p w14:paraId="4F207CCC" w14:textId="17646587" w:rsidR="00436DAA" w:rsidRPr="00330234" w:rsidRDefault="009B4B8E" w:rsidP="00BD109B">
      <w:pPr>
        <w:pStyle w:val="a3"/>
        <w:widowControl/>
        <w:ind w:left="0"/>
      </w:pPr>
      <w:r w:rsidRPr="00330234">
        <w:t>Gebruik dit geneesmiddel niet als deze ondoorzichtig is of deeltjes bevat, als deze een andere kleur heeft dan kleurloos tot geel of als enig onderdeel van de voorgevulde spuit beschadigd lijkt.</w:t>
      </w:r>
    </w:p>
    <w:p w14:paraId="29DBEB30" w14:textId="77777777" w:rsidR="00556703" w:rsidRPr="00330234" w:rsidRDefault="00556703" w:rsidP="00BD109B">
      <w:pPr>
        <w:pStyle w:val="a3"/>
        <w:widowControl/>
        <w:ind w:left="0"/>
      </w:pPr>
    </w:p>
    <w:p w14:paraId="2C6085A9" w14:textId="0197B075" w:rsidR="00436DAA" w:rsidRPr="00330234" w:rsidRDefault="009B4B8E" w:rsidP="00BD109B">
      <w:pPr>
        <w:pStyle w:val="a3"/>
        <w:widowControl/>
        <w:ind w:left="0"/>
      </w:pPr>
      <w:r w:rsidRPr="00330234">
        <w:t xml:space="preserve">Uitgebreide instructies voor de toediening van </w:t>
      </w:r>
      <w:r w:rsidR="00072297" w:rsidRPr="00330234">
        <w:t>Avtozma</w:t>
      </w:r>
      <w:r w:rsidRPr="00330234">
        <w:t xml:space="preserve"> in een voorgevulde spuit worden gegeven in de bijsluiter.</w:t>
      </w:r>
    </w:p>
    <w:p w14:paraId="76DEDD7C" w14:textId="77777777" w:rsidR="00556703" w:rsidRPr="00330234" w:rsidRDefault="00556703" w:rsidP="00BD109B">
      <w:pPr>
        <w:pStyle w:val="a3"/>
        <w:widowControl/>
        <w:ind w:left="0"/>
      </w:pPr>
    </w:p>
    <w:p w14:paraId="0DF47F49" w14:textId="74DA543F" w:rsidR="00436DAA" w:rsidRPr="00330234" w:rsidRDefault="009B4B8E" w:rsidP="00BD109B">
      <w:pPr>
        <w:pStyle w:val="a3"/>
        <w:widowControl/>
        <w:ind w:left="0"/>
      </w:pPr>
      <w:r w:rsidRPr="00330234">
        <w:t>Al het ongebruikte geneesmiddel of afvalmateriaal dient te worden vernietigd overeenkomstig lokale voorschriften.</w:t>
      </w:r>
    </w:p>
    <w:p w14:paraId="77C3D3A8" w14:textId="77777777" w:rsidR="00436DAA" w:rsidRPr="00330234" w:rsidRDefault="00436DAA" w:rsidP="00BD109B">
      <w:pPr>
        <w:pStyle w:val="a3"/>
        <w:widowControl/>
        <w:ind w:left="0"/>
      </w:pPr>
    </w:p>
    <w:p w14:paraId="2E9BC074" w14:textId="77777777" w:rsidR="00436DAA" w:rsidRPr="00330234" w:rsidRDefault="00436DAA" w:rsidP="00BD109B">
      <w:pPr>
        <w:pStyle w:val="a3"/>
        <w:widowControl/>
        <w:ind w:left="0"/>
      </w:pPr>
    </w:p>
    <w:p w14:paraId="2832F5B0" w14:textId="075613B5" w:rsidR="00436DAA" w:rsidRPr="00330234" w:rsidRDefault="005328BF" w:rsidP="001031F9">
      <w:pPr>
        <w:pStyle w:val="1"/>
      </w:pPr>
      <w:r w:rsidRPr="00330234">
        <w:t>7.</w:t>
      </w:r>
      <w:r w:rsidRPr="00330234">
        <w:tab/>
      </w:r>
      <w:r w:rsidR="009B4B8E" w:rsidRPr="00330234">
        <w:t>HOUDER VAN DE VERGUNNING VOOR HET IN DE HANDEL BRENGEN</w:t>
      </w:r>
    </w:p>
    <w:p w14:paraId="6459AB72" w14:textId="77777777" w:rsidR="00556703" w:rsidRPr="00330234" w:rsidRDefault="00556703" w:rsidP="00BD109B">
      <w:pPr>
        <w:pStyle w:val="a3"/>
        <w:widowControl/>
        <w:ind w:left="0"/>
      </w:pPr>
    </w:p>
    <w:p w14:paraId="133AD55B" w14:textId="77777777" w:rsidR="00072297" w:rsidRPr="00330234" w:rsidRDefault="00072297" w:rsidP="00072297">
      <w:pPr>
        <w:pStyle w:val="a3"/>
        <w:keepNext/>
        <w:ind w:left="0"/>
      </w:pPr>
      <w:r w:rsidRPr="00330234">
        <w:t xml:space="preserve">Celltrion Healthcare Hungary Kft. </w:t>
      </w:r>
    </w:p>
    <w:p w14:paraId="5317BD74" w14:textId="77777777" w:rsidR="00072297" w:rsidRPr="00330234" w:rsidRDefault="00072297" w:rsidP="00072297">
      <w:pPr>
        <w:pStyle w:val="a3"/>
        <w:keepNext/>
        <w:ind w:left="0"/>
      </w:pPr>
      <w:r w:rsidRPr="00330234">
        <w:t>1062 Budapest</w:t>
      </w:r>
    </w:p>
    <w:p w14:paraId="50CBEA39" w14:textId="77777777" w:rsidR="00072297" w:rsidRPr="00330234" w:rsidRDefault="00072297" w:rsidP="00072297">
      <w:pPr>
        <w:pStyle w:val="a3"/>
        <w:keepNext/>
        <w:ind w:left="0"/>
      </w:pPr>
      <w:r w:rsidRPr="00330234">
        <w:t>Váci út 1-3. WestEnd Office Building B torony</w:t>
      </w:r>
    </w:p>
    <w:p w14:paraId="39E579CE" w14:textId="2826B79C" w:rsidR="00072297" w:rsidRPr="00330234" w:rsidRDefault="00072297" w:rsidP="00072297">
      <w:pPr>
        <w:pStyle w:val="a3"/>
        <w:ind w:left="0"/>
      </w:pPr>
      <w:r w:rsidRPr="00330234">
        <w:t>Hongarije</w:t>
      </w:r>
    </w:p>
    <w:p w14:paraId="52DEEE78" w14:textId="77777777" w:rsidR="00436DAA" w:rsidRPr="00330234" w:rsidRDefault="00436DAA" w:rsidP="00BD109B">
      <w:pPr>
        <w:pStyle w:val="a3"/>
        <w:widowControl/>
        <w:ind w:left="0"/>
      </w:pPr>
    </w:p>
    <w:p w14:paraId="4D6F589F" w14:textId="77777777" w:rsidR="00436DAA" w:rsidRPr="00330234" w:rsidRDefault="00436DAA" w:rsidP="00BD109B">
      <w:pPr>
        <w:pStyle w:val="a3"/>
        <w:widowControl/>
        <w:ind w:left="0"/>
      </w:pPr>
    </w:p>
    <w:p w14:paraId="43A79C3C" w14:textId="1634EC33" w:rsidR="00436DAA" w:rsidRPr="00330234" w:rsidRDefault="005328BF" w:rsidP="001031F9">
      <w:pPr>
        <w:pStyle w:val="1"/>
      </w:pPr>
      <w:r w:rsidRPr="00330234">
        <w:t>8.</w:t>
      </w:r>
      <w:r w:rsidRPr="00330234">
        <w:tab/>
      </w:r>
      <w:r w:rsidR="009B4B8E" w:rsidRPr="00330234">
        <w:t>NUMMER(S) VAN DE VERGUNNING VOOR HET IN DE HANDEL BRENGEN</w:t>
      </w:r>
    </w:p>
    <w:p w14:paraId="16DD5757" w14:textId="77777777" w:rsidR="00556703" w:rsidRPr="00330234" w:rsidRDefault="00556703" w:rsidP="00BD109B">
      <w:pPr>
        <w:pStyle w:val="a3"/>
        <w:widowControl/>
        <w:ind w:left="0"/>
      </w:pPr>
    </w:p>
    <w:p w14:paraId="4A187C2D" w14:textId="05971E91" w:rsidR="00556703" w:rsidRPr="00330234" w:rsidRDefault="009B4B8E" w:rsidP="00BD109B">
      <w:pPr>
        <w:pStyle w:val="a3"/>
        <w:widowControl/>
        <w:ind w:left="0"/>
      </w:pPr>
      <w:r w:rsidRPr="00330234">
        <w:t>EU/</w:t>
      </w:r>
      <w:r w:rsidR="00D5552B">
        <w:rPr>
          <w:rFonts w:cs="Verdana"/>
          <w:color w:val="000000"/>
          <w:kern w:val="2"/>
        </w:rPr>
        <w:t>1/24/1896/007</w:t>
      </w:r>
    </w:p>
    <w:p w14:paraId="102186C9" w14:textId="117C4864" w:rsidR="00436DAA" w:rsidRPr="00330234" w:rsidRDefault="009B4B8E" w:rsidP="00BD109B">
      <w:pPr>
        <w:pStyle w:val="a3"/>
        <w:widowControl/>
        <w:ind w:left="0"/>
      </w:pPr>
      <w:r w:rsidRPr="00330234">
        <w:t>EU/</w:t>
      </w:r>
      <w:r w:rsidR="00D5552B">
        <w:rPr>
          <w:rFonts w:cs="Verdana"/>
          <w:color w:val="000000"/>
          <w:kern w:val="2"/>
        </w:rPr>
        <w:t>1/24/1896/00</w:t>
      </w:r>
      <w:r w:rsidR="00D5552B">
        <w:rPr>
          <w:rFonts w:eastAsia="맑은 고딕" w:cs="Verdana" w:hint="eastAsia"/>
          <w:color w:val="000000"/>
          <w:kern w:val="2"/>
          <w:lang w:eastAsia="ko-KR"/>
        </w:rPr>
        <w:t>8</w:t>
      </w:r>
    </w:p>
    <w:p w14:paraId="32A9ADF7" w14:textId="67F1E224" w:rsidR="00072297" w:rsidRPr="00330234" w:rsidRDefault="00072297" w:rsidP="00BD109B">
      <w:pPr>
        <w:pStyle w:val="a3"/>
        <w:widowControl/>
        <w:ind w:left="0"/>
      </w:pPr>
      <w:r w:rsidRPr="00330234">
        <w:t>EU/</w:t>
      </w:r>
      <w:r w:rsidR="00D5552B">
        <w:rPr>
          <w:rFonts w:cs="Verdana"/>
          <w:color w:val="000000"/>
          <w:kern w:val="2"/>
        </w:rPr>
        <w:t>1/24/1896/00</w:t>
      </w:r>
      <w:r w:rsidR="00D5552B">
        <w:rPr>
          <w:rFonts w:eastAsia="맑은 고딕" w:cs="Verdana" w:hint="eastAsia"/>
          <w:color w:val="000000"/>
          <w:kern w:val="2"/>
          <w:lang w:eastAsia="ko-KR"/>
        </w:rPr>
        <w:t>9</w:t>
      </w:r>
    </w:p>
    <w:p w14:paraId="0F6FF5FA" w14:textId="4B55E3B1" w:rsidR="002C41D8" w:rsidRPr="002C41D8" w:rsidRDefault="002C41D8" w:rsidP="002C41D8">
      <w:pPr>
        <w:pStyle w:val="a3"/>
        <w:widowControl/>
        <w:ind w:left="0"/>
        <w:rPr>
          <w:ins w:id="19" w:author="만든 이"/>
          <w:rFonts w:eastAsia="맑은 고딕"/>
          <w:lang w:eastAsia="ko-KR"/>
          <w:rPrChange w:id="20" w:author="만든 이">
            <w:rPr>
              <w:ins w:id="21" w:author="만든 이"/>
            </w:rPr>
          </w:rPrChange>
        </w:rPr>
      </w:pPr>
      <w:ins w:id="22" w:author="만든 이">
        <w:r w:rsidRPr="00330234">
          <w:t>EU/</w:t>
        </w:r>
        <w:r>
          <w:rPr>
            <w:rFonts w:cs="Verdana"/>
            <w:color w:val="000000"/>
            <w:kern w:val="2"/>
          </w:rPr>
          <w:t>1/24/1896/</w:t>
        </w:r>
        <w:r w:rsidR="005A4B7E">
          <w:rPr>
            <w:rFonts w:eastAsia="맑은 고딕" w:cs="Verdana" w:hint="eastAsia"/>
            <w:color w:val="000000"/>
            <w:kern w:val="2"/>
            <w:lang w:eastAsia="ko-KR"/>
          </w:rPr>
          <w:t>013</w:t>
        </w:r>
      </w:ins>
    </w:p>
    <w:p w14:paraId="713C9074" w14:textId="77777777" w:rsidR="00436DAA" w:rsidRPr="00330234" w:rsidRDefault="00436DAA" w:rsidP="00BD109B">
      <w:pPr>
        <w:pStyle w:val="a3"/>
        <w:widowControl/>
        <w:ind w:left="0"/>
      </w:pPr>
    </w:p>
    <w:p w14:paraId="3B7E9E43" w14:textId="77777777" w:rsidR="00436DAA" w:rsidRPr="00330234" w:rsidRDefault="00436DAA" w:rsidP="00BD109B">
      <w:pPr>
        <w:pStyle w:val="a3"/>
        <w:widowControl/>
        <w:ind w:left="0"/>
      </w:pPr>
    </w:p>
    <w:p w14:paraId="038A4E61" w14:textId="0460F21D" w:rsidR="00436DAA" w:rsidRPr="00330234" w:rsidRDefault="005328BF" w:rsidP="001B3E1E">
      <w:pPr>
        <w:pStyle w:val="1"/>
        <w:keepNext/>
        <w:keepLines/>
      </w:pPr>
      <w:r w:rsidRPr="00330234">
        <w:lastRenderedPageBreak/>
        <w:t>9.</w:t>
      </w:r>
      <w:r w:rsidRPr="00330234">
        <w:tab/>
      </w:r>
      <w:r w:rsidR="009B4B8E" w:rsidRPr="00330234">
        <w:t>DATUM VAN EERSTE VERLENING VAN DE VERGUNNING/VERLENGING VAN DE VERGUNNING</w:t>
      </w:r>
    </w:p>
    <w:p w14:paraId="1DE97E3A" w14:textId="77777777" w:rsidR="00556703" w:rsidRPr="00330234" w:rsidRDefault="00556703" w:rsidP="001B3E1E">
      <w:pPr>
        <w:pStyle w:val="a3"/>
        <w:keepNext/>
        <w:keepLines/>
        <w:widowControl/>
        <w:ind w:left="0"/>
      </w:pPr>
    </w:p>
    <w:p w14:paraId="2ABB6498" w14:textId="7A4A4F3B" w:rsidR="00556703" w:rsidRPr="00330234" w:rsidRDefault="009B4B8E" w:rsidP="001B3E1E">
      <w:pPr>
        <w:pStyle w:val="a3"/>
        <w:keepNext/>
        <w:keepLines/>
        <w:widowControl/>
        <w:ind w:left="0"/>
      </w:pPr>
      <w:r w:rsidRPr="00330234">
        <w:t xml:space="preserve">Datum van eerste verlening van de vergunning: </w:t>
      </w:r>
      <w:r w:rsidR="006557B8">
        <w:rPr>
          <w:rFonts w:eastAsia="맑은 고딕" w:hint="eastAsia"/>
          <w:lang w:eastAsia="ko-KR"/>
        </w:rPr>
        <w:t xml:space="preserve">14 </w:t>
      </w:r>
      <w:r w:rsidR="0097105B" w:rsidRPr="004C41FF">
        <w:t>februari</w:t>
      </w:r>
      <w:r w:rsidR="0097105B">
        <w:rPr>
          <w:rFonts w:eastAsia="맑은 고딕" w:hint="eastAsia"/>
          <w:lang w:eastAsia="ko-KR"/>
        </w:rPr>
        <w:t xml:space="preserve"> 2025</w:t>
      </w:r>
    </w:p>
    <w:p w14:paraId="13E5EADF" w14:textId="77777777" w:rsidR="00436DAA" w:rsidRPr="00330234" w:rsidRDefault="00436DAA" w:rsidP="001B3E1E">
      <w:pPr>
        <w:pStyle w:val="a3"/>
        <w:keepNext/>
        <w:keepLines/>
        <w:widowControl/>
        <w:ind w:left="0"/>
      </w:pPr>
    </w:p>
    <w:p w14:paraId="767029ED" w14:textId="77777777" w:rsidR="00436DAA" w:rsidRPr="00330234" w:rsidRDefault="00436DAA" w:rsidP="00BD109B">
      <w:pPr>
        <w:pStyle w:val="a3"/>
        <w:widowControl/>
        <w:ind w:left="0"/>
      </w:pPr>
    </w:p>
    <w:p w14:paraId="48055CC9" w14:textId="14791680" w:rsidR="00436DAA" w:rsidRPr="00330234" w:rsidRDefault="005328BF" w:rsidP="00556703">
      <w:pPr>
        <w:pStyle w:val="1"/>
        <w:keepNext/>
        <w:keepLines/>
      </w:pPr>
      <w:r w:rsidRPr="00330234">
        <w:t>10.</w:t>
      </w:r>
      <w:r w:rsidRPr="00330234">
        <w:tab/>
      </w:r>
      <w:r w:rsidR="009B4B8E" w:rsidRPr="00330234">
        <w:t>DATUM VAN HERZIENING VAN DE TEKST</w:t>
      </w:r>
    </w:p>
    <w:p w14:paraId="3E24C870" w14:textId="77777777" w:rsidR="00556703" w:rsidRPr="00330234" w:rsidRDefault="00556703" w:rsidP="00556703">
      <w:pPr>
        <w:pStyle w:val="a3"/>
        <w:keepNext/>
        <w:keepLines/>
        <w:widowControl/>
        <w:ind w:left="0"/>
      </w:pPr>
    </w:p>
    <w:p w14:paraId="10C5763F" w14:textId="4CAADB6B" w:rsidR="00436DAA" w:rsidRPr="00330234" w:rsidRDefault="009B4B8E" w:rsidP="00556703">
      <w:pPr>
        <w:pStyle w:val="a3"/>
        <w:keepNext/>
        <w:keepLines/>
        <w:widowControl/>
        <w:ind w:left="0"/>
      </w:pPr>
      <w:r w:rsidRPr="00330234">
        <w:t xml:space="preserve">Gedetailleerde informatie over dit geneesmiddel is beschikbaar op de website van het Europees Geneesmiddelenbureau </w:t>
      </w:r>
      <w:hyperlink r:id="rId18" w:history="1">
        <w:r w:rsidR="002B1B1E" w:rsidRPr="002B1B1E">
          <w:rPr>
            <w:rStyle w:val="ab"/>
          </w:rPr>
          <w:t>http</w:t>
        </w:r>
        <w:r w:rsidR="002B1B1E" w:rsidRPr="002B1B1E">
          <w:rPr>
            <w:rStyle w:val="ab"/>
            <w:rFonts w:eastAsia="맑은 고딕" w:hint="eastAsia"/>
            <w:lang w:eastAsia="ko-KR"/>
          </w:rPr>
          <w:t>s</w:t>
        </w:r>
        <w:r w:rsidR="002B1B1E" w:rsidRPr="002B1B1E">
          <w:rPr>
            <w:rStyle w:val="ab"/>
          </w:rPr>
          <w:t>://www.ema.europa.eu.</w:t>
        </w:r>
      </w:hyperlink>
    </w:p>
    <w:p w14:paraId="25AB0A92" w14:textId="77777777" w:rsidR="004C0949" w:rsidRPr="00330234" w:rsidRDefault="004C0949" w:rsidP="00BD109B">
      <w:pPr>
        <w:widowControl/>
      </w:pPr>
    </w:p>
    <w:p w14:paraId="5FDA4CD0" w14:textId="2E35A90E" w:rsidR="00072297" w:rsidRPr="00330234" w:rsidRDefault="00556703" w:rsidP="00072297">
      <w:pPr>
        <w:pStyle w:val="Style1"/>
        <w:widowControl/>
        <w:ind w:left="0" w:firstLine="0"/>
        <w:rPr>
          <w:b w:val="0"/>
          <w:bCs w:val="0"/>
        </w:rPr>
      </w:pPr>
      <w:r w:rsidRPr="00330234">
        <w:br w:type="page"/>
      </w:r>
      <w:r w:rsidR="00315255">
        <w:rPr>
          <w:noProof/>
          <w:lang w:val="en-US" w:eastAsia="ko-KR"/>
        </w:rPr>
        <w:lastRenderedPageBreak/>
        <w:drawing>
          <wp:inline distT="0" distB="0" distL="0" distR="0" wp14:anchorId="4DAFA789" wp14:editId="6A85E882">
            <wp:extent cx="191135" cy="170180"/>
            <wp:effectExtent l="0" t="0" r="0" b="0"/>
            <wp:docPr id="3" name="그림 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072297" w:rsidRPr="00330234">
        <w:rPr>
          <w:b w:val="0"/>
          <w:bCs w:val="0"/>
        </w:rPr>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p>
    <w:p w14:paraId="166DC48F" w14:textId="77777777" w:rsidR="00072297" w:rsidRPr="00330234" w:rsidRDefault="00072297" w:rsidP="00BD109B">
      <w:pPr>
        <w:widowControl/>
      </w:pPr>
    </w:p>
    <w:p w14:paraId="6CD85F66" w14:textId="77777777" w:rsidR="00072297" w:rsidRPr="00330234" w:rsidRDefault="00072297" w:rsidP="00BD109B">
      <w:pPr>
        <w:widowControl/>
      </w:pPr>
    </w:p>
    <w:p w14:paraId="383B203E" w14:textId="7FF27B82" w:rsidR="00436DAA" w:rsidRPr="00330234" w:rsidRDefault="005328BF" w:rsidP="001031F9">
      <w:pPr>
        <w:pStyle w:val="1"/>
      </w:pPr>
      <w:r w:rsidRPr="00330234">
        <w:t>1.</w:t>
      </w:r>
      <w:r w:rsidRPr="00330234">
        <w:tab/>
      </w:r>
      <w:r w:rsidR="009B4B8E" w:rsidRPr="00330234">
        <w:t>NAAM VAN HET GENEESMIDDEL</w:t>
      </w:r>
    </w:p>
    <w:p w14:paraId="15E6F43C" w14:textId="77777777" w:rsidR="00A373C7" w:rsidRPr="00330234" w:rsidRDefault="00A373C7" w:rsidP="00BD109B">
      <w:pPr>
        <w:pStyle w:val="a3"/>
        <w:widowControl/>
        <w:ind w:left="0"/>
      </w:pPr>
    </w:p>
    <w:p w14:paraId="4F50C2F1" w14:textId="53371785" w:rsidR="00436DAA" w:rsidRPr="00D1666A" w:rsidRDefault="00072297" w:rsidP="00BD109B">
      <w:pPr>
        <w:pStyle w:val="a3"/>
        <w:widowControl/>
        <w:ind w:left="0"/>
        <w:rPr>
          <w:rFonts w:eastAsia="맑은 고딕" w:hint="eastAsia"/>
          <w:lang w:eastAsia="ko-KR"/>
          <w:rPrChange w:id="23" w:author="만든 이">
            <w:rPr/>
          </w:rPrChange>
        </w:rPr>
      </w:pPr>
      <w:r w:rsidRPr="00330234">
        <w:t>Avtozma</w:t>
      </w:r>
      <w:r w:rsidR="009B4B8E" w:rsidRPr="00330234">
        <w:t>, 162 mg oplossing voor injectie in een voorgevulde pen</w:t>
      </w:r>
      <w:del w:id="24" w:author="만든 이">
        <w:r w:rsidR="009B4B8E" w:rsidRPr="00330234" w:rsidDel="00D1666A">
          <w:delText>.</w:delText>
        </w:r>
      </w:del>
    </w:p>
    <w:p w14:paraId="68536EEA" w14:textId="77777777" w:rsidR="00436DAA" w:rsidRPr="00D1666A" w:rsidRDefault="00436DAA" w:rsidP="00BD109B">
      <w:pPr>
        <w:pStyle w:val="a3"/>
        <w:widowControl/>
        <w:ind w:left="0"/>
        <w:rPr>
          <w:rFonts w:eastAsia="맑은 고딕" w:hint="eastAsia"/>
          <w:lang w:eastAsia="ko-KR"/>
          <w:rPrChange w:id="25" w:author="만든 이">
            <w:rPr/>
          </w:rPrChange>
        </w:rPr>
      </w:pPr>
    </w:p>
    <w:p w14:paraId="63D2FF44" w14:textId="77777777" w:rsidR="00436DAA" w:rsidRPr="00330234" w:rsidRDefault="00436DAA" w:rsidP="00BD109B">
      <w:pPr>
        <w:pStyle w:val="a3"/>
        <w:widowControl/>
        <w:ind w:left="0"/>
      </w:pPr>
    </w:p>
    <w:p w14:paraId="3097C200" w14:textId="17C8730D" w:rsidR="00436DAA" w:rsidRPr="00330234" w:rsidRDefault="005328BF" w:rsidP="001031F9">
      <w:pPr>
        <w:pStyle w:val="1"/>
      </w:pPr>
      <w:r w:rsidRPr="00330234">
        <w:t>2.</w:t>
      </w:r>
      <w:r w:rsidRPr="00330234">
        <w:tab/>
      </w:r>
      <w:r w:rsidR="009B4B8E" w:rsidRPr="00330234">
        <w:t>KWALITATIEVE EN KWANTITATIEVE SAMENSTELLING</w:t>
      </w:r>
    </w:p>
    <w:p w14:paraId="6A4DD4E2" w14:textId="77777777" w:rsidR="00A373C7" w:rsidRPr="00330234" w:rsidRDefault="00A373C7" w:rsidP="00BD109B">
      <w:pPr>
        <w:pStyle w:val="a3"/>
        <w:widowControl/>
        <w:ind w:left="0"/>
      </w:pPr>
    </w:p>
    <w:p w14:paraId="48FA3BDD" w14:textId="58345280" w:rsidR="00436DAA" w:rsidRPr="00330234" w:rsidRDefault="009B4B8E" w:rsidP="00BD109B">
      <w:pPr>
        <w:pStyle w:val="a3"/>
        <w:widowControl/>
        <w:ind w:left="0"/>
      </w:pPr>
      <w:r w:rsidRPr="00330234">
        <w:t>Elke voorgevulde pen bevat 162 mg tocilizumab in 0,9 ml.</w:t>
      </w:r>
    </w:p>
    <w:p w14:paraId="42D75A29" w14:textId="77777777" w:rsidR="00436DAA" w:rsidRPr="00330234" w:rsidRDefault="00436DAA" w:rsidP="00BD109B">
      <w:pPr>
        <w:pStyle w:val="a3"/>
        <w:widowControl/>
        <w:ind w:left="0"/>
      </w:pPr>
    </w:p>
    <w:p w14:paraId="5AAABEAB" w14:textId="3EC5BF23" w:rsidR="00436DAA" w:rsidRPr="00330234" w:rsidRDefault="00072297" w:rsidP="00BD109B">
      <w:pPr>
        <w:pStyle w:val="a3"/>
        <w:widowControl/>
        <w:ind w:left="0"/>
      </w:pPr>
      <w:r w:rsidRPr="00330234">
        <w:t>Tocilizumab</w:t>
      </w:r>
      <w:r w:rsidR="009B4B8E" w:rsidRPr="00330234">
        <w:t xml:space="preserve"> is een recombinant gehumaniseerd anti-humaan monoklonaal antilichaam van de immunoglobuline G1 (IgG1) subklasse, dat gericht is tegen de </w:t>
      </w:r>
      <w:r w:rsidR="006E5982" w:rsidRPr="00330234">
        <w:t>oplosbare en membraangebonden interleukine-6-receptoren.</w:t>
      </w:r>
    </w:p>
    <w:p w14:paraId="636195EA" w14:textId="77777777" w:rsidR="00436DAA" w:rsidRDefault="00436DAA" w:rsidP="00BD109B">
      <w:pPr>
        <w:pStyle w:val="a3"/>
        <w:widowControl/>
        <w:ind w:left="0"/>
      </w:pPr>
    </w:p>
    <w:p w14:paraId="17EB3E09" w14:textId="77777777" w:rsidR="00D5552B" w:rsidRPr="00330234" w:rsidRDefault="00D5552B" w:rsidP="00D5552B">
      <w:pPr>
        <w:pStyle w:val="a3"/>
        <w:widowControl/>
        <w:ind w:left="0"/>
        <w:rPr>
          <w:u w:val="single"/>
        </w:rPr>
      </w:pPr>
      <w:r w:rsidRPr="00330234">
        <w:rPr>
          <w:u w:val="single"/>
        </w:rPr>
        <w:t>Hulpstoffen met bekend effect</w:t>
      </w:r>
    </w:p>
    <w:p w14:paraId="36B7A88D" w14:textId="77777777" w:rsidR="00D5552B" w:rsidRPr="00330234" w:rsidRDefault="00D5552B" w:rsidP="00D5552B">
      <w:pPr>
        <w:pStyle w:val="a3"/>
        <w:widowControl/>
        <w:ind w:left="0"/>
        <w:rPr>
          <w:i/>
          <w:iCs/>
        </w:rPr>
      </w:pPr>
      <w:r w:rsidRPr="00330234">
        <w:rPr>
          <w:i/>
          <w:iCs/>
        </w:rPr>
        <w:t>Polysorbaat</w:t>
      </w:r>
    </w:p>
    <w:p w14:paraId="468202EF" w14:textId="3162BE41" w:rsidR="00D5552B" w:rsidRDefault="00D5552B" w:rsidP="00D5552B">
      <w:pPr>
        <w:pStyle w:val="a3"/>
        <w:widowControl/>
        <w:ind w:left="0"/>
      </w:pPr>
      <w:r w:rsidRPr="00330234">
        <w:t>Elke 162 mg voorgevulde pen bevat 0,2 mg polysorbaat</w:t>
      </w:r>
      <w:r w:rsidR="00545170">
        <w:rPr>
          <w:rFonts w:eastAsia="맑은 고딕" w:hint="eastAsia"/>
          <w:lang w:eastAsia="ko-KR"/>
        </w:rPr>
        <w:t xml:space="preserve"> 80</w:t>
      </w:r>
      <w:r w:rsidRPr="00330234">
        <w:t>.</w:t>
      </w:r>
    </w:p>
    <w:p w14:paraId="4F24399A" w14:textId="77777777" w:rsidR="00D5552B" w:rsidRPr="00330234" w:rsidRDefault="00D5552B" w:rsidP="00BD109B">
      <w:pPr>
        <w:pStyle w:val="a3"/>
        <w:widowControl/>
        <w:ind w:left="0"/>
      </w:pPr>
    </w:p>
    <w:p w14:paraId="31C10C26" w14:textId="77777777" w:rsidR="00436DAA" w:rsidRPr="00330234" w:rsidRDefault="009B4B8E" w:rsidP="00BD109B">
      <w:pPr>
        <w:pStyle w:val="a3"/>
        <w:widowControl/>
        <w:ind w:left="0"/>
      </w:pPr>
      <w:r w:rsidRPr="00330234">
        <w:t>Voor de volledige lijst van hulpstoffen, zie rubriek 6.1.</w:t>
      </w:r>
    </w:p>
    <w:p w14:paraId="55FBD4FC" w14:textId="77777777" w:rsidR="00436DAA" w:rsidRPr="00330234" w:rsidRDefault="00436DAA" w:rsidP="00BD109B">
      <w:pPr>
        <w:pStyle w:val="a3"/>
        <w:widowControl/>
        <w:ind w:left="0"/>
      </w:pPr>
    </w:p>
    <w:p w14:paraId="3926B6D1" w14:textId="77777777" w:rsidR="00436DAA" w:rsidRPr="00330234" w:rsidRDefault="00436DAA" w:rsidP="00BD109B">
      <w:pPr>
        <w:pStyle w:val="a3"/>
        <w:widowControl/>
        <w:ind w:left="0"/>
      </w:pPr>
    </w:p>
    <w:p w14:paraId="1D403FA7" w14:textId="5E87B8C6" w:rsidR="00436DAA" w:rsidRPr="00330234" w:rsidRDefault="005328BF" w:rsidP="001031F9">
      <w:pPr>
        <w:pStyle w:val="1"/>
      </w:pPr>
      <w:r w:rsidRPr="00330234">
        <w:t>3.</w:t>
      </w:r>
      <w:r w:rsidRPr="00330234">
        <w:tab/>
      </w:r>
      <w:r w:rsidR="009B4B8E" w:rsidRPr="00330234">
        <w:t>FARMACEUTISCHE VORM</w:t>
      </w:r>
    </w:p>
    <w:p w14:paraId="087BFE78" w14:textId="77777777" w:rsidR="00A373C7" w:rsidRPr="00330234" w:rsidRDefault="00A373C7" w:rsidP="00BD109B">
      <w:pPr>
        <w:pStyle w:val="a3"/>
        <w:widowControl/>
        <w:ind w:left="0"/>
      </w:pPr>
    </w:p>
    <w:p w14:paraId="3BA305E9" w14:textId="007508DB" w:rsidR="007E25AB" w:rsidRPr="00330234" w:rsidRDefault="00072297" w:rsidP="007E25AB">
      <w:pPr>
        <w:pStyle w:val="a3"/>
        <w:widowControl/>
        <w:ind w:left="0"/>
        <w:rPr>
          <w:rFonts w:eastAsia="SimSun"/>
        </w:rPr>
      </w:pPr>
      <w:r w:rsidRPr="00330234">
        <w:t xml:space="preserve">Oplossing voor injectie in een voorgevulde pen. </w:t>
      </w:r>
      <w:r w:rsidR="007E25AB" w:rsidRPr="00330234">
        <w:t xml:space="preserve">Heldere tot enigszins doorschijnende, kleurloze tot gele oplossing met een pH van 5,7 – 6,3 en een </w:t>
      </w:r>
      <w:r w:rsidR="00BC2CD2" w:rsidRPr="00330234">
        <w:t>osmolaliteit</w:t>
      </w:r>
      <w:r w:rsidR="007E25AB" w:rsidRPr="00330234">
        <w:t xml:space="preserve"> van </w:t>
      </w:r>
      <w:r w:rsidR="007E25AB" w:rsidRPr="00330234">
        <w:rPr>
          <w:rFonts w:eastAsia="SimSun"/>
        </w:rPr>
        <w:t>280 – 340 mmol/kg.</w:t>
      </w:r>
    </w:p>
    <w:p w14:paraId="79DE5486" w14:textId="77777777" w:rsidR="00436DAA" w:rsidRPr="00330234" w:rsidRDefault="00436DAA" w:rsidP="00BD109B">
      <w:pPr>
        <w:pStyle w:val="a3"/>
        <w:widowControl/>
        <w:ind w:left="0"/>
      </w:pPr>
    </w:p>
    <w:p w14:paraId="393AA346" w14:textId="77777777" w:rsidR="00A373C7" w:rsidRPr="00330234" w:rsidRDefault="00A373C7" w:rsidP="00BD109B">
      <w:pPr>
        <w:pStyle w:val="a3"/>
        <w:widowControl/>
        <w:ind w:left="0"/>
      </w:pPr>
    </w:p>
    <w:p w14:paraId="615D810E" w14:textId="0F7D8C9A" w:rsidR="00436DAA" w:rsidRPr="00330234" w:rsidRDefault="005328BF" w:rsidP="001031F9">
      <w:pPr>
        <w:pStyle w:val="1"/>
      </w:pPr>
      <w:r w:rsidRPr="00330234">
        <w:t>4.</w:t>
      </w:r>
      <w:r w:rsidRPr="00330234">
        <w:tab/>
      </w:r>
      <w:r w:rsidR="009B4B8E" w:rsidRPr="00330234">
        <w:t>KLINISCHE GEGEVENS</w:t>
      </w:r>
    </w:p>
    <w:p w14:paraId="5B2CD0F9" w14:textId="77777777" w:rsidR="00436DAA" w:rsidRPr="00330234" w:rsidRDefault="00436DAA" w:rsidP="00BD109B">
      <w:pPr>
        <w:pStyle w:val="a3"/>
        <w:widowControl/>
        <w:ind w:left="0"/>
        <w:rPr>
          <w:b/>
        </w:rPr>
      </w:pPr>
    </w:p>
    <w:p w14:paraId="6159C6F5" w14:textId="5B3B5D77" w:rsidR="00436DAA" w:rsidRPr="00330234" w:rsidRDefault="005328BF" w:rsidP="00BD109B">
      <w:pPr>
        <w:pStyle w:val="2"/>
      </w:pPr>
      <w:r w:rsidRPr="00330234">
        <w:t>4.1</w:t>
      </w:r>
      <w:r w:rsidRPr="00330234">
        <w:tab/>
      </w:r>
      <w:r w:rsidR="009B4B8E" w:rsidRPr="00330234">
        <w:t>Therapeutische indicaties</w:t>
      </w:r>
    </w:p>
    <w:p w14:paraId="2D7ACD6F" w14:textId="77777777" w:rsidR="00A373C7" w:rsidRDefault="00A373C7" w:rsidP="00BD109B">
      <w:pPr>
        <w:pStyle w:val="a3"/>
        <w:widowControl/>
        <w:ind w:left="0"/>
        <w:rPr>
          <w:rFonts w:eastAsia="맑은 고딕"/>
          <w:lang w:eastAsia="ko-KR"/>
        </w:rPr>
      </w:pPr>
    </w:p>
    <w:p w14:paraId="0C1B3BB9" w14:textId="3B20E7B5" w:rsidR="008F108B" w:rsidRPr="00144E79" w:rsidRDefault="008F108B" w:rsidP="00BD109B">
      <w:pPr>
        <w:pStyle w:val="a3"/>
        <w:widowControl/>
        <w:ind w:left="0"/>
        <w:rPr>
          <w:rFonts w:eastAsia="맑은 고딕"/>
          <w:u w:val="single"/>
          <w:lang w:eastAsia="ko-KR"/>
        </w:rPr>
      </w:pPr>
      <w:r w:rsidRPr="008F108B">
        <w:rPr>
          <w:rFonts w:eastAsia="맑은 고딕"/>
          <w:u w:val="single"/>
          <w:lang w:eastAsia="ko-KR"/>
        </w:rPr>
        <w:t>Reumatoïde artritis (RA)</w:t>
      </w:r>
    </w:p>
    <w:p w14:paraId="4C32916D" w14:textId="5F466FA9" w:rsidR="00436DAA" w:rsidRPr="00330234" w:rsidRDefault="007E25AB" w:rsidP="00BD109B">
      <w:pPr>
        <w:pStyle w:val="a3"/>
        <w:widowControl/>
        <w:ind w:left="0"/>
      </w:pPr>
      <w:r w:rsidRPr="00330234">
        <w:t>Avtozma</w:t>
      </w:r>
      <w:r w:rsidR="009B4B8E" w:rsidRPr="00330234">
        <w:t>, in combinatie met methotrexaat (MTX), is geïndiceerd voor</w:t>
      </w:r>
    </w:p>
    <w:p w14:paraId="26F23E10" w14:textId="77777777" w:rsidR="00A373C7" w:rsidRPr="00330234" w:rsidRDefault="00A373C7" w:rsidP="00BD109B">
      <w:pPr>
        <w:pStyle w:val="a3"/>
        <w:widowControl/>
        <w:ind w:left="0"/>
      </w:pPr>
    </w:p>
    <w:p w14:paraId="4B01D611" w14:textId="3A60BCFC" w:rsidR="00436DAA" w:rsidRPr="00330234" w:rsidRDefault="005328BF" w:rsidP="00A373C7">
      <w:pPr>
        <w:pStyle w:val="bullet"/>
      </w:pPr>
      <w:r w:rsidRPr="00330234">
        <w:rPr>
          <w:rFonts w:eastAsia="Symbol"/>
        </w:rPr>
        <w:tab/>
      </w:r>
      <w:r w:rsidR="009B4B8E" w:rsidRPr="00330234">
        <w:t>de behandeling van ernstige, actieve en progressieve reumatoïde artritis (RA) bij volwassenen die niet eerder werden behandeld met MTX.</w:t>
      </w:r>
    </w:p>
    <w:p w14:paraId="207E315B" w14:textId="0101E50E" w:rsidR="00436DAA" w:rsidRPr="00330234" w:rsidRDefault="005328BF" w:rsidP="00A373C7">
      <w:pPr>
        <w:pStyle w:val="bullet"/>
      </w:pPr>
      <w:r w:rsidRPr="00330234">
        <w:rPr>
          <w:rFonts w:eastAsia="Symbol"/>
        </w:rPr>
        <w:tab/>
      </w:r>
      <w:r w:rsidR="009B4B8E" w:rsidRPr="00330234">
        <w:t xml:space="preserve">de behandeling van matige tot ernstige actieve RA bij volwassenen met een ontoereikende respons op of een intolerantie voor een eerdere behandeling met één of meerdere </w:t>
      </w:r>
      <w:r w:rsidR="009B4B8E" w:rsidRPr="00330234">
        <w:rPr>
          <w:i/>
        </w:rPr>
        <w:t xml:space="preserve">disease- modifying anti-rheumatic drugs </w:t>
      </w:r>
      <w:r w:rsidR="009B4B8E" w:rsidRPr="00330234">
        <w:t>(DMARD’s) of tumor necrose factor (TNF) antagonisten.</w:t>
      </w:r>
    </w:p>
    <w:p w14:paraId="5BCF8537" w14:textId="77777777" w:rsidR="00A373C7" w:rsidRPr="00330234" w:rsidRDefault="00A373C7" w:rsidP="00BD109B">
      <w:pPr>
        <w:pStyle w:val="a3"/>
        <w:widowControl/>
        <w:ind w:left="0"/>
      </w:pPr>
    </w:p>
    <w:p w14:paraId="2438281B" w14:textId="2C36840E" w:rsidR="00436DAA" w:rsidRPr="00330234" w:rsidRDefault="007E25AB" w:rsidP="00BD109B">
      <w:pPr>
        <w:pStyle w:val="a3"/>
        <w:widowControl/>
        <w:ind w:left="0"/>
      </w:pPr>
      <w:r w:rsidRPr="00330234">
        <w:t>Avtozma</w:t>
      </w:r>
      <w:r w:rsidR="009B4B8E" w:rsidRPr="00330234">
        <w:t xml:space="preserve"> kan als monotherapie worden gegeven aan deze patiënten in geval van intolerantie voor MTX of wanneer voortzetten van de behandeling met MTX niet geschikt is.</w:t>
      </w:r>
    </w:p>
    <w:p w14:paraId="1D8A81FC" w14:textId="77777777" w:rsidR="00A373C7" w:rsidRPr="00330234" w:rsidRDefault="00A373C7" w:rsidP="00BD109B">
      <w:pPr>
        <w:pStyle w:val="a3"/>
        <w:widowControl/>
        <w:ind w:left="0"/>
      </w:pPr>
    </w:p>
    <w:p w14:paraId="1967688E" w14:textId="4274E8E0" w:rsidR="00436DAA" w:rsidRPr="00330234" w:rsidRDefault="007E25AB" w:rsidP="00BD109B">
      <w:pPr>
        <w:pStyle w:val="a3"/>
        <w:widowControl/>
        <w:ind w:left="0"/>
      </w:pPr>
      <w:r w:rsidRPr="00330234">
        <w:t>Avtozma</w:t>
      </w:r>
      <w:r w:rsidR="009B4B8E" w:rsidRPr="00330234">
        <w:t>, in combinatie met MTX, vermindert de mate van progressie van gewrichtsschade, aangetoond middels röntgenonderzoek, en verbetert het lichamelijk functioneren.</w:t>
      </w:r>
    </w:p>
    <w:p w14:paraId="2CCF92EE" w14:textId="77777777" w:rsidR="00A373C7" w:rsidRDefault="00A373C7" w:rsidP="00BD109B">
      <w:pPr>
        <w:pStyle w:val="a3"/>
        <w:widowControl/>
        <w:ind w:left="0"/>
        <w:rPr>
          <w:rFonts w:eastAsia="맑은 고딕"/>
          <w:lang w:eastAsia="ko-KR"/>
        </w:rPr>
      </w:pPr>
    </w:p>
    <w:p w14:paraId="0DC5071E" w14:textId="397B6EA8" w:rsidR="008F108B" w:rsidRPr="00144E79" w:rsidRDefault="008F108B" w:rsidP="00BD109B">
      <w:pPr>
        <w:pStyle w:val="a3"/>
        <w:widowControl/>
        <w:ind w:left="0"/>
        <w:rPr>
          <w:rFonts w:eastAsia="맑은 고딕"/>
          <w:u w:val="single"/>
          <w:lang w:eastAsia="ko-KR"/>
        </w:rPr>
      </w:pPr>
      <w:r w:rsidRPr="008F108B">
        <w:rPr>
          <w:rFonts w:eastAsia="맑은 고딕"/>
          <w:u w:val="single"/>
          <w:lang w:eastAsia="ko-KR"/>
        </w:rPr>
        <w:t>Systemische juveniele idiopathische artritis (sJIA)</w:t>
      </w:r>
    </w:p>
    <w:p w14:paraId="2F22D3C6" w14:textId="1A16A069" w:rsidR="00436DAA" w:rsidRPr="00330234" w:rsidRDefault="007E25AB" w:rsidP="00BD109B">
      <w:pPr>
        <w:pStyle w:val="a3"/>
        <w:widowControl/>
        <w:ind w:left="0"/>
      </w:pPr>
      <w:r w:rsidRPr="00330234">
        <w:t>Avtozma</w:t>
      </w:r>
      <w:r w:rsidR="009B4B8E" w:rsidRPr="00330234">
        <w:t xml:space="preserve"> is geïndiceerd voor de behandeling van actieve systemische juveniele idiopathische artritis (sJIA) bij patiënten van 12 jaar en ouder met een ontoereikende respons op eerdere behandeling met NSAID</w:t>
      </w:r>
      <w:r w:rsidR="00753185" w:rsidRPr="00330234">
        <w:t>’</w:t>
      </w:r>
      <w:r w:rsidR="009B4B8E" w:rsidRPr="00330234">
        <w:t>s en systemische corticosteroïden (zie rubriek 4.2).</w:t>
      </w:r>
    </w:p>
    <w:p w14:paraId="662311A5" w14:textId="7114971C" w:rsidR="00436DAA" w:rsidRPr="00330234" w:rsidRDefault="007E25AB" w:rsidP="00BD109B">
      <w:pPr>
        <w:pStyle w:val="a3"/>
        <w:widowControl/>
        <w:ind w:left="0"/>
      </w:pPr>
      <w:r w:rsidRPr="00330234">
        <w:t>Avtozma</w:t>
      </w:r>
      <w:r w:rsidR="009B4B8E" w:rsidRPr="00330234">
        <w:t xml:space="preserve"> kan als monotherapie worden gegeven (in geval van intolerantie voor MTX of wanneer behandeling met MTX niet geschikt is) of in combinatie met MTX.</w:t>
      </w:r>
    </w:p>
    <w:p w14:paraId="08A42DB6" w14:textId="77777777" w:rsidR="00A373C7" w:rsidRPr="00330234" w:rsidRDefault="00A373C7" w:rsidP="00BD109B">
      <w:pPr>
        <w:pStyle w:val="a3"/>
        <w:widowControl/>
        <w:ind w:left="0"/>
      </w:pPr>
    </w:p>
    <w:p w14:paraId="5BFAAFD5" w14:textId="39F4D6E4" w:rsidR="008F108B" w:rsidRPr="00144E79" w:rsidRDefault="008F108B" w:rsidP="00BD109B">
      <w:pPr>
        <w:pStyle w:val="a3"/>
        <w:widowControl/>
        <w:ind w:left="0"/>
        <w:rPr>
          <w:rFonts w:eastAsia="맑은 고딕"/>
          <w:u w:val="single"/>
          <w:lang w:eastAsia="ko-KR"/>
        </w:rPr>
      </w:pPr>
      <w:r w:rsidRPr="008F108B">
        <w:rPr>
          <w:rFonts w:eastAsia="맑은 고딕"/>
          <w:u w:val="single"/>
          <w:lang w:eastAsia="ko-KR"/>
        </w:rPr>
        <w:lastRenderedPageBreak/>
        <w:t>Juveniele idiopathische polyartritis (pJIA)</w:t>
      </w:r>
    </w:p>
    <w:p w14:paraId="6A68C20D" w14:textId="37914B18" w:rsidR="00436DAA" w:rsidRPr="00330234" w:rsidRDefault="007E25AB" w:rsidP="00BD109B">
      <w:pPr>
        <w:pStyle w:val="a3"/>
        <w:widowControl/>
        <w:ind w:left="0"/>
      </w:pPr>
      <w:r w:rsidRPr="00330234">
        <w:t>Avtozma</w:t>
      </w:r>
      <w:r w:rsidR="009B4B8E" w:rsidRPr="00330234">
        <w:t xml:space="preserve"> in combinatie met MTX is geïndiceerd voor de behandeling van juveniele idiopathische polyartritis (pJIA; reumafactor positief of negatief en uitgebreide oligoartritis) bij patiënten van 12 jaar en ouder met een ontoereikende respons op eerdere behandeling met MTX (zie rubriek 4.2).</w:t>
      </w:r>
    </w:p>
    <w:p w14:paraId="4FE96821" w14:textId="232410EF" w:rsidR="00436DAA" w:rsidRPr="00330234" w:rsidRDefault="007E25AB" w:rsidP="00BD109B">
      <w:pPr>
        <w:pStyle w:val="a3"/>
        <w:widowControl/>
        <w:ind w:left="0"/>
      </w:pPr>
      <w:r w:rsidRPr="00330234">
        <w:t>Avtozma</w:t>
      </w:r>
      <w:r w:rsidR="009B4B8E" w:rsidRPr="00330234">
        <w:t xml:space="preserve"> kan als monotherapie worden gegeven in geval van onverdraagbaarheid van MTX of wanneer continuering van behandeling met MTX niet geschikt is.</w:t>
      </w:r>
    </w:p>
    <w:p w14:paraId="7A772F1A" w14:textId="77777777" w:rsidR="00A373C7" w:rsidRDefault="00A373C7" w:rsidP="00BD109B">
      <w:pPr>
        <w:pStyle w:val="a3"/>
        <w:widowControl/>
        <w:ind w:left="0"/>
        <w:rPr>
          <w:rFonts w:eastAsia="맑은 고딕"/>
          <w:lang w:eastAsia="ko-KR"/>
        </w:rPr>
      </w:pPr>
    </w:p>
    <w:p w14:paraId="6C64B494" w14:textId="0F741A68" w:rsidR="008F108B" w:rsidRPr="00144E79" w:rsidRDefault="008F108B" w:rsidP="00BD109B">
      <w:pPr>
        <w:pStyle w:val="a3"/>
        <w:widowControl/>
        <w:ind w:left="0"/>
        <w:rPr>
          <w:rFonts w:eastAsia="맑은 고딕"/>
          <w:u w:val="single"/>
          <w:lang w:eastAsia="ko-KR"/>
        </w:rPr>
      </w:pPr>
      <w:r w:rsidRPr="008F108B">
        <w:rPr>
          <w:rFonts w:eastAsia="맑은 고딕"/>
          <w:u w:val="single"/>
          <w:lang w:eastAsia="ko-KR"/>
        </w:rPr>
        <w:t>Giant Cell Arteritis (reuscelarteritis, GCA)</w:t>
      </w:r>
    </w:p>
    <w:p w14:paraId="484C9A0C" w14:textId="39AA55B9" w:rsidR="00436DAA" w:rsidRPr="00330234" w:rsidRDefault="007E25AB" w:rsidP="00BD109B">
      <w:pPr>
        <w:pStyle w:val="a3"/>
        <w:widowControl/>
        <w:ind w:left="0"/>
      </w:pPr>
      <w:r w:rsidRPr="00330234">
        <w:t>Avtozma</w:t>
      </w:r>
      <w:r w:rsidR="009B4B8E" w:rsidRPr="00330234">
        <w:t xml:space="preserve"> is geïndiceerd voor de behandeling van </w:t>
      </w:r>
      <w:r w:rsidR="009B4B8E" w:rsidRPr="00330234">
        <w:rPr>
          <w:i/>
        </w:rPr>
        <w:t xml:space="preserve">Giant Cell Arteritis </w:t>
      </w:r>
      <w:r w:rsidR="009B4B8E" w:rsidRPr="00330234">
        <w:t>(reuscelarteritis, GCA) bij volwassenen.</w:t>
      </w:r>
    </w:p>
    <w:p w14:paraId="25FB87BE" w14:textId="77777777" w:rsidR="00436DAA" w:rsidRPr="00330234" w:rsidRDefault="00436DAA" w:rsidP="00BD109B">
      <w:pPr>
        <w:widowControl/>
      </w:pPr>
    </w:p>
    <w:p w14:paraId="53187740" w14:textId="484E7795" w:rsidR="00436DAA" w:rsidRPr="00330234" w:rsidRDefault="005328BF" w:rsidP="00A373C7">
      <w:pPr>
        <w:pStyle w:val="2"/>
        <w:keepNext/>
        <w:keepLines/>
      </w:pPr>
      <w:r w:rsidRPr="00330234">
        <w:t>4.2</w:t>
      </w:r>
      <w:r w:rsidRPr="00330234">
        <w:tab/>
      </w:r>
      <w:r w:rsidR="009B4B8E" w:rsidRPr="00330234">
        <w:t>Dosering en wijze van toediening</w:t>
      </w:r>
    </w:p>
    <w:p w14:paraId="593CDC30" w14:textId="77777777" w:rsidR="00A373C7" w:rsidRPr="00330234" w:rsidRDefault="00A373C7" w:rsidP="00A373C7">
      <w:pPr>
        <w:pStyle w:val="a3"/>
        <w:keepNext/>
        <w:keepLines/>
        <w:widowControl/>
        <w:ind w:left="0"/>
      </w:pPr>
    </w:p>
    <w:p w14:paraId="501031A7" w14:textId="225E18A6" w:rsidR="00436DAA" w:rsidRPr="00330234" w:rsidRDefault="009B4B8E" w:rsidP="00BD109B">
      <w:pPr>
        <w:pStyle w:val="a3"/>
        <w:widowControl/>
        <w:ind w:left="0"/>
      </w:pPr>
      <w:r w:rsidRPr="00330234">
        <w:t xml:space="preserve">De subcutane formulering van tocilizumab wordt toegediend door middel van een voorgevulde pen. Behandeling met </w:t>
      </w:r>
      <w:r w:rsidR="003872B5" w:rsidRPr="00330234">
        <w:t>Avtozma</w:t>
      </w:r>
      <w:r w:rsidRPr="00330234">
        <w:t xml:space="preserve"> moet worden geïnitieerd door beroepsbeoefenaren in de gezondheidszorg die ervaring hebben met de diagnose en behandeling van RA, sJIA, pJIA en/of GCA.</w:t>
      </w:r>
      <w:r w:rsidR="00273854" w:rsidRPr="00330234">
        <w:t xml:space="preserve"> </w:t>
      </w:r>
      <w:r w:rsidRPr="00330234">
        <w:t xml:space="preserve">De voorgevulde pen mag niet gebruikt worden voor de behandeling van pediatrische patiënten jonger dan 12 jaar vanwege het </w:t>
      </w:r>
      <w:r w:rsidR="000B521E">
        <w:t>potentiële</w:t>
      </w:r>
      <w:r w:rsidR="000B521E" w:rsidRPr="00330234">
        <w:t xml:space="preserve"> </w:t>
      </w:r>
      <w:r w:rsidRPr="00330234">
        <w:t xml:space="preserve"> risico van intramusculaire injectie doordat het weefsel van de onderhuid dunner is.</w:t>
      </w:r>
    </w:p>
    <w:p w14:paraId="184DC483" w14:textId="77777777" w:rsidR="00436DAA" w:rsidRPr="00330234" w:rsidRDefault="00436DAA" w:rsidP="00BD109B">
      <w:pPr>
        <w:pStyle w:val="a3"/>
        <w:widowControl/>
        <w:ind w:left="0"/>
      </w:pPr>
    </w:p>
    <w:p w14:paraId="7A789E31" w14:textId="0EE46363" w:rsidR="00436DAA" w:rsidRPr="00330234" w:rsidRDefault="009B4B8E" w:rsidP="00BD109B">
      <w:pPr>
        <w:pStyle w:val="a3"/>
        <w:widowControl/>
        <w:ind w:left="0"/>
      </w:pPr>
      <w:r w:rsidRPr="00330234">
        <w:t xml:space="preserve">De eerste injectie moet toegediend worden onder toezicht van een gekwalificeerde beroepsbeoefenaar in de gezondheidszorg. Een patiënt of ouder/voogd mag alleen zelf injecteren met </w:t>
      </w:r>
      <w:r w:rsidR="00273854" w:rsidRPr="00330234">
        <w:t>Avtozma</w:t>
      </w:r>
      <w:r w:rsidRPr="00330234">
        <w:t xml:space="preserve"> als de arts beslist dat dit kan en als de patiënt of ouder/voogd toestemming geeft voor medische controle, indien nodig, en getraind is in de juiste injectietechniek.</w:t>
      </w:r>
    </w:p>
    <w:p w14:paraId="0059BE62" w14:textId="77777777" w:rsidR="00436DAA" w:rsidRPr="00330234" w:rsidRDefault="00436DAA" w:rsidP="00BD109B">
      <w:pPr>
        <w:pStyle w:val="a3"/>
        <w:widowControl/>
        <w:ind w:left="0"/>
      </w:pPr>
    </w:p>
    <w:p w14:paraId="0DE95D64" w14:textId="77777777" w:rsidR="00436DAA" w:rsidRPr="00330234" w:rsidRDefault="009B4B8E" w:rsidP="00BD109B">
      <w:pPr>
        <w:pStyle w:val="a3"/>
        <w:widowControl/>
        <w:ind w:left="0"/>
      </w:pPr>
      <w:r w:rsidRPr="00330234">
        <w:t>Patiënten die overstappen van intraveneuze behandeling met tocilizumab naar subcutane toediening moeten hun eerste subcutane dosis toedienen op het tijdstip van de volgende geplande intraveneuze dosis onder toezicht van een gekwalificeerde beroepsbeoefenaar in de gezondheidszorg.</w:t>
      </w:r>
    </w:p>
    <w:p w14:paraId="1163F3CA" w14:textId="77777777" w:rsidR="00A373C7" w:rsidRPr="00330234" w:rsidRDefault="00A373C7" w:rsidP="00BD109B">
      <w:pPr>
        <w:pStyle w:val="a3"/>
        <w:widowControl/>
        <w:ind w:left="0"/>
      </w:pPr>
    </w:p>
    <w:p w14:paraId="4CB08A1D" w14:textId="6AC58097" w:rsidR="00436DAA" w:rsidRPr="00330234" w:rsidRDefault="009B4B8E" w:rsidP="00BD109B">
      <w:pPr>
        <w:pStyle w:val="a3"/>
        <w:widowControl/>
        <w:ind w:left="0"/>
      </w:pPr>
      <w:r w:rsidRPr="00330234">
        <w:t xml:space="preserve">De patiëntenwaarschuwingskaart moet worden verstrekt aan alle patiënten die met </w:t>
      </w:r>
      <w:r w:rsidR="00273854" w:rsidRPr="00330234">
        <w:t>Avtozma</w:t>
      </w:r>
      <w:r w:rsidRPr="00330234">
        <w:t xml:space="preserve"> worden behandeld.</w:t>
      </w:r>
    </w:p>
    <w:p w14:paraId="18D6D3F8" w14:textId="77777777" w:rsidR="00A373C7" w:rsidRPr="00330234" w:rsidRDefault="00A373C7" w:rsidP="00BD109B">
      <w:pPr>
        <w:pStyle w:val="a3"/>
        <w:widowControl/>
        <w:ind w:left="0"/>
      </w:pPr>
    </w:p>
    <w:p w14:paraId="2BAF5901" w14:textId="77777777" w:rsidR="00436DAA" w:rsidRPr="00330234" w:rsidRDefault="009B4B8E" w:rsidP="00BD109B">
      <w:pPr>
        <w:pStyle w:val="a3"/>
        <w:widowControl/>
        <w:ind w:left="0"/>
      </w:pPr>
      <w:r w:rsidRPr="00330234">
        <w:t>De mogelijkheid van subcutane thuistoediening moet per patiënt of ouder/voogd beoordeeld worden en de patiënten of ouder/voogd moeten geïnstrueerd worden om een beroepsbeoefenaar in de gezondheidszorg te informeren als zij symptomen van een allergische reactie hebben ervaren voordat de volgende dosis wordt toegediend. Patiënten moeten onmiddellijk medische hulp zoeken als zij symptomen van ernstige allergische reacties ontwikkelen (zie rubriek 4.4).</w:t>
      </w:r>
    </w:p>
    <w:p w14:paraId="00F63895" w14:textId="77777777" w:rsidR="00436DAA" w:rsidRPr="00330234" w:rsidRDefault="00436DAA" w:rsidP="00BD109B">
      <w:pPr>
        <w:pStyle w:val="a3"/>
        <w:widowControl/>
        <w:ind w:left="0"/>
      </w:pPr>
    </w:p>
    <w:p w14:paraId="00E56EF8" w14:textId="77777777" w:rsidR="00436DAA" w:rsidRPr="00330234" w:rsidRDefault="009B4B8E" w:rsidP="00BD109B">
      <w:pPr>
        <w:pStyle w:val="a3"/>
        <w:widowControl/>
        <w:ind w:left="0"/>
      </w:pPr>
      <w:r w:rsidRPr="00330234">
        <w:rPr>
          <w:u w:val="single"/>
        </w:rPr>
        <w:t>Dosering</w:t>
      </w:r>
    </w:p>
    <w:p w14:paraId="7CDED477" w14:textId="77777777" w:rsidR="00436DAA" w:rsidRPr="00330234" w:rsidRDefault="00436DAA" w:rsidP="00BD109B">
      <w:pPr>
        <w:pStyle w:val="a3"/>
        <w:widowControl/>
        <w:ind w:left="0"/>
      </w:pPr>
    </w:p>
    <w:p w14:paraId="0B89E3A9" w14:textId="77777777" w:rsidR="00436DAA" w:rsidRPr="00330234" w:rsidRDefault="009B4B8E" w:rsidP="00BD109B">
      <w:pPr>
        <w:pStyle w:val="a3"/>
        <w:widowControl/>
        <w:ind w:left="0"/>
      </w:pPr>
      <w:r w:rsidRPr="00330234">
        <w:rPr>
          <w:u w:val="single"/>
        </w:rPr>
        <w:t>RA</w:t>
      </w:r>
    </w:p>
    <w:p w14:paraId="43EF9074" w14:textId="77777777" w:rsidR="00436DAA" w:rsidRPr="00330234" w:rsidRDefault="009B4B8E" w:rsidP="00BD109B">
      <w:pPr>
        <w:pStyle w:val="a3"/>
        <w:widowControl/>
        <w:ind w:left="0"/>
      </w:pPr>
      <w:r w:rsidRPr="00330234">
        <w:t>De aanbevolen subcutane dosering is 162 mg eenmaal per week.</w:t>
      </w:r>
    </w:p>
    <w:p w14:paraId="5885859C" w14:textId="77777777" w:rsidR="00436DAA" w:rsidRPr="00330234" w:rsidRDefault="00436DAA" w:rsidP="00BD109B">
      <w:pPr>
        <w:pStyle w:val="a3"/>
        <w:widowControl/>
        <w:ind w:left="0"/>
      </w:pPr>
    </w:p>
    <w:p w14:paraId="156398DA" w14:textId="6095A660" w:rsidR="00436DAA" w:rsidRPr="00330234" w:rsidRDefault="009B4B8E" w:rsidP="00BD109B">
      <w:pPr>
        <w:pStyle w:val="a3"/>
        <w:widowControl/>
        <w:ind w:left="0"/>
      </w:pPr>
      <w:r w:rsidRPr="00330234">
        <w:t xml:space="preserve">Er is beperkte informatie beschikbaar over het omzetten van patiënten van de </w:t>
      </w:r>
      <w:r w:rsidR="00273854" w:rsidRPr="00330234">
        <w:t>Avtozma</w:t>
      </w:r>
      <w:r w:rsidRPr="00330234">
        <w:t xml:space="preserve"> intraveneuze formulering naar de </w:t>
      </w:r>
      <w:r w:rsidR="00273854" w:rsidRPr="00330234">
        <w:t>Avtozma</w:t>
      </w:r>
      <w:r w:rsidRPr="00330234">
        <w:t xml:space="preserve"> subcutane formulering met vaste dosis. Het doseringsinterval van eenmaal per week moet worden aangehouden.</w:t>
      </w:r>
    </w:p>
    <w:p w14:paraId="28EB9B3E" w14:textId="77777777" w:rsidR="00436DAA" w:rsidRPr="00330234" w:rsidRDefault="00436DAA" w:rsidP="00BD109B">
      <w:pPr>
        <w:pStyle w:val="a3"/>
        <w:widowControl/>
        <w:ind w:left="0"/>
      </w:pPr>
    </w:p>
    <w:p w14:paraId="71AF6E44" w14:textId="77777777" w:rsidR="00436DAA" w:rsidRPr="00330234" w:rsidRDefault="009B4B8E" w:rsidP="00BD109B">
      <w:pPr>
        <w:pStyle w:val="a3"/>
        <w:widowControl/>
        <w:ind w:left="0"/>
      </w:pPr>
      <w:r w:rsidRPr="00330234">
        <w:t>Patiënten die overstappen van een intraveneuze naar een subcutane formulering moeten hun eerste subcutane dosis, in plaats van de volgende geplande intraveneuze dosis, toedienen onder toezicht van een gekwalificeerde beroepsbeoefenaar in de gezondheidszorg.</w:t>
      </w:r>
    </w:p>
    <w:p w14:paraId="6B247F56" w14:textId="77777777" w:rsidR="00A373C7" w:rsidRPr="00330234" w:rsidRDefault="00A373C7" w:rsidP="00BD109B">
      <w:pPr>
        <w:pStyle w:val="a3"/>
        <w:widowControl/>
        <w:ind w:left="0"/>
      </w:pPr>
    </w:p>
    <w:p w14:paraId="72261140" w14:textId="77777777" w:rsidR="00436DAA" w:rsidRPr="00330234" w:rsidRDefault="009B4B8E" w:rsidP="00BD109B">
      <w:pPr>
        <w:pStyle w:val="a3"/>
        <w:widowControl/>
        <w:ind w:left="0"/>
      </w:pPr>
      <w:r w:rsidRPr="00330234">
        <w:rPr>
          <w:u w:val="single"/>
        </w:rPr>
        <w:t>GCA</w:t>
      </w:r>
    </w:p>
    <w:p w14:paraId="32229672" w14:textId="4F215F6E" w:rsidR="00436DAA" w:rsidRPr="00330234" w:rsidRDefault="009B4B8E" w:rsidP="00FF3CA3">
      <w:pPr>
        <w:pStyle w:val="a3"/>
        <w:widowControl/>
        <w:ind w:left="0"/>
      </w:pPr>
      <w:r w:rsidRPr="00330234">
        <w:t xml:space="preserve">De aanbevolen subcutane dosering is 162 mg eenmaal per week in combinatie met een afbouwende glucocorticoïdenbehandeling. </w:t>
      </w:r>
      <w:r w:rsidR="00540190" w:rsidRPr="00330234">
        <w:t>Avtozma</w:t>
      </w:r>
      <w:r w:rsidRPr="00330234">
        <w:t xml:space="preserve"> kan als monotherapie gegeven worden na het staken van glucocorticoïden.</w:t>
      </w:r>
      <w:r w:rsidR="00DC7F6F" w:rsidRPr="00330234">
        <w:t xml:space="preserve"> </w:t>
      </w:r>
      <w:r w:rsidR="00540190" w:rsidRPr="00330234">
        <w:t>Avtozma</w:t>
      </w:r>
      <w:r w:rsidRPr="00330234">
        <w:t xml:space="preserve"> monotherapie mag niet gebruikt worden voor de behandeling van acute relapsen (zie rubriek 4.4).</w:t>
      </w:r>
    </w:p>
    <w:p w14:paraId="1CDBBE29" w14:textId="77777777" w:rsidR="00A373C7" w:rsidRPr="00330234" w:rsidRDefault="00A373C7" w:rsidP="00BD109B">
      <w:pPr>
        <w:pStyle w:val="a3"/>
        <w:widowControl/>
        <w:ind w:left="0"/>
      </w:pPr>
    </w:p>
    <w:p w14:paraId="73F2672E" w14:textId="77777777" w:rsidR="00436DAA" w:rsidRPr="00330234" w:rsidRDefault="009B4B8E" w:rsidP="00BD109B">
      <w:pPr>
        <w:pStyle w:val="a3"/>
        <w:widowControl/>
        <w:ind w:left="0"/>
      </w:pPr>
      <w:r w:rsidRPr="00330234">
        <w:lastRenderedPageBreak/>
        <w:t>Gezien het chronische karakter van GCA moet behandeling van meer dan 52 weken bepaald worden aan de hand van ziekteactiviteit, oordeel van de arts en keuze van de patiënt.</w:t>
      </w:r>
    </w:p>
    <w:p w14:paraId="6738817C" w14:textId="77777777" w:rsidR="00436DAA" w:rsidRPr="00330234" w:rsidRDefault="00436DAA" w:rsidP="00BD109B">
      <w:pPr>
        <w:widowControl/>
      </w:pPr>
    </w:p>
    <w:p w14:paraId="3E0CD0D7" w14:textId="77777777" w:rsidR="00436DAA" w:rsidRPr="00330234" w:rsidRDefault="009B4B8E" w:rsidP="001B3E1E">
      <w:pPr>
        <w:pStyle w:val="a3"/>
        <w:keepNext/>
        <w:keepLines/>
        <w:widowControl/>
        <w:ind w:left="0"/>
      </w:pPr>
      <w:r w:rsidRPr="00330234">
        <w:rPr>
          <w:u w:val="single"/>
        </w:rPr>
        <w:t>RA en GCA</w:t>
      </w:r>
    </w:p>
    <w:p w14:paraId="0CB4A552" w14:textId="77777777" w:rsidR="00436DAA" w:rsidRPr="00330234" w:rsidRDefault="009B4B8E" w:rsidP="001B3E1E">
      <w:pPr>
        <w:pStyle w:val="a3"/>
        <w:keepNext/>
        <w:keepLines/>
        <w:widowControl/>
        <w:ind w:left="0"/>
      </w:pPr>
      <w:r w:rsidRPr="00330234">
        <w:rPr>
          <w:u w:val="single"/>
        </w:rPr>
        <w:t>Dosisaanpassingen als gevolg van laboratoriumafwijkingen (zie rubriek 4.4).</w:t>
      </w:r>
    </w:p>
    <w:p w14:paraId="0936ECC5" w14:textId="77777777" w:rsidR="00436DAA" w:rsidRPr="00330234" w:rsidRDefault="00436DAA" w:rsidP="001B3E1E">
      <w:pPr>
        <w:pStyle w:val="a3"/>
        <w:keepNext/>
        <w:keepLines/>
        <w:widowControl/>
        <w:ind w:left="0"/>
      </w:pPr>
    </w:p>
    <w:p w14:paraId="1B25FAF7" w14:textId="72414D28" w:rsidR="00436DAA" w:rsidRPr="00330234" w:rsidRDefault="005328BF" w:rsidP="001B3E1E">
      <w:pPr>
        <w:pStyle w:val="bullet"/>
        <w:keepNext/>
        <w:keepLines/>
      </w:pPr>
      <w:r w:rsidRPr="00330234">
        <w:rPr>
          <w:rFonts w:eastAsia="Symbol"/>
        </w:rPr>
        <w:tab/>
      </w:r>
      <w:r w:rsidR="009B4B8E" w:rsidRPr="00330234">
        <w:t>Leverenzymafwijkingen</w:t>
      </w:r>
    </w:p>
    <w:p w14:paraId="1B198E74" w14:textId="77777777" w:rsidR="00436DAA" w:rsidRPr="00330234" w:rsidRDefault="00436DAA" w:rsidP="001B3E1E">
      <w:pPr>
        <w:pStyle w:val="a3"/>
        <w:keepNext/>
        <w:keepLines/>
        <w:widowControl/>
        <w:ind w:left="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3"/>
        <w:gridCol w:w="7349"/>
      </w:tblGrid>
      <w:tr w:rsidR="00436DAA" w:rsidRPr="00330234" w14:paraId="4A6B3FD4" w14:textId="77777777" w:rsidTr="00A373C7">
        <w:trPr>
          <w:trHeight w:val="20"/>
        </w:trPr>
        <w:tc>
          <w:tcPr>
            <w:tcW w:w="1703" w:type="dxa"/>
          </w:tcPr>
          <w:p w14:paraId="3E7ABEE0" w14:textId="2DC14102" w:rsidR="00A373C7" w:rsidRPr="00330234" w:rsidRDefault="009B4B8E" w:rsidP="004C0949">
            <w:pPr>
              <w:pStyle w:val="TableParagraph"/>
              <w:widowControl/>
              <w:jc w:val="center"/>
              <w:rPr>
                <w:bCs/>
              </w:rPr>
            </w:pPr>
            <w:r w:rsidRPr="00330234">
              <w:rPr>
                <w:bCs/>
              </w:rPr>
              <w:t>Laboratorium- waarde</w:t>
            </w:r>
          </w:p>
        </w:tc>
        <w:tc>
          <w:tcPr>
            <w:tcW w:w="7349" w:type="dxa"/>
          </w:tcPr>
          <w:p w14:paraId="05F95CD6" w14:textId="77777777" w:rsidR="00436DAA" w:rsidRPr="00330234" w:rsidRDefault="009B4B8E" w:rsidP="00A373C7">
            <w:pPr>
              <w:pStyle w:val="TableParagraph"/>
              <w:widowControl/>
              <w:jc w:val="center"/>
              <w:rPr>
                <w:bCs/>
              </w:rPr>
            </w:pPr>
            <w:r w:rsidRPr="00330234">
              <w:rPr>
                <w:bCs/>
              </w:rPr>
              <w:t>Actie</w:t>
            </w:r>
          </w:p>
        </w:tc>
      </w:tr>
      <w:tr w:rsidR="00436DAA" w:rsidRPr="00330234" w14:paraId="4CB29C9B" w14:textId="77777777" w:rsidTr="00A373C7">
        <w:trPr>
          <w:trHeight w:val="20"/>
        </w:trPr>
        <w:tc>
          <w:tcPr>
            <w:tcW w:w="1703" w:type="dxa"/>
          </w:tcPr>
          <w:p w14:paraId="0F7C89CD" w14:textId="77777777" w:rsidR="00436DAA" w:rsidRPr="00330234" w:rsidRDefault="009B4B8E" w:rsidP="00BD109B">
            <w:pPr>
              <w:pStyle w:val="TableParagraph"/>
              <w:widowControl/>
            </w:pPr>
            <w:r w:rsidRPr="00330234">
              <w:t xml:space="preserve">&gt; 1 tot 3 x </w:t>
            </w:r>
            <w:r w:rsidRPr="00330234">
              <w:rPr>
                <w:i/>
              </w:rPr>
              <w:t xml:space="preserve">Upper Limit of Normal </w:t>
            </w:r>
            <w:r w:rsidRPr="00330234">
              <w:t>(ULN)</w:t>
            </w:r>
          </w:p>
        </w:tc>
        <w:tc>
          <w:tcPr>
            <w:tcW w:w="7349" w:type="dxa"/>
          </w:tcPr>
          <w:p w14:paraId="37BF3286" w14:textId="77777777" w:rsidR="00436DAA" w:rsidRPr="00330234" w:rsidRDefault="009B4B8E" w:rsidP="00BD109B">
            <w:pPr>
              <w:pStyle w:val="TableParagraph"/>
              <w:widowControl/>
            </w:pPr>
            <w:r w:rsidRPr="00330234">
              <w:t>Pas de dosering aan van gelijktijdig gebruikte DMARD’s (RA) of immunomodulerende middelen (GCA), indien aangewezen.</w:t>
            </w:r>
          </w:p>
          <w:p w14:paraId="7FB31C71" w14:textId="77777777" w:rsidR="00A373C7" w:rsidRPr="00330234" w:rsidRDefault="00A373C7" w:rsidP="00BD109B">
            <w:pPr>
              <w:pStyle w:val="TableParagraph"/>
              <w:widowControl/>
            </w:pPr>
          </w:p>
          <w:p w14:paraId="3D02093C" w14:textId="7665EF85" w:rsidR="00436DAA" w:rsidRPr="00330234" w:rsidRDefault="009B4B8E" w:rsidP="00BD109B">
            <w:pPr>
              <w:pStyle w:val="TableParagraph"/>
              <w:widowControl/>
            </w:pPr>
            <w:r w:rsidRPr="00330234">
              <w:t xml:space="preserve">Bij aanhoudende stijging binnen dit bereik, verlaag de </w:t>
            </w:r>
            <w:r w:rsidR="00540190" w:rsidRPr="00330234">
              <w:t>Avtozma</w:t>
            </w:r>
            <w:r w:rsidRPr="00330234">
              <w:t xml:space="preserve"> doseringsfrequentie naar een injectie om de week of onderbreek de behandeling met </w:t>
            </w:r>
            <w:r w:rsidR="00540190" w:rsidRPr="00330234">
              <w:t>Avtozma</w:t>
            </w:r>
            <w:r w:rsidRPr="00330234">
              <w:t xml:space="preserve"> totdat de alanineaminotransferase (ALAT) of aspartaataminotransferase (ASAT) zijn genormaliseerd.</w:t>
            </w:r>
          </w:p>
          <w:p w14:paraId="4A3618EE" w14:textId="77777777" w:rsidR="00A373C7" w:rsidRPr="00330234" w:rsidRDefault="00A373C7" w:rsidP="00BD109B">
            <w:pPr>
              <w:pStyle w:val="TableParagraph"/>
              <w:widowControl/>
            </w:pPr>
          </w:p>
          <w:p w14:paraId="12291260" w14:textId="69E7A584" w:rsidR="00A373C7" w:rsidRPr="00330234" w:rsidRDefault="009B4B8E" w:rsidP="004C0949">
            <w:pPr>
              <w:pStyle w:val="TableParagraph"/>
              <w:widowControl/>
            </w:pPr>
            <w:r w:rsidRPr="00330234">
              <w:t>Herstart de behandeling met een injectie elke week of om de week, indien klinisch verantwoord.</w:t>
            </w:r>
          </w:p>
        </w:tc>
      </w:tr>
      <w:tr w:rsidR="00436DAA" w:rsidRPr="00330234" w14:paraId="2DF5D8E5" w14:textId="77777777" w:rsidTr="00A373C7">
        <w:trPr>
          <w:trHeight w:val="20"/>
        </w:trPr>
        <w:tc>
          <w:tcPr>
            <w:tcW w:w="1703" w:type="dxa"/>
          </w:tcPr>
          <w:p w14:paraId="7B2EB4D5" w14:textId="77777777" w:rsidR="00436DAA" w:rsidRPr="00330234" w:rsidRDefault="009B4B8E" w:rsidP="00BD109B">
            <w:pPr>
              <w:pStyle w:val="TableParagraph"/>
              <w:widowControl/>
            </w:pPr>
            <w:r w:rsidRPr="00330234">
              <w:t>&gt; 3 tot 5 x ULN</w:t>
            </w:r>
          </w:p>
        </w:tc>
        <w:tc>
          <w:tcPr>
            <w:tcW w:w="7349" w:type="dxa"/>
          </w:tcPr>
          <w:p w14:paraId="2037034C" w14:textId="3FA2AF16" w:rsidR="00436DAA" w:rsidRPr="00330234" w:rsidRDefault="009B4B8E" w:rsidP="00A373C7">
            <w:pPr>
              <w:pStyle w:val="TableParagraph"/>
              <w:widowControl/>
            </w:pPr>
            <w:r w:rsidRPr="00330234">
              <w:t xml:space="preserve">Onderbreek de behandeling met </w:t>
            </w:r>
            <w:r w:rsidR="006C314E" w:rsidRPr="00330234">
              <w:t>Avtozma</w:t>
            </w:r>
            <w:r w:rsidRPr="00330234">
              <w:t xml:space="preserve"> tot de waarde van &lt; 3</w:t>
            </w:r>
            <w:r w:rsidR="00A373C7" w:rsidRPr="00330234">
              <w:t xml:space="preserve"> </w:t>
            </w:r>
            <w:r w:rsidRPr="00330234">
              <w:t>x ULN is bereikt en volg de hierboven beschreven aanbevelingen voor de waarde &gt; 1 tot 3</w:t>
            </w:r>
            <w:r w:rsidR="00A373C7" w:rsidRPr="00330234">
              <w:t> </w:t>
            </w:r>
            <w:r w:rsidRPr="00330234">
              <w:t>x ULN.</w:t>
            </w:r>
          </w:p>
          <w:p w14:paraId="61CF8D0C" w14:textId="77777777" w:rsidR="00A373C7" w:rsidRPr="00330234" w:rsidRDefault="00A373C7" w:rsidP="00A373C7">
            <w:pPr>
              <w:pStyle w:val="TableParagraph"/>
              <w:widowControl/>
            </w:pPr>
          </w:p>
          <w:p w14:paraId="79863D98" w14:textId="5F23BCE0" w:rsidR="00A373C7" w:rsidRPr="00330234" w:rsidRDefault="009B4B8E" w:rsidP="004C0949">
            <w:pPr>
              <w:pStyle w:val="TableParagraph"/>
              <w:widowControl/>
            </w:pPr>
            <w:r w:rsidRPr="00330234">
              <w:t xml:space="preserve">Bij een aanhoudende stijging van &gt; 3 x ULN (bevestigd middels herhaald testen, zie rubriek 4.4); staak de behandeling met </w:t>
            </w:r>
            <w:r w:rsidR="00540190" w:rsidRPr="00330234">
              <w:t>Avtozma</w:t>
            </w:r>
            <w:r w:rsidRPr="00330234">
              <w:t>.</w:t>
            </w:r>
          </w:p>
        </w:tc>
      </w:tr>
      <w:tr w:rsidR="00436DAA" w:rsidRPr="00330234" w14:paraId="7B7F57EE" w14:textId="77777777" w:rsidTr="00A373C7">
        <w:trPr>
          <w:trHeight w:val="20"/>
        </w:trPr>
        <w:tc>
          <w:tcPr>
            <w:tcW w:w="1703" w:type="dxa"/>
          </w:tcPr>
          <w:p w14:paraId="4B8E9997" w14:textId="77777777" w:rsidR="00436DAA" w:rsidRPr="00330234" w:rsidRDefault="009B4B8E" w:rsidP="00BD109B">
            <w:pPr>
              <w:pStyle w:val="TableParagraph"/>
              <w:widowControl/>
            </w:pPr>
            <w:r w:rsidRPr="00330234">
              <w:t>&gt; 5 x ULN</w:t>
            </w:r>
          </w:p>
        </w:tc>
        <w:tc>
          <w:tcPr>
            <w:tcW w:w="7349" w:type="dxa"/>
          </w:tcPr>
          <w:p w14:paraId="38A70BE0" w14:textId="7911CE10" w:rsidR="00A373C7" w:rsidRPr="00330234" w:rsidRDefault="009B4B8E" w:rsidP="004C0949">
            <w:pPr>
              <w:pStyle w:val="TableParagraph"/>
              <w:widowControl/>
            </w:pPr>
            <w:r w:rsidRPr="00330234">
              <w:t xml:space="preserve">Staak de behandeling met </w:t>
            </w:r>
            <w:r w:rsidR="00540190" w:rsidRPr="00330234">
              <w:t>Avtozma</w:t>
            </w:r>
            <w:r w:rsidRPr="00330234">
              <w:t>.</w:t>
            </w:r>
          </w:p>
        </w:tc>
      </w:tr>
    </w:tbl>
    <w:p w14:paraId="480E1353" w14:textId="77777777" w:rsidR="00A373C7" w:rsidRPr="00330234" w:rsidRDefault="00A373C7" w:rsidP="00BD109B">
      <w:pPr>
        <w:widowControl/>
        <w:rPr>
          <w:rFonts w:eastAsia="Symbol"/>
        </w:rPr>
      </w:pPr>
    </w:p>
    <w:p w14:paraId="5F5D3135" w14:textId="0D9A7BE5" w:rsidR="00436DAA" w:rsidRPr="00330234" w:rsidRDefault="005328BF" w:rsidP="00A373C7">
      <w:pPr>
        <w:pStyle w:val="bullet"/>
      </w:pPr>
      <w:r w:rsidRPr="00330234">
        <w:rPr>
          <w:rFonts w:eastAsia="Symbol"/>
        </w:rPr>
        <w:tab/>
      </w:r>
      <w:r w:rsidR="009B4B8E" w:rsidRPr="00330234">
        <w:t>Laag absoluut aantal neutrofielen (ANC)</w:t>
      </w:r>
    </w:p>
    <w:p w14:paraId="7975F00D" w14:textId="77777777" w:rsidR="00A373C7" w:rsidRPr="00330234" w:rsidRDefault="00A373C7" w:rsidP="00BD109B">
      <w:pPr>
        <w:pStyle w:val="a3"/>
        <w:widowControl/>
        <w:ind w:left="0"/>
      </w:pPr>
    </w:p>
    <w:p w14:paraId="15359FE3" w14:textId="3B1B4335" w:rsidR="00436DAA" w:rsidRPr="00330234" w:rsidRDefault="009B4B8E" w:rsidP="00BD109B">
      <w:pPr>
        <w:pStyle w:val="a3"/>
        <w:widowControl/>
        <w:ind w:left="0"/>
      </w:pPr>
      <w:r w:rsidRPr="00330234">
        <w:t xml:space="preserve">Bij patiënten die niet eerder met </w:t>
      </w:r>
      <w:r w:rsidR="00540190" w:rsidRPr="00330234">
        <w:rPr>
          <w:lang w:eastAsia="ko-KR"/>
        </w:rPr>
        <w:t>tocilizumab</w:t>
      </w:r>
      <w:r w:rsidRPr="00330234">
        <w:t xml:space="preserve"> zijn behandeld, wordt starten van de behandeling niet aanbevolen als de patiënt een absoluut aantal neutrofielen (ANC) lager dan 2 x 10</w:t>
      </w:r>
      <w:r w:rsidRPr="00330234">
        <w:rPr>
          <w:vertAlign w:val="superscript"/>
        </w:rPr>
        <w:t>9</w:t>
      </w:r>
      <w:r w:rsidRPr="00330234">
        <w:t>/l heeft.</w:t>
      </w:r>
    </w:p>
    <w:p w14:paraId="454394F1" w14:textId="77777777" w:rsidR="00436DAA" w:rsidRPr="00330234" w:rsidRDefault="00436DAA" w:rsidP="00BD109B">
      <w:pPr>
        <w:pStyle w:val="a3"/>
        <w:widowControl/>
        <w:ind w:left="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4"/>
        <w:gridCol w:w="7358"/>
      </w:tblGrid>
      <w:tr w:rsidR="00436DAA" w:rsidRPr="00330234" w14:paraId="3D869192" w14:textId="77777777" w:rsidTr="00A373C7">
        <w:trPr>
          <w:trHeight w:val="20"/>
        </w:trPr>
        <w:tc>
          <w:tcPr>
            <w:tcW w:w="1694" w:type="dxa"/>
          </w:tcPr>
          <w:p w14:paraId="4CB5B459" w14:textId="77777777" w:rsidR="00436DAA" w:rsidRPr="00330234" w:rsidRDefault="009B4B8E" w:rsidP="00A373C7">
            <w:pPr>
              <w:pStyle w:val="TableParagraph"/>
              <w:widowControl/>
              <w:jc w:val="center"/>
            </w:pPr>
            <w:r w:rsidRPr="00330234">
              <w:t>Laboratorium- waarde</w:t>
            </w:r>
          </w:p>
          <w:p w14:paraId="71D48927" w14:textId="4A76B41F" w:rsidR="00A373C7" w:rsidRPr="00330234" w:rsidRDefault="009B4B8E" w:rsidP="004C0949">
            <w:pPr>
              <w:pStyle w:val="TableParagraph"/>
              <w:widowControl/>
              <w:jc w:val="center"/>
            </w:pPr>
            <w:r w:rsidRPr="00330234">
              <w:t>(cellen x 10</w:t>
            </w:r>
            <w:r w:rsidRPr="00330234">
              <w:rPr>
                <w:vertAlign w:val="superscript"/>
              </w:rPr>
              <w:t>9</w:t>
            </w:r>
            <w:r w:rsidRPr="00330234">
              <w:t>/l)</w:t>
            </w:r>
          </w:p>
        </w:tc>
        <w:tc>
          <w:tcPr>
            <w:tcW w:w="7358" w:type="dxa"/>
          </w:tcPr>
          <w:p w14:paraId="019EA0AC" w14:textId="77777777" w:rsidR="00436DAA" w:rsidRPr="00330234" w:rsidRDefault="009B4B8E" w:rsidP="00A373C7">
            <w:pPr>
              <w:pStyle w:val="TableParagraph"/>
              <w:widowControl/>
              <w:jc w:val="center"/>
            </w:pPr>
            <w:r w:rsidRPr="00330234">
              <w:t>Actie</w:t>
            </w:r>
          </w:p>
        </w:tc>
      </w:tr>
      <w:tr w:rsidR="00436DAA" w:rsidRPr="00330234" w14:paraId="302D230F" w14:textId="77777777" w:rsidTr="00A373C7">
        <w:trPr>
          <w:trHeight w:val="20"/>
        </w:trPr>
        <w:tc>
          <w:tcPr>
            <w:tcW w:w="1694" w:type="dxa"/>
          </w:tcPr>
          <w:p w14:paraId="6E8B5286" w14:textId="77777777" w:rsidR="00436DAA" w:rsidRPr="00330234" w:rsidRDefault="009B4B8E" w:rsidP="00BD109B">
            <w:pPr>
              <w:pStyle w:val="TableParagraph"/>
              <w:widowControl/>
            </w:pPr>
            <w:r w:rsidRPr="00330234">
              <w:t>ANC &gt; 1</w:t>
            </w:r>
          </w:p>
        </w:tc>
        <w:tc>
          <w:tcPr>
            <w:tcW w:w="7358" w:type="dxa"/>
          </w:tcPr>
          <w:p w14:paraId="71E9C4BB" w14:textId="46E8F41C" w:rsidR="00A373C7" w:rsidRPr="00330234" w:rsidRDefault="009B4B8E" w:rsidP="004C0949">
            <w:pPr>
              <w:pStyle w:val="TableParagraph"/>
              <w:widowControl/>
            </w:pPr>
            <w:r w:rsidRPr="00330234">
              <w:t>Handhaaf de dosering.</w:t>
            </w:r>
          </w:p>
        </w:tc>
      </w:tr>
      <w:tr w:rsidR="00436DAA" w:rsidRPr="00330234" w14:paraId="4F4E0CE6" w14:textId="77777777" w:rsidTr="00A373C7">
        <w:trPr>
          <w:trHeight w:val="20"/>
        </w:trPr>
        <w:tc>
          <w:tcPr>
            <w:tcW w:w="1694" w:type="dxa"/>
          </w:tcPr>
          <w:p w14:paraId="4EA6CA4B" w14:textId="77777777" w:rsidR="00436DAA" w:rsidRPr="00330234" w:rsidRDefault="009B4B8E" w:rsidP="00BD109B">
            <w:pPr>
              <w:pStyle w:val="TableParagraph"/>
              <w:widowControl/>
            </w:pPr>
            <w:r w:rsidRPr="00330234">
              <w:t>ANC 0,5 tot 1</w:t>
            </w:r>
          </w:p>
        </w:tc>
        <w:tc>
          <w:tcPr>
            <w:tcW w:w="7358" w:type="dxa"/>
          </w:tcPr>
          <w:p w14:paraId="6FAB82E6" w14:textId="1FEE2AC9" w:rsidR="00436DAA" w:rsidRPr="00330234" w:rsidRDefault="009B4B8E" w:rsidP="00BD109B">
            <w:pPr>
              <w:pStyle w:val="TableParagraph"/>
              <w:widowControl/>
            </w:pPr>
            <w:r w:rsidRPr="00330234">
              <w:t xml:space="preserve">Onderbreek de behandeling met </w:t>
            </w:r>
            <w:r w:rsidR="00067BD8" w:rsidRPr="00330234">
              <w:t>Avtozma</w:t>
            </w:r>
            <w:r w:rsidRPr="00330234">
              <w:t>.</w:t>
            </w:r>
          </w:p>
          <w:p w14:paraId="463DB1CA" w14:textId="77777777" w:rsidR="00A373C7" w:rsidRPr="00330234" w:rsidRDefault="00A373C7" w:rsidP="00BD109B">
            <w:pPr>
              <w:pStyle w:val="TableParagraph"/>
              <w:widowControl/>
            </w:pPr>
          </w:p>
          <w:p w14:paraId="21C9A1B9" w14:textId="0EEC3564" w:rsidR="00A373C7" w:rsidRPr="00330234" w:rsidRDefault="009B4B8E" w:rsidP="004C0949">
            <w:pPr>
              <w:pStyle w:val="TableParagraph"/>
              <w:widowControl/>
            </w:pPr>
            <w:r w:rsidRPr="00330234">
              <w:t>Wanneer het ANC toeneemt tot &gt; 1 x 10</w:t>
            </w:r>
            <w:r w:rsidRPr="00330234">
              <w:rPr>
                <w:vertAlign w:val="superscript"/>
              </w:rPr>
              <w:t>9</w:t>
            </w:r>
            <w:r w:rsidRPr="00330234">
              <w:t xml:space="preserve">/l; hervat de behandeling met </w:t>
            </w:r>
            <w:r w:rsidR="00067BD8" w:rsidRPr="00330234">
              <w:t>Avtozma</w:t>
            </w:r>
            <w:r w:rsidRPr="00330234">
              <w:t xml:space="preserve"> met een dosering om de week en verhoog tot een injectie elke week, indien klinisch verantwoord.</w:t>
            </w:r>
          </w:p>
        </w:tc>
      </w:tr>
      <w:tr w:rsidR="00436DAA" w:rsidRPr="00330234" w14:paraId="1E9BC352" w14:textId="77777777" w:rsidTr="00A373C7">
        <w:trPr>
          <w:trHeight w:val="20"/>
        </w:trPr>
        <w:tc>
          <w:tcPr>
            <w:tcW w:w="1694" w:type="dxa"/>
          </w:tcPr>
          <w:p w14:paraId="0051B378" w14:textId="77777777" w:rsidR="00436DAA" w:rsidRPr="00330234" w:rsidRDefault="009B4B8E" w:rsidP="00BD109B">
            <w:pPr>
              <w:pStyle w:val="TableParagraph"/>
              <w:widowControl/>
            </w:pPr>
            <w:r w:rsidRPr="00330234">
              <w:t>ANC &lt; 0,5</w:t>
            </w:r>
          </w:p>
        </w:tc>
        <w:tc>
          <w:tcPr>
            <w:tcW w:w="7358" w:type="dxa"/>
          </w:tcPr>
          <w:p w14:paraId="595EA2E3" w14:textId="16C9050A" w:rsidR="00A373C7" w:rsidRPr="00330234" w:rsidRDefault="009B4B8E" w:rsidP="004C0949">
            <w:pPr>
              <w:pStyle w:val="TableParagraph"/>
              <w:widowControl/>
            </w:pPr>
            <w:r w:rsidRPr="00330234">
              <w:t xml:space="preserve">Staak de behandeling met </w:t>
            </w:r>
            <w:r w:rsidR="00067BD8" w:rsidRPr="00330234">
              <w:t>Avtozma</w:t>
            </w:r>
            <w:r w:rsidRPr="00330234">
              <w:t>.</w:t>
            </w:r>
          </w:p>
        </w:tc>
      </w:tr>
    </w:tbl>
    <w:p w14:paraId="7DCB64B5" w14:textId="77777777" w:rsidR="00436DAA" w:rsidRPr="00330234" w:rsidRDefault="00436DAA" w:rsidP="00BD109B">
      <w:pPr>
        <w:widowControl/>
      </w:pPr>
    </w:p>
    <w:p w14:paraId="31F28D37" w14:textId="3DD7C489" w:rsidR="00436DAA" w:rsidRPr="00330234" w:rsidRDefault="005328BF" w:rsidP="00A373C7">
      <w:pPr>
        <w:pStyle w:val="bullet"/>
      </w:pPr>
      <w:r w:rsidRPr="00330234">
        <w:rPr>
          <w:rFonts w:eastAsia="Symbol"/>
        </w:rPr>
        <w:tab/>
      </w:r>
      <w:r w:rsidR="009B4B8E" w:rsidRPr="00330234">
        <w:t>Laag aantal trombocyten</w:t>
      </w:r>
    </w:p>
    <w:p w14:paraId="41203DF0" w14:textId="77777777" w:rsidR="00436DAA" w:rsidRPr="00330234" w:rsidRDefault="00436DAA" w:rsidP="00BD109B">
      <w:pPr>
        <w:pStyle w:val="a3"/>
        <w:widowControl/>
        <w:ind w:left="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50"/>
      </w:tblGrid>
      <w:tr w:rsidR="00436DAA" w:rsidRPr="00330234" w14:paraId="7926C727" w14:textId="77777777" w:rsidTr="00A373C7">
        <w:trPr>
          <w:trHeight w:val="20"/>
          <w:tblHeader/>
        </w:trPr>
        <w:tc>
          <w:tcPr>
            <w:tcW w:w="1702" w:type="dxa"/>
          </w:tcPr>
          <w:p w14:paraId="0CF4FA8E" w14:textId="77777777" w:rsidR="00436DAA" w:rsidRPr="00330234" w:rsidRDefault="009B4B8E" w:rsidP="00A373C7">
            <w:pPr>
              <w:pStyle w:val="TableParagraph"/>
              <w:widowControl/>
              <w:jc w:val="center"/>
            </w:pPr>
            <w:r w:rsidRPr="00330234">
              <w:t>Laboratorium- waarde</w:t>
            </w:r>
          </w:p>
          <w:p w14:paraId="2D3CCF50" w14:textId="7D3F1922" w:rsidR="00A373C7" w:rsidRPr="00330234" w:rsidRDefault="009B4B8E" w:rsidP="004C0949">
            <w:pPr>
              <w:pStyle w:val="TableParagraph"/>
              <w:widowControl/>
              <w:jc w:val="center"/>
            </w:pPr>
            <w:r w:rsidRPr="00330234">
              <w:t>(cellen x 10</w:t>
            </w:r>
            <w:r w:rsidRPr="00330234">
              <w:rPr>
                <w:vertAlign w:val="superscript"/>
              </w:rPr>
              <w:t>3</w:t>
            </w:r>
            <w:r w:rsidRPr="00330234">
              <w:t>/μl)</w:t>
            </w:r>
          </w:p>
        </w:tc>
        <w:tc>
          <w:tcPr>
            <w:tcW w:w="7350" w:type="dxa"/>
          </w:tcPr>
          <w:p w14:paraId="10E9EC9C" w14:textId="77777777" w:rsidR="00436DAA" w:rsidRPr="00330234" w:rsidRDefault="009B4B8E" w:rsidP="00A373C7">
            <w:pPr>
              <w:pStyle w:val="TableParagraph"/>
              <w:widowControl/>
              <w:jc w:val="center"/>
            </w:pPr>
            <w:r w:rsidRPr="00330234">
              <w:t>Actie</w:t>
            </w:r>
          </w:p>
        </w:tc>
      </w:tr>
      <w:tr w:rsidR="00436DAA" w:rsidRPr="00330234" w14:paraId="0FAB6760" w14:textId="77777777" w:rsidTr="00A373C7">
        <w:trPr>
          <w:trHeight w:val="20"/>
        </w:trPr>
        <w:tc>
          <w:tcPr>
            <w:tcW w:w="1702" w:type="dxa"/>
          </w:tcPr>
          <w:p w14:paraId="5FB322FE" w14:textId="77777777" w:rsidR="00436DAA" w:rsidRPr="00330234" w:rsidRDefault="009B4B8E" w:rsidP="00BD109B">
            <w:pPr>
              <w:pStyle w:val="TableParagraph"/>
              <w:widowControl/>
            </w:pPr>
            <w:r w:rsidRPr="00330234">
              <w:t>50 tot 100</w:t>
            </w:r>
          </w:p>
        </w:tc>
        <w:tc>
          <w:tcPr>
            <w:tcW w:w="7350" w:type="dxa"/>
          </w:tcPr>
          <w:p w14:paraId="765265FA" w14:textId="38D2FD97" w:rsidR="00436DAA" w:rsidRPr="00330234" w:rsidRDefault="009B4B8E" w:rsidP="00BD109B">
            <w:pPr>
              <w:pStyle w:val="TableParagraph"/>
              <w:widowControl/>
            </w:pPr>
            <w:r w:rsidRPr="00330234">
              <w:t xml:space="preserve">Onderbreek de behandeling met </w:t>
            </w:r>
            <w:r w:rsidR="00067BD8" w:rsidRPr="00330234">
              <w:t>Avtozma</w:t>
            </w:r>
            <w:r w:rsidRPr="00330234">
              <w:t>.</w:t>
            </w:r>
          </w:p>
          <w:p w14:paraId="50C14001" w14:textId="77777777" w:rsidR="00A373C7" w:rsidRPr="00330234" w:rsidRDefault="00A373C7" w:rsidP="00BD109B">
            <w:pPr>
              <w:pStyle w:val="TableParagraph"/>
              <w:widowControl/>
            </w:pPr>
          </w:p>
          <w:p w14:paraId="521F23C0" w14:textId="11576319" w:rsidR="00A373C7" w:rsidRPr="00330234" w:rsidRDefault="009B4B8E" w:rsidP="004C0949">
            <w:pPr>
              <w:pStyle w:val="TableParagraph"/>
              <w:widowControl/>
            </w:pPr>
            <w:r w:rsidRPr="00330234">
              <w:t>Wanneer het trombocytenaantal &gt; 100 x 10</w:t>
            </w:r>
            <w:r w:rsidRPr="00330234">
              <w:rPr>
                <w:vertAlign w:val="superscript"/>
              </w:rPr>
              <w:t>3</w:t>
            </w:r>
            <w:r w:rsidRPr="00330234">
              <w:t xml:space="preserve">/μl is; hervat de behandeling met </w:t>
            </w:r>
            <w:r w:rsidR="00067BD8" w:rsidRPr="00330234">
              <w:t>Avtozma</w:t>
            </w:r>
            <w:r w:rsidRPr="00330234">
              <w:t xml:space="preserve"> met een dosering om de week en verhoog tot een injectie elke week, indien klinisch verantwoord.</w:t>
            </w:r>
          </w:p>
        </w:tc>
      </w:tr>
      <w:tr w:rsidR="00436DAA" w:rsidRPr="00330234" w14:paraId="556711F8" w14:textId="77777777" w:rsidTr="00A373C7">
        <w:trPr>
          <w:trHeight w:val="20"/>
        </w:trPr>
        <w:tc>
          <w:tcPr>
            <w:tcW w:w="1702" w:type="dxa"/>
          </w:tcPr>
          <w:p w14:paraId="3DA9938F" w14:textId="77777777" w:rsidR="00436DAA" w:rsidRPr="00330234" w:rsidRDefault="009B4B8E" w:rsidP="00BD109B">
            <w:pPr>
              <w:pStyle w:val="TableParagraph"/>
              <w:widowControl/>
            </w:pPr>
            <w:r w:rsidRPr="00330234">
              <w:t>&lt; 50</w:t>
            </w:r>
          </w:p>
        </w:tc>
        <w:tc>
          <w:tcPr>
            <w:tcW w:w="7350" w:type="dxa"/>
          </w:tcPr>
          <w:p w14:paraId="2D8EABF1" w14:textId="6081765E" w:rsidR="00A373C7" w:rsidRPr="00330234" w:rsidRDefault="009B4B8E" w:rsidP="004C0949">
            <w:pPr>
              <w:pStyle w:val="TableParagraph"/>
              <w:widowControl/>
            </w:pPr>
            <w:r w:rsidRPr="00330234">
              <w:t xml:space="preserve">Staak de behandeling met </w:t>
            </w:r>
            <w:r w:rsidR="00067BD8" w:rsidRPr="00330234">
              <w:t>Avtozma</w:t>
            </w:r>
            <w:r w:rsidRPr="00330234">
              <w:t>.</w:t>
            </w:r>
          </w:p>
        </w:tc>
      </w:tr>
    </w:tbl>
    <w:p w14:paraId="7E51CFAA" w14:textId="77777777" w:rsidR="00A373C7" w:rsidRPr="00330234" w:rsidRDefault="00A373C7" w:rsidP="00BD109B">
      <w:pPr>
        <w:pStyle w:val="a3"/>
        <w:widowControl/>
        <w:ind w:left="0"/>
      </w:pPr>
    </w:p>
    <w:p w14:paraId="6E2933A1" w14:textId="199B8534" w:rsidR="00436DAA" w:rsidRPr="00330234" w:rsidRDefault="009B4B8E" w:rsidP="001B3E1E">
      <w:pPr>
        <w:pStyle w:val="a3"/>
        <w:keepNext/>
        <w:keepLines/>
        <w:widowControl/>
        <w:ind w:left="0"/>
      </w:pPr>
      <w:r w:rsidRPr="00330234">
        <w:rPr>
          <w:u w:val="single"/>
        </w:rPr>
        <w:lastRenderedPageBreak/>
        <w:t>RA en GCA</w:t>
      </w:r>
    </w:p>
    <w:p w14:paraId="3DAE8DD7" w14:textId="77777777" w:rsidR="00436DAA" w:rsidRPr="00330234" w:rsidRDefault="009B4B8E" w:rsidP="001B3E1E">
      <w:pPr>
        <w:pStyle w:val="a3"/>
        <w:keepNext/>
        <w:keepLines/>
        <w:widowControl/>
        <w:ind w:left="0"/>
      </w:pPr>
      <w:r w:rsidRPr="001B3E1E">
        <w:t>Gemiste dosis</w:t>
      </w:r>
    </w:p>
    <w:p w14:paraId="2AF3EF50" w14:textId="5C18BC74" w:rsidR="00436DAA" w:rsidRPr="00330234" w:rsidRDefault="009B4B8E" w:rsidP="00A373C7">
      <w:pPr>
        <w:pStyle w:val="a3"/>
        <w:widowControl/>
        <w:ind w:left="0"/>
      </w:pPr>
      <w:r w:rsidRPr="00330234">
        <w:t xml:space="preserve">Als een patiënt een wekelijkse subcutane injectie van </w:t>
      </w:r>
      <w:r w:rsidR="00067BD8" w:rsidRPr="00330234">
        <w:t>Avtozma</w:t>
      </w:r>
      <w:r w:rsidRPr="00330234">
        <w:t xml:space="preserve"> mist, binnen 7 dagen van de geplande dosis, dan moet hij/zij worden geïnstrueerd om de gemiste dosis op de volgende geplande dag toe te dienen. Als een patiënt een om de week subcutane injectie van </w:t>
      </w:r>
      <w:r w:rsidR="00067BD8" w:rsidRPr="00330234">
        <w:t>Avtozma</w:t>
      </w:r>
      <w:r w:rsidRPr="00330234">
        <w:t xml:space="preserve"> mist, binnen</w:t>
      </w:r>
      <w:r w:rsidR="00A373C7" w:rsidRPr="00330234">
        <w:t xml:space="preserve"> </w:t>
      </w:r>
      <w:r w:rsidRPr="00330234">
        <w:t>7</w:t>
      </w:r>
      <w:r w:rsidR="00A373C7" w:rsidRPr="00330234">
        <w:t> </w:t>
      </w:r>
      <w:r w:rsidRPr="00330234">
        <w:t>dagen van de geplande dosis, dan moet hij/zij worden geïnstrueerd om de gemiste dosis meteen toe te dienen en de volgende dosis op de volgende geplande dag toe te dienen.</w:t>
      </w:r>
    </w:p>
    <w:p w14:paraId="2D307833" w14:textId="77777777" w:rsidR="00A373C7" w:rsidRPr="00330234" w:rsidRDefault="00A373C7" w:rsidP="00BD109B">
      <w:pPr>
        <w:pStyle w:val="a3"/>
        <w:widowControl/>
        <w:ind w:left="0"/>
      </w:pPr>
    </w:p>
    <w:p w14:paraId="6B308808" w14:textId="77777777" w:rsidR="00436DAA" w:rsidRPr="00330234" w:rsidRDefault="009B4B8E" w:rsidP="00BD109B">
      <w:pPr>
        <w:pStyle w:val="a3"/>
        <w:widowControl/>
        <w:ind w:left="0"/>
      </w:pPr>
      <w:r w:rsidRPr="001B3E1E">
        <w:t>Speciale populaties</w:t>
      </w:r>
    </w:p>
    <w:p w14:paraId="3FDF8F0C" w14:textId="77777777" w:rsidR="00436DAA" w:rsidRPr="00330234" w:rsidRDefault="00436DAA" w:rsidP="00BD109B">
      <w:pPr>
        <w:pStyle w:val="a3"/>
        <w:widowControl/>
        <w:ind w:left="0"/>
      </w:pPr>
    </w:p>
    <w:p w14:paraId="7E7F87D0" w14:textId="77777777" w:rsidR="00436DAA" w:rsidRPr="00330234" w:rsidRDefault="009B4B8E" w:rsidP="00BD109B">
      <w:pPr>
        <w:widowControl/>
        <w:rPr>
          <w:i/>
        </w:rPr>
      </w:pPr>
      <w:r w:rsidRPr="00330234">
        <w:rPr>
          <w:i/>
        </w:rPr>
        <w:t>Ouderen</w:t>
      </w:r>
    </w:p>
    <w:p w14:paraId="7D8A2933" w14:textId="77777777" w:rsidR="00436DAA" w:rsidRPr="00330234" w:rsidRDefault="009B4B8E" w:rsidP="00BD109B">
      <w:pPr>
        <w:pStyle w:val="a3"/>
        <w:widowControl/>
        <w:ind w:left="0"/>
      </w:pPr>
      <w:r w:rsidRPr="00330234">
        <w:t>Er is geen aanpassing van de dosering noodzakelijk bij oudere patiënten ≥ 65 jaar.</w:t>
      </w:r>
    </w:p>
    <w:p w14:paraId="385B866F" w14:textId="77777777" w:rsidR="00436DAA" w:rsidRPr="00330234" w:rsidRDefault="00436DAA" w:rsidP="00BD109B">
      <w:pPr>
        <w:pStyle w:val="a3"/>
        <w:widowControl/>
        <w:ind w:left="0"/>
      </w:pPr>
    </w:p>
    <w:p w14:paraId="2A41225F" w14:textId="77777777" w:rsidR="00436DAA" w:rsidRPr="00330234" w:rsidRDefault="009B4B8E" w:rsidP="00BD109B">
      <w:pPr>
        <w:widowControl/>
        <w:rPr>
          <w:i/>
        </w:rPr>
      </w:pPr>
      <w:r w:rsidRPr="00330234">
        <w:rPr>
          <w:i/>
        </w:rPr>
        <w:t>Verminderde nierfunctie</w:t>
      </w:r>
    </w:p>
    <w:p w14:paraId="1FD06C62" w14:textId="3C029611" w:rsidR="00436DAA" w:rsidRPr="00330234" w:rsidRDefault="009B4B8E" w:rsidP="00BD109B">
      <w:pPr>
        <w:pStyle w:val="a3"/>
        <w:widowControl/>
        <w:ind w:left="0"/>
      </w:pPr>
      <w:r w:rsidRPr="00330234">
        <w:t xml:space="preserve">Er is geen aanpassing van de dosering noodzakelijk bij patiënten met een licht of matig verminderde nierfunctie. </w:t>
      </w:r>
      <w:r w:rsidR="00067BD8" w:rsidRPr="00330234">
        <w:t>Avtozma</w:t>
      </w:r>
      <w:r w:rsidRPr="00330234">
        <w:t xml:space="preserve"> is niet onderzocht bij patiënten met een ernstig verminderde nierfunctie (zie rubriek 5.2). Bij deze patiënten moet de nierfunctie nauwgezet worden gecontroleerd.</w:t>
      </w:r>
    </w:p>
    <w:p w14:paraId="44950FBC" w14:textId="77777777" w:rsidR="00A373C7" w:rsidRPr="00330234" w:rsidRDefault="00A373C7" w:rsidP="00BD109B">
      <w:pPr>
        <w:pStyle w:val="a3"/>
        <w:widowControl/>
        <w:ind w:left="0"/>
      </w:pPr>
    </w:p>
    <w:p w14:paraId="19DAA539" w14:textId="77777777" w:rsidR="00436DAA" w:rsidRPr="00330234" w:rsidRDefault="009B4B8E" w:rsidP="00BD109B">
      <w:pPr>
        <w:widowControl/>
        <w:rPr>
          <w:i/>
        </w:rPr>
      </w:pPr>
      <w:r w:rsidRPr="00330234">
        <w:rPr>
          <w:i/>
        </w:rPr>
        <w:t>Verminderde leverfunctie</w:t>
      </w:r>
    </w:p>
    <w:p w14:paraId="74014954" w14:textId="4A43E18B" w:rsidR="00436DAA" w:rsidRPr="00330234" w:rsidRDefault="00067BD8" w:rsidP="00BD109B">
      <w:pPr>
        <w:pStyle w:val="a3"/>
        <w:widowControl/>
        <w:ind w:left="0"/>
      </w:pPr>
      <w:r w:rsidRPr="00330234">
        <w:t>Avtozma</w:t>
      </w:r>
      <w:r w:rsidR="009B4B8E" w:rsidRPr="00330234">
        <w:t xml:space="preserve"> is niet onderzocht bij patiënten met een verminderde leverfunctie. Daarom kunnen geen aanbevelingen worden gedaan met betrekking tot de dosering.</w:t>
      </w:r>
    </w:p>
    <w:p w14:paraId="25244EF5" w14:textId="77777777" w:rsidR="00A373C7" w:rsidRPr="00330234" w:rsidRDefault="00A373C7" w:rsidP="00BD109B">
      <w:pPr>
        <w:pStyle w:val="a3"/>
        <w:widowControl/>
        <w:ind w:left="0"/>
      </w:pPr>
    </w:p>
    <w:p w14:paraId="7067229C" w14:textId="77777777" w:rsidR="00436DAA" w:rsidRPr="00330234" w:rsidRDefault="009B4B8E" w:rsidP="00BD109B">
      <w:pPr>
        <w:widowControl/>
        <w:rPr>
          <w:i/>
        </w:rPr>
      </w:pPr>
      <w:r w:rsidRPr="00330234">
        <w:rPr>
          <w:i/>
        </w:rPr>
        <w:t>Pediatrische patiënten</w:t>
      </w:r>
    </w:p>
    <w:p w14:paraId="3FA7A7B1" w14:textId="29306365" w:rsidR="00436DAA" w:rsidRPr="00330234" w:rsidRDefault="009B4B8E" w:rsidP="00BD109B">
      <w:pPr>
        <w:pStyle w:val="a3"/>
        <w:widowControl/>
        <w:ind w:left="0"/>
      </w:pPr>
      <w:r w:rsidRPr="00330234">
        <w:t xml:space="preserve">De veiligheid en werkzaamheid van de </w:t>
      </w:r>
      <w:r w:rsidR="00067BD8" w:rsidRPr="00330234">
        <w:t>Avtozma</w:t>
      </w:r>
      <w:r w:rsidRPr="00330234">
        <w:t xml:space="preserve"> subcutane formulering bij kinderen vanaf de geboorte tot jonger dan 1 jaar zijn niet vastgesteld. Er zijn geen gegevens beschikbaar.</w:t>
      </w:r>
    </w:p>
    <w:p w14:paraId="1DD9163B" w14:textId="77777777" w:rsidR="00436DAA" w:rsidRPr="00330234" w:rsidRDefault="00436DAA" w:rsidP="00BD109B">
      <w:pPr>
        <w:pStyle w:val="a3"/>
        <w:widowControl/>
        <w:ind w:left="0"/>
      </w:pPr>
    </w:p>
    <w:p w14:paraId="2C36A29C" w14:textId="4061E19F" w:rsidR="00436DAA" w:rsidRPr="00330234" w:rsidRDefault="009B4B8E" w:rsidP="00BD109B">
      <w:pPr>
        <w:pStyle w:val="a3"/>
        <w:widowControl/>
        <w:ind w:left="0"/>
      </w:pPr>
      <w:r w:rsidRPr="00330234">
        <w:t xml:space="preserve">Een wijziging in de dosis dient alleen gebaseerd te zijn op een consistente verandering in het lichaamsgewicht van de patiënt in de tijd. </w:t>
      </w:r>
      <w:r w:rsidR="00067BD8" w:rsidRPr="00330234">
        <w:t>Avtozma</w:t>
      </w:r>
      <w:r w:rsidRPr="00330234">
        <w:t xml:space="preserve"> kan alleen of in combinatie met MTX worden gegeven.</w:t>
      </w:r>
    </w:p>
    <w:p w14:paraId="0049C249" w14:textId="77777777" w:rsidR="00A373C7" w:rsidRPr="00330234" w:rsidRDefault="00A373C7" w:rsidP="00BD109B">
      <w:pPr>
        <w:pStyle w:val="a3"/>
        <w:widowControl/>
        <w:ind w:left="0"/>
      </w:pPr>
    </w:p>
    <w:p w14:paraId="470917F5" w14:textId="77777777" w:rsidR="00436DAA" w:rsidRPr="00330234" w:rsidRDefault="009B4B8E" w:rsidP="00BD109B">
      <w:pPr>
        <w:widowControl/>
        <w:rPr>
          <w:i/>
        </w:rPr>
      </w:pPr>
      <w:r w:rsidRPr="00330234">
        <w:rPr>
          <w:i/>
        </w:rPr>
        <w:t>sJIA-patiënten:</w:t>
      </w:r>
    </w:p>
    <w:p w14:paraId="42E8F150" w14:textId="77777777" w:rsidR="00436DAA" w:rsidRPr="00330234" w:rsidRDefault="009B4B8E" w:rsidP="00BD109B">
      <w:pPr>
        <w:pStyle w:val="a3"/>
        <w:widowControl/>
        <w:ind w:left="0"/>
      </w:pPr>
      <w:r w:rsidRPr="00330234">
        <w:t>De aanbevolen dosering bij patiënten ouder dan 12 jaar is 162 mg subcutaan eenmaal per week bij patiënten die 30 kg of meer wegen, of 162 mg subcutaan eenmaal per 2 weken bij patiënten die minder dan 30 kg wegen.</w:t>
      </w:r>
    </w:p>
    <w:p w14:paraId="7D7E65B2" w14:textId="77777777" w:rsidR="00436DAA" w:rsidRPr="00330234" w:rsidRDefault="00436DAA" w:rsidP="00BD109B">
      <w:pPr>
        <w:pStyle w:val="a3"/>
        <w:widowControl/>
        <w:ind w:left="0"/>
      </w:pPr>
    </w:p>
    <w:p w14:paraId="7510637C" w14:textId="77777777" w:rsidR="00436DAA" w:rsidRPr="00330234" w:rsidRDefault="009B4B8E" w:rsidP="00BD109B">
      <w:pPr>
        <w:pStyle w:val="a3"/>
        <w:widowControl/>
        <w:ind w:left="0"/>
      </w:pPr>
      <w:r w:rsidRPr="00330234">
        <w:t>De voorgevulde pen mag niet gebruikt worden voor de behandeling van pediatrische patiënten jonger dan 12 jaar.</w:t>
      </w:r>
    </w:p>
    <w:p w14:paraId="5DD73712" w14:textId="77777777" w:rsidR="00A373C7" w:rsidRPr="00330234" w:rsidRDefault="00A373C7" w:rsidP="00BD109B">
      <w:pPr>
        <w:pStyle w:val="a3"/>
        <w:widowControl/>
        <w:ind w:left="0"/>
      </w:pPr>
    </w:p>
    <w:p w14:paraId="10C575C6" w14:textId="061978FE" w:rsidR="00436DAA" w:rsidRPr="00330234" w:rsidRDefault="009B4B8E" w:rsidP="00BD109B">
      <w:pPr>
        <w:pStyle w:val="a3"/>
        <w:widowControl/>
        <w:ind w:left="0"/>
      </w:pPr>
      <w:r w:rsidRPr="00330234">
        <w:t xml:space="preserve">Patiënten moeten minstens 10 kg wegen als ze </w:t>
      </w:r>
      <w:r w:rsidR="00067BD8" w:rsidRPr="00330234">
        <w:t>Avtozma</w:t>
      </w:r>
      <w:r w:rsidRPr="00330234">
        <w:t xml:space="preserve"> subcutaan krijgen.</w:t>
      </w:r>
    </w:p>
    <w:p w14:paraId="5D51758A" w14:textId="77777777" w:rsidR="00436DAA" w:rsidRPr="00330234" w:rsidRDefault="00436DAA" w:rsidP="00BD109B">
      <w:pPr>
        <w:widowControl/>
      </w:pPr>
    </w:p>
    <w:p w14:paraId="02B9B3CD" w14:textId="77777777" w:rsidR="00436DAA" w:rsidRPr="00330234" w:rsidRDefault="009B4B8E" w:rsidP="00BD109B">
      <w:pPr>
        <w:widowControl/>
        <w:rPr>
          <w:i/>
        </w:rPr>
      </w:pPr>
      <w:r w:rsidRPr="00330234">
        <w:rPr>
          <w:i/>
        </w:rPr>
        <w:t>pJIA-patiënten:</w:t>
      </w:r>
    </w:p>
    <w:p w14:paraId="293365EA" w14:textId="77777777" w:rsidR="00436DAA" w:rsidRPr="00330234" w:rsidRDefault="009B4B8E" w:rsidP="00BD109B">
      <w:pPr>
        <w:pStyle w:val="a3"/>
        <w:widowControl/>
        <w:ind w:left="0"/>
      </w:pPr>
      <w:r w:rsidRPr="00330234">
        <w:t>De aanbevolen dosering bij patiënten ouder dan 12 jaar is 162 mg subcutaan eenmaal per 2 weken bij patiënten die 30 kg of meer wegen, of 162 mg subcutaan eenmaal per 3 weken bij patiënten die minder dan 30 kg wegen.</w:t>
      </w:r>
    </w:p>
    <w:p w14:paraId="286BD455" w14:textId="77777777" w:rsidR="00A373C7" w:rsidRPr="00330234" w:rsidRDefault="00A373C7" w:rsidP="00BD109B">
      <w:pPr>
        <w:pStyle w:val="a3"/>
        <w:widowControl/>
        <w:ind w:left="0"/>
      </w:pPr>
    </w:p>
    <w:p w14:paraId="33D99374" w14:textId="77777777" w:rsidR="00436DAA" w:rsidRPr="00330234" w:rsidRDefault="009B4B8E" w:rsidP="00BD109B">
      <w:pPr>
        <w:pStyle w:val="a3"/>
        <w:widowControl/>
        <w:ind w:left="0"/>
      </w:pPr>
      <w:r w:rsidRPr="00330234">
        <w:t>De voorgevulde pen mag niet gebruikt worden voor de behandeling van pediatrische patiënten jonger dan 12 jaar.</w:t>
      </w:r>
    </w:p>
    <w:p w14:paraId="3CFA85FC" w14:textId="77777777" w:rsidR="00436DAA" w:rsidRPr="00330234" w:rsidRDefault="00436DAA" w:rsidP="00BD109B">
      <w:pPr>
        <w:pStyle w:val="a3"/>
        <w:widowControl/>
        <w:ind w:left="0"/>
      </w:pPr>
    </w:p>
    <w:p w14:paraId="71F2DAE7" w14:textId="77777777" w:rsidR="00436DAA" w:rsidRPr="00330234" w:rsidRDefault="009B4B8E" w:rsidP="00A373C7">
      <w:pPr>
        <w:pStyle w:val="a3"/>
        <w:keepNext/>
        <w:keepLines/>
        <w:widowControl/>
        <w:ind w:left="0"/>
      </w:pPr>
      <w:r w:rsidRPr="001B3E1E">
        <w:t>Dosisaanpassingen als gevolg van laboratoriumafwijkingen (sJIA en pJIA)</w:t>
      </w:r>
    </w:p>
    <w:p w14:paraId="0CC4BF44" w14:textId="77777777" w:rsidR="00436DAA" w:rsidRPr="00330234" w:rsidRDefault="00436DAA" w:rsidP="00A373C7">
      <w:pPr>
        <w:pStyle w:val="a3"/>
        <w:keepNext/>
        <w:keepLines/>
        <w:widowControl/>
        <w:ind w:left="0"/>
      </w:pPr>
    </w:p>
    <w:p w14:paraId="72EA442E" w14:textId="77777777" w:rsidR="00436DAA" w:rsidRPr="00330234" w:rsidRDefault="009B4B8E" w:rsidP="00A373C7">
      <w:pPr>
        <w:pStyle w:val="a3"/>
        <w:keepNext/>
        <w:keepLines/>
        <w:widowControl/>
        <w:ind w:left="0"/>
      </w:pPr>
      <w:r w:rsidRPr="00330234">
        <w:t>Indien aangewezen, moet de dosis van gelijktijdig gebruikte MTX en/of andere geneesmiddelen worden aangepast of moet het gebruik ervan gestaakt worden en moet dosering met tocilizumab worden onderbroken totdat de klinische situatie geëvalueerd is. Aangezien er bij sJIA of pJIA veel comorbiditeit is die invloed kan hebben op laboratoriumwaardes, moet de beslissing om te stoppen met tocilizumab bij een laboratoriumafwijking gebaseerd zijn op de medische beoordeling van de individuele patiënt.</w:t>
      </w:r>
    </w:p>
    <w:p w14:paraId="3FE044D1" w14:textId="77777777" w:rsidR="00A373C7" w:rsidRPr="00330234" w:rsidRDefault="00A373C7" w:rsidP="00BD109B">
      <w:pPr>
        <w:pStyle w:val="a3"/>
        <w:widowControl/>
        <w:ind w:left="0"/>
      </w:pPr>
    </w:p>
    <w:p w14:paraId="2046868F" w14:textId="031C4C49" w:rsidR="00436DAA" w:rsidRPr="00330234" w:rsidRDefault="005328BF" w:rsidP="001B3E1E">
      <w:pPr>
        <w:pStyle w:val="bullet"/>
        <w:keepNext/>
        <w:keepLines/>
      </w:pPr>
      <w:r w:rsidRPr="00330234">
        <w:rPr>
          <w:rFonts w:eastAsia="Symbol"/>
        </w:rPr>
        <w:lastRenderedPageBreak/>
        <w:tab/>
      </w:r>
      <w:r w:rsidR="009B4B8E" w:rsidRPr="00330234">
        <w:t>Leverenzymafwijkingen</w:t>
      </w:r>
    </w:p>
    <w:p w14:paraId="4CA4DA84" w14:textId="77777777" w:rsidR="00436DAA" w:rsidRPr="00330234" w:rsidRDefault="00436DAA" w:rsidP="001B3E1E">
      <w:pPr>
        <w:pStyle w:val="a3"/>
        <w:keepNext/>
        <w:keepLines/>
        <w:widowControl/>
        <w:ind w:left="0"/>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5"/>
        <w:gridCol w:w="7271"/>
      </w:tblGrid>
      <w:tr w:rsidR="00436DAA" w:rsidRPr="00330234" w14:paraId="1267CED1" w14:textId="77777777" w:rsidTr="004C0949">
        <w:trPr>
          <w:trHeight w:val="20"/>
          <w:tblHeader/>
        </w:trPr>
        <w:tc>
          <w:tcPr>
            <w:tcW w:w="1795" w:type="dxa"/>
          </w:tcPr>
          <w:p w14:paraId="6B5FC720" w14:textId="290478AA" w:rsidR="00A373C7" w:rsidRPr="00330234" w:rsidRDefault="009B4B8E" w:rsidP="001B3E1E">
            <w:pPr>
              <w:pStyle w:val="TableParagraph"/>
              <w:keepNext/>
              <w:keepLines/>
              <w:widowControl/>
              <w:jc w:val="center"/>
              <w:rPr>
                <w:bCs/>
              </w:rPr>
            </w:pPr>
            <w:r w:rsidRPr="00330234">
              <w:rPr>
                <w:bCs/>
              </w:rPr>
              <w:t>Laboratorium- waarde</w:t>
            </w:r>
          </w:p>
        </w:tc>
        <w:tc>
          <w:tcPr>
            <w:tcW w:w="7271" w:type="dxa"/>
          </w:tcPr>
          <w:p w14:paraId="54671A46" w14:textId="77777777" w:rsidR="00436DAA" w:rsidRPr="00330234" w:rsidRDefault="009B4B8E" w:rsidP="001B3E1E">
            <w:pPr>
              <w:pStyle w:val="TableParagraph"/>
              <w:keepNext/>
              <w:keepLines/>
              <w:widowControl/>
              <w:jc w:val="center"/>
              <w:rPr>
                <w:bCs/>
              </w:rPr>
            </w:pPr>
            <w:r w:rsidRPr="00330234">
              <w:rPr>
                <w:bCs/>
              </w:rPr>
              <w:t>Actie</w:t>
            </w:r>
          </w:p>
        </w:tc>
      </w:tr>
      <w:tr w:rsidR="00436DAA" w:rsidRPr="00330234" w14:paraId="16A8A457" w14:textId="77777777" w:rsidTr="00A373C7">
        <w:trPr>
          <w:trHeight w:val="20"/>
        </w:trPr>
        <w:tc>
          <w:tcPr>
            <w:tcW w:w="1795" w:type="dxa"/>
          </w:tcPr>
          <w:p w14:paraId="3375E42B" w14:textId="77777777" w:rsidR="00436DAA" w:rsidRPr="00330234" w:rsidRDefault="009B4B8E" w:rsidP="00BD109B">
            <w:pPr>
              <w:pStyle w:val="TableParagraph"/>
              <w:widowControl/>
            </w:pPr>
            <w:r w:rsidRPr="00330234">
              <w:t>&gt; 1 tot 3 x ULN</w:t>
            </w:r>
          </w:p>
        </w:tc>
        <w:tc>
          <w:tcPr>
            <w:tcW w:w="7271" w:type="dxa"/>
          </w:tcPr>
          <w:p w14:paraId="4CBF20F5" w14:textId="77777777" w:rsidR="00436DAA" w:rsidRPr="00330234" w:rsidRDefault="009B4B8E" w:rsidP="00BD109B">
            <w:pPr>
              <w:pStyle w:val="TableParagraph"/>
              <w:widowControl/>
            </w:pPr>
            <w:r w:rsidRPr="00330234">
              <w:t>Pas de dosering aan van gelijktijdig gebruikte MTX, indien aangewezen.</w:t>
            </w:r>
          </w:p>
          <w:p w14:paraId="026A2274" w14:textId="77777777" w:rsidR="00A373C7" w:rsidRPr="00330234" w:rsidRDefault="00A373C7" w:rsidP="00BD109B">
            <w:pPr>
              <w:pStyle w:val="TableParagraph"/>
              <w:widowControl/>
            </w:pPr>
          </w:p>
          <w:p w14:paraId="5B6040F3" w14:textId="1A434ECA" w:rsidR="00A373C7" w:rsidRPr="00330234" w:rsidRDefault="009B4B8E" w:rsidP="004C0949">
            <w:pPr>
              <w:pStyle w:val="TableParagraph"/>
              <w:widowControl/>
            </w:pPr>
            <w:r w:rsidRPr="00330234">
              <w:t xml:space="preserve">Bij aanhoudende stijgingen binnen dit bereik, onderbreek de behandeling met </w:t>
            </w:r>
            <w:r w:rsidR="00067BD8" w:rsidRPr="00330234">
              <w:t>Avtozma</w:t>
            </w:r>
            <w:r w:rsidRPr="00330234">
              <w:t xml:space="preserve"> totdat ALAT/ASAT zijn genormaliseerd.</w:t>
            </w:r>
          </w:p>
        </w:tc>
      </w:tr>
      <w:tr w:rsidR="00436DAA" w:rsidRPr="00330234" w14:paraId="1E926E4B" w14:textId="77777777" w:rsidTr="00A373C7">
        <w:trPr>
          <w:trHeight w:val="20"/>
        </w:trPr>
        <w:tc>
          <w:tcPr>
            <w:tcW w:w="1795" w:type="dxa"/>
          </w:tcPr>
          <w:p w14:paraId="5EB54CF5" w14:textId="2BA89F76" w:rsidR="00436DAA" w:rsidRPr="00330234" w:rsidRDefault="009B4B8E" w:rsidP="00BD109B">
            <w:pPr>
              <w:pStyle w:val="TableParagraph"/>
              <w:widowControl/>
            </w:pPr>
            <w:r w:rsidRPr="00330234">
              <w:t>&gt; 3 x ULN tot 5</w:t>
            </w:r>
            <w:r w:rsidR="00A373C7" w:rsidRPr="00330234">
              <w:t> </w:t>
            </w:r>
            <w:r w:rsidRPr="00330234">
              <w:t>x</w:t>
            </w:r>
            <w:r w:rsidR="00A373C7" w:rsidRPr="00330234">
              <w:t> </w:t>
            </w:r>
            <w:r w:rsidRPr="00330234">
              <w:t>ULN</w:t>
            </w:r>
          </w:p>
        </w:tc>
        <w:tc>
          <w:tcPr>
            <w:tcW w:w="7271" w:type="dxa"/>
          </w:tcPr>
          <w:p w14:paraId="6C564B69" w14:textId="77777777" w:rsidR="00436DAA" w:rsidRPr="00330234" w:rsidRDefault="009B4B8E" w:rsidP="00BD109B">
            <w:pPr>
              <w:pStyle w:val="TableParagraph"/>
              <w:widowControl/>
            </w:pPr>
            <w:r w:rsidRPr="00330234">
              <w:t>Pas de dosering aan van gelijktijdig gebruikte MTX, indien aangewezen.</w:t>
            </w:r>
          </w:p>
          <w:p w14:paraId="6EB078D6" w14:textId="77777777" w:rsidR="00A373C7" w:rsidRPr="00330234" w:rsidRDefault="00A373C7" w:rsidP="00BD109B">
            <w:pPr>
              <w:pStyle w:val="TableParagraph"/>
              <w:widowControl/>
            </w:pPr>
          </w:p>
          <w:p w14:paraId="71F9FE01" w14:textId="23325CCC" w:rsidR="00A373C7" w:rsidRPr="00330234" w:rsidRDefault="009B4B8E" w:rsidP="004C0949">
            <w:pPr>
              <w:pStyle w:val="TableParagraph"/>
              <w:widowControl/>
            </w:pPr>
            <w:r w:rsidRPr="00330234">
              <w:t xml:space="preserve">Onderbreek de behandeling met </w:t>
            </w:r>
            <w:r w:rsidR="00067BD8" w:rsidRPr="00330234">
              <w:t>Avtozma</w:t>
            </w:r>
            <w:r w:rsidRPr="00330234">
              <w:t xml:space="preserve"> tot de waarde van</w:t>
            </w:r>
            <w:r w:rsidR="00A373C7" w:rsidRPr="00330234">
              <w:t xml:space="preserve"> </w:t>
            </w:r>
            <w:r w:rsidRPr="00330234">
              <w:t>&lt; 3 x ULN is bereikt en volg de hierboven beschreven aanbevelingen voor de waarde &gt; 1 tot 3 x ULN.</w:t>
            </w:r>
          </w:p>
        </w:tc>
      </w:tr>
      <w:tr w:rsidR="00436DAA" w:rsidRPr="00330234" w14:paraId="113F01B7" w14:textId="77777777" w:rsidTr="00A373C7">
        <w:trPr>
          <w:trHeight w:val="20"/>
        </w:trPr>
        <w:tc>
          <w:tcPr>
            <w:tcW w:w="1795" w:type="dxa"/>
          </w:tcPr>
          <w:p w14:paraId="729DE585" w14:textId="77777777" w:rsidR="00436DAA" w:rsidRPr="00330234" w:rsidRDefault="009B4B8E" w:rsidP="00BD109B">
            <w:pPr>
              <w:pStyle w:val="TableParagraph"/>
              <w:widowControl/>
            </w:pPr>
            <w:r w:rsidRPr="00330234">
              <w:t>&gt; 5 x ULN</w:t>
            </w:r>
          </w:p>
        </w:tc>
        <w:tc>
          <w:tcPr>
            <w:tcW w:w="7271" w:type="dxa"/>
          </w:tcPr>
          <w:p w14:paraId="2E7B1AF3" w14:textId="5E1EC78A" w:rsidR="00436DAA" w:rsidRPr="00330234" w:rsidRDefault="009B4B8E" w:rsidP="00BD109B">
            <w:pPr>
              <w:pStyle w:val="TableParagraph"/>
              <w:widowControl/>
            </w:pPr>
            <w:r w:rsidRPr="00330234">
              <w:t xml:space="preserve">Staak de behandeling met </w:t>
            </w:r>
            <w:r w:rsidR="00067BD8" w:rsidRPr="00330234">
              <w:t>Avtozma</w:t>
            </w:r>
            <w:r w:rsidRPr="00330234">
              <w:t>.</w:t>
            </w:r>
          </w:p>
          <w:p w14:paraId="77C4A46F" w14:textId="77777777" w:rsidR="00A373C7" w:rsidRPr="00330234" w:rsidRDefault="00A373C7" w:rsidP="00BD109B">
            <w:pPr>
              <w:pStyle w:val="TableParagraph"/>
              <w:widowControl/>
            </w:pPr>
          </w:p>
          <w:p w14:paraId="43C5AB07" w14:textId="5DD9D345" w:rsidR="00A373C7" w:rsidRPr="00330234" w:rsidRDefault="009B4B8E" w:rsidP="004C0949">
            <w:pPr>
              <w:pStyle w:val="TableParagraph"/>
              <w:widowControl/>
            </w:pPr>
            <w:r w:rsidRPr="00330234">
              <w:t xml:space="preserve">Een beslissing om de behandeling met </w:t>
            </w:r>
            <w:r w:rsidR="00067BD8" w:rsidRPr="00330234">
              <w:t>Avtozma</w:t>
            </w:r>
            <w:r w:rsidRPr="00330234">
              <w:t xml:space="preserve"> bij sJIA of pJIA te staken vanwege een laboratoriumafwijking moet gebaseerd worden op de medische beoordeling van de individuele patiënt.</w:t>
            </w:r>
          </w:p>
        </w:tc>
      </w:tr>
    </w:tbl>
    <w:p w14:paraId="11FD1E33" w14:textId="77777777" w:rsidR="00436DAA" w:rsidRPr="00330234" w:rsidRDefault="00436DAA" w:rsidP="00BD109B">
      <w:pPr>
        <w:widowControl/>
      </w:pPr>
    </w:p>
    <w:p w14:paraId="39ECDC2D" w14:textId="4E3AFC9F" w:rsidR="00436DAA" w:rsidRPr="00330234" w:rsidRDefault="005328BF" w:rsidP="00A373C7">
      <w:pPr>
        <w:pStyle w:val="bullet"/>
      </w:pPr>
      <w:r w:rsidRPr="00330234">
        <w:rPr>
          <w:rFonts w:eastAsia="Symbol"/>
        </w:rPr>
        <w:tab/>
      </w:r>
      <w:r w:rsidR="009B4B8E" w:rsidRPr="00330234">
        <w:t>Laag absoluut aantal neutrofielen (ANC)</w:t>
      </w:r>
    </w:p>
    <w:p w14:paraId="4EC78C94" w14:textId="77777777" w:rsidR="00436DAA" w:rsidRPr="00330234" w:rsidRDefault="00436DAA" w:rsidP="00BD109B">
      <w:pPr>
        <w:pStyle w:val="a3"/>
        <w:widowControl/>
        <w:ind w:left="0"/>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7432"/>
      </w:tblGrid>
      <w:tr w:rsidR="00436DAA" w:rsidRPr="00330234" w14:paraId="3BC4C337" w14:textId="77777777" w:rsidTr="00A373C7">
        <w:trPr>
          <w:trHeight w:val="20"/>
        </w:trPr>
        <w:tc>
          <w:tcPr>
            <w:tcW w:w="1634" w:type="dxa"/>
          </w:tcPr>
          <w:p w14:paraId="5868E8A0" w14:textId="77777777" w:rsidR="00436DAA" w:rsidRPr="00330234" w:rsidRDefault="009B4B8E" w:rsidP="00A373C7">
            <w:pPr>
              <w:pStyle w:val="TableParagraph"/>
              <w:widowControl/>
              <w:jc w:val="center"/>
              <w:rPr>
                <w:bCs/>
              </w:rPr>
            </w:pPr>
            <w:r w:rsidRPr="00330234">
              <w:rPr>
                <w:bCs/>
              </w:rPr>
              <w:t>Laboratorium- waarde</w:t>
            </w:r>
          </w:p>
          <w:p w14:paraId="4BB11A51" w14:textId="491F6814" w:rsidR="00A373C7" w:rsidRPr="00330234" w:rsidRDefault="009B4B8E" w:rsidP="004C0949">
            <w:pPr>
              <w:pStyle w:val="TableParagraph"/>
              <w:widowControl/>
              <w:jc w:val="center"/>
              <w:rPr>
                <w:bCs/>
              </w:rPr>
            </w:pPr>
            <w:r w:rsidRPr="00330234">
              <w:rPr>
                <w:bCs/>
              </w:rPr>
              <w:t>(cellen x 10</w:t>
            </w:r>
            <w:r w:rsidRPr="00330234">
              <w:rPr>
                <w:bCs/>
                <w:vertAlign w:val="superscript"/>
              </w:rPr>
              <w:t>9</w:t>
            </w:r>
            <w:r w:rsidRPr="00330234">
              <w:rPr>
                <w:bCs/>
              </w:rPr>
              <w:t>/l)</w:t>
            </w:r>
          </w:p>
        </w:tc>
        <w:tc>
          <w:tcPr>
            <w:tcW w:w="7432" w:type="dxa"/>
          </w:tcPr>
          <w:p w14:paraId="644B673F" w14:textId="77777777" w:rsidR="00436DAA" w:rsidRPr="00330234" w:rsidRDefault="009B4B8E" w:rsidP="00A373C7">
            <w:pPr>
              <w:pStyle w:val="TableParagraph"/>
              <w:widowControl/>
              <w:jc w:val="center"/>
              <w:rPr>
                <w:bCs/>
              </w:rPr>
            </w:pPr>
            <w:r w:rsidRPr="00330234">
              <w:rPr>
                <w:bCs/>
              </w:rPr>
              <w:t>Actie</w:t>
            </w:r>
          </w:p>
        </w:tc>
      </w:tr>
      <w:tr w:rsidR="00436DAA" w:rsidRPr="00330234" w14:paraId="00F47CBC" w14:textId="77777777" w:rsidTr="00A373C7">
        <w:trPr>
          <w:trHeight w:val="20"/>
        </w:trPr>
        <w:tc>
          <w:tcPr>
            <w:tcW w:w="1634" w:type="dxa"/>
          </w:tcPr>
          <w:p w14:paraId="0681DAF8" w14:textId="77777777" w:rsidR="00436DAA" w:rsidRPr="00330234" w:rsidRDefault="009B4B8E" w:rsidP="00BD109B">
            <w:pPr>
              <w:pStyle w:val="TableParagraph"/>
              <w:widowControl/>
            </w:pPr>
            <w:r w:rsidRPr="00330234">
              <w:t>ANC &gt; 1</w:t>
            </w:r>
          </w:p>
        </w:tc>
        <w:tc>
          <w:tcPr>
            <w:tcW w:w="7432" w:type="dxa"/>
          </w:tcPr>
          <w:p w14:paraId="3EBA023C" w14:textId="54E89258" w:rsidR="00A373C7" w:rsidRPr="00330234" w:rsidRDefault="009B4B8E" w:rsidP="004C0949">
            <w:pPr>
              <w:pStyle w:val="TableParagraph"/>
              <w:widowControl/>
            </w:pPr>
            <w:r w:rsidRPr="00330234">
              <w:t>Handhaaf de dosering.</w:t>
            </w:r>
          </w:p>
        </w:tc>
      </w:tr>
      <w:tr w:rsidR="00436DAA" w:rsidRPr="00330234" w14:paraId="64E4DE09" w14:textId="77777777" w:rsidTr="00A373C7">
        <w:trPr>
          <w:trHeight w:val="20"/>
        </w:trPr>
        <w:tc>
          <w:tcPr>
            <w:tcW w:w="1634" w:type="dxa"/>
          </w:tcPr>
          <w:p w14:paraId="3E61EFF8" w14:textId="77777777" w:rsidR="00436DAA" w:rsidRPr="00330234" w:rsidRDefault="009B4B8E" w:rsidP="00BD109B">
            <w:pPr>
              <w:pStyle w:val="TableParagraph"/>
              <w:widowControl/>
            </w:pPr>
            <w:r w:rsidRPr="00330234">
              <w:t>ANC 0,5 tot 1</w:t>
            </w:r>
          </w:p>
        </w:tc>
        <w:tc>
          <w:tcPr>
            <w:tcW w:w="7432" w:type="dxa"/>
          </w:tcPr>
          <w:p w14:paraId="4E3FD55C" w14:textId="088AEB9E" w:rsidR="00436DAA" w:rsidRPr="00330234" w:rsidRDefault="009B4B8E" w:rsidP="00BD109B">
            <w:pPr>
              <w:pStyle w:val="TableParagraph"/>
              <w:widowControl/>
            </w:pPr>
            <w:r w:rsidRPr="00330234">
              <w:t xml:space="preserve">Onderbreek de behandeling met </w:t>
            </w:r>
            <w:r w:rsidR="00067BD8" w:rsidRPr="00330234">
              <w:t>Avtozma</w:t>
            </w:r>
            <w:r w:rsidRPr="00330234">
              <w:t>.</w:t>
            </w:r>
          </w:p>
          <w:p w14:paraId="15E7019F" w14:textId="77777777" w:rsidR="00A373C7" w:rsidRPr="00330234" w:rsidRDefault="00A373C7" w:rsidP="00BD109B">
            <w:pPr>
              <w:pStyle w:val="TableParagraph"/>
              <w:widowControl/>
            </w:pPr>
          </w:p>
          <w:p w14:paraId="01E90EAE" w14:textId="547DAEF1" w:rsidR="00A373C7" w:rsidRPr="00330234" w:rsidRDefault="009B4B8E" w:rsidP="004C0949">
            <w:pPr>
              <w:pStyle w:val="TableParagraph"/>
              <w:widowControl/>
            </w:pPr>
            <w:r w:rsidRPr="00330234">
              <w:t>Wanneer het ANC toeneemt tot &gt; 1 x 10</w:t>
            </w:r>
            <w:r w:rsidRPr="00330234">
              <w:rPr>
                <w:vertAlign w:val="superscript"/>
              </w:rPr>
              <w:t>9</w:t>
            </w:r>
            <w:r w:rsidRPr="00330234">
              <w:t xml:space="preserve">/l; hervat de behandeling met </w:t>
            </w:r>
            <w:r w:rsidR="00067BD8" w:rsidRPr="00330234">
              <w:t>Avtozma</w:t>
            </w:r>
          </w:p>
        </w:tc>
      </w:tr>
      <w:tr w:rsidR="00436DAA" w:rsidRPr="00330234" w14:paraId="37B76B76" w14:textId="77777777" w:rsidTr="00A373C7">
        <w:trPr>
          <w:trHeight w:val="20"/>
        </w:trPr>
        <w:tc>
          <w:tcPr>
            <w:tcW w:w="1634" w:type="dxa"/>
          </w:tcPr>
          <w:p w14:paraId="3B26DB49" w14:textId="77777777" w:rsidR="00436DAA" w:rsidRPr="00330234" w:rsidRDefault="009B4B8E" w:rsidP="00BD109B">
            <w:pPr>
              <w:pStyle w:val="TableParagraph"/>
              <w:widowControl/>
            </w:pPr>
            <w:r w:rsidRPr="00330234">
              <w:t>ANC &lt; 0,5</w:t>
            </w:r>
          </w:p>
        </w:tc>
        <w:tc>
          <w:tcPr>
            <w:tcW w:w="7432" w:type="dxa"/>
          </w:tcPr>
          <w:p w14:paraId="5CB74C18" w14:textId="74AD2346" w:rsidR="00436DAA" w:rsidRPr="00330234" w:rsidRDefault="009B4B8E" w:rsidP="00BD109B">
            <w:pPr>
              <w:pStyle w:val="TableParagraph"/>
              <w:widowControl/>
            </w:pPr>
            <w:r w:rsidRPr="00330234">
              <w:t xml:space="preserve">Staak de behandeling met </w:t>
            </w:r>
            <w:r w:rsidR="00067BD8" w:rsidRPr="00330234">
              <w:t>Avtozma</w:t>
            </w:r>
          </w:p>
          <w:p w14:paraId="4AB4BA0B" w14:textId="77777777" w:rsidR="00A373C7" w:rsidRPr="00330234" w:rsidRDefault="00A373C7" w:rsidP="00BD109B">
            <w:pPr>
              <w:pStyle w:val="TableParagraph"/>
              <w:widowControl/>
            </w:pPr>
          </w:p>
          <w:p w14:paraId="7EEF26FB" w14:textId="312F1876" w:rsidR="00A373C7" w:rsidRPr="00330234" w:rsidRDefault="009B4B8E" w:rsidP="004C0949">
            <w:pPr>
              <w:pStyle w:val="TableParagraph"/>
              <w:widowControl/>
            </w:pPr>
            <w:r w:rsidRPr="00330234">
              <w:t xml:space="preserve">Een beslissing om de behandeling met </w:t>
            </w:r>
            <w:r w:rsidR="00067BD8" w:rsidRPr="00330234">
              <w:t>Avtozma</w:t>
            </w:r>
            <w:r w:rsidRPr="00330234">
              <w:t xml:space="preserve"> bij sJIA of pJIA te staken vanwege een laboratoriumafwijking moet gebaseerd worden op de medische beoordeling van de individuele patiënt.</w:t>
            </w:r>
          </w:p>
        </w:tc>
      </w:tr>
    </w:tbl>
    <w:p w14:paraId="5CD26938" w14:textId="77777777" w:rsidR="00A373C7" w:rsidRPr="00330234" w:rsidRDefault="00A373C7" w:rsidP="00BD109B">
      <w:pPr>
        <w:widowControl/>
        <w:rPr>
          <w:rFonts w:eastAsia="Symbol"/>
        </w:rPr>
      </w:pPr>
    </w:p>
    <w:p w14:paraId="12A26683" w14:textId="3B86F418" w:rsidR="00436DAA" w:rsidRPr="00330234" w:rsidRDefault="005328BF" w:rsidP="00A373C7">
      <w:pPr>
        <w:pStyle w:val="bullet"/>
        <w:keepNext/>
        <w:keepLines/>
      </w:pPr>
      <w:r w:rsidRPr="00330234">
        <w:rPr>
          <w:rFonts w:eastAsia="Symbol"/>
        </w:rPr>
        <w:tab/>
      </w:r>
      <w:r w:rsidR="009B4B8E" w:rsidRPr="00330234">
        <w:t>Laag aantal trombocyten</w:t>
      </w:r>
    </w:p>
    <w:p w14:paraId="7B435E7E" w14:textId="77777777" w:rsidR="00436DAA" w:rsidRPr="00330234" w:rsidRDefault="00436DAA" w:rsidP="00A373C7">
      <w:pPr>
        <w:pStyle w:val="a3"/>
        <w:keepNext/>
        <w:keepLines/>
        <w:widowControl/>
        <w:ind w:left="0"/>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7369"/>
      </w:tblGrid>
      <w:tr w:rsidR="00436DAA" w:rsidRPr="00330234" w14:paraId="3BC71EF6" w14:textId="77777777" w:rsidTr="00A373C7">
        <w:trPr>
          <w:trHeight w:val="20"/>
        </w:trPr>
        <w:tc>
          <w:tcPr>
            <w:tcW w:w="1697" w:type="dxa"/>
          </w:tcPr>
          <w:p w14:paraId="628CFCBC" w14:textId="77777777" w:rsidR="00436DAA" w:rsidRPr="00330234" w:rsidRDefault="009B4B8E" w:rsidP="00A373C7">
            <w:pPr>
              <w:pStyle w:val="TableParagraph"/>
              <w:keepNext/>
              <w:keepLines/>
              <w:widowControl/>
              <w:jc w:val="center"/>
              <w:rPr>
                <w:bCs/>
              </w:rPr>
            </w:pPr>
            <w:r w:rsidRPr="00330234">
              <w:rPr>
                <w:bCs/>
              </w:rPr>
              <w:t>Laboratorium- waarde</w:t>
            </w:r>
          </w:p>
          <w:p w14:paraId="55C8A6F7" w14:textId="401CC12F" w:rsidR="00A373C7" w:rsidRPr="00330234" w:rsidRDefault="009B4B8E" w:rsidP="004C0949">
            <w:pPr>
              <w:pStyle w:val="TableParagraph"/>
              <w:keepNext/>
              <w:keepLines/>
              <w:widowControl/>
              <w:jc w:val="center"/>
              <w:rPr>
                <w:bCs/>
              </w:rPr>
            </w:pPr>
            <w:r w:rsidRPr="00330234">
              <w:rPr>
                <w:bCs/>
              </w:rPr>
              <w:t>(cellen x 10</w:t>
            </w:r>
            <w:r w:rsidRPr="00330234">
              <w:rPr>
                <w:bCs/>
                <w:vertAlign w:val="superscript"/>
              </w:rPr>
              <w:t>3</w:t>
            </w:r>
            <w:r w:rsidRPr="00330234">
              <w:rPr>
                <w:bCs/>
              </w:rPr>
              <w:t>/</w:t>
            </w:r>
            <w:r w:rsidR="00A373C7" w:rsidRPr="00330234">
              <w:rPr>
                <w:bCs/>
              </w:rPr>
              <w:t>μ</w:t>
            </w:r>
            <w:r w:rsidRPr="00330234">
              <w:rPr>
                <w:bCs/>
              </w:rPr>
              <w:t>l)</w:t>
            </w:r>
          </w:p>
        </w:tc>
        <w:tc>
          <w:tcPr>
            <w:tcW w:w="7369" w:type="dxa"/>
          </w:tcPr>
          <w:p w14:paraId="0DBA3670" w14:textId="77777777" w:rsidR="00436DAA" w:rsidRPr="00330234" w:rsidRDefault="009B4B8E" w:rsidP="00A373C7">
            <w:pPr>
              <w:pStyle w:val="TableParagraph"/>
              <w:keepNext/>
              <w:keepLines/>
              <w:widowControl/>
              <w:jc w:val="center"/>
              <w:rPr>
                <w:bCs/>
              </w:rPr>
            </w:pPr>
            <w:r w:rsidRPr="00330234">
              <w:rPr>
                <w:bCs/>
              </w:rPr>
              <w:t>Actie</w:t>
            </w:r>
          </w:p>
        </w:tc>
      </w:tr>
      <w:tr w:rsidR="00436DAA" w:rsidRPr="00330234" w14:paraId="1C88C062" w14:textId="77777777" w:rsidTr="00A373C7">
        <w:trPr>
          <w:trHeight w:val="20"/>
        </w:trPr>
        <w:tc>
          <w:tcPr>
            <w:tcW w:w="1697" w:type="dxa"/>
          </w:tcPr>
          <w:p w14:paraId="60FB86A7" w14:textId="77777777" w:rsidR="00436DAA" w:rsidRPr="00330234" w:rsidRDefault="009B4B8E" w:rsidP="00A373C7">
            <w:pPr>
              <w:pStyle w:val="TableParagraph"/>
              <w:keepNext/>
              <w:keepLines/>
              <w:widowControl/>
            </w:pPr>
            <w:r w:rsidRPr="00330234">
              <w:t>50 tot 100</w:t>
            </w:r>
          </w:p>
        </w:tc>
        <w:tc>
          <w:tcPr>
            <w:tcW w:w="7369" w:type="dxa"/>
          </w:tcPr>
          <w:p w14:paraId="2C6992DB" w14:textId="77777777" w:rsidR="00436DAA" w:rsidRPr="00330234" w:rsidRDefault="009B4B8E" w:rsidP="00A373C7">
            <w:pPr>
              <w:pStyle w:val="TableParagraph"/>
              <w:keepNext/>
              <w:keepLines/>
              <w:widowControl/>
            </w:pPr>
            <w:r w:rsidRPr="00330234">
              <w:t>Pas de dosering aan van gelijktijdig gebruikte MTX, indien aangewezen.</w:t>
            </w:r>
          </w:p>
          <w:p w14:paraId="65A020EB" w14:textId="77777777" w:rsidR="00A373C7" w:rsidRPr="00330234" w:rsidRDefault="00A373C7" w:rsidP="00A373C7">
            <w:pPr>
              <w:pStyle w:val="TableParagraph"/>
              <w:keepNext/>
              <w:keepLines/>
              <w:widowControl/>
            </w:pPr>
          </w:p>
          <w:p w14:paraId="69339B65" w14:textId="76CA2D39" w:rsidR="00436DAA" w:rsidRPr="00330234" w:rsidRDefault="009B4B8E" w:rsidP="00A373C7">
            <w:pPr>
              <w:pStyle w:val="TableParagraph"/>
              <w:keepNext/>
              <w:keepLines/>
              <w:widowControl/>
            </w:pPr>
            <w:r w:rsidRPr="00330234">
              <w:t xml:space="preserve">Onderbreek de behandeling met </w:t>
            </w:r>
            <w:r w:rsidR="00067BD8" w:rsidRPr="00330234">
              <w:t>Avtozma</w:t>
            </w:r>
          </w:p>
          <w:p w14:paraId="04FC21A8" w14:textId="77777777" w:rsidR="00A373C7" w:rsidRPr="00330234" w:rsidRDefault="00A373C7" w:rsidP="00A373C7">
            <w:pPr>
              <w:pStyle w:val="TableParagraph"/>
              <w:keepNext/>
              <w:keepLines/>
              <w:widowControl/>
            </w:pPr>
          </w:p>
          <w:p w14:paraId="7802BFE6" w14:textId="4535D30D" w:rsidR="00A373C7" w:rsidRPr="00330234" w:rsidRDefault="009B4B8E" w:rsidP="004C0949">
            <w:pPr>
              <w:pStyle w:val="TableParagraph"/>
              <w:keepNext/>
              <w:keepLines/>
              <w:widowControl/>
            </w:pPr>
            <w:r w:rsidRPr="00330234">
              <w:t>Wanneer het trombocytenaantal &gt; 100 x 10</w:t>
            </w:r>
            <w:r w:rsidRPr="00330234">
              <w:rPr>
                <w:vertAlign w:val="superscript"/>
              </w:rPr>
              <w:t>3</w:t>
            </w:r>
            <w:r w:rsidRPr="00330234">
              <w:t>/μl is; hervat de</w:t>
            </w:r>
            <w:r w:rsidR="00A373C7" w:rsidRPr="00330234">
              <w:t xml:space="preserve"> </w:t>
            </w:r>
            <w:r w:rsidRPr="00330234">
              <w:t xml:space="preserve">behandeling met </w:t>
            </w:r>
            <w:r w:rsidR="00067BD8" w:rsidRPr="00330234">
              <w:t>Avtozma</w:t>
            </w:r>
            <w:r w:rsidRPr="00330234">
              <w:t>.</w:t>
            </w:r>
          </w:p>
        </w:tc>
      </w:tr>
      <w:tr w:rsidR="00436DAA" w:rsidRPr="00330234" w14:paraId="4B772366" w14:textId="77777777" w:rsidTr="00A373C7">
        <w:trPr>
          <w:trHeight w:val="20"/>
        </w:trPr>
        <w:tc>
          <w:tcPr>
            <w:tcW w:w="1697" w:type="dxa"/>
          </w:tcPr>
          <w:p w14:paraId="454943BF" w14:textId="77777777" w:rsidR="00436DAA" w:rsidRPr="00330234" w:rsidRDefault="009B4B8E" w:rsidP="00BD109B">
            <w:pPr>
              <w:pStyle w:val="TableParagraph"/>
              <w:widowControl/>
            </w:pPr>
            <w:r w:rsidRPr="00330234">
              <w:t>&lt; 50</w:t>
            </w:r>
          </w:p>
        </w:tc>
        <w:tc>
          <w:tcPr>
            <w:tcW w:w="7369" w:type="dxa"/>
          </w:tcPr>
          <w:p w14:paraId="26B8CF8E" w14:textId="3CEE7091" w:rsidR="00436DAA" w:rsidRPr="00330234" w:rsidRDefault="009B4B8E" w:rsidP="00BD109B">
            <w:pPr>
              <w:pStyle w:val="TableParagraph"/>
              <w:widowControl/>
            </w:pPr>
            <w:r w:rsidRPr="00330234">
              <w:t xml:space="preserve">Staak de behandeling met </w:t>
            </w:r>
            <w:r w:rsidR="00067BD8" w:rsidRPr="00330234">
              <w:t>Avtozma</w:t>
            </w:r>
            <w:r w:rsidRPr="00330234">
              <w:t>.</w:t>
            </w:r>
          </w:p>
          <w:p w14:paraId="25D42C7C" w14:textId="77777777" w:rsidR="00A373C7" w:rsidRPr="00330234" w:rsidRDefault="00A373C7" w:rsidP="00BD109B">
            <w:pPr>
              <w:pStyle w:val="TableParagraph"/>
              <w:widowControl/>
            </w:pPr>
          </w:p>
          <w:p w14:paraId="1AFF33E9" w14:textId="22613229" w:rsidR="00A373C7" w:rsidRPr="00330234" w:rsidRDefault="009B4B8E" w:rsidP="004C0949">
            <w:pPr>
              <w:pStyle w:val="TableParagraph"/>
              <w:widowControl/>
            </w:pPr>
            <w:r w:rsidRPr="00330234">
              <w:t xml:space="preserve">Een beslissing om de behandeling met </w:t>
            </w:r>
            <w:r w:rsidR="00067BD8" w:rsidRPr="00330234">
              <w:t>Avtozma</w:t>
            </w:r>
            <w:r w:rsidRPr="00330234">
              <w:t xml:space="preserve"> bij sJIA of pJIA te staken vanwege een laboratoriumafwijking moet gebaseerd worden op de medische beoordeling van de individuele patiënt.</w:t>
            </w:r>
          </w:p>
        </w:tc>
      </w:tr>
    </w:tbl>
    <w:p w14:paraId="0A290902" w14:textId="77777777" w:rsidR="00A373C7" w:rsidRPr="00330234" w:rsidRDefault="00A373C7" w:rsidP="00BD109B">
      <w:pPr>
        <w:pStyle w:val="a3"/>
        <w:widowControl/>
        <w:ind w:left="0"/>
      </w:pPr>
    </w:p>
    <w:p w14:paraId="3495CAE9" w14:textId="4E7F7143" w:rsidR="00436DAA" w:rsidRPr="00330234" w:rsidRDefault="009B4B8E" w:rsidP="00BD109B">
      <w:pPr>
        <w:pStyle w:val="a3"/>
        <w:widowControl/>
        <w:ind w:left="0"/>
      </w:pPr>
      <w:r w:rsidRPr="00330234">
        <w:t>Verlaging van de doseringsfrequentie van tocilizumab vanwege afwijkingen in laboratoriumonderzoek is niet onderzocht bij sJIA- of pJIA-patiënten.</w:t>
      </w:r>
    </w:p>
    <w:p w14:paraId="5C64348F" w14:textId="77777777" w:rsidR="00A373C7" w:rsidRPr="00330234" w:rsidRDefault="00A373C7" w:rsidP="00BD109B">
      <w:pPr>
        <w:pStyle w:val="a3"/>
        <w:widowControl/>
        <w:ind w:left="0"/>
      </w:pPr>
    </w:p>
    <w:p w14:paraId="719611BA" w14:textId="05CE0D50" w:rsidR="00436DAA" w:rsidRPr="00330234" w:rsidRDefault="009B4B8E" w:rsidP="00BD109B">
      <w:pPr>
        <w:pStyle w:val="a3"/>
        <w:widowControl/>
        <w:ind w:left="0"/>
      </w:pPr>
      <w:r w:rsidRPr="00330234">
        <w:t xml:space="preserve">De veiligheid en werkzaamheid van de subcutane formulering van </w:t>
      </w:r>
      <w:r w:rsidR="00067BD8" w:rsidRPr="00330234">
        <w:t>Avtozma</w:t>
      </w:r>
      <w:r w:rsidRPr="00330234">
        <w:t xml:space="preserve"> bij kinderen met andere aandoeningen dan sJIA of pJIA zijn niet vastgesteld.</w:t>
      </w:r>
    </w:p>
    <w:p w14:paraId="2532F88B" w14:textId="77777777" w:rsidR="00436DAA" w:rsidRPr="00330234" w:rsidRDefault="00436DAA" w:rsidP="00BD109B">
      <w:pPr>
        <w:pStyle w:val="a3"/>
        <w:widowControl/>
        <w:ind w:left="0"/>
      </w:pPr>
    </w:p>
    <w:p w14:paraId="2F75BC99" w14:textId="4CE1754D" w:rsidR="00436DAA" w:rsidRPr="00330234" w:rsidRDefault="009B4B8E" w:rsidP="00BD109B">
      <w:pPr>
        <w:pStyle w:val="a3"/>
        <w:widowControl/>
        <w:ind w:left="0"/>
      </w:pPr>
      <w:r w:rsidRPr="00330234">
        <w:t xml:space="preserve">Beschikbare gegevens van de intraveneuze formulering suggereren dat er klinische verbetering wordt gezien binnen 12 weken na het starten van de behandeling met </w:t>
      </w:r>
      <w:r w:rsidR="00540190" w:rsidRPr="00330234">
        <w:rPr>
          <w:lang w:eastAsia="ko-KR"/>
        </w:rPr>
        <w:t>tocilizumab</w:t>
      </w:r>
      <w:r w:rsidRPr="00330234">
        <w:t>. Het voortzetten van de behandeling dient zorgvuldig te worden heroverwogen wanneer bij een patiënt binnen deze termijn geen verbetering wordt gezien.</w:t>
      </w:r>
    </w:p>
    <w:p w14:paraId="52D0F3BA" w14:textId="77777777" w:rsidR="00436DAA" w:rsidRPr="00330234" w:rsidRDefault="00436DAA" w:rsidP="00BD109B">
      <w:pPr>
        <w:pStyle w:val="a3"/>
        <w:widowControl/>
        <w:ind w:left="0"/>
      </w:pPr>
    </w:p>
    <w:p w14:paraId="3522FE9D" w14:textId="77777777" w:rsidR="00436DAA" w:rsidRPr="00330234" w:rsidRDefault="009B4B8E" w:rsidP="001B3E1E">
      <w:pPr>
        <w:pStyle w:val="a3"/>
        <w:keepNext/>
        <w:keepLines/>
        <w:widowControl/>
        <w:ind w:left="0"/>
      </w:pPr>
      <w:r w:rsidRPr="00330234">
        <w:rPr>
          <w:u w:val="single"/>
        </w:rPr>
        <w:t>Gemiste dosis</w:t>
      </w:r>
    </w:p>
    <w:p w14:paraId="2B91C0C9" w14:textId="2EE03D10" w:rsidR="00436DAA" w:rsidRPr="00330234" w:rsidRDefault="009B4B8E" w:rsidP="001B3E1E">
      <w:pPr>
        <w:pStyle w:val="a3"/>
        <w:keepNext/>
        <w:keepLines/>
        <w:widowControl/>
        <w:ind w:left="0"/>
      </w:pPr>
      <w:r w:rsidRPr="00330234">
        <w:t xml:space="preserve">Als een sJIA-patiënt een subcutane wekelijkse injectie van </w:t>
      </w:r>
      <w:r w:rsidR="00067BD8" w:rsidRPr="00330234">
        <w:t>Avtozma</w:t>
      </w:r>
      <w:r w:rsidRPr="00330234">
        <w:t xml:space="preserve"> mist binnen 7 dagen van de geplande dosis, dan moet hij/zij worden geïnstrueerd om de gemiste dosis toe te dienen op het volgende geplande tijdsstip. Als een patiënt een subcutane 2-wekelijkse injectie van </w:t>
      </w:r>
      <w:r w:rsidR="00067BD8" w:rsidRPr="00330234">
        <w:t>Avtozma</w:t>
      </w:r>
      <w:r w:rsidRPr="00330234">
        <w:t xml:space="preserve"> mist</w:t>
      </w:r>
      <w:r w:rsidR="00A373C7" w:rsidRPr="00330234">
        <w:t xml:space="preserve"> </w:t>
      </w:r>
      <w:r w:rsidRPr="00330234">
        <w:t>binnen 7 dagen na de geplande dosis, moet hij/zij geïnstrueerd worden om de gemiste dosis meteen toe te dienen en de volgende dosis toe te dienen op het volgende geplande tijdsstip.</w:t>
      </w:r>
    </w:p>
    <w:p w14:paraId="119DB291" w14:textId="77777777" w:rsidR="00436DAA" w:rsidRPr="00330234" w:rsidRDefault="00436DAA" w:rsidP="00BD109B">
      <w:pPr>
        <w:pStyle w:val="a3"/>
        <w:widowControl/>
        <w:ind w:left="0"/>
      </w:pPr>
    </w:p>
    <w:p w14:paraId="69D82C74" w14:textId="0CB621AF" w:rsidR="00436DAA" w:rsidRPr="00330234" w:rsidRDefault="009B4B8E" w:rsidP="00BD109B">
      <w:pPr>
        <w:pStyle w:val="a3"/>
        <w:widowControl/>
        <w:ind w:left="0"/>
      </w:pPr>
      <w:r w:rsidRPr="00330234">
        <w:t xml:space="preserve">Als een pJIA-patiënt een subcutane injectie van </w:t>
      </w:r>
      <w:r w:rsidR="00067BD8" w:rsidRPr="00330234">
        <w:t>Avtozma</w:t>
      </w:r>
      <w:r w:rsidRPr="00330234">
        <w:t xml:space="preserve"> mist binnen 7 dagen van de geplande dosis, dan moet hij/zij de gemiste dosis meteen toedienen en moet de volgende dosis toegediend worden op het volgende geplande tijdsstip. Als een patiënt een subcutane injectie van </w:t>
      </w:r>
      <w:r w:rsidR="00067BD8" w:rsidRPr="00330234">
        <w:t>Avtozma</w:t>
      </w:r>
      <w:r w:rsidRPr="00330234">
        <w:t xml:space="preserve"> mist meer dan 7 dagen na de geplande dosis, of als hij/zij onzeker is wanneer de injectie toegediend moet worden, moet de arts of apotheker geraadpleegd worden.</w:t>
      </w:r>
    </w:p>
    <w:p w14:paraId="6A4404F7" w14:textId="77777777" w:rsidR="00A373C7" w:rsidRPr="00330234" w:rsidRDefault="00A373C7" w:rsidP="00BD109B">
      <w:pPr>
        <w:pStyle w:val="a3"/>
        <w:widowControl/>
        <w:ind w:left="0"/>
      </w:pPr>
    </w:p>
    <w:p w14:paraId="252E5ECB" w14:textId="77777777" w:rsidR="00436DAA" w:rsidRPr="00330234" w:rsidRDefault="009B4B8E" w:rsidP="00BD109B">
      <w:pPr>
        <w:pStyle w:val="a3"/>
        <w:widowControl/>
        <w:ind w:left="0"/>
      </w:pPr>
      <w:r w:rsidRPr="00330234">
        <w:rPr>
          <w:u w:val="single"/>
        </w:rPr>
        <w:t>Wijze van toediening</w:t>
      </w:r>
    </w:p>
    <w:p w14:paraId="7EF766DC" w14:textId="4236F13E" w:rsidR="00436DAA" w:rsidRPr="00330234" w:rsidRDefault="00067BD8" w:rsidP="00BD109B">
      <w:pPr>
        <w:pStyle w:val="a3"/>
        <w:widowControl/>
        <w:ind w:left="0"/>
      </w:pPr>
      <w:r w:rsidRPr="00330234">
        <w:t>Avtozma</w:t>
      </w:r>
      <w:r w:rsidR="009B4B8E" w:rsidRPr="00330234">
        <w:t xml:space="preserve"> is voor subcutaan gebruik.</w:t>
      </w:r>
    </w:p>
    <w:p w14:paraId="7432134F" w14:textId="50D1B9FA" w:rsidR="00436DAA" w:rsidRPr="00330234" w:rsidRDefault="009B4B8E" w:rsidP="00BD109B">
      <w:pPr>
        <w:pStyle w:val="a3"/>
        <w:widowControl/>
        <w:ind w:left="0"/>
      </w:pPr>
      <w:r w:rsidRPr="00330234">
        <w:t xml:space="preserve">Patiënten mogen zichzelf injecteren met </w:t>
      </w:r>
      <w:r w:rsidR="00067BD8" w:rsidRPr="00330234">
        <w:t>Avtozma</w:t>
      </w:r>
      <w:r w:rsidRPr="00330234">
        <w:t xml:space="preserve"> na adequate training in de injectietechniek en wanneer hun arts beslist dat dit kan. De gehele inhoud (0,9 ml) van de voorgevulde pen moet worden toegediend als een subcutane injectie. De aanbevolen injectieplaatsen (buik, dijbeen en bovenarm) moeten afgewisseld worden en injecties mogen nooit gegeven worden in moedervlekken, littekens of gebieden waar de huid gevoelig, gekneusd, rood, hard of beschadigd is.</w:t>
      </w:r>
    </w:p>
    <w:p w14:paraId="62EA301C" w14:textId="77777777" w:rsidR="00CC5184" w:rsidRPr="00330234" w:rsidRDefault="00CC5184" w:rsidP="00BD109B">
      <w:pPr>
        <w:pStyle w:val="a3"/>
        <w:widowControl/>
        <w:ind w:left="0"/>
      </w:pPr>
    </w:p>
    <w:p w14:paraId="401BB49C" w14:textId="722DD250" w:rsidR="00436DAA" w:rsidRPr="00330234" w:rsidRDefault="009B4B8E" w:rsidP="00BD109B">
      <w:pPr>
        <w:pStyle w:val="a3"/>
        <w:widowControl/>
        <w:ind w:left="0"/>
      </w:pPr>
      <w:r w:rsidRPr="00330234">
        <w:t>De voorgevulde pen mag niet worden geschud.</w:t>
      </w:r>
    </w:p>
    <w:p w14:paraId="01ECA8B5" w14:textId="77777777" w:rsidR="00436DAA" w:rsidRPr="00330234" w:rsidRDefault="00436DAA" w:rsidP="00BD109B">
      <w:pPr>
        <w:pStyle w:val="a3"/>
        <w:widowControl/>
        <w:ind w:left="0"/>
      </w:pPr>
    </w:p>
    <w:p w14:paraId="6F10C7AC" w14:textId="18D89F96" w:rsidR="00436DAA" w:rsidRPr="00330234" w:rsidRDefault="009B4B8E" w:rsidP="00BD109B">
      <w:pPr>
        <w:pStyle w:val="a3"/>
        <w:widowControl/>
        <w:ind w:left="0"/>
      </w:pPr>
      <w:r w:rsidRPr="00330234">
        <w:t xml:space="preserve">Uitgebreide instructies voor de toediening van </w:t>
      </w:r>
      <w:r w:rsidR="00067BD8" w:rsidRPr="00330234">
        <w:t>Avtozma</w:t>
      </w:r>
      <w:r w:rsidRPr="00330234">
        <w:t xml:space="preserve"> met een voorgevulde pen staan vermeld in de bijsluiter. Zie rubriek 6.6.</w:t>
      </w:r>
    </w:p>
    <w:p w14:paraId="71C8F9DC" w14:textId="77777777" w:rsidR="00436DAA" w:rsidRPr="00330234" w:rsidRDefault="00436DAA" w:rsidP="00BD109B">
      <w:pPr>
        <w:pStyle w:val="a3"/>
        <w:widowControl/>
        <w:ind w:left="0"/>
      </w:pPr>
    </w:p>
    <w:p w14:paraId="46265EBD" w14:textId="65345B82" w:rsidR="00436DAA" w:rsidRPr="00330234" w:rsidRDefault="005328BF" w:rsidP="00BD109B">
      <w:pPr>
        <w:pStyle w:val="2"/>
      </w:pPr>
      <w:r w:rsidRPr="00330234">
        <w:t>4.3</w:t>
      </w:r>
      <w:r w:rsidRPr="00330234">
        <w:tab/>
      </w:r>
      <w:r w:rsidR="009B4B8E" w:rsidRPr="00330234">
        <w:t>Contra-indicaties</w:t>
      </w:r>
    </w:p>
    <w:p w14:paraId="5B27A4CA" w14:textId="77777777" w:rsidR="00CC5184" w:rsidRPr="00330234" w:rsidRDefault="00CC5184" w:rsidP="00BD109B">
      <w:pPr>
        <w:pStyle w:val="a3"/>
        <w:widowControl/>
        <w:ind w:left="0"/>
      </w:pPr>
    </w:p>
    <w:p w14:paraId="0024F083" w14:textId="77777777" w:rsidR="00CC5184" w:rsidRPr="00330234" w:rsidRDefault="009B4B8E" w:rsidP="00BD109B">
      <w:pPr>
        <w:pStyle w:val="a3"/>
        <w:widowControl/>
        <w:ind w:left="0"/>
      </w:pPr>
      <w:r w:rsidRPr="00330234">
        <w:t xml:space="preserve">Overgevoeligheid voor de werkzame stof of voor een van de in rubriek 6.1 vermelde hulpstoffen. </w:t>
      </w:r>
    </w:p>
    <w:p w14:paraId="337D3BC8" w14:textId="77777777" w:rsidR="00CC5184" w:rsidRPr="00330234" w:rsidRDefault="00CC5184" w:rsidP="00BD109B">
      <w:pPr>
        <w:pStyle w:val="a3"/>
        <w:widowControl/>
        <w:ind w:left="0"/>
      </w:pPr>
    </w:p>
    <w:p w14:paraId="490D4F34" w14:textId="242B7D93" w:rsidR="00436DAA" w:rsidRPr="00330234" w:rsidRDefault="009B4B8E" w:rsidP="00BD109B">
      <w:pPr>
        <w:pStyle w:val="a3"/>
        <w:widowControl/>
        <w:ind w:left="0"/>
      </w:pPr>
      <w:r w:rsidRPr="00330234">
        <w:t>Actieve, ernstige infecties (zie rubriek 4.4).</w:t>
      </w:r>
    </w:p>
    <w:p w14:paraId="1539849A" w14:textId="77777777" w:rsidR="00CC5184" w:rsidRPr="00330234" w:rsidRDefault="00CC5184" w:rsidP="00BD109B">
      <w:pPr>
        <w:pStyle w:val="a3"/>
        <w:widowControl/>
        <w:ind w:left="0"/>
      </w:pPr>
    </w:p>
    <w:p w14:paraId="1EA44FDD" w14:textId="6E343DD1" w:rsidR="00436DAA" w:rsidRPr="00330234" w:rsidRDefault="005328BF" w:rsidP="00BD109B">
      <w:pPr>
        <w:pStyle w:val="2"/>
      </w:pPr>
      <w:r w:rsidRPr="00330234">
        <w:t>4.4</w:t>
      </w:r>
      <w:r w:rsidRPr="00330234">
        <w:tab/>
      </w:r>
      <w:r w:rsidR="009B4B8E" w:rsidRPr="00330234">
        <w:t>Bijzondere waarschuwingen en voorzorgen bij gebruik</w:t>
      </w:r>
    </w:p>
    <w:p w14:paraId="65AFD3F8" w14:textId="77777777" w:rsidR="00CC5184" w:rsidRPr="00330234" w:rsidRDefault="00CC5184" w:rsidP="00BD109B">
      <w:pPr>
        <w:pStyle w:val="a3"/>
        <w:widowControl/>
        <w:ind w:left="0"/>
      </w:pPr>
    </w:p>
    <w:p w14:paraId="2098A030" w14:textId="496F0952" w:rsidR="00436DAA" w:rsidRPr="00330234" w:rsidRDefault="009B4B8E" w:rsidP="00BD109B">
      <w:pPr>
        <w:pStyle w:val="a3"/>
        <w:widowControl/>
        <w:ind w:left="0"/>
      </w:pPr>
      <w:r w:rsidRPr="00330234">
        <w:t xml:space="preserve">De subcutane formulering van </w:t>
      </w:r>
      <w:r w:rsidR="00067BD8" w:rsidRPr="00330234">
        <w:t>Avtozma</w:t>
      </w:r>
      <w:r w:rsidRPr="00330234">
        <w:t xml:space="preserve"> is niet bedoeld voor intraveneuze toediening.</w:t>
      </w:r>
    </w:p>
    <w:p w14:paraId="1A460F2E" w14:textId="77777777" w:rsidR="00436DAA" w:rsidRPr="00330234" w:rsidRDefault="00436DAA" w:rsidP="00BD109B">
      <w:pPr>
        <w:pStyle w:val="a3"/>
        <w:widowControl/>
        <w:ind w:left="0"/>
      </w:pPr>
    </w:p>
    <w:p w14:paraId="0CC124F7" w14:textId="77777777" w:rsidR="00436DAA" w:rsidRPr="00330234" w:rsidRDefault="009B4B8E" w:rsidP="00BD109B">
      <w:pPr>
        <w:widowControl/>
        <w:rPr>
          <w:i/>
        </w:rPr>
      </w:pPr>
      <w:r w:rsidRPr="00330234">
        <w:rPr>
          <w:i/>
        </w:rPr>
        <w:t>Terugvinden herkomst</w:t>
      </w:r>
    </w:p>
    <w:p w14:paraId="68B3D59E" w14:textId="77777777" w:rsidR="00436DAA" w:rsidRPr="00330234" w:rsidRDefault="009B4B8E" w:rsidP="00BD109B">
      <w:pPr>
        <w:pStyle w:val="a3"/>
        <w:widowControl/>
        <w:ind w:left="0"/>
      </w:pPr>
      <w:r w:rsidRPr="00330234">
        <w:t>Om het terugvinden van de herkomst van biologicals te verbeteren moeten de naam en het batchnummer van het toegediende product goed geregistreerd worden.</w:t>
      </w:r>
    </w:p>
    <w:p w14:paraId="3C57AFD3" w14:textId="77777777" w:rsidR="00CC5184" w:rsidRPr="00330234" w:rsidRDefault="00CC5184" w:rsidP="00BD109B">
      <w:pPr>
        <w:pStyle w:val="a3"/>
        <w:widowControl/>
        <w:ind w:left="0"/>
      </w:pPr>
    </w:p>
    <w:p w14:paraId="56170FF3" w14:textId="77777777" w:rsidR="00436DAA" w:rsidRPr="00330234" w:rsidRDefault="009B4B8E" w:rsidP="00BD109B">
      <w:pPr>
        <w:widowControl/>
        <w:rPr>
          <w:i/>
        </w:rPr>
      </w:pPr>
      <w:r w:rsidRPr="00330234">
        <w:rPr>
          <w:i/>
        </w:rPr>
        <w:t>Infecties</w:t>
      </w:r>
    </w:p>
    <w:p w14:paraId="4DCBB94A" w14:textId="7C0C3C16" w:rsidR="00436DAA" w:rsidRPr="00330234" w:rsidRDefault="009B4B8E" w:rsidP="00BD109B">
      <w:pPr>
        <w:pStyle w:val="a3"/>
        <w:widowControl/>
        <w:ind w:left="0"/>
      </w:pPr>
      <w:r w:rsidRPr="00330234">
        <w:t xml:space="preserve">Ernstige en soms fatale infecties zijn gemeld bij patiënten die immunosuppressiva kregen, waaronder </w:t>
      </w:r>
      <w:r w:rsidR="00540190" w:rsidRPr="00330234">
        <w:rPr>
          <w:lang w:eastAsia="ko-KR"/>
        </w:rPr>
        <w:t>tocilizumab</w:t>
      </w:r>
      <w:r w:rsidRPr="00330234">
        <w:t xml:space="preserve"> (zie rubriek 4.8). Een behandeling met </w:t>
      </w:r>
      <w:r w:rsidR="00067BD8" w:rsidRPr="00330234">
        <w:t>Avtozma</w:t>
      </w:r>
      <w:r w:rsidRPr="00330234">
        <w:t xml:space="preserve"> mag niet worden gestart bij patiënten met actieve infecties (zie rubriek 4.3). Indien de patiënt een ernstige infectie ontwikkelt moet de behandeling met </w:t>
      </w:r>
      <w:r w:rsidR="00540190" w:rsidRPr="00330234">
        <w:rPr>
          <w:lang w:eastAsia="ko-KR"/>
        </w:rPr>
        <w:t>tocilizumab</w:t>
      </w:r>
      <w:r w:rsidRPr="00330234">
        <w:t xml:space="preserve"> worden onderbroken totdat de infectie onder controle is (zie rubriek 4.8). Beroepsbeoefenaren in de gezondheidszorg moeten de nodige voorzichtigheid betrachten wanneer wordt overwogen om </w:t>
      </w:r>
      <w:r w:rsidR="00067BD8" w:rsidRPr="00330234">
        <w:t>Avtozma</w:t>
      </w:r>
      <w:r w:rsidRPr="00330234">
        <w:t xml:space="preserve"> te gebruiken bij patiënten met een voorgeschiedenis van terugkerende of chronische infecties of bij patiënten met onderliggende aandoeningen die predisponerend kunnen zijn voor infecties (bijv. diverticulitis, diabetes en interstitiële longziekte).</w:t>
      </w:r>
    </w:p>
    <w:p w14:paraId="4336A608" w14:textId="77777777" w:rsidR="00CC5184" w:rsidRPr="00330234" w:rsidRDefault="00CC5184" w:rsidP="00BD109B">
      <w:pPr>
        <w:pStyle w:val="a3"/>
        <w:widowControl/>
        <w:ind w:left="0"/>
      </w:pPr>
    </w:p>
    <w:p w14:paraId="1B9027D3" w14:textId="0DA202BE" w:rsidR="00436DAA" w:rsidRPr="00330234" w:rsidRDefault="009B4B8E" w:rsidP="00BD109B">
      <w:pPr>
        <w:pStyle w:val="a3"/>
        <w:widowControl/>
        <w:ind w:left="0"/>
      </w:pPr>
      <w:r w:rsidRPr="00330234">
        <w:lastRenderedPageBreak/>
        <w:t xml:space="preserve">Oplettendheid voor tijdige detectie van ernstige infecties wordt aanbevolen bij patiënten die met immunosuppressiva, zoals </w:t>
      </w:r>
      <w:r w:rsidR="00067BD8" w:rsidRPr="00330234">
        <w:t>Avtozma</w:t>
      </w:r>
      <w:r w:rsidRPr="00330234">
        <w:t xml:space="preserve">, worden behandeld omdat klachten en symptomen van een acute ontsteking kunnen afnemen als gevolg van onderdrukking van de acutefase-reactiecomponenten. Er moet rekening worden gehouden met de invloed van </w:t>
      </w:r>
      <w:r w:rsidR="00067BD8" w:rsidRPr="00330234">
        <w:t>Avtozma</w:t>
      </w:r>
      <w:r w:rsidRPr="00330234">
        <w:t xml:space="preserve"> op C-reactieve proteïne (CRP), neutrofielen en klachten en symptomen van infecties wanneer een patiënt wordt beoordeeld op een potentiële infectie. Patiënten en ouders/voogden van patiënten met sJIA of pJIA moeten worden geïnstrueerd om hun beroepsbeoefenaar in de gezondheidszorg onmiddellijk te waarschuwen bij het optreden van symptomen die wijzen op het ontstaan van een infectie, zodat de patiënt verzekerd is van een snelle evaluatie en passende behandeling.</w:t>
      </w:r>
    </w:p>
    <w:p w14:paraId="7BA4F886" w14:textId="77777777" w:rsidR="00436DAA" w:rsidRPr="00330234" w:rsidRDefault="00436DAA" w:rsidP="00BD109B">
      <w:pPr>
        <w:widowControl/>
      </w:pPr>
    </w:p>
    <w:p w14:paraId="37965511" w14:textId="77777777" w:rsidR="00436DAA" w:rsidRPr="00330234" w:rsidRDefault="009B4B8E" w:rsidP="00BD109B">
      <w:pPr>
        <w:widowControl/>
        <w:rPr>
          <w:i/>
        </w:rPr>
      </w:pPr>
      <w:r w:rsidRPr="00330234">
        <w:rPr>
          <w:i/>
        </w:rPr>
        <w:t>Tuberculose</w:t>
      </w:r>
    </w:p>
    <w:p w14:paraId="1D4A45E5" w14:textId="62929672" w:rsidR="00436DAA" w:rsidRPr="00330234" w:rsidRDefault="009B4B8E" w:rsidP="00BD109B">
      <w:pPr>
        <w:pStyle w:val="a3"/>
        <w:widowControl/>
        <w:ind w:left="0"/>
      </w:pPr>
      <w:r w:rsidRPr="00330234">
        <w:t xml:space="preserve">Zoals ook bij andere behandelingen met biologicals wordt aanbevolen, moeten alle patiënten worden gescreend op latente tuberculose-infectie voorafgaand aan het starten van de behandeling met </w:t>
      </w:r>
      <w:r w:rsidR="00067BD8" w:rsidRPr="00330234">
        <w:t>Avtozma</w:t>
      </w:r>
      <w:r w:rsidRPr="00330234">
        <w:t xml:space="preserve">. Patiënten met latente tuberculose moeten zijn gestart met standaard antimycobacteriële therapie voor aanvang van de behandeling met </w:t>
      </w:r>
      <w:r w:rsidR="00067BD8" w:rsidRPr="00330234">
        <w:t>Avtozma</w:t>
      </w:r>
      <w:r w:rsidRPr="00330234">
        <w:t>. Voorschrijvers worden herinnerd aan het risico op vals-negatieve resultaten van tuberculinehuidtesten en interferon-gamma tuberculosebloedonderzoek, in het bijzonder bij patiënten die ernstig ziek zijn of een verzwakt immuunsysteem hebben.</w:t>
      </w:r>
    </w:p>
    <w:p w14:paraId="45C137BF" w14:textId="77777777" w:rsidR="00CC5184" w:rsidRPr="00330234" w:rsidRDefault="00CC5184" w:rsidP="00BD109B">
      <w:pPr>
        <w:pStyle w:val="a3"/>
        <w:widowControl/>
        <w:ind w:left="0"/>
      </w:pPr>
    </w:p>
    <w:p w14:paraId="45681811" w14:textId="2CA28E5F" w:rsidR="00436DAA" w:rsidRPr="00330234" w:rsidRDefault="009B4B8E" w:rsidP="00BD109B">
      <w:pPr>
        <w:pStyle w:val="a3"/>
        <w:widowControl/>
        <w:ind w:left="0"/>
      </w:pPr>
      <w:r w:rsidRPr="00330234">
        <w:t xml:space="preserve">Patiënten en ouders/voogden van patiënten met sJIA of pJIA moeten geïnstrueerd worden om medisch advies te vragen als gedurende of na de behandeling met </w:t>
      </w:r>
      <w:r w:rsidR="00067BD8" w:rsidRPr="00330234">
        <w:t>Avtozma</w:t>
      </w:r>
      <w:r w:rsidRPr="00330234">
        <w:t xml:space="preserve"> klachten/symptomen optreden (bijv. aanhoudende hoest, gewichtsverlies, lichte koorts) die kunnen wijzen op een tuberculose- infectie.</w:t>
      </w:r>
    </w:p>
    <w:p w14:paraId="14B95A42" w14:textId="77777777" w:rsidR="00CC5184" w:rsidRPr="00330234" w:rsidRDefault="00CC5184" w:rsidP="00BD109B">
      <w:pPr>
        <w:pStyle w:val="a3"/>
        <w:widowControl/>
        <w:ind w:left="0"/>
      </w:pPr>
    </w:p>
    <w:p w14:paraId="45700EA8" w14:textId="77777777" w:rsidR="00436DAA" w:rsidRPr="00330234" w:rsidRDefault="009B4B8E" w:rsidP="00BD109B">
      <w:pPr>
        <w:widowControl/>
        <w:rPr>
          <w:i/>
        </w:rPr>
      </w:pPr>
      <w:r w:rsidRPr="00330234">
        <w:rPr>
          <w:i/>
        </w:rPr>
        <w:t>Virale reactivatie</w:t>
      </w:r>
    </w:p>
    <w:p w14:paraId="76EF0BA2" w14:textId="733CAF1F" w:rsidR="00436DAA" w:rsidRPr="00330234" w:rsidRDefault="009B4B8E" w:rsidP="00BD109B">
      <w:pPr>
        <w:pStyle w:val="a3"/>
        <w:widowControl/>
        <w:ind w:left="0"/>
      </w:pPr>
      <w:r w:rsidRPr="00330234">
        <w:t xml:space="preserve">Virale reactivatie (bijv. Hepatitis B-virus) is gemeld bij behandeling met biologicals voor RA. Bij klinische studies met </w:t>
      </w:r>
      <w:r w:rsidR="00540190" w:rsidRPr="00330234">
        <w:rPr>
          <w:lang w:eastAsia="ko-KR"/>
        </w:rPr>
        <w:t>tocilizumab</w:t>
      </w:r>
      <w:r w:rsidRPr="00330234">
        <w:t xml:space="preserve"> werden patiënten die bij de screening positief waren voor hepatitis, geëxcludeerd.</w:t>
      </w:r>
    </w:p>
    <w:p w14:paraId="0EDC42A5" w14:textId="77777777" w:rsidR="00CC5184" w:rsidRPr="00330234" w:rsidRDefault="00CC5184" w:rsidP="00BD109B">
      <w:pPr>
        <w:pStyle w:val="a3"/>
        <w:widowControl/>
        <w:ind w:left="0"/>
      </w:pPr>
    </w:p>
    <w:p w14:paraId="4B9E466E" w14:textId="77777777" w:rsidR="00436DAA" w:rsidRPr="00330234" w:rsidRDefault="009B4B8E" w:rsidP="00BD109B">
      <w:pPr>
        <w:widowControl/>
        <w:rPr>
          <w:i/>
        </w:rPr>
      </w:pPr>
      <w:r w:rsidRPr="00330234">
        <w:rPr>
          <w:i/>
        </w:rPr>
        <w:t>Complicaties van diverticulitis</w:t>
      </w:r>
    </w:p>
    <w:p w14:paraId="1200B81D" w14:textId="65099F91" w:rsidR="00436DAA" w:rsidRPr="00330234" w:rsidRDefault="009B4B8E" w:rsidP="00BD109B">
      <w:pPr>
        <w:pStyle w:val="a3"/>
        <w:widowControl/>
        <w:ind w:left="0"/>
      </w:pPr>
      <w:r w:rsidRPr="00330234">
        <w:t xml:space="preserve">Gevallen van diverticulaire perforatie als complicatie van diverticulitis zijn soms gemeld bij patiënten behandeld met </w:t>
      </w:r>
      <w:r w:rsidR="00067BD8" w:rsidRPr="00330234">
        <w:t>Avtozma</w:t>
      </w:r>
      <w:r w:rsidRPr="00330234">
        <w:t xml:space="preserve"> (zie rubriek 4.8). Voorzichtigheid moet worden betracht wanneer </w:t>
      </w:r>
      <w:r w:rsidR="00067BD8" w:rsidRPr="00330234">
        <w:t>Avtozma</w:t>
      </w:r>
      <w:r w:rsidRPr="00330234">
        <w:t xml:space="preserve"> wordt gebruikt bij patiënten met een voorgeschiedenis van intestinale ulcera of diverticulitis. Patiënten met symptomen die een mogelijke indicatie kunnen zijn voor gecompliceerde diverticulitis, zoals buikpijn, hemorragie en/of onverklaarbare verandering van de stoelgang met koorts moeten direct worden geëvalueerd. Dit om een vroegtijdige identificatie van diverticulitis, die geassocieerd kan zijn met gastro-intestinale perforatie, te bewerkstelligen.</w:t>
      </w:r>
    </w:p>
    <w:p w14:paraId="0C6D7B76" w14:textId="77777777" w:rsidR="00CC5184" w:rsidRPr="00330234" w:rsidRDefault="00CC5184" w:rsidP="00BD109B">
      <w:pPr>
        <w:pStyle w:val="a3"/>
        <w:widowControl/>
        <w:ind w:left="0"/>
      </w:pPr>
    </w:p>
    <w:p w14:paraId="40A3F552" w14:textId="77777777" w:rsidR="00436DAA" w:rsidRPr="00330234" w:rsidRDefault="009B4B8E" w:rsidP="00BD109B">
      <w:pPr>
        <w:widowControl/>
        <w:rPr>
          <w:i/>
        </w:rPr>
      </w:pPr>
      <w:r w:rsidRPr="00330234">
        <w:rPr>
          <w:i/>
        </w:rPr>
        <w:t>Overgevoeligheidsreacties</w:t>
      </w:r>
    </w:p>
    <w:p w14:paraId="6D071AE3" w14:textId="4F77EA52" w:rsidR="00436DAA" w:rsidRPr="00330234" w:rsidRDefault="009B4B8E" w:rsidP="00BD109B">
      <w:pPr>
        <w:pStyle w:val="a3"/>
        <w:widowControl/>
        <w:ind w:left="0"/>
      </w:pPr>
      <w:r w:rsidRPr="00330234">
        <w:t xml:space="preserve">Er zijn ernstige overgevoeligheidsreacties, waaronder anafylaxie, gemeld die worden geassocieerd met </w:t>
      </w:r>
      <w:r w:rsidR="00540190" w:rsidRPr="00330234">
        <w:rPr>
          <w:lang w:eastAsia="ko-KR"/>
        </w:rPr>
        <w:t>tocilizumab</w:t>
      </w:r>
      <w:r w:rsidRPr="00330234">
        <w:t xml:space="preserve"> (zie rubriek 4.8). Dergelijke reacties kunnen ernstiger en mogelijk fataal zijn bij patiënten die tijdens eerdere behandeling met </w:t>
      </w:r>
      <w:r w:rsidR="00067BD8" w:rsidRPr="00330234">
        <w:t>Avtozma</w:t>
      </w:r>
      <w:r w:rsidRPr="00330234">
        <w:t xml:space="preserve"> overgevoeligheidsreacties hebben ervaren, zelfs als ze pre-medicatie met steroïden en antihistaminica hebben ontvangen. Als er een anafylactische reactie of andere ernstige overgevoeligheidsreactie optreedt, moet de toediening van </w:t>
      </w:r>
      <w:r w:rsidR="00067BD8" w:rsidRPr="00330234">
        <w:t>Avtozma</w:t>
      </w:r>
      <w:r w:rsidRPr="00330234">
        <w:t xml:space="preserve"> onmiddellijk worden gestopt, gepaste behandeling worden gestart en moet de behandeling met </w:t>
      </w:r>
      <w:r w:rsidR="00067BD8" w:rsidRPr="00330234">
        <w:t>Avtozma</w:t>
      </w:r>
      <w:r w:rsidRPr="00330234">
        <w:t xml:space="preserve"> permanent gestaakt worden.</w:t>
      </w:r>
    </w:p>
    <w:p w14:paraId="449F56F9" w14:textId="77777777" w:rsidR="00436DAA" w:rsidRPr="00330234" w:rsidRDefault="00436DAA" w:rsidP="00BD109B">
      <w:pPr>
        <w:pStyle w:val="a3"/>
        <w:widowControl/>
        <w:ind w:left="0"/>
      </w:pPr>
    </w:p>
    <w:p w14:paraId="2FD86680" w14:textId="77777777" w:rsidR="00436DAA" w:rsidRPr="00330234" w:rsidRDefault="009B4B8E" w:rsidP="00BD109B">
      <w:pPr>
        <w:widowControl/>
        <w:rPr>
          <w:i/>
        </w:rPr>
      </w:pPr>
      <w:r w:rsidRPr="00330234">
        <w:rPr>
          <w:i/>
        </w:rPr>
        <w:t>Actieve leveraandoening en verminderde leverfunctie</w:t>
      </w:r>
    </w:p>
    <w:p w14:paraId="1BE10063" w14:textId="46652F39" w:rsidR="00436DAA" w:rsidRPr="00330234" w:rsidRDefault="009B4B8E" w:rsidP="00BD109B">
      <w:pPr>
        <w:pStyle w:val="a3"/>
        <w:widowControl/>
        <w:ind w:left="0"/>
      </w:pPr>
      <w:r w:rsidRPr="00330234">
        <w:t xml:space="preserve">Behandeling met </w:t>
      </w:r>
      <w:r w:rsidR="00067BD8" w:rsidRPr="00330234">
        <w:t>Avtozma</w:t>
      </w:r>
      <w:r w:rsidRPr="00330234">
        <w:t>, met name bij gelijktijdige toediening met MTX, kan worden geassocieerd met een stijging van de levertransaminasen. Daarom moet de nodige voorzichtigheid betracht worden wanneer een behandeling wordt overwogen bij patiënten met een actieve leveraandoening of een verminderde leverfunctie (zie rubriek 4.2 en 4.8).</w:t>
      </w:r>
    </w:p>
    <w:p w14:paraId="50354881" w14:textId="77777777" w:rsidR="00CC5184" w:rsidRPr="00330234" w:rsidRDefault="00CC5184" w:rsidP="00BD109B">
      <w:pPr>
        <w:pStyle w:val="a3"/>
        <w:widowControl/>
        <w:ind w:left="0"/>
      </w:pPr>
    </w:p>
    <w:p w14:paraId="21D89F2C" w14:textId="77777777" w:rsidR="00436DAA" w:rsidRPr="00330234" w:rsidRDefault="009B4B8E" w:rsidP="00BD109B">
      <w:pPr>
        <w:widowControl/>
        <w:rPr>
          <w:i/>
        </w:rPr>
      </w:pPr>
      <w:r w:rsidRPr="00330234">
        <w:rPr>
          <w:i/>
        </w:rPr>
        <w:t>Levertoxiciteit</w:t>
      </w:r>
    </w:p>
    <w:p w14:paraId="0E5F2039" w14:textId="26CD5F96" w:rsidR="00436DAA" w:rsidRPr="00330234" w:rsidRDefault="009B4B8E" w:rsidP="00BD109B">
      <w:pPr>
        <w:pStyle w:val="a3"/>
        <w:widowControl/>
        <w:ind w:left="0"/>
      </w:pPr>
      <w:r w:rsidRPr="00330234">
        <w:t xml:space="preserve">Voorbijgaande of intermitterende lichte en matige stijgingen van levertransaminasen zijn vaak gemeld bij behandeling met </w:t>
      </w:r>
      <w:r w:rsidR="00540190" w:rsidRPr="00330234">
        <w:rPr>
          <w:lang w:eastAsia="ko-KR"/>
        </w:rPr>
        <w:t>tocilizumab</w:t>
      </w:r>
      <w:r w:rsidRPr="00330234">
        <w:t xml:space="preserve"> (zie rubriek 4.8). Een toename in frequentie van deze stijgingen werd waargenomen wanneer een potentieel hepatotoxisch middel (bijv. MTX) in combinatie met </w:t>
      </w:r>
      <w:r w:rsidR="00540190" w:rsidRPr="00330234">
        <w:rPr>
          <w:lang w:eastAsia="ko-KR"/>
        </w:rPr>
        <w:lastRenderedPageBreak/>
        <w:t>tocilizumab</w:t>
      </w:r>
      <w:r w:rsidRPr="00330234">
        <w:t xml:space="preserve"> werd gebruikt. Andere leverfunctietesten, waaronder bilirubine, moeten worden overwogen wanneer dit klinisch geïndiceerd is.</w:t>
      </w:r>
    </w:p>
    <w:p w14:paraId="7263D7E3" w14:textId="77777777" w:rsidR="00436DAA" w:rsidRPr="00330234" w:rsidRDefault="00436DAA" w:rsidP="00BD109B">
      <w:pPr>
        <w:pStyle w:val="a3"/>
        <w:widowControl/>
        <w:ind w:left="0"/>
      </w:pPr>
    </w:p>
    <w:p w14:paraId="7B5E0D9B" w14:textId="6B13C15C" w:rsidR="00436DAA" w:rsidRPr="00330234" w:rsidRDefault="009B4B8E" w:rsidP="00BD109B">
      <w:pPr>
        <w:pStyle w:val="a3"/>
        <w:widowControl/>
        <w:ind w:left="0"/>
      </w:pPr>
      <w:r w:rsidRPr="00330234">
        <w:t xml:space="preserve">Ernstige geneesmiddel-geïnduceerde leverschade, waaronder acuut leverfalen, hepatitis en geelzucht, zijn waargenomen bij </w:t>
      </w:r>
      <w:r w:rsidR="001D0524" w:rsidRPr="00330234">
        <w:t>tocilizumab</w:t>
      </w:r>
      <w:r w:rsidR="001D0524" w:rsidRPr="00330234" w:rsidDel="0019658B">
        <w:t xml:space="preserve"> </w:t>
      </w:r>
      <w:r w:rsidRPr="00330234">
        <w:t xml:space="preserve">(zie rubriek 4.8). Ernstige leverschade trad op tussen de 2 weken tot meer dan 5 jaar na het starten van </w:t>
      </w:r>
      <w:r w:rsidR="001D0524" w:rsidRPr="00330234">
        <w:t>tocilizumab</w:t>
      </w:r>
      <w:r w:rsidRPr="00330234">
        <w:t>. Gevallen van acuut leverfalen zijn gemeld waarbij een levertransplantatie nodig was. Adviseer patiënten onmiddellijk medische hulp te zoeken bij verschijnselen van leverschade.</w:t>
      </w:r>
    </w:p>
    <w:p w14:paraId="4761A9C4" w14:textId="77777777" w:rsidR="00436DAA" w:rsidRPr="00330234" w:rsidRDefault="00436DAA" w:rsidP="00BD109B">
      <w:pPr>
        <w:widowControl/>
      </w:pPr>
    </w:p>
    <w:p w14:paraId="576DB94D" w14:textId="6FEDD503" w:rsidR="00436DAA" w:rsidRPr="00330234" w:rsidRDefault="009B4B8E" w:rsidP="00BD109B">
      <w:pPr>
        <w:pStyle w:val="a3"/>
        <w:widowControl/>
        <w:ind w:left="0"/>
      </w:pPr>
      <w:r w:rsidRPr="00330234">
        <w:t xml:space="preserve">Voorzichtigheid is geboden wanneer men overweegt de behandeling met </w:t>
      </w:r>
      <w:r w:rsidR="00067BD8" w:rsidRPr="00330234">
        <w:t>Avtozma</w:t>
      </w:r>
      <w:r w:rsidRPr="00330234">
        <w:t xml:space="preserve"> te starten bij patiënten met verhoogde ALAT- of ASAT-spiegels van &gt; 1,5 x ULN. Bij patiënten met een ALAT of ASAT van &gt; 5 x ULN op baseline wordt de behandeling niet aanbevolen.</w:t>
      </w:r>
    </w:p>
    <w:p w14:paraId="276AA4BA" w14:textId="77777777" w:rsidR="00436DAA" w:rsidRPr="00330234" w:rsidRDefault="00436DAA" w:rsidP="00BD109B">
      <w:pPr>
        <w:pStyle w:val="a3"/>
        <w:widowControl/>
        <w:ind w:left="0"/>
      </w:pPr>
    </w:p>
    <w:p w14:paraId="413E40AC" w14:textId="519F8C44" w:rsidR="00436DAA" w:rsidRPr="00330234" w:rsidRDefault="009B4B8E" w:rsidP="00BD109B">
      <w:pPr>
        <w:pStyle w:val="a3"/>
        <w:widowControl/>
        <w:ind w:left="0"/>
      </w:pPr>
      <w:r w:rsidRPr="00330234">
        <w:t xml:space="preserve">Bij patiënten met RA, GCA, pJIA en sJIA moeten de ALAT/ASAT-waarden elke 4 tot 8 weken worden gecontroleerd tijdens de eerste 6 maanden van de behandeling en daarna elke 12 weken. Voor de aanbevolen dosisaanpassingen, inclusief staken van de behandeling met </w:t>
      </w:r>
      <w:r w:rsidR="00067BD8" w:rsidRPr="00330234">
        <w:t>Avtozma</w:t>
      </w:r>
      <w:r w:rsidRPr="00330234">
        <w:t xml:space="preserve">, op basis van levertransaminasenspiegels zie rubriek 4.2. Bij een ALAT- of ASAT-stijging &gt; 3-5 x ULN, moet de behandeling met </w:t>
      </w:r>
      <w:r w:rsidR="00067BD8" w:rsidRPr="00330234">
        <w:t>Avtozma</w:t>
      </w:r>
      <w:r w:rsidRPr="00330234">
        <w:t xml:space="preserve"> onderbroken worden.</w:t>
      </w:r>
    </w:p>
    <w:p w14:paraId="0C43DCCE" w14:textId="77777777" w:rsidR="00436DAA" w:rsidRPr="00330234" w:rsidRDefault="00436DAA" w:rsidP="00BD109B">
      <w:pPr>
        <w:pStyle w:val="a3"/>
        <w:widowControl/>
        <w:ind w:left="0"/>
      </w:pPr>
    </w:p>
    <w:p w14:paraId="227A87E8" w14:textId="77777777" w:rsidR="00436DAA" w:rsidRPr="00330234" w:rsidRDefault="009B4B8E" w:rsidP="00BD109B">
      <w:pPr>
        <w:widowControl/>
        <w:rPr>
          <w:i/>
        </w:rPr>
      </w:pPr>
      <w:r w:rsidRPr="00330234">
        <w:rPr>
          <w:i/>
        </w:rPr>
        <w:t>Hematologische afwijkingen</w:t>
      </w:r>
    </w:p>
    <w:p w14:paraId="51BC842E" w14:textId="70D4FCF1" w:rsidR="00436DAA" w:rsidRPr="00330234" w:rsidRDefault="009B4B8E" w:rsidP="00BD109B">
      <w:pPr>
        <w:pStyle w:val="a3"/>
        <w:widowControl/>
        <w:ind w:left="0"/>
      </w:pPr>
      <w:r w:rsidRPr="00330234">
        <w:t xml:space="preserve">Een afname van het aantal neutrofielen en trombocyten is waargenomen bij de behandeling met </w:t>
      </w:r>
      <w:r w:rsidR="00540190" w:rsidRPr="00330234">
        <w:rPr>
          <w:lang w:eastAsia="ko-KR"/>
        </w:rPr>
        <w:t>tocilizumab</w:t>
      </w:r>
      <w:r w:rsidRPr="00330234">
        <w:t xml:space="preserve"> 8 mg/kg in combinatie met MTX (zie rubriek 4.8). Er kan een verhoogd risico zijn op neutropenie bij patiënten die in het verleden met TNF antagonisten zijn behandeld.</w:t>
      </w:r>
    </w:p>
    <w:p w14:paraId="4827BBB1" w14:textId="77777777" w:rsidR="00436DAA" w:rsidRPr="00330234" w:rsidRDefault="00436DAA" w:rsidP="00BD109B">
      <w:pPr>
        <w:pStyle w:val="a3"/>
        <w:widowControl/>
        <w:ind w:left="0"/>
      </w:pPr>
    </w:p>
    <w:p w14:paraId="7A5A71D3" w14:textId="4127E0D0" w:rsidR="00436DAA" w:rsidRPr="00330234" w:rsidRDefault="009B4B8E" w:rsidP="00FF3CA3">
      <w:pPr>
        <w:pStyle w:val="a3"/>
        <w:widowControl/>
        <w:ind w:left="0"/>
      </w:pPr>
      <w:r w:rsidRPr="00330234">
        <w:t xml:space="preserve">Bij patiënten die niet eerder zijn behandeld met </w:t>
      </w:r>
      <w:r w:rsidR="00540190" w:rsidRPr="00330234">
        <w:rPr>
          <w:lang w:eastAsia="ko-KR"/>
        </w:rPr>
        <w:t>tocilizumab</w:t>
      </w:r>
      <w:r w:rsidRPr="00330234">
        <w:t>, wordt het starten van de behandeling bij patiënten met een ANC lager dan 2 x 10</w:t>
      </w:r>
      <w:r w:rsidRPr="00330234">
        <w:rPr>
          <w:vertAlign w:val="superscript"/>
        </w:rPr>
        <w:t>9</w:t>
      </w:r>
      <w:r w:rsidRPr="00330234">
        <w:t>/l niet aanbevolen.</w:t>
      </w:r>
      <w:r w:rsidR="00C80362" w:rsidRPr="00330234">
        <w:t xml:space="preserve"> </w:t>
      </w:r>
      <w:r w:rsidRPr="00330234">
        <w:t xml:space="preserve">Voorzichtigheid is geboden wanneer een behandeling met </w:t>
      </w:r>
      <w:r w:rsidR="00540190" w:rsidRPr="00330234">
        <w:rPr>
          <w:lang w:eastAsia="ko-KR"/>
        </w:rPr>
        <w:t>tocilizumab</w:t>
      </w:r>
      <w:r w:rsidRPr="00330234">
        <w:t xml:space="preserve"> wordt overwogen bij patiënten met een laag aantal trombocyten (bijv. trombocyten &lt; 100 x 10</w:t>
      </w:r>
      <w:r w:rsidRPr="00330234">
        <w:rPr>
          <w:vertAlign w:val="superscript"/>
        </w:rPr>
        <w:t>3</w:t>
      </w:r>
      <w:r w:rsidRPr="00330234">
        <w:t>/μl). Bij patiënten die een ANC van</w:t>
      </w:r>
      <w:r w:rsidR="00CC5184" w:rsidRPr="00330234">
        <w:t xml:space="preserve"> </w:t>
      </w:r>
      <w:r w:rsidRPr="00330234">
        <w:t>&lt;</w:t>
      </w:r>
      <w:r w:rsidR="00CC5184" w:rsidRPr="00330234">
        <w:t> </w:t>
      </w:r>
      <w:r w:rsidRPr="00330234">
        <w:t>0,5 x 10</w:t>
      </w:r>
      <w:r w:rsidRPr="00330234">
        <w:rPr>
          <w:vertAlign w:val="superscript"/>
        </w:rPr>
        <w:t>9</w:t>
      </w:r>
      <w:r w:rsidRPr="00330234">
        <w:t>/l of een aantal trombocyten van &lt; 50 x 10</w:t>
      </w:r>
      <w:r w:rsidRPr="00330234">
        <w:rPr>
          <w:vertAlign w:val="superscript"/>
        </w:rPr>
        <w:t>3</w:t>
      </w:r>
      <w:r w:rsidRPr="00330234">
        <w:t>/μl ontwikkelen, wordt het voortzetten van de</w:t>
      </w:r>
      <w:r w:rsidR="00CC5184" w:rsidRPr="00330234">
        <w:t xml:space="preserve"> </w:t>
      </w:r>
      <w:r w:rsidRPr="00330234">
        <w:t>behandeling niet aanbevolen.</w:t>
      </w:r>
    </w:p>
    <w:p w14:paraId="4AE6ACFC" w14:textId="77777777" w:rsidR="00CC5184" w:rsidRPr="00330234" w:rsidRDefault="00CC5184" w:rsidP="00BD109B">
      <w:pPr>
        <w:pStyle w:val="a3"/>
        <w:widowControl/>
        <w:ind w:left="0"/>
      </w:pPr>
    </w:p>
    <w:p w14:paraId="7ACDB01F" w14:textId="31E86866" w:rsidR="00436DAA" w:rsidRPr="00330234" w:rsidRDefault="009B4B8E" w:rsidP="00BD109B">
      <w:pPr>
        <w:pStyle w:val="a3"/>
        <w:widowControl/>
        <w:ind w:left="0"/>
      </w:pPr>
      <w:r w:rsidRPr="00330234">
        <w:t xml:space="preserve">Ernstige neutropenie kan geassocieerd zijn met een verhoogd risico op ernstige infecties, hoewel tot op heden uit klinische studies met </w:t>
      </w:r>
      <w:r w:rsidR="00540190" w:rsidRPr="00330234">
        <w:rPr>
          <w:lang w:eastAsia="ko-KR"/>
        </w:rPr>
        <w:t>tocilizumab</w:t>
      </w:r>
      <w:r w:rsidRPr="00330234">
        <w:t xml:space="preserve"> geen duidelijk verband is gebleken tussen vermindering van neutrofielen en het ontstaan van ernstige infecties.</w:t>
      </w:r>
    </w:p>
    <w:p w14:paraId="3FEA9ADC" w14:textId="77777777" w:rsidR="00436DAA" w:rsidRPr="00330234" w:rsidRDefault="00436DAA" w:rsidP="00BD109B">
      <w:pPr>
        <w:pStyle w:val="a3"/>
        <w:widowControl/>
        <w:ind w:left="0"/>
      </w:pPr>
    </w:p>
    <w:p w14:paraId="2643BEAB" w14:textId="77777777" w:rsidR="00436DAA" w:rsidRPr="00330234" w:rsidRDefault="009B4B8E" w:rsidP="00BD109B">
      <w:pPr>
        <w:pStyle w:val="a3"/>
        <w:widowControl/>
        <w:ind w:left="0"/>
      </w:pPr>
      <w:r w:rsidRPr="00330234">
        <w:t>Bij RA- en GCA-patiënten moeten neutrofielen en trombocyten 4-8 weken na de start van de therapie worden gecontroleerd en daarna conform de algemene klinische praktijk. Voor aanbevolen wijzigingen van de dosering op basis van ANC en het aantal trombocyten zie rubriek 4.2.</w:t>
      </w:r>
    </w:p>
    <w:p w14:paraId="0FF66A4F" w14:textId="77777777" w:rsidR="00436DAA" w:rsidRPr="00330234" w:rsidRDefault="00436DAA" w:rsidP="00BD109B">
      <w:pPr>
        <w:pStyle w:val="a3"/>
        <w:widowControl/>
        <w:ind w:left="0"/>
      </w:pPr>
    </w:p>
    <w:p w14:paraId="7B591769" w14:textId="77777777" w:rsidR="00436DAA" w:rsidRPr="00330234" w:rsidRDefault="009B4B8E" w:rsidP="00BD109B">
      <w:pPr>
        <w:pStyle w:val="a3"/>
        <w:widowControl/>
        <w:ind w:left="0"/>
      </w:pPr>
      <w:r w:rsidRPr="00330234">
        <w:t>Bij sJIA- en pJIA-patiënten moeten neutrofielen en trombocyten bij de tweede toediening worden gecontroleerd en daarna conform de algemene klinische praktijk (zie rubriek 4.2).</w:t>
      </w:r>
    </w:p>
    <w:p w14:paraId="315A6F9E" w14:textId="77777777" w:rsidR="00CC5184" w:rsidRPr="00330234" w:rsidRDefault="00CC5184" w:rsidP="00BD109B">
      <w:pPr>
        <w:pStyle w:val="a3"/>
        <w:widowControl/>
        <w:ind w:left="0"/>
      </w:pPr>
    </w:p>
    <w:p w14:paraId="23E4189F" w14:textId="77777777" w:rsidR="00436DAA" w:rsidRPr="00330234" w:rsidRDefault="009B4B8E" w:rsidP="00BD109B">
      <w:pPr>
        <w:widowControl/>
        <w:rPr>
          <w:i/>
        </w:rPr>
      </w:pPr>
      <w:r w:rsidRPr="00330234">
        <w:rPr>
          <w:i/>
        </w:rPr>
        <w:t>Lipideparameters</w:t>
      </w:r>
    </w:p>
    <w:p w14:paraId="009160CF" w14:textId="3BF9ECEB" w:rsidR="00436DAA" w:rsidRPr="00330234" w:rsidRDefault="009B4B8E" w:rsidP="00BD109B">
      <w:pPr>
        <w:pStyle w:val="a3"/>
        <w:widowControl/>
        <w:ind w:left="0"/>
      </w:pPr>
      <w:r w:rsidRPr="00330234">
        <w:t xml:space="preserve">Stijging van de lipideparameters, waaronder totaal cholesterol, LDL, HDL en triglyceriden, zijn waargenomen bij patiënten die met </w:t>
      </w:r>
      <w:r w:rsidR="00540190" w:rsidRPr="00330234">
        <w:rPr>
          <w:lang w:eastAsia="ko-KR"/>
        </w:rPr>
        <w:t>tocilizumab</w:t>
      </w:r>
      <w:r w:rsidRPr="00330234">
        <w:t xml:space="preserve"> werden behandeld (zie rubriek 4.8). Bij de meerderheid van de patiënten was er geen stijging van de atherogene index en een verhoogd totaal cholesterol reageerde op een behandeling met lipideverlagende middelen.</w:t>
      </w:r>
    </w:p>
    <w:p w14:paraId="39395DBF" w14:textId="77777777" w:rsidR="00CC5184" w:rsidRPr="00330234" w:rsidRDefault="00CC5184" w:rsidP="00BD109B">
      <w:pPr>
        <w:pStyle w:val="a3"/>
        <w:widowControl/>
        <w:ind w:left="0"/>
      </w:pPr>
    </w:p>
    <w:p w14:paraId="643B9EE4" w14:textId="7E02C15E" w:rsidR="00436DAA" w:rsidRPr="00330234" w:rsidRDefault="009B4B8E" w:rsidP="00BD109B">
      <w:pPr>
        <w:pStyle w:val="a3"/>
        <w:widowControl/>
        <w:ind w:left="0"/>
      </w:pPr>
      <w:r w:rsidRPr="00330234">
        <w:t xml:space="preserve">De lipideparameters moeten bij RA- en GCA-patiënten 4-8 weken na de start van de therapie met </w:t>
      </w:r>
      <w:r w:rsidR="00540190" w:rsidRPr="00330234">
        <w:rPr>
          <w:lang w:eastAsia="ko-KR"/>
        </w:rPr>
        <w:t>tocilizumab</w:t>
      </w:r>
      <w:r w:rsidRPr="00330234">
        <w:t xml:space="preserve"> worden bepaald. Patiënten moeten behandeld worden volgens de lokale klinische richtlijnen voor de behandeling van hyperlipidemie.</w:t>
      </w:r>
    </w:p>
    <w:p w14:paraId="5E4B8BC9" w14:textId="77777777" w:rsidR="00436DAA" w:rsidRPr="00330234" w:rsidRDefault="00436DAA" w:rsidP="00BD109B">
      <w:pPr>
        <w:pStyle w:val="a3"/>
        <w:widowControl/>
        <w:ind w:left="0"/>
      </w:pPr>
    </w:p>
    <w:p w14:paraId="133E8619" w14:textId="77777777" w:rsidR="00436DAA" w:rsidRPr="00330234" w:rsidRDefault="009B4B8E" w:rsidP="00BD109B">
      <w:pPr>
        <w:widowControl/>
        <w:rPr>
          <w:i/>
        </w:rPr>
      </w:pPr>
      <w:r w:rsidRPr="00330234">
        <w:rPr>
          <w:i/>
        </w:rPr>
        <w:t>Neurologische aandoeningen</w:t>
      </w:r>
    </w:p>
    <w:p w14:paraId="60AB2C05" w14:textId="4AC136B9" w:rsidR="00436DAA" w:rsidRPr="00330234" w:rsidRDefault="009B4B8E" w:rsidP="00BD109B">
      <w:pPr>
        <w:pStyle w:val="a3"/>
        <w:widowControl/>
        <w:ind w:left="0"/>
      </w:pPr>
      <w:r w:rsidRPr="00330234">
        <w:t xml:space="preserve">Artsen moeten alert zijn op symptomen die mogelijk indicatief kunnen zijn voor beginnende demyeliniseringsaandoening van het centraal zenuwstelsel (CZS). Het is op dit moment onbekend of </w:t>
      </w:r>
      <w:r w:rsidR="00540190" w:rsidRPr="00330234">
        <w:rPr>
          <w:lang w:eastAsia="ko-KR"/>
        </w:rPr>
        <w:t>tocilizumab</w:t>
      </w:r>
      <w:r w:rsidRPr="00330234">
        <w:t xml:space="preserve"> demyelinisering van het CZS kan veroorzaken.</w:t>
      </w:r>
    </w:p>
    <w:p w14:paraId="21C4ABD6" w14:textId="77777777" w:rsidR="00436DAA" w:rsidRPr="00330234" w:rsidRDefault="00436DAA" w:rsidP="00BD109B">
      <w:pPr>
        <w:pStyle w:val="a3"/>
        <w:widowControl/>
        <w:ind w:left="0"/>
      </w:pPr>
    </w:p>
    <w:p w14:paraId="1100F96D" w14:textId="77777777" w:rsidR="00436DAA" w:rsidRPr="00330234" w:rsidRDefault="009B4B8E" w:rsidP="001B3E1E">
      <w:pPr>
        <w:keepNext/>
        <w:keepLines/>
        <w:widowControl/>
        <w:rPr>
          <w:i/>
        </w:rPr>
      </w:pPr>
      <w:r w:rsidRPr="00330234">
        <w:rPr>
          <w:i/>
        </w:rPr>
        <w:lastRenderedPageBreak/>
        <w:t>Maligniteiten</w:t>
      </w:r>
    </w:p>
    <w:p w14:paraId="6D6D856A" w14:textId="77777777" w:rsidR="00436DAA" w:rsidRPr="00330234" w:rsidRDefault="009B4B8E" w:rsidP="00BD109B">
      <w:pPr>
        <w:pStyle w:val="a3"/>
        <w:widowControl/>
        <w:ind w:left="0"/>
      </w:pPr>
      <w:r w:rsidRPr="00330234">
        <w:t>Het risico op maligniteiten is verhoogd bij patiënten met RA. Immunomodulerende geneesmiddelen kunnen het risico op maligniteiten verhogen.</w:t>
      </w:r>
    </w:p>
    <w:p w14:paraId="1DA423E7" w14:textId="77777777" w:rsidR="00436DAA" w:rsidRPr="00330234" w:rsidRDefault="00436DAA" w:rsidP="00BD109B">
      <w:pPr>
        <w:pStyle w:val="a3"/>
        <w:widowControl/>
        <w:ind w:left="0"/>
      </w:pPr>
    </w:p>
    <w:p w14:paraId="3D021A14" w14:textId="77777777" w:rsidR="00436DAA" w:rsidRPr="00330234" w:rsidRDefault="009B4B8E" w:rsidP="004C0949">
      <w:pPr>
        <w:keepNext/>
        <w:keepLines/>
        <w:widowControl/>
        <w:rPr>
          <w:i/>
        </w:rPr>
      </w:pPr>
      <w:r w:rsidRPr="00330234">
        <w:rPr>
          <w:i/>
        </w:rPr>
        <w:t>Vaccinaties</w:t>
      </w:r>
    </w:p>
    <w:p w14:paraId="4F5F3D6D" w14:textId="16440C86" w:rsidR="00436DAA" w:rsidRPr="00330234" w:rsidRDefault="009B4B8E" w:rsidP="004C0949">
      <w:pPr>
        <w:pStyle w:val="a3"/>
        <w:keepNext/>
        <w:keepLines/>
        <w:widowControl/>
        <w:ind w:left="0"/>
      </w:pPr>
      <w:r w:rsidRPr="00330234">
        <w:t xml:space="preserve">Levende en levend verzwakte vaccins mogen niet gelijktijdig met </w:t>
      </w:r>
      <w:r w:rsidR="00540190" w:rsidRPr="00330234">
        <w:rPr>
          <w:lang w:eastAsia="ko-KR"/>
        </w:rPr>
        <w:t>tocilizumab</w:t>
      </w:r>
      <w:r w:rsidRPr="00330234">
        <w:t xml:space="preserve"> gegeven worden, omdat de klinische veiligheid hiervan niet is vastgesteld. In een gerandomiseerde open-label studie vertoonden volwassen RA-patiënten, behandeld met </w:t>
      </w:r>
      <w:r w:rsidR="00540190" w:rsidRPr="00330234">
        <w:rPr>
          <w:lang w:eastAsia="ko-KR"/>
        </w:rPr>
        <w:t>tocilizumab</w:t>
      </w:r>
      <w:r w:rsidRPr="00330234">
        <w:t xml:space="preserve"> en MTX, een effectieve respons op zowel de 23-valente pneumokokken-polysaccharide vaccins als de tetanustoxoïde vaccins. De respons</w:t>
      </w:r>
      <w:r w:rsidR="00CC5184" w:rsidRPr="00330234">
        <w:t xml:space="preserve"> </w:t>
      </w:r>
      <w:r w:rsidRPr="00330234">
        <w:t xml:space="preserve">was vergelijkbaar met de respons die werd waargenomen bij patiënten die alleen MTX kregen. Het wordt voor alle patiënten, met name voor oudere patiënten, aanbevolen om te voldoen aan alle immunisaties volgens de huidige immunisatierichtlijnen alvorens te starten met de behandeling met </w:t>
      </w:r>
      <w:r w:rsidR="00540190" w:rsidRPr="00330234">
        <w:rPr>
          <w:lang w:eastAsia="ko-KR"/>
        </w:rPr>
        <w:t>tocilizumab</w:t>
      </w:r>
      <w:r w:rsidRPr="00330234">
        <w:t xml:space="preserve">. De tijd tussen levende vaccinaties en het starten van de behandeling met </w:t>
      </w:r>
      <w:r w:rsidR="00540190" w:rsidRPr="00330234">
        <w:rPr>
          <w:lang w:eastAsia="ko-KR"/>
        </w:rPr>
        <w:t>tocilizumab</w:t>
      </w:r>
      <w:r w:rsidRPr="00330234">
        <w:t xml:space="preserve"> moet in overeenstemming zijn met de huidige vaccinatierichtlijnen voor immunosuppressiva.</w:t>
      </w:r>
    </w:p>
    <w:p w14:paraId="13C4573E" w14:textId="77777777" w:rsidR="00436DAA" w:rsidRPr="00330234" w:rsidRDefault="00436DAA" w:rsidP="00BD109B">
      <w:pPr>
        <w:pStyle w:val="a3"/>
        <w:widowControl/>
        <w:ind w:left="0"/>
      </w:pPr>
    </w:p>
    <w:p w14:paraId="6E53946D" w14:textId="77777777" w:rsidR="00436DAA" w:rsidRPr="00330234" w:rsidRDefault="009B4B8E" w:rsidP="00BD109B">
      <w:pPr>
        <w:widowControl/>
        <w:rPr>
          <w:i/>
        </w:rPr>
      </w:pPr>
      <w:r w:rsidRPr="00330234">
        <w:rPr>
          <w:i/>
        </w:rPr>
        <w:t>Cardiovasculair risico</w:t>
      </w:r>
    </w:p>
    <w:p w14:paraId="17720E90" w14:textId="77777777" w:rsidR="00436DAA" w:rsidRPr="00330234" w:rsidRDefault="009B4B8E" w:rsidP="00BD109B">
      <w:pPr>
        <w:pStyle w:val="a3"/>
        <w:widowControl/>
        <w:ind w:left="0"/>
      </w:pPr>
      <w:r w:rsidRPr="00330234">
        <w:t>RA-patiënten hebben een verhoogd risico op cardiovasculaire aandoeningen. Risicofactoren bij deze patiënten (bijv. hypertensie, hyperlipidemie) moeten worden behandeld volgens de algemene richtlijnen.</w:t>
      </w:r>
    </w:p>
    <w:p w14:paraId="53F57440" w14:textId="77777777" w:rsidR="00CC5184" w:rsidRPr="00330234" w:rsidRDefault="00CC5184" w:rsidP="00BD109B">
      <w:pPr>
        <w:pStyle w:val="a3"/>
        <w:widowControl/>
        <w:ind w:left="0"/>
      </w:pPr>
    </w:p>
    <w:p w14:paraId="0DA5729F" w14:textId="77777777" w:rsidR="00436DAA" w:rsidRPr="00330234" w:rsidRDefault="009B4B8E" w:rsidP="00BD109B">
      <w:pPr>
        <w:widowControl/>
        <w:rPr>
          <w:i/>
        </w:rPr>
      </w:pPr>
      <w:r w:rsidRPr="00330234">
        <w:rPr>
          <w:i/>
        </w:rPr>
        <w:t>Combinatie met TNF-antagonisten</w:t>
      </w:r>
    </w:p>
    <w:p w14:paraId="1F2AFC1B" w14:textId="016A9365" w:rsidR="00436DAA" w:rsidRPr="00330234" w:rsidRDefault="009B4B8E" w:rsidP="00BD109B">
      <w:pPr>
        <w:pStyle w:val="a3"/>
        <w:widowControl/>
        <w:ind w:left="0"/>
      </w:pPr>
      <w:r w:rsidRPr="00330234">
        <w:t xml:space="preserve">Er is geen ervaring met het gebruik van </w:t>
      </w:r>
      <w:r w:rsidR="00067BD8" w:rsidRPr="00330234">
        <w:t>Avtozma</w:t>
      </w:r>
      <w:r w:rsidRPr="00330234">
        <w:t xml:space="preserve"> in combinatie met TNF-antagonisten of andere biologicals bij behandeling van RA-patiënten. Combinatietherapie van </w:t>
      </w:r>
      <w:r w:rsidR="00067BD8" w:rsidRPr="00330234">
        <w:t>Avtozma</w:t>
      </w:r>
      <w:r w:rsidRPr="00330234">
        <w:t xml:space="preserve"> met andere biologicals wordt niet aanbevolen.</w:t>
      </w:r>
    </w:p>
    <w:p w14:paraId="4F165014" w14:textId="77777777" w:rsidR="00436DAA" w:rsidRPr="00330234" w:rsidRDefault="00436DAA" w:rsidP="00BD109B">
      <w:pPr>
        <w:pStyle w:val="a3"/>
        <w:widowControl/>
        <w:ind w:left="0"/>
      </w:pPr>
    </w:p>
    <w:p w14:paraId="260AF8EB" w14:textId="77777777" w:rsidR="00436DAA" w:rsidRPr="00330234" w:rsidRDefault="009B4B8E" w:rsidP="00BD109B">
      <w:pPr>
        <w:widowControl/>
        <w:rPr>
          <w:i/>
        </w:rPr>
      </w:pPr>
      <w:r w:rsidRPr="00330234">
        <w:rPr>
          <w:i/>
        </w:rPr>
        <w:t>GCA</w:t>
      </w:r>
    </w:p>
    <w:p w14:paraId="0DFC0732" w14:textId="70A53E10" w:rsidR="00436DAA" w:rsidRPr="00330234" w:rsidRDefault="00067BD8" w:rsidP="00BD109B">
      <w:pPr>
        <w:pStyle w:val="a3"/>
        <w:widowControl/>
        <w:ind w:left="0"/>
      </w:pPr>
      <w:r w:rsidRPr="00330234">
        <w:t>Avtozma</w:t>
      </w:r>
      <w:r w:rsidR="009B4B8E" w:rsidRPr="00330234">
        <w:t xml:space="preserve"> monotherapie mag niet gebruikt worden voor de behandeling van acute relapsen aangezien de werkzaamheid voor deze situatie niet is vastgesteld. Glucocorticoïden moeten worden toegediend volgens medische beoordeling en behandelrichtlijnen.</w:t>
      </w:r>
    </w:p>
    <w:p w14:paraId="18ACC901" w14:textId="77777777" w:rsidR="00436DAA" w:rsidRPr="00330234" w:rsidRDefault="00436DAA" w:rsidP="00BD109B">
      <w:pPr>
        <w:pStyle w:val="a3"/>
        <w:widowControl/>
        <w:ind w:left="0"/>
      </w:pPr>
    </w:p>
    <w:p w14:paraId="37A7FBE9" w14:textId="77777777" w:rsidR="00436DAA" w:rsidRPr="00330234" w:rsidRDefault="009B4B8E" w:rsidP="00CC5184">
      <w:pPr>
        <w:keepNext/>
        <w:keepLines/>
        <w:widowControl/>
        <w:rPr>
          <w:i/>
        </w:rPr>
      </w:pPr>
      <w:r w:rsidRPr="00330234">
        <w:rPr>
          <w:i/>
        </w:rPr>
        <w:t>sJIA</w:t>
      </w:r>
    </w:p>
    <w:p w14:paraId="4277FD99" w14:textId="0E4AEABF" w:rsidR="00436DAA" w:rsidRPr="00330234" w:rsidRDefault="009B4B8E" w:rsidP="001B3E1E">
      <w:pPr>
        <w:pStyle w:val="a3"/>
        <w:widowControl/>
        <w:ind w:left="0"/>
      </w:pPr>
      <w:r w:rsidRPr="00330234">
        <w:t xml:space="preserve">Het macrofaagactivatiesyndroom (MAS) is een ernstige, levensbedreigende aandoening die zich bij sJIA-patiënten kan ontwikkelen. Bij klinische onderzoeken is </w:t>
      </w:r>
      <w:r w:rsidR="00540190" w:rsidRPr="00330234">
        <w:rPr>
          <w:lang w:eastAsia="ko-KR"/>
        </w:rPr>
        <w:t>tocilizumab</w:t>
      </w:r>
      <w:r w:rsidRPr="00330234">
        <w:t xml:space="preserve"> niet bestudeerd bij patiënten tijdens een episode van actief MAS.</w:t>
      </w:r>
    </w:p>
    <w:p w14:paraId="38C88A2A" w14:textId="77777777" w:rsidR="00540190" w:rsidRPr="00330234" w:rsidRDefault="00540190" w:rsidP="001B3E1E">
      <w:pPr>
        <w:pStyle w:val="a3"/>
        <w:widowControl/>
        <w:ind w:left="0"/>
      </w:pPr>
    </w:p>
    <w:p w14:paraId="2A0A5E2B" w14:textId="77777777" w:rsidR="00067BD8" w:rsidRPr="00330234" w:rsidRDefault="00067BD8" w:rsidP="001B3E1E">
      <w:pPr>
        <w:pStyle w:val="a3"/>
        <w:keepNext/>
        <w:keepLines/>
        <w:widowControl/>
        <w:ind w:left="0"/>
        <w:rPr>
          <w:u w:val="single"/>
        </w:rPr>
      </w:pPr>
      <w:r w:rsidRPr="00330234">
        <w:rPr>
          <w:u w:val="single"/>
        </w:rPr>
        <w:t>Hulpstoffen met bekend effect</w:t>
      </w:r>
    </w:p>
    <w:p w14:paraId="6ACB60AD" w14:textId="77777777" w:rsidR="00067BD8" w:rsidRPr="00330234" w:rsidRDefault="00067BD8" w:rsidP="001B3E1E">
      <w:pPr>
        <w:pStyle w:val="a3"/>
        <w:keepNext/>
        <w:keepLines/>
        <w:widowControl/>
        <w:ind w:left="0"/>
        <w:rPr>
          <w:i/>
          <w:iCs/>
        </w:rPr>
      </w:pPr>
      <w:r w:rsidRPr="00330234">
        <w:rPr>
          <w:i/>
          <w:iCs/>
        </w:rPr>
        <w:t>Polysorbaat</w:t>
      </w:r>
    </w:p>
    <w:p w14:paraId="1748AA83" w14:textId="749217BB" w:rsidR="00067BD8" w:rsidRPr="00330234" w:rsidRDefault="00067BD8" w:rsidP="00067BD8">
      <w:pPr>
        <w:pStyle w:val="a3"/>
        <w:widowControl/>
        <w:ind w:left="0"/>
        <w:rPr>
          <w:rFonts w:eastAsia="SimSun"/>
          <w:lang w:eastAsia="zh-CN"/>
        </w:rPr>
      </w:pPr>
      <w:r w:rsidRPr="00330234">
        <w:t>Elke 162 mg voorgevulde pen bevat 0,2 mg polysorbaat</w:t>
      </w:r>
      <w:r w:rsidR="00545170">
        <w:rPr>
          <w:rFonts w:eastAsia="맑은 고딕" w:hint="eastAsia"/>
          <w:lang w:eastAsia="ko-KR"/>
        </w:rPr>
        <w:t xml:space="preserve"> 80</w:t>
      </w:r>
      <w:r w:rsidRPr="00330234">
        <w:t>.</w:t>
      </w:r>
    </w:p>
    <w:p w14:paraId="2DAB043C" w14:textId="10CABD2A" w:rsidR="00540190" w:rsidRPr="00330234" w:rsidRDefault="00067BD8" w:rsidP="00067BD8">
      <w:pPr>
        <w:pStyle w:val="a3"/>
        <w:widowControl/>
        <w:ind w:left="0"/>
      </w:pPr>
      <w:r w:rsidRPr="00330234">
        <w:t>Polysorbaten kunnen allergische reacties veroorzaken. Patiënten met een allergie voor polysorbaten mogen dit geneesmiddel niet toegediend</w:t>
      </w:r>
      <w:r w:rsidR="0069785A">
        <w:rPr>
          <w:rFonts w:eastAsia="맑은 고딕" w:hint="eastAsia"/>
          <w:lang w:eastAsia="ko-KR"/>
        </w:rPr>
        <w:t xml:space="preserve"> </w:t>
      </w:r>
      <w:r w:rsidR="0069785A" w:rsidRPr="00330234">
        <w:t>krijgen</w:t>
      </w:r>
      <w:r w:rsidRPr="00330234">
        <w:t>.</w:t>
      </w:r>
    </w:p>
    <w:p w14:paraId="1048BC43" w14:textId="77777777" w:rsidR="00436DAA" w:rsidRPr="00330234" w:rsidRDefault="00436DAA" w:rsidP="00BD109B">
      <w:pPr>
        <w:pStyle w:val="a3"/>
        <w:widowControl/>
        <w:ind w:left="0"/>
      </w:pPr>
    </w:p>
    <w:p w14:paraId="516B1C79" w14:textId="5855CA06" w:rsidR="00436DAA" w:rsidRPr="00330234" w:rsidRDefault="005328BF" w:rsidP="00BD109B">
      <w:pPr>
        <w:pStyle w:val="2"/>
      </w:pPr>
      <w:r w:rsidRPr="00330234">
        <w:t>4.5</w:t>
      </w:r>
      <w:r w:rsidRPr="00330234">
        <w:tab/>
      </w:r>
      <w:r w:rsidR="009B4B8E" w:rsidRPr="00330234">
        <w:t>Interacties met andere geneesmiddelen en andere vormen van interactie</w:t>
      </w:r>
    </w:p>
    <w:p w14:paraId="60F4D5D9" w14:textId="77777777" w:rsidR="00CC5184" w:rsidRPr="00330234" w:rsidRDefault="00CC5184" w:rsidP="00BD109B">
      <w:pPr>
        <w:pStyle w:val="a3"/>
        <w:widowControl/>
        <w:ind w:left="0"/>
      </w:pPr>
    </w:p>
    <w:p w14:paraId="15302866" w14:textId="0307E550" w:rsidR="00436DAA" w:rsidRPr="00330234" w:rsidRDefault="009B4B8E" w:rsidP="00BD109B">
      <w:pPr>
        <w:pStyle w:val="a3"/>
        <w:widowControl/>
        <w:ind w:left="0"/>
      </w:pPr>
      <w:r w:rsidRPr="00330234">
        <w:t>Onderzoek naar interacties is alleen bij volwassenen uitgevoerd.</w:t>
      </w:r>
    </w:p>
    <w:p w14:paraId="738A8DBE" w14:textId="77777777" w:rsidR="00436DAA" w:rsidRPr="00330234" w:rsidRDefault="00436DAA" w:rsidP="00BD109B">
      <w:pPr>
        <w:pStyle w:val="a3"/>
        <w:widowControl/>
        <w:ind w:left="0"/>
      </w:pPr>
    </w:p>
    <w:p w14:paraId="256CB72C" w14:textId="6B1C54DC" w:rsidR="00436DAA" w:rsidRPr="00330234" w:rsidRDefault="009B4B8E" w:rsidP="00BD109B">
      <w:pPr>
        <w:pStyle w:val="a3"/>
        <w:widowControl/>
        <w:ind w:left="0"/>
      </w:pPr>
      <w:r w:rsidRPr="00330234">
        <w:t xml:space="preserve">Gelijktijdige toediening van een enkele dosis van 10 mg/kg </w:t>
      </w:r>
      <w:r w:rsidR="005067FF" w:rsidRPr="00330234">
        <w:t>Avtozma</w:t>
      </w:r>
      <w:r w:rsidRPr="00330234">
        <w:t xml:space="preserve"> met 10-25 mg MTX eenmaal per week had geen klinisch significante invloed op de MTX-blootstelling.</w:t>
      </w:r>
    </w:p>
    <w:p w14:paraId="05AA144A" w14:textId="77777777" w:rsidR="00CC5184" w:rsidRPr="00330234" w:rsidRDefault="00CC5184" w:rsidP="00BD109B">
      <w:pPr>
        <w:pStyle w:val="a3"/>
        <w:widowControl/>
        <w:ind w:left="0"/>
      </w:pPr>
    </w:p>
    <w:p w14:paraId="56BBE448" w14:textId="7B9D578A" w:rsidR="00436DAA" w:rsidRPr="00330234" w:rsidRDefault="009B4B8E" w:rsidP="00BD109B">
      <w:pPr>
        <w:pStyle w:val="a3"/>
        <w:widowControl/>
        <w:ind w:left="0"/>
      </w:pPr>
      <w:r w:rsidRPr="00330234">
        <w:t xml:space="preserve">Farmacokinetische populatieanalyses tonen geen invloed aan van MTX, niet-steroïde anti- inflammatoire geneesmiddelen (NSAID’s) of corticosteroïden op de </w:t>
      </w:r>
      <w:r w:rsidR="006535FE" w:rsidRPr="00330234">
        <w:t>tocilizumab</w:t>
      </w:r>
      <w:r w:rsidRPr="00330234">
        <w:t xml:space="preserve">-klaring bij RA- patiënten. Bij GCA-patiënten werd geen effect van cumulatieve corticosteroïdedoses op de </w:t>
      </w:r>
      <w:r w:rsidR="005067FF" w:rsidRPr="00330234">
        <w:t>tocilizumab</w:t>
      </w:r>
      <w:r w:rsidRPr="00330234">
        <w:t>-blootstelling waargenomen.</w:t>
      </w:r>
    </w:p>
    <w:p w14:paraId="69ACB53B" w14:textId="77777777" w:rsidR="00CC5184" w:rsidRPr="00330234" w:rsidRDefault="00CC5184" w:rsidP="00BD109B">
      <w:pPr>
        <w:pStyle w:val="a3"/>
        <w:widowControl/>
        <w:ind w:left="0"/>
      </w:pPr>
    </w:p>
    <w:p w14:paraId="01317B12" w14:textId="5E344BA8" w:rsidR="00436DAA" w:rsidRPr="00330234" w:rsidRDefault="009B4B8E" w:rsidP="00BD109B">
      <w:pPr>
        <w:pStyle w:val="a3"/>
        <w:widowControl/>
        <w:ind w:left="0"/>
        <w:rPr>
          <w:i/>
        </w:rPr>
      </w:pPr>
      <w:r w:rsidRPr="00330234">
        <w:t xml:space="preserve">De expressie van hepatische CYP450-enzymen wordt onderdrukt door cytokines, zoals IL-6, die chronische ontstekingen stimuleren. De CYP450-expressie kan derhalve teruggedraaid worden wanneer met potente cytokineremmende therapieën, zoals </w:t>
      </w:r>
      <w:r w:rsidR="005067FF" w:rsidRPr="00330234">
        <w:t>Avtozma</w:t>
      </w:r>
      <w:r w:rsidRPr="00330234">
        <w:t>, wordt gestart</w:t>
      </w:r>
      <w:r w:rsidRPr="00330234">
        <w:rPr>
          <w:i/>
        </w:rPr>
        <w:t>.</w:t>
      </w:r>
    </w:p>
    <w:p w14:paraId="624B1E01" w14:textId="77777777" w:rsidR="00436DAA" w:rsidRPr="00330234" w:rsidRDefault="00436DAA" w:rsidP="00BD109B">
      <w:pPr>
        <w:pStyle w:val="a3"/>
        <w:widowControl/>
        <w:ind w:left="0"/>
        <w:rPr>
          <w:i/>
        </w:rPr>
      </w:pPr>
    </w:p>
    <w:p w14:paraId="76CAFC9B" w14:textId="1747560F" w:rsidR="00436DAA" w:rsidRPr="00330234" w:rsidRDefault="009B4B8E" w:rsidP="00BD109B">
      <w:pPr>
        <w:pStyle w:val="a3"/>
        <w:widowControl/>
        <w:ind w:left="0"/>
      </w:pPr>
      <w:r w:rsidRPr="00330234">
        <w:rPr>
          <w:i/>
        </w:rPr>
        <w:lastRenderedPageBreak/>
        <w:t>In-vitro-</w:t>
      </w:r>
      <w:r w:rsidRPr="00330234">
        <w:t xml:space="preserve">onderzoeken met gekweekte humane hepatocyten laten zien dat IL-6 een verlaging van CYP1A2-, CYP2C9-, CYP2C19- en CYP3A4-enzymexpressie veroorzaakt. </w:t>
      </w:r>
      <w:r w:rsidR="005067FF" w:rsidRPr="00330234">
        <w:t>Tocilizumab</w:t>
      </w:r>
      <w:r w:rsidRPr="00330234">
        <w:t xml:space="preserve"> normaliseert de expressie van deze enzymen.</w:t>
      </w:r>
    </w:p>
    <w:p w14:paraId="31EC5CE9" w14:textId="77777777" w:rsidR="00CC5184" w:rsidRPr="00330234" w:rsidRDefault="00CC5184" w:rsidP="00BD109B">
      <w:pPr>
        <w:pStyle w:val="a3"/>
        <w:widowControl/>
        <w:ind w:left="0"/>
      </w:pPr>
    </w:p>
    <w:p w14:paraId="6449AF5B" w14:textId="77777777" w:rsidR="00436DAA" w:rsidRPr="00330234" w:rsidRDefault="009B4B8E" w:rsidP="00BD109B">
      <w:pPr>
        <w:pStyle w:val="a3"/>
        <w:widowControl/>
        <w:ind w:left="0"/>
      </w:pPr>
      <w:r w:rsidRPr="00330234">
        <w:t>In een studie bij RA-patiënten werd een daling van de simvastatinespiegels (CYP3A4) van 57% waargenomen 1 week na een enkele dosis tocilizumab. Dit was tot een niveau gelijk aan, of iets hoger dan, waargenomen bij gezonde mensen.</w:t>
      </w:r>
    </w:p>
    <w:p w14:paraId="79D9295F" w14:textId="77777777" w:rsidR="00436DAA" w:rsidRPr="00330234" w:rsidRDefault="00436DAA" w:rsidP="00BD109B">
      <w:pPr>
        <w:pStyle w:val="a3"/>
        <w:widowControl/>
        <w:ind w:left="0"/>
      </w:pPr>
    </w:p>
    <w:p w14:paraId="0FC87FC7" w14:textId="432A6459" w:rsidR="00436DAA" w:rsidRPr="00330234" w:rsidRDefault="009B4B8E" w:rsidP="00CC5184">
      <w:pPr>
        <w:pStyle w:val="a3"/>
        <w:widowControl/>
        <w:ind w:left="0"/>
      </w:pPr>
      <w:r w:rsidRPr="00330234">
        <w:t xml:space="preserve">Wanneer de behandeling met </w:t>
      </w:r>
      <w:r w:rsidR="005067FF" w:rsidRPr="00330234">
        <w:t>tocilizumab</w:t>
      </w:r>
      <w:r w:rsidRPr="00330234">
        <w:t xml:space="preserve"> wordt gestart of gestaakt, moeten patiënten die geneesmiddelen gebruiken die worden gemetaboliseerd door de enzymen CYP450-3A4, -1A2 of -2C9 (o.a. methylprednisolon, dexamethason (met kans op oraal glucocorticoïde ontwenningssyndroom), atorvastatine, calciumantagonisten, theofylline, warfarine, fenprocoumon, fenytoïne, ciclosporine en benzodiazepines) en die op individuele basis worden aangepast, worden gecontroleerd omdat de doses mogelijk verhoogd moeten worden om de therapeutische werking te handhaven. Gezien de lange</w:t>
      </w:r>
      <w:r w:rsidR="00CC5184" w:rsidRPr="00330234">
        <w:t xml:space="preserve"> </w:t>
      </w:r>
      <w:r w:rsidRPr="00330234">
        <w:t>eliminatiehalfwaardetijd (t</w:t>
      </w:r>
      <w:r w:rsidRPr="00330234">
        <w:rPr>
          <w:vertAlign w:val="subscript"/>
        </w:rPr>
        <w:t>1/2</w:t>
      </w:r>
      <w:r w:rsidRPr="00330234">
        <w:t xml:space="preserve">), kan de invloed van </w:t>
      </w:r>
      <w:r w:rsidR="005067FF" w:rsidRPr="00330234">
        <w:t>tocilizumab</w:t>
      </w:r>
      <w:r w:rsidRPr="00330234">
        <w:t xml:space="preserve"> op de CYP450-enzymactiviteit na het staken van de behandeling enkele weken aanhouden.</w:t>
      </w:r>
    </w:p>
    <w:p w14:paraId="19DAB0B7" w14:textId="77777777" w:rsidR="00436DAA" w:rsidRPr="00330234" w:rsidRDefault="00436DAA" w:rsidP="00BD109B">
      <w:pPr>
        <w:pStyle w:val="a3"/>
        <w:widowControl/>
        <w:ind w:left="0"/>
      </w:pPr>
    </w:p>
    <w:p w14:paraId="75BA1187" w14:textId="63193010" w:rsidR="00436DAA" w:rsidRPr="00330234" w:rsidRDefault="005328BF" w:rsidP="00BD109B">
      <w:pPr>
        <w:pStyle w:val="2"/>
      </w:pPr>
      <w:r w:rsidRPr="00330234">
        <w:t>4.6</w:t>
      </w:r>
      <w:r w:rsidRPr="00330234">
        <w:tab/>
      </w:r>
      <w:r w:rsidR="009B4B8E" w:rsidRPr="00330234">
        <w:t>Vruchtbaarheid, zwangerschap en borstvoeding</w:t>
      </w:r>
    </w:p>
    <w:p w14:paraId="77372169" w14:textId="77777777" w:rsidR="00CC5184" w:rsidRPr="00330234" w:rsidRDefault="00CC5184" w:rsidP="00BD109B">
      <w:pPr>
        <w:pStyle w:val="a3"/>
        <w:widowControl/>
        <w:ind w:left="0"/>
      </w:pPr>
    </w:p>
    <w:p w14:paraId="7E3F58F5" w14:textId="27E42A4A" w:rsidR="00436DAA" w:rsidRPr="00330234" w:rsidRDefault="009B4B8E" w:rsidP="00BD109B">
      <w:pPr>
        <w:pStyle w:val="a3"/>
        <w:widowControl/>
        <w:ind w:left="0"/>
      </w:pPr>
      <w:r w:rsidRPr="00330234">
        <w:rPr>
          <w:u w:val="single"/>
        </w:rPr>
        <w:t>Vrouwen die zwanger kunnen worden</w:t>
      </w:r>
    </w:p>
    <w:p w14:paraId="5F44A504" w14:textId="77777777" w:rsidR="00436DAA" w:rsidRPr="00330234" w:rsidRDefault="009B4B8E" w:rsidP="00BD109B">
      <w:pPr>
        <w:pStyle w:val="a3"/>
        <w:widowControl/>
        <w:ind w:left="0"/>
      </w:pPr>
      <w:r w:rsidRPr="00330234">
        <w:t>Vrouwen die zwanger kunnen worden moeten gedurende de behandeling en tot 3 maanden daarna effectieve anticonceptie gebruiken.</w:t>
      </w:r>
    </w:p>
    <w:p w14:paraId="49098422" w14:textId="77777777" w:rsidR="00CC5184" w:rsidRPr="00330234" w:rsidRDefault="00CC5184" w:rsidP="00BD109B">
      <w:pPr>
        <w:pStyle w:val="a3"/>
        <w:widowControl/>
        <w:ind w:left="0"/>
      </w:pPr>
    </w:p>
    <w:p w14:paraId="677B6796" w14:textId="77777777" w:rsidR="00436DAA" w:rsidRPr="00330234" w:rsidRDefault="009B4B8E" w:rsidP="00BD109B">
      <w:pPr>
        <w:pStyle w:val="a3"/>
        <w:widowControl/>
        <w:ind w:left="0"/>
      </w:pPr>
      <w:r w:rsidRPr="00330234">
        <w:rPr>
          <w:u w:val="single"/>
        </w:rPr>
        <w:t>Zwangerschap</w:t>
      </w:r>
    </w:p>
    <w:p w14:paraId="0441DD3B" w14:textId="4C587CC1" w:rsidR="00436DAA" w:rsidRPr="00330234" w:rsidRDefault="009B4B8E" w:rsidP="00BD109B">
      <w:pPr>
        <w:pStyle w:val="a3"/>
        <w:widowControl/>
        <w:ind w:left="0"/>
      </w:pPr>
      <w:r w:rsidRPr="00330234">
        <w:t xml:space="preserve">Er zijn onvoldoende gegevens over het gebruik van </w:t>
      </w:r>
      <w:r w:rsidR="005067FF" w:rsidRPr="00330234">
        <w:t>Avtozma</w:t>
      </w:r>
      <w:r w:rsidRPr="00330234">
        <w:t xml:space="preserve"> bij zwangere vrouwen. Uit een dieronderzoek is bij een hoge dosis een verhoogd risico op spontane abortus/embryo-foetale dood gebleken (zie rubriek 5.3). Het potentiële risico voor de mens is niet bekend.</w:t>
      </w:r>
    </w:p>
    <w:p w14:paraId="74FEBCA5" w14:textId="77777777" w:rsidR="00CC5184" w:rsidRPr="00330234" w:rsidRDefault="00CC5184" w:rsidP="00BD109B">
      <w:pPr>
        <w:pStyle w:val="a3"/>
        <w:widowControl/>
        <w:ind w:left="0"/>
      </w:pPr>
    </w:p>
    <w:p w14:paraId="373F139B" w14:textId="79B6CA75" w:rsidR="00CC5184" w:rsidRPr="00330234" w:rsidRDefault="005067FF" w:rsidP="00BD109B">
      <w:pPr>
        <w:pStyle w:val="a3"/>
        <w:widowControl/>
        <w:ind w:left="0"/>
      </w:pPr>
      <w:r w:rsidRPr="00330234">
        <w:t>Avtozma</w:t>
      </w:r>
      <w:r w:rsidR="009B4B8E" w:rsidRPr="00330234">
        <w:t xml:space="preserve"> mag niet tijdens de zwangerschap worden gebruikt, tenzij beslist noodzakelijk.</w:t>
      </w:r>
    </w:p>
    <w:p w14:paraId="6D06BCC3" w14:textId="77777777" w:rsidR="00CC5184" w:rsidRPr="00330234" w:rsidRDefault="00CC5184" w:rsidP="00BD109B">
      <w:pPr>
        <w:pStyle w:val="a3"/>
        <w:widowControl/>
        <w:ind w:left="0"/>
      </w:pPr>
    </w:p>
    <w:p w14:paraId="6DD0DDF2" w14:textId="09DFE2A6" w:rsidR="00436DAA" w:rsidRPr="00330234" w:rsidRDefault="009B4B8E" w:rsidP="00BD109B">
      <w:pPr>
        <w:pStyle w:val="a3"/>
        <w:widowControl/>
        <w:ind w:left="0"/>
      </w:pPr>
      <w:r w:rsidRPr="00330234">
        <w:rPr>
          <w:u w:val="single"/>
        </w:rPr>
        <w:t>Borstvoeding</w:t>
      </w:r>
    </w:p>
    <w:p w14:paraId="1BF0612B" w14:textId="34EB2C89" w:rsidR="00436DAA" w:rsidRPr="00330234" w:rsidRDefault="009B4B8E" w:rsidP="00CC5184">
      <w:pPr>
        <w:pStyle w:val="a3"/>
        <w:widowControl/>
        <w:ind w:left="0"/>
      </w:pPr>
      <w:r w:rsidRPr="00330234">
        <w:t>Het is niet bekend of tocilizumab in de moedermelk wordt uitgescheiden</w:t>
      </w:r>
      <w:r w:rsidRPr="00330234">
        <w:rPr>
          <w:b/>
        </w:rPr>
        <w:t xml:space="preserve">. </w:t>
      </w:r>
      <w:r w:rsidRPr="00330234">
        <w:t xml:space="preserve">De excretie van </w:t>
      </w:r>
      <w:r w:rsidR="005067FF" w:rsidRPr="00330234">
        <w:t>Avtozma</w:t>
      </w:r>
      <w:r w:rsidR="00CC5184" w:rsidRPr="00330234">
        <w:t xml:space="preserve"> </w:t>
      </w:r>
      <w:r w:rsidRPr="00330234">
        <w:t xml:space="preserve">in de moedermelk is niet onderzocht bij dieren. Er moet worden besloten of borstvoeding moet worden gestaakt of dat behandeling met </w:t>
      </w:r>
      <w:r w:rsidR="005067FF" w:rsidRPr="00330234">
        <w:t>Avtozma</w:t>
      </w:r>
      <w:r w:rsidRPr="00330234">
        <w:t xml:space="preserve"> moet worden gestaakt dan wel niet moet worden ingesteld, waarbij het voordeel van borstvoeding voor het kind en het voordeel van behandeling voor de vrouw in overweging moeten worden genomen.</w:t>
      </w:r>
    </w:p>
    <w:p w14:paraId="389FE1DF" w14:textId="77777777" w:rsidR="00CC5184" w:rsidRPr="00330234" w:rsidRDefault="00CC5184" w:rsidP="00CC5184">
      <w:pPr>
        <w:pStyle w:val="a3"/>
        <w:widowControl/>
        <w:ind w:left="0"/>
      </w:pPr>
    </w:p>
    <w:p w14:paraId="6FCC6252" w14:textId="77777777" w:rsidR="00436DAA" w:rsidRPr="00330234" w:rsidRDefault="009B4B8E" w:rsidP="00BD109B">
      <w:pPr>
        <w:pStyle w:val="a3"/>
        <w:widowControl/>
        <w:ind w:left="0"/>
      </w:pPr>
      <w:r w:rsidRPr="00330234">
        <w:rPr>
          <w:u w:val="single"/>
        </w:rPr>
        <w:t>Vruchtbaarheid</w:t>
      </w:r>
    </w:p>
    <w:p w14:paraId="0EE4D5DF" w14:textId="3D1860E8" w:rsidR="00436DAA" w:rsidRPr="00330234" w:rsidRDefault="009B4B8E" w:rsidP="00BD109B">
      <w:pPr>
        <w:pStyle w:val="a3"/>
        <w:widowControl/>
        <w:ind w:left="0"/>
      </w:pPr>
      <w:r w:rsidRPr="00330234">
        <w:t xml:space="preserve">Beschikbare niet-klinische gegevens duiden niet op een effect op de vruchtbaarheid tijdens </w:t>
      </w:r>
      <w:r w:rsidR="005067FF" w:rsidRPr="00330234">
        <w:t>Avtozma</w:t>
      </w:r>
      <w:r w:rsidRPr="00330234">
        <w:t>-behandeling.</w:t>
      </w:r>
    </w:p>
    <w:p w14:paraId="7BED816F" w14:textId="77777777" w:rsidR="00436DAA" w:rsidRPr="00330234" w:rsidRDefault="00436DAA" w:rsidP="00BD109B">
      <w:pPr>
        <w:pStyle w:val="a3"/>
        <w:widowControl/>
        <w:ind w:left="0"/>
      </w:pPr>
    </w:p>
    <w:p w14:paraId="618B6CB8" w14:textId="2FDD97E6" w:rsidR="00436DAA" w:rsidRPr="00330234" w:rsidRDefault="005328BF" w:rsidP="00BD109B">
      <w:pPr>
        <w:pStyle w:val="2"/>
      </w:pPr>
      <w:r w:rsidRPr="00330234">
        <w:t>4.7</w:t>
      </w:r>
      <w:r w:rsidRPr="00330234">
        <w:tab/>
      </w:r>
      <w:r w:rsidR="009B4B8E" w:rsidRPr="00330234">
        <w:t>Beïnvloeding van de rijvaardigheid en het vermogen om machines te bedienen</w:t>
      </w:r>
    </w:p>
    <w:p w14:paraId="159A6131" w14:textId="77777777" w:rsidR="00CC5184" w:rsidRPr="00330234" w:rsidRDefault="00CC5184" w:rsidP="00BD109B">
      <w:pPr>
        <w:pStyle w:val="a3"/>
        <w:widowControl/>
        <w:ind w:left="0"/>
      </w:pPr>
    </w:p>
    <w:p w14:paraId="3CD6B02D" w14:textId="6B4A75A7" w:rsidR="00436DAA" w:rsidRPr="00330234" w:rsidRDefault="005067FF" w:rsidP="00BD109B">
      <w:pPr>
        <w:pStyle w:val="a3"/>
        <w:widowControl/>
        <w:ind w:left="0"/>
      </w:pPr>
      <w:r w:rsidRPr="00330234">
        <w:t>Tocilizumab</w:t>
      </w:r>
      <w:r w:rsidR="009B4B8E" w:rsidRPr="00330234">
        <w:t xml:space="preserve"> heeft geringe invloed op de rijvaardigheid en op het vermogen om machines te bedienen (zie rubriek 4.8, duizeligheid).</w:t>
      </w:r>
    </w:p>
    <w:p w14:paraId="13318651" w14:textId="77777777" w:rsidR="00436DAA" w:rsidRPr="00330234" w:rsidRDefault="00436DAA" w:rsidP="00BD109B">
      <w:pPr>
        <w:pStyle w:val="a3"/>
        <w:widowControl/>
        <w:ind w:left="0"/>
      </w:pPr>
    </w:p>
    <w:p w14:paraId="6DFA8E57" w14:textId="3BEA8ADA" w:rsidR="00436DAA" w:rsidRPr="00330234" w:rsidRDefault="005328BF" w:rsidP="00BD109B">
      <w:pPr>
        <w:pStyle w:val="2"/>
      </w:pPr>
      <w:r w:rsidRPr="00330234">
        <w:t>4.8</w:t>
      </w:r>
      <w:r w:rsidRPr="00330234">
        <w:tab/>
      </w:r>
      <w:r w:rsidR="009B4B8E" w:rsidRPr="00330234">
        <w:t>Bijwerkingen</w:t>
      </w:r>
    </w:p>
    <w:p w14:paraId="39E8BC8F" w14:textId="77777777" w:rsidR="00CC5184" w:rsidRPr="00330234" w:rsidRDefault="00CC5184" w:rsidP="00BD109B">
      <w:pPr>
        <w:pStyle w:val="a3"/>
        <w:widowControl/>
        <w:ind w:left="0"/>
      </w:pPr>
    </w:p>
    <w:p w14:paraId="4033934C" w14:textId="5E8F48CD" w:rsidR="00436DAA" w:rsidRPr="00330234" w:rsidRDefault="009B4B8E" w:rsidP="00BD109B">
      <w:pPr>
        <w:pStyle w:val="a3"/>
        <w:widowControl/>
        <w:ind w:left="0"/>
      </w:pPr>
      <w:r w:rsidRPr="00330234">
        <w:rPr>
          <w:u w:val="single"/>
        </w:rPr>
        <w:t>Samenvatting van het veiligheidsprofiel</w:t>
      </w:r>
    </w:p>
    <w:p w14:paraId="15A68F79" w14:textId="197AB8A5" w:rsidR="00436DAA" w:rsidRPr="00330234" w:rsidRDefault="009B4B8E" w:rsidP="00BD109B">
      <w:pPr>
        <w:pStyle w:val="a3"/>
        <w:widowControl/>
        <w:ind w:left="0"/>
      </w:pPr>
      <w:r w:rsidRPr="00330234">
        <w:t xml:space="preserve">Het veiligheidsprofiel is afkomstig van 4510 patiënten behandeld met </w:t>
      </w:r>
      <w:r w:rsidR="005067FF" w:rsidRPr="00330234">
        <w:t>tocilizumab</w:t>
      </w:r>
      <w:r w:rsidRPr="00330234">
        <w:t xml:space="preserve"> in klinische onderzoeken; de meerderheid van deze patiënten nam deel aan RA-onderzoeken (n = 4009), terwijl de rest van de ervaring van GCA- (n = 149), pJIA- (n = 240) en sJIA-onderzoeken (n = 112) komt. Het veiligheidsprofiel van </w:t>
      </w:r>
      <w:r w:rsidR="005067FF" w:rsidRPr="00330234">
        <w:t>tocilizumab</w:t>
      </w:r>
      <w:r w:rsidRPr="00330234">
        <w:t xml:space="preserve"> tussen deze indicaties blijft vergelijkbaar en ongedifferentieerd.</w:t>
      </w:r>
    </w:p>
    <w:p w14:paraId="31DAC5A9" w14:textId="77777777" w:rsidR="00436DAA" w:rsidRPr="00330234" w:rsidRDefault="00436DAA" w:rsidP="00BD109B">
      <w:pPr>
        <w:pStyle w:val="a3"/>
        <w:widowControl/>
        <w:ind w:left="0"/>
      </w:pPr>
    </w:p>
    <w:p w14:paraId="30DDC0C8" w14:textId="77777777" w:rsidR="00436DAA" w:rsidRPr="00330234" w:rsidRDefault="009B4B8E" w:rsidP="00BD109B">
      <w:pPr>
        <w:pStyle w:val="a3"/>
        <w:widowControl/>
        <w:ind w:left="0"/>
      </w:pPr>
      <w:r w:rsidRPr="00330234">
        <w:t>De meest gerapporteerde bijwerkingen waren infecties van de bovenste luchtwegen, nasofaryngitis, hoofdpijn, hypertensie en een verhoogde ALAT-spiegel.</w:t>
      </w:r>
    </w:p>
    <w:p w14:paraId="1D0C4E69" w14:textId="77777777" w:rsidR="00CC5184" w:rsidRPr="00330234" w:rsidRDefault="00CC5184" w:rsidP="00BD109B">
      <w:pPr>
        <w:pStyle w:val="a3"/>
        <w:widowControl/>
        <w:ind w:left="0"/>
      </w:pPr>
    </w:p>
    <w:p w14:paraId="46399112" w14:textId="77777777" w:rsidR="00436DAA" w:rsidRPr="00330234" w:rsidRDefault="009B4B8E" w:rsidP="00BD109B">
      <w:pPr>
        <w:pStyle w:val="a3"/>
        <w:widowControl/>
        <w:ind w:left="0"/>
      </w:pPr>
      <w:r w:rsidRPr="00330234">
        <w:lastRenderedPageBreak/>
        <w:t>De meest ernstige bijwerkingen waren ernstige infecties, complicaties van diverticulitis en overgevoeligheidsreacties.</w:t>
      </w:r>
    </w:p>
    <w:p w14:paraId="297F4644" w14:textId="77777777" w:rsidR="00436DAA" w:rsidRPr="00330234" w:rsidRDefault="00436DAA" w:rsidP="00BD109B">
      <w:pPr>
        <w:pStyle w:val="a3"/>
        <w:widowControl/>
        <w:ind w:left="0"/>
      </w:pPr>
    </w:p>
    <w:p w14:paraId="12B779AB" w14:textId="77777777" w:rsidR="00436DAA" w:rsidRPr="00330234" w:rsidRDefault="009B4B8E" w:rsidP="001B3E1E">
      <w:pPr>
        <w:pStyle w:val="a3"/>
        <w:keepNext/>
        <w:keepLines/>
        <w:widowControl/>
        <w:ind w:left="0"/>
      </w:pPr>
      <w:r w:rsidRPr="00330234">
        <w:rPr>
          <w:u w:val="single"/>
        </w:rPr>
        <w:t>Overzicht van de bijwerkingen in tabelvorm</w:t>
      </w:r>
    </w:p>
    <w:p w14:paraId="23C35C3B" w14:textId="140A632B" w:rsidR="00436DAA" w:rsidRPr="00330234" w:rsidRDefault="009B4B8E" w:rsidP="001B3E1E">
      <w:pPr>
        <w:pStyle w:val="a3"/>
        <w:keepNext/>
        <w:keepLines/>
        <w:widowControl/>
        <w:ind w:left="0"/>
      </w:pPr>
      <w:r w:rsidRPr="00330234">
        <w:t xml:space="preserve">Bijwerkingen uit klinische onderzoeken en/of spontane meldingen na het op de markt brengen van </w:t>
      </w:r>
      <w:r w:rsidR="005067FF" w:rsidRPr="00330234">
        <w:t>tocilizumab</w:t>
      </w:r>
      <w:r w:rsidRPr="00330234">
        <w:t xml:space="preserve"> en meldingen uit de literatuur en niet-interventionele onderzoeksprogramma’s zijn weergegeven in tabel 1 naar MedDRA-systeem/orgaanklasse. De bijbehorende frequentiecategorie van elke bijwerking is gebaseerd op de volgende conventie: zeer vaak (≥ 1/10), vaak (≥ 1/100, &lt; 1/10), soms (≥ 1/1.000, &lt; 1/100) zelden (≥ 1/10.000, &lt; 1/1.000) of zeer zelden (&lt; 1/10.000). Binnen iedere frequentiegroep worden bijwerkingen gerangschikt naar afnemende ernst.</w:t>
      </w:r>
    </w:p>
    <w:p w14:paraId="1FA5AFEC" w14:textId="77777777" w:rsidR="00CC5184" w:rsidRPr="00330234" w:rsidRDefault="00CC5184" w:rsidP="00BD109B">
      <w:pPr>
        <w:pStyle w:val="a3"/>
        <w:widowControl/>
        <w:ind w:left="0"/>
      </w:pPr>
    </w:p>
    <w:p w14:paraId="19F8E15C" w14:textId="6D8B1833" w:rsidR="00436DAA" w:rsidRPr="00330234" w:rsidRDefault="009B4B8E" w:rsidP="004C0949">
      <w:pPr>
        <w:widowControl/>
        <w:ind w:left="1134" w:hanging="1134"/>
        <w:rPr>
          <w:i/>
        </w:rPr>
      </w:pPr>
      <w:r w:rsidRPr="00330234">
        <w:rPr>
          <w:i/>
        </w:rPr>
        <w:t>Tabel 1.</w:t>
      </w:r>
      <w:r w:rsidR="004C0949" w:rsidRPr="00330234">
        <w:rPr>
          <w:i/>
        </w:rPr>
        <w:tab/>
      </w:r>
      <w:r w:rsidRPr="00330234">
        <w:rPr>
          <w:i/>
        </w:rPr>
        <w:t xml:space="preserve">Bijwerkingen die optraden bij patiënten behandeld met </w:t>
      </w:r>
      <w:r w:rsidR="005067FF" w:rsidRPr="00330234">
        <w:rPr>
          <w:i/>
        </w:rPr>
        <w:t>tocilizumab</w:t>
      </w:r>
    </w:p>
    <w:p w14:paraId="7BEA43B6" w14:textId="77777777" w:rsidR="00436DAA" w:rsidRPr="00330234" w:rsidRDefault="00436DAA" w:rsidP="00BD109B">
      <w:pPr>
        <w:pStyle w:val="a3"/>
        <w:widowControl/>
        <w:ind w:left="0"/>
        <w:rPr>
          <w:i/>
        </w:rPr>
      </w:pPr>
    </w:p>
    <w:tbl>
      <w:tblPr>
        <w:tblW w:w="90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5" w:type="dxa"/>
          <w:right w:w="85" w:type="dxa"/>
        </w:tblCellMar>
        <w:tblLook w:val="01E0" w:firstRow="1" w:lastRow="1" w:firstColumn="1" w:lastColumn="1" w:noHBand="0" w:noVBand="0"/>
      </w:tblPr>
      <w:tblGrid>
        <w:gridCol w:w="2464"/>
        <w:gridCol w:w="1540"/>
        <w:gridCol w:w="1847"/>
        <w:gridCol w:w="1442"/>
        <w:gridCol w:w="1778"/>
      </w:tblGrid>
      <w:tr w:rsidR="00436DAA" w:rsidRPr="00330234" w14:paraId="6F9DF786" w14:textId="77777777" w:rsidTr="004C0949">
        <w:trPr>
          <w:trHeight w:val="20"/>
          <w:tblHeader/>
        </w:trPr>
        <w:tc>
          <w:tcPr>
            <w:tcW w:w="2464" w:type="dxa"/>
            <w:vMerge w:val="restart"/>
          </w:tcPr>
          <w:p w14:paraId="0E318965" w14:textId="77777777" w:rsidR="00436DAA" w:rsidRPr="00330234" w:rsidRDefault="009B4B8E" w:rsidP="00CC5184">
            <w:pPr>
              <w:pStyle w:val="TableParagraph"/>
              <w:widowControl/>
              <w:jc w:val="center"/>
              <w:rPr>
                <w:rFonts w:eastAsia="SimSun"/>
                <w:b/>
                <w:sz w:val="20"/>
                <w:szCs w:val="20"/>
                <w:lang w:eastAsia="zh-CN"/>
              </w:rPr>
            </w:pPr>
            <w:r w:rsidRPr="00330234">
              <w:rPr>
                <w:b/>
                <w:sz w:val="20"/>
                <w:szCs w:val="20"/>
              </w:rPr>
              <w:t>MedDRA Systeem/orgaanklasse</w:t>
            </w:r>
          </w:p>
          <w:p w14:paraId="65348D48" w14:textId="77777777" w:rsidR="00221487" w:rsidRPr="00330234" w:rsidRDefault="00221487" w:rsidP="00CC5184">
            <w:pPr>
              <w:pStyle w:val="TableParagraph"/>
              <w:widowControl/>
              <w:jc w:val="center"/>
              <w:rPr>
                <w:rFonts w:eastAsia="SimSun"/>
                <w:b/>
                <w:sz w:val="20"/>
                <w:szCs w:val="20"/>
                <w:lang w:eastAsia="zh-CN"/>
              </w:rPr>
            </w:pPr>
          </w:p>
        </w:tc>
        <w:tc>
          <w:tcPr>
            <w:tcW w:w="6607" w:type="dxa"/>
            <w:gridSpan w:val="4"/>
          </w:tcPr>
          <w:p w14:paraId="2C1D0037" w14:textId="77777777" w:rsidR="00436DAA" w:rsidRPr="00330234" w:rsidRDefault="009B4B8E" w:rsidP="00CC5184">
            <w:pPr>
              <w:pStyle w:val="TableParagraph"/>
              <w:widowControl/>
              <w:jc w:val="center"/>
              <w:rPr>
                <w:b/>
                <w:sz w:val="20"/>
                <w:szCs w:val="20"/>
              </w:rPr>
            </w:pPr>
            <w:r w:rsidRPr="00330234">
              <w:rPr>
                <w:b/>
                <w:sz w:val="20"/>
                <w:szCs w:val="20"/>
              </w:rPr>
              <w:t>Frequentiegroepen en voorkeurstermen</w:t>
            </w:r>
          </w:p>
        </w:tc>
      </w:tr>
      <w:tr w:rsidR="00CC5184" w:rsidRPr="00330234" w14:paraId="0C6C306D" w14:textId="77777777" w:rsidTr="004C0949">
        <w:trPr>
          <w:trHeight w:val="20"/>
          <w:tblHeader/>
        </w:trPr>
        <w:tc>
          <w:tcPr>
            <w:tcW w:w="2464" w:type="dxa"/>
            <w:vMerge/>
            <w:tcBorders>
              <w:top w:val="nil"/>
            </w:tcBorders>
          </w:tcPr>
          <w:p w14:paraId="1A2DBCB4" w14:textId="77777777" w:rsidR="00436DAA" w:rsidRPr="00330234" w:rsidRDefault="00436DAA" w:rsidP="00CC5184">
            <w:pPr>
              <w:widowControl/>
              <w:jc w:val="center"/>
              <w:rPr>
                <w:sz w:val="20"/>
                <w:szCs w:val="20"/>
              </w:rPr>
            </w:pPr>
          </w:p>
        </w:tc>
        <w:tc>
          <w:tcPr>
            <w:tcW w:w="1540" w:type="dxa"/>
          </w:tcPr>
          <w:p w14:paraId="65B962AB" w14:textId="77777777" w:rsidR="00436DAA" w:rsidRPr="00330234" w:rsidRDefault="009B4B8E" w:rsidP="00CC5184">
            <w:pPr>
              <w:pStyle w:val="TableParagraph"/>
              <w:widowControl/>
              <w:jc w:val="center"/>
              <w:rPr>
                <w:rFonts w:eastAsia="SimSun"/>
                <w:b/>
                <w:sz w:val="20"/>
                <w:szCs w:val="20"/>
                <w:lang w:eastAsia="zh-CN"/>
              </w:rPr>
            </w:pPr>
            <w:r w:rsidRPr="00330234">
              <w:rPr>
                <w:b/>
                <w:sz w:val="20"/>
                <w:szCs w:val="20"/>
              </w:rPr>
              <w:t>Zeer vaak</w:t>
            </w:r>
          </w:p>
          <w:p w14:paraId="67AD03F4" w14:textId="77777777" w:rsidR="00221487" w:rsidRPr="00330234" w:rsidRDefault="00221487" w:rsidP="00CC5184">
            <w:pPr>
              <w:pStyle w:val="TableParagraph"/>
              <w:widowControl/>
              <w:jc w:val="center"/>
              <w:rPr>
                <w:rFonts w:eastAsia="SimSun"/>
                <w:b/>
                <w:sz w:val="20"/>
                <w:szCs w:val="20"/>
                <w:lang w:eastAsia="zh-CN"/>
              </w:rPr>
            </w:pPr>
          </w:p>
        </w:tc>
        <w:tc>
          <w:tcPr>
            <w:tcW w:w="1847" w:type="dxa"/>
          </w:tcPr>
          <w:p w14:paraId="56FAF656" w14:textId="77777777" w:rsidR="00436DAA" w:rsidRPr="00330234" w:rsidRDefault="009B4B8E" w:rsidP="00CC5184">
            <w:pPr>
              <w:pStyle w:val="TableParagraph"/>
              <w:widowControl/>
              <w:jc w:val="center"/>
              <w:rPr>
                <w:rFonts w:eastAsia="SimSun"/>
                <w:b/>
                <w:sz w:val="20"/>
                <w:szCs w:val="20"/>
                <w:lang w:eastAsia="zh-CN"/>
              </w:rPr>
            </w:pPr>
            <w:r w:rsidRPr="00330234">
              <w:rPr>
                <w:b/>
                <w:sz w:val="20"/>
                <w:szCs w:val="20"/>
              </w:rPr>
              <w:t>Vaak</w:t>
            </w:r>
          </w:p>
          <w:p w14:paraId="737D9B2D" w14:textId="77777777" w:rsidR="00221487" w:rsidRPr="00330234" w:rsidRDefault="00221487" w:rsidP="00CC5184">
            <w:pPr>
              <w:pStyle w:val="TableParagraph"/>
              <w:widowControl/>
              <w:jc w:val="center"/>
              <w:rPr>
                <w:rFonts w:eastAsia="SimSun"/>
                <w:b/>
                <w:sz w:val="20"/>
                <w:szCs w:val="20"/>
                <w:lang w:eastAsia="zh-CN"/>
              </w:rPr>
            </w:pPr>
          </w:p>
        </w:tc>
        <w:tc>
          <w:tcPr>
            <w:tcW w:w="1442" w:type="dxa"/>
          </w:tcPr>
          <w:p w14:paraId="332AA502" w14:textId="77777777" w:rsidR="00436DAA" w:rsidRPr="00330234" w:rsidRDefault="009B4B8E" w:rsidP="00CC5184">
            <w:pPr>
              <w:pStyle w:val="TableParagraph"/>
              <w:widowControl/>
              <w:jc w:val="center"/>
              <w:rPr>
                <w:rFonts w:eastAsia="SimSun"/>
                <w:b/>
                <w:sz w:val="20"/>
                <w:szCs w:val="20"/>
                <w:lang w:eastAsia="zh-CN"/>
              </w:rPr>
            </w:pPr>
            <w:r w:rsidRPr="00330234">
              <w:rPr>
                <w:b/>
                <w:sz w:val="20"/>
                <w:szCs w:val="20"/>
              </w:rPr>
              <w:t>Soms</w:t>
            </w:r>
          </w:p>
          <w:p w14:paraId="34B710FF" w14:textId="77777777" w:rsidR="00221487" w:rsidRPr="00330234" w:rsidRDefault="00221487" w:rsidP="00CC5184">
            <w:pPr>
              <w:pStyle w:val="TableParagraph"/>
              <w:widowControl/>
              <w:jc w:val="center"/>
              <w:rPr>
                <w:rFonts w:eastAsia="SimSun"/>
                <w:b/>
                <w:sz w:val="20"/>
                <w:szCs w:val="20"/>
                <w:lang w:eastAsia="zh-CN"/>
              </w:rPr>
            </w:pPr>
          </w:p>
        </w:tc>
        <w:tc>
          <w:tcPr>
            <w:tcW w:w="1778" w:type="dxa"/>
          </w:tcPr>
          <w:p w14:paraId="7CCA47A9" w14:textId="77777777" w:rsidR="00436DAA" w:rsidRPr="00330234" w:rsidRDefault="009B4B8E" w:rsidP="00CC5184">
            <w:pPr>
              <w:pStyle w:val="TableParagraph"/>
              <w:widowControl/>
              <w:jc w:val="center"/>
              <w:rPr>
                <w:rFonts w:eastAsia="SimSun"/>
                <w:b/>
                <w:sz w:val="20"/>
                <w:szCs w:val="20"/>
                <w:lang w:eastAsia="zh-CN"/>
              </w:rPr>
            </w:pPr>
            <w:r w:rsidRPr="00330234">
              <w:rPr>
                <w:b/>
                <w:sz w:val="20"/>
                <w:szCs w:val="20"/>
              </w:rPr>
              <w:t>Zelden</w:t>
            </w:r>
          </w:p>
          <w:p w14:paraId="6E13E605" w14:textId="77777777" w:rsidR="00221487" w:rsidRPr="00330234" w:rsidRDefault="00221487" w:rsidP="00CC5184">
            <w:pPr>
              <w:pStyle w:val="TableParagraph"/>
              <w:widowControl/>
              <w:jc w:val="center"/>
              <w:rPr>
                <w:rFonts w:eastAsia="SimSun"/>
                <w:b/>
                <w:sz w:val="20"/>
                <w:szCs w:val="20"/>
                <w:lang w:eastAsia="zh-CN"/>
              </w:rPr>
            </w:pPr>
          </w:p>
        </w:tc>
      </w:tr>
      <w:tr w:rsidR="00CC5184" w:rsidRPr="00330234" w14:paraId="7D5F39B8" w14:textId="77777777" w:rsidTr="004C0949">
        <w:trPr>
          <w:trHeight w:val="20"/>
        </w:trPr>
        <w:tc>
          <w:tcPr>
            <w:tcW w:w="2464" w:type="dxa"/>
            <w:tcBorders>
              <w:bottom w:val="nil"/>
            </w:tcBorders>
          </w:tcPr>
          <w:p w14:paraId="2D8A7A93" w14:textId="77777777" w:rsidR="00436DAA" w:rsidRPr="00330234" w:rsidRDefault="009B4B8E" w:rsidP="00BD109B">
            <w:pPr>
              <w:pStyle w:val="TableParagraph"/>
              <w:widowControl/>
              <w:rPr>
                <w:sz w:val="20"/>
                <w:szCs w:val="20"/>
              </w:rPr>
            </w:pPr>
            <w:r w:rsidRPr="00330234">
              <w:rPr>
                <w:sz w:val="20"/>
                <w:szCs w:val="20"/>
              </w:rPr>
              <w:t>Infecties en parasitaire</w:t>
            </w:r>
          </w:p>
        </w:tc>
        <w:tc>
          <w:tcPr>
            <w:tcW w:w="1540" w:type="dxa"/>
            <w:tcBorders>
              <w:bottom w:val="nil"/>
            </w:tcBorders>
          </w:tcPr>
          <w:p w14:paraId="348D1CFD" w14:textId="77777777" w:rsidR="00436DAA" w:rsidRPr="00330234" w:rsidRDefault="009B4B8E" w:rsidP="00BD109B">
            <w:pPr>
              <w:pStyle w:val="TableParagraph"/>
              <w:widowControl/>
              <w:rPr>
                <w:sz w:val="20"/>
                <w:szCs w:val="20"/>
              </w:rPr>
            </w:pPr>
            <w:r w:rsidRPr="00330234">
              <w:rPr>
                <w:sz w:val="20"/>
                <w:szCs w:val="20"/>
              </w:rPr>
              <w:t>Bovenste-</w:t>
            </w:r>
          </w:p>
        </w:tc>
        <w:tc>
          <w:tcPr>
            <w:tcW w:w="1847" w:type="dxa"/>
            <w:tcBorders>
              <w:bottom w:val="nil"/>
            </w:tcBorders>
          </w:tcPr>
          <w:p w14:paraId="249DE99B" w14:textId="77777777" w:rsidR="00436DAA" w:rsidRPr="00330234" w:rsidRDefault="009B4B8E" w:rsidP="00BD109B">
            <w:pPr>
              <w:pStyle w:val="TableParagraph"/>
              <w:widowControl/>
              <w:rPr>
                <w:sz w:val="20"/>
                <w:szCs w:val="20"/>
              </w:rPr>
            </w:pPr>
            <w:r w:rsidRPr="00330234">
              <w:rPr>
                <w:sz w:val="20"/>
                <w:szCs w:val="20"/>
              </w:rPr>
              <w:t>Cellulitis,</w:t>
            </w:r>
          </w:p>
        </w:tc>
        <w:tc>
          <w:tcPr>
            <w:tcW w:w="1442" w:type="dxa"/>
            <w:tcBorders>
              <w:bottom w:val="nil"/>
            </w:tcBorders>
          </w:tcPr>
          <w:p w14:paraId="5917B506" w14:textId="77777777" w:rsidR="00436DAA" w:rsidRPr="00330234" w:rsidRDefault="009B4B8E" w:rsidP="00BD109B">
            <w:pPr>
              <w:pStyle w:val="TableParagraph"/>
              <w:widowControl/>
              <w:rPr>
                <w:sz w:val="20"/>
                <w:szCs w:val="20"/>
              </w:rPr>
            </w:pPr>
            <w:r w:rsidRPr="00330234">
              <w:rPr>
                <w:sz w:val="20"/>
                <w:szCs w:val="20"/>
              </w:rPr>
              <w:t>Diverticulitis</w:t>
            </w:r>
          </w:p>
        </w:tc>
        <w:tc>
          <w:tcPr>
            <w:tcW w:w="1778" w:type="dxa"/>
            <w:vMerge w:val="restart"/>
          </w:tcPr>
          <w:p w14:paraId="7D889F96" w14:textId="77777777" w:rsidR="00436DAA" w:rsidRPr="00330234" w:rsidRDefault="00436DAA" w:rsidP="00BD109B">
            <w:pPr>
              <w:pStyle w:val="TableParagraph"/>
              <w:widowControl/>
              <w:rPr>
                <w:sz w:val="20"/>
                <w:szCs w:val="20"/>
              </w:rPr>
            </w:pPr>
          </w:p>
        </w:tc>
      </w:tr>
      <w:tr w:rsidR="00CC5184" w:rsidRPr="00330234" w14:paraId="4DDC43A0" w14:textId="77777777" w:rsidTr="004C0949">
        <w:trPr>
          <w:trHeight w:val="20"/>
        </w:trPr>
        <w:tc>
          <w:tcPr>
            <w:tcW w:w="2464" w:type="dxa"/>
            <w:tcBorders>
              <w:top w:val="nil"/>
              <w:bottom w:val="nil"/>
            </w:tcBorders>
          </w:tcPr>
          <w:p w14:paraId="49364E57" w14:textId="77777777" w:rsidR="00436DAA" w:rsidRPr="00330234" w:rsidRDefault="009B4B8E" w:rsidP="00BD109B">
            <w:pPr>
              <w:pStyle w:val="TableParagraph"/>
              <w:widowControl/>
              <w:rPr>
                <w:sz w:val="20"/>
                <w:szCs w:val="20"/>
              </w:rPr>
            </w:pPr>
            <w:r w:rsidRPr="00330234">
              <w:rPr>
                <w:sz w:val="20"/>
                <w:szCs w:val="20"/>
              </w:rPr>
              <w:t>aandoeningen</w:t>
            </w:r>
          </w:p>
        </w:tc>
        <w:tc>
          <w:tcPr>
            <w:tcW w:w="1540" w:type="dxa"/>
            <w:tcBorders>
              <w:top w:val="nil"/>
              <w:bottom w:val="nil"/>
            </w:tcBorders>
          </w:tcPr>
          <w:p w14:paraId="43683B3E" w14:textId="77777777" w:rsidR="00436DAA" w:rsidRPr="00330234" w:rsidRDefault="009B4B8E" w:rsidP="00BD109B">
            <w:pPr>
              <w:pStyle w:val="TableParagraph"/>
              <w:widowControl/>
              <w:rPr>
                <w:sz w:val="20"/>
                <w:szCs w:val="20"/>
              </w:rPr>
            </w:pPr>
            <w:r w:rsidRPr="00330234">
              <w:rPr>
                <w:sz w:val="20"/>
                <w:szCs w:val="20"/>
              </w:rPr>
              <w:t>luchtweg-</w:t>
            </w:r>
          </w:p>
        </w:tc>
        <w:tc>
          <w:tcPr>
            <w:tcW w:w="1847" w:type="dxa"/>
            <w:tcBorders>
              <w:top w:val="nil"/>
              <w:bottom w:val="nil"/>
            </w:tcBorders>
          </w:tcPr>
          <w:p w14:paraId="10B598FC" w14:textId="77777777" w:rsidR="00436DAA" w:rsidRPr="00330234" w:rsidRDefault="009B4B8E" w:rsidP="00BD109B">
            <w:pPr>
              <w:pStyle w:val="TableParagraph"/>
              <w:widowControl/>
              <w:rPr>
                <w:sz w:val="20"/>
                <w:szCs w:val="20"/>
              </w:rPr>
            </w:pPr>
            <w:r w:rsidRPr="00330234">
              <w:rPr>
                <w:sz w:val="20"/>
                <w:szCs w:val="20"/>
              </w:rPr>
              <w:t>Pneumonie, Orale</w:t>
            </w:r>
          </w:p>
        </w:tc>
        <w:tc>
          <w:tcPr>
            <w:tcW w:w="1442" w:type="dxa"/>
            <w:tcBorders>
              <w:top w:val="nil"/>
              <w:bottom w:val="nil"/>
            </w:tcBorders>
          </w:tcPr>
          <w:p w14:paraId="21BABEC2" w14:textId="77777777" w:rsidR="00436DAA" w:rsidRPr="00330234" w:rsidRDefault="00436DAA" w:rsidP="00BD109B">
            <w:pPr>
              <w:pStyle w:val="TableParagraph"/>
              <w:widowControl/>
              <w:rPr>
                <w:sz w:val="20"/>
                <w:szCs w:val="20"/>
              </w:rPr>
            </w:pPr>
          </w:p>
        </w:tc>
        <w:tc>
          <w:tcPr>
            <w:tcW w:w="1778" w:type="dxa"/>
            <w:vMerge/>
            <w:tcBorders>
              <w:top w:val="nil"/>
            </w:tcBorders>
          </w:tcPr>
          <w:p w14:paraId="1434EFB2" w14:textId="77777777" w:rsidR="00436DAA" w:rsidRPr="00330234" w:rsidRDefault="00436DAA" w:rsidP="00BD109B">
            <w:pPr>
              <w:widowControl/>
              <w:rPr>
                <w:sz w:val="20"/>
                <w:szCs w:val="20"/>
              </w:rPr>
            </w:pPr>
          </w:p>
        </w:tc>
      </w:tr>
      <w:tr w:rsidR="00CC5184" w:rsidRPr="00330234" w14:paraId="376A68BE" w14:textId="77777777" w:rsidTr="004C0949">
        <w:trPr>
          <w:trHeight w:val="20"/>
        </w:trPr>
        <w:tc>
          <w:tcPr>
            <w:tcW w:w="2464" w:type="dxa"/>
            <w:tcBorders>
              <w:top w:val="nil"/>
              <w:bottom w:val="nil"/>
            </w:tcBorders>
          </w:tcPr>
          <w:p w14:paraId="161B214D" w14:textId="77777777" w:rsidR="00436DAA" w:rsidRPr="00330234" w:rsidRDefault="00436DAA" w:rsidP="00BD109B">
            <w:pPr>
              <w:pStyle w:val="TableParagraph"/>
              <w:widowControl/>
              <w:rPr>
                <w:sz w:val="20"/>
                <w:szCs w:val="20"/>
              </w:rPr>
            </w:pPr>
          </w:p>
        </w:tc>
        <w:tc>
          <w:tcPr>
            <w:tcW w:w="1540" w:type="dxa"/>
            <w:tcBorders>
              <w:top w:val="nil"/>
              <w:bottom w:val="nil"/>
            </w:tcBorders>
          </w:tcPr>
          <w:p w14:paraId="29D94816" w14:textId="77777777" w:rsidR="00436DAA" w:rsidRPr="00330234" w:rsidRDefault="009B4B8E" w:rsidP="00BD109B">
            <w:pPr>
              <w:pStyle w:val="TableParagraph"/>
              <w:widowControl/>
              <w:rPr>
                <w:sz w:val="20"/>
                <w:szCs w:val="20"/>
              </w:rPr>
            </w:pPr>
            <w:r w:rsidRPr="00330234">
              <w:rPr>
                <w:sz w:val="20"/>
                <w:szCs w:val="20"/>
              </w:rPr>
              <w:t>infecties</w:t>
            </w:r>
          </w:p>
        </w:tc>
        <w:tc>
          <w:tcPr>
            <w:tcW w:w="1847" w:type="dxa"/>
            <w:tcBorders>
              <w:top w:val="nil"/>
              <w:bottom w:val="nil"/>
            </w:tcBorders>
          </w:tcPr>
          <w:p w14:paraId="0FAF47EA" w14:textId="77777777" w:rsidR="00436DAA" w:rsidRPr="00330234" w:rsidRDefault="009B4B8E" w:rsidP="00BD109B">
            <w:pPr>
              <w:pStyle w:val="TableParagraph"/>
              <w:widowControl/>
              <w:rPr>
                <w:sz w:val="20"/>
                <w:szCs w:val="20"/>
              </w:rPr>
            </w:pPr>
            <w:r w:rsidRPr="00330234">
              <w:rPr>
                <w:sz w:val="20"/>
                <w:szCs w:val="20"/>
              </w:rPr>
              <w:t>herpes simplex,</w:t>
            </w:r>
          </w:p>
        </w:tc>
        <w:tc>
          <w:tcPr>
            <w:tcW w:w="1442" w:type="dxa"/>
            <w:tcBorders>
              <w:top w:val="nil"/>
              <w:bottom w:val="nil"/>
            </w:tcBorders>
          </w:tcPr>
          <w:p w14:paraId="5266A044" w14:textId="77777777" w:rsidR="00436DAA" w:rsidRPr="00330234" w:rsidRDefault="00436DAA" w:rsidP="00BD109B">
            <w:pPr>
              <w:pStyle w:val="TableParagraph"/>
              <w:widowControl/>
              <w:rPr>
                <w:sz w:val="20"/>
                <w:szCs w:val="20"/>
              </w:rPr>
            </w:pPr>
          </w:p>
        </w:tc>
        <w:tc>
          <w:tcPr>
            <w:tcW w:w="1778" w:type="dxa"/>
            <w:vMerge/>
            <w:tcBorders>
              <w:top w:val="nil"/>
            </w:tcBorders>
          </w:tcPr>
          <w:p w14:paraId="461F3CC0" w14:textId="77777777" w:rsidR="00436DAA" w:rsidRPr="00330234" w:rsidRDefault="00436DAA" w:rsidP="00BD109B">
            <w:pPr>
              <w:widowControl/>
              <w:rPr>
                <w:sz w:val="20"/>
                <w:szCs w:val="20"/>
              </w:rPr>
            </w:pPr>
          </w:p>
        </w:tc>
      </w:tr>
      <w:tr w:rsidR="00CC5184" w:rsidRPr="00330234" w14:paraId="0100B420" w14:textId="77777777" w:rsidTr="004C0949">
        <w:trPr>
          <w:trHeight w:val="20"/>
        </w:trPr>
        <w:tc>
          <w:tcPr>
            <w:tcW w:w="2464" w:type="dxa"/>
            <w:tcBorders>
              <w:top w:val="nil"/>
            </w:tcBorders>
          </w:tcPr>
          <w:p w14:paraId="08411672" w14:textId="77777777" w:rsidR="00436DAA" w:rsidRPr="00330234" w:rsidRDefault="00436DAA" w:rsidP="00BD109B">
            <w:pPr>
              <w:pStyle w:val="TableParagraph"/>
              <w:widowControl/>
              <w:rPr>
                <w:sz w:val="20"/>
                <w:szCs w:val="20"/>
              </w:rPr>
            </w:pPr>
          </w:p>
        </w:tc>
        <w:tc>
          <w:tcPr>
            <w:tcW w:w="1540" w:type="dxa"/>
            <w:tcBorders>
              <w:top w:val="nil"/>
            </w:tcBorders>
          </w:tcPr>
          <w:p w14:paraId="4406C996" w14:textId="77777777" w:rsidR="00436DAA" w:rsidRPr="00330234" w:rsidRDefault="00436DAA" w:rsidP="00BD109B">
            <w:pPr>
              <w:pStyle w:val="TableParagraph"/>
              <w:widowControl/>
              <w:rPr>
                <w:sz w:val="20"/>
                <w:szCs w:val="20"/>
              </w:rPr>
            </w:pPr>
          </w:p>
        </w:tc>
        <w:tc>
          <w:tcPr>
            <w:tcW w:w="1847" w:type="dxa"/>
            <w:tcBorders>
              <w:top w:val="nil"/>
            </w:tcBorders>
          </w:tcPr>
          <w:p w14:paraId="537065D8" w14:textId="77777777" w:rsidR="00436DAA" w:rsidRPr="00330234" w:rsidRDefault="009B4B8E" w:rsidP="00BD109B">
            <w:pPr>
              <w:pStyle w:val="TableParagraph"/>
              <w:widowControl/>
              <w:rPr>
                <w:sz w:val="20"/>
                <w:szCs w:val="20"/>
              </w:rPr>
            </w:pPr>
            <w:r w:rsidRPr="00330234">
              <w:rPr>
                <w:sz w:val="20"/>
                <w:szCs w:val="20"/>
              </w:rPr>
              <w:t>Herpes zoster</w:t>
            </w:r>
          </w:p>
        </w:tc>
        <w:tc>
          <w:tcPr>
            <w:tcW w:w="1442" w:type="dxa"/>
            <w:tcBorders>
              <w:top w:val="nil"/>
            </w:tcBorders>
          </w:tcPr>
          <w:p w14:paraId="19FFEDF5" w14:textId="77777777" w:rsidR="00436DAA" w:rsidRPr="00330234" w:rsidRDefault="00436DAA" w:rsidP="00BD109B">
            <w:pPr>
              <w:pStyle w:val="TableParagraph"/>
              <w:widowControl/>
              <w:rPr>
                <w:sz w:val="20"/>
                <w:szCs w:val="20"/>
              </w:rPr>
            </w:pPr>
          </w:p>
        </w:tc>
        <w:tc>
          <w:tcPr>
            <w:tcW w:w="1778" w:type="dxa"/>
            <w:vMerge/>
            <w:tcBorders>
              <w:top w:val="nil"/>
            </w:tcBorders>
          </w:tcPr>
          <w:p w14:paraId="0A58855B" w14:textId="77777777" w:rsidR="00436DAA" w:rsidRPr="00330234" w:rsidRDefault="00436DAA" w:rsidP="00BD109B">
            <w:pPr>
              <w:widowControl/>
              <w:rPr>
                <w:sz w:val="20"/>
                <w:szCs w:val="20"/>
              </w:rPr>
            </w:pPr>
          </w:p>
        </w:tc>
      </w:tr>
      <w:tr w:rsidR="00CC5184" w:rsidRPr="00330234" w14:paraId="030FE5B4" w14:textId="77777777" w:rsidTr="004C0949">
        <w:trPr>
          <w:trHeight w:val="20"/>
        </w:trPr>
        <w:tc>
          <w:tcPr>
            <w:tcW w:w="2464" w:type="dxa"/>
            <w:tcBorders>
              <w:bottom w:val="nil"/>
            </w:tcBorders>
          </w:tcPr>
          <w:p w14:paraId="130AEEB8" w14:textId="77777777" w:rsidR="00436DAA" w:rsidRPr="00330234" w:rsidRDefault="009B4B8E" w:rsidP="00BD109B">
            <w:pPr>
              <w:pStyle w:val="TableParagraph"/>
              <w:widowControl/>
              <w:rPr>
                <w:sz w:val="20"/>
                <w:szCs w:val="20"/>
              </w:rPr>
            </w:pPr>
            <w:r w:rsidRPr="00330234">
              <w:rPr>
                <w:sz w:val="20"/>
                <w:szCs w:val="20"/>
              </w:rPr>
              <w:t>Bloed- en</w:t>
            </w:r>
          </w:p>
        </w:tc>
        <w:tc>
          <w:tcPr>
            <w:tcW w:w="1540" w:type="dxa"/>
            <w:vMerge w:val="restart"/>
          </w:tcPr>
          <w:p w14:paraId="2574BA13" w14:textId="77777777" w:rsidR="00436DAA" w:rsidRPr="00330234" w:rsidRDefault="00436DAA" w:rsidP="00BD109B">
            <w:pPr>
              <w:pStyle w:val="TableParagraph"/>
              <w:widowControl/>
              <w:rPr>
                <w:sz w:val="20"/>
                <w:szCs w:val="20"/>
              </w:rPr>
            </w:pPr>
          </w:p>
        </w:tc>
        <w:tc>
          <w:tcPr>
            <w:tcW w:w="1847" w:type="dxa"/>
            <w:tcBorders>
              <w:bottom w:val="nil"/>
            </w:tcBorders>
          </w:tcPr>
          <w:p w14:paraId="0A1336D9" w14:textId="77777777" w:rsidR="00436DAA" w:rsidRPr="00330234" w:rsidRDefault="009B4B8E" w:rsidP="00BD109B">
            <w:pPr>
              <w:pStyle w:val="TableParagraph"/>
              <w:widowControl/>
              <w:rPr>
                <w:sz w:val="20"/>
                <w:szCs w:val="20"/>
              </w:rPr>
            </w:pPr>
            <w:r w:rsidRPr="00330234">
              <w:rPr>
                <w:sz w:val="20"/>
                <w:szCs w:val="20"/>
              </w:rPr>
              <w:t>Leukopenie,</w:t>
            </w:r>
          </w:p>
        </w:tc>
        <w:tc>
          <w:tcPr>
            <w:tcW w:w="1442" w:type="dxa"/>
            <w:vMerge w:val="restart"/>
          </w:tcPr>
          <w:p w14:paraId="1E2BC6B0" w14:textId="77777777" w:rsidR="00436DAA" w:rsidRPr="00330234" w:rsidRDefault="00436DAA" w:rsidP="00BD109B">
            <w:pPr>
              <w:pStyle w:val="TableParagraph"/>
              <w:widowControl/>
              <w:rPr>
                <w:sz w:val="20"/>
                <w:szCs w:val="20"/>
              </w:rPr>
            </w:pPr>
          </w:p>
        </w:tc>
        <w:tc>
          <w:tcPr>
            <w:tcW w:w="1778" w:type="dxa"/>
            <w:vMerge w:val="restart"/>
          </w:tcPr>
          <w:p w14:paraId="10721157" w14:textId="77777777" w:rsidR="00436DAA" w:rsidRPr="00330234" w:rsidRDefault="00436DAA" w:rsidP="00BD109B">
            <w:pPr>
              <w:pStyle w:val="TableParagraph"/>
              <w:widowControl/>
              <w:rPr>
                <w:sz w:val="20"/>
                <w:szCs w:val="20"/>
              </w:rPr>
            </w:pPr>
          </w:p>
        </w:tc>
      </w:tr>
      <w:tr w:rsidR="00CC5184" w:rsidRPr="00330234" w14:paraId="4AE46E74" w14:textId="77777777" w:rsidTr="004C0949">
        <w:trPr>
          <w:trHeight w:val="20"/>
        </w:trPr>
        <w:tc>
          <w:tcPr>
            <w:tcW w:w="2464" w:type="dxa"/>
            <w:vMerge w:val="restart"/>
            <w:tcBorders>
              <w:top w:val="nil"/>
            </w:tcBorders>
          </w:tcPr>
          <w:p w14:paraId="13EBD0DF" w14:textId="47AACDE0" w:rsidR="00CC5184" w:rsidRPr="00330234" w:rsidRDefault="00CC5184" w:rsidP="00CC5184">
            <w:pPr>
              <w:pStyle w:val="TableParagraph"/>
              <w:widowControl/>
              <w:rPr>
                <w:sz w:val="20"/>
                <w:szCs w:val="20"/>
              </w:rPr>
            </w:pPr>
            <w:r w:rsidRPr="00330234">
              <w:rPr>
                <w:sz w:val="20"/>
                <w:szCs w:val="20"/>
              </w:rPr>
              <w:t>lymfestelselaandoeningen</w:t>
            </w:r>
          </w:p>
        </w:tc>
        <w:tc>
          <w:tcPr>
            <w:tcW w:w="1540" w:type="dxa"/>
            <w:vMerge/>
            <w:tcBorders>
              <w:top w:val="nil"/>
            </w:tcBorders>
          </w:tcPr>
          <w:p w14:paraId="58B8A5C2" w14:textId="77777777" w:rsidR="00CC5184" w:rsidRPr="00330234" w:rsidRDefault="00CC5184" w:rsidP="00BD109B">
            <w:pPr>
              <w:widowControl/>
              <w:rPr>
                <w:sz w:val="20"/>
                <w:szCs w:val="20"/>
              </w:rPr>
            </w:pPr>
          </w:p>
        </w:tc>
        <w:tc>
          <w:tcPr>
            <w:tcW w:w="1847" w:type="dxa"/>
            <w:tcBorders>
              <w:top w:val="nil"/>
              <w:bottom w:val="nil"/>
            </w:tcBorders>
          </w:tcPr>
          <w:p w14:paraId="3EBBF927" w14:textId="77777777" w:rsidR="00CC5184" w:rsidRPr="00330234" w:rsidRDefault="00CC5184" w:rsidP="00BD109B">
            <w:pPr>
              <w:pStyle w:val="TableParagraph"/>
              <w:widowControl/>
              <w:rPr>
                <w:sz w:val="20"/>
                <w:szCs w:val="20"/>
              </w:rPr>
            </w:pPr>
            <w:r w:rsidRPr="00330234">
              <w:rPr>
                <w:sz w:val="20"/>
                <w:szCs w:val="20"/>
              </w:rPr>
              <w:t>Neutropenie,</w:t>
            </w:r>
          </w:p>
        </w:tc>
        <w:tc>
          <w:tcPr>
            <w:tcW w:w="1442" w:type="dxa"/>
            <w:vMerge/>
            <w:tcBorders>
              <w:top w:val="nil"/>
            </w:tcBorders>
          </w:tcPr>
          <w:p w14:paraId="4C521E17" w14:textId="77777777" w:rsidR="00CC5184" w:rsidRPr="00330234" w:rsidRDefault="00CC5184" w:rsidP="00BD109B">
            <w:pPr>
              <w:widowControl/>
              <w:rPr>
                <w:sz w:val="20"/>
                <w:szCs w:val="20"/>
              </w:rPr>
            </w:pPr>
          </w:p>
        </w:tc>
        <w:tc>
          <w:tcPr>
            <w:tcW w:w="1778" w:type="dxa"/>
            <w:vMerge/>
            <w:tcBorders>
              <w:top w:val="nil"/>
            </w:tcBorders>
          </w:tcPr>
          <w:p w14:paraId="055938CB" w14:textId="77777777" w:rsidR="00CC5184" w:rsidRPr="00330234" w:rsidRDefault="00CC5184" w:rsidP="00BD109B">
            <w:pPr>
              <w:widowControl/>
              <w:rPr>
                <w:sz w:val="20"/>
                <w:szCs w:val="20"/>
              </w:rPr>
            </w:pPr>
          </w:p>
        </w:tc>
      </w:tr>
      <w:tr w:rsidR="00772B43" w:rsidRPr="00330234" w14:paraId="276894A2" w14:textId="77777777" w:rsidTr="004C0949">
        <w:trPr>
          <w:trHeight w:val="516"/>
        </w:trPr>
        <w:tc>
          <w:tcPr>
            <w:tcW w:w="2464" w:type="dxa"/>
            <w:vMerge/>
          </w:tcPr>
          <w:p w14:paraId="386E4683" w14:textId="22E27A73" w:rsidR="00CC5184" w:rsidRPr="00330234" w:rsidRDefault="00CC5184" w:rsidP="00BD109B">
            <w:pPr>
              <w:pStyle w:val="TableParagraph"/>
              <w:widowControl/>
              <w:rPr>
                <w:sz w:val="20"/>
                <w:szCs w:val="20"/>
              </w:rPr>
            </w:pPr>
          </w:p>
        </w:tc>
        <w:tc>
          <w:tcPr>
            <w:tcW w:w="1540" w:type="dxa"/>
            <w:vMerge/>
            <w:tcBorders>
              <w:top w:val="nil"/>
            </w:tcBorders>
          </w:tcPr>
          <w:p w14:paraId="7993D86B" w14:textId="77777777" w:rsidR="00CC5184" w:rsidRPr="00330234" w:rsidRDefault="00CC5184" w:rsidP="00BD109B">
            <w:pPr>
              <w:widowControl/>
              <w:rPr>
                <w:sz w:val="20"/>
                <w:szCs w:val="20"/>
              </w:rPr>
            </w:pPr>
          </w:p>
        </w:tc>
        <w:tc>
          <w:tcPr>
            <w:tcW w:w="1847" w:type="dxa"/>
            <w:tcBorders>
              <w:top w:val="nil"/>
            </w:tcBorders>
          </w:tcPr>
          <w:p w14:paraId="37E26FFE" w14:textId="03B331A1" w:rsidR="00CC5184" w:rsidRPr="00330234" w:rsidRDefault="00CC5184" w:rsidP="00CC5184">
            <w:pPr>
              <w:pStyle w:val="TableParagraph"/>
              <w:widowControl/>
              <w:rPr>
                <w:sz w:val="20"/>
                <w:szCs w:val="20"/>
              </w:rPr>
            </w:pPr>
            <w:r w:rsidRPr="00330234">
              <w:rPr>
                <w:sz w:val="20"/>
                <w:szCs w:val="20"/>
              </w:rPr>
              <w:t>Hypofibrinogenemie</w:t>
            </w:r>
          </w:p>
        </w:tc>
        <w:tc>
          <w:tcPr>
            <w:tcW w:w="1442" w:type="dxa"/>
            <w:vMerge/>
            <w:tcBorders>
              <w:top w:val="nil"/>
            </w:tcBorders>
          </w:tcPr>
          <w:p w14:paraId="04EF2524" w14:textId="77777777" w:rsidR="00CC5184" w:rsidRPr="00330234" w:rsidRDefault="00CC5184" w:rsidP="00BD109B">
            <w:pPr>
              <w:widowControl/>
              <w:rPr>
                <w:sz w:val="20"/>
                <w:szCs w:val="20"/>
              </w:rPr>
            </w:pPr>
          </w:p>
        </w:tc>
        <w:tc>
          <w:tcPr>
            <w:tcW w:w="1778" w:type="dxa"/>
            <w:vMerge/>
            <w:tcBorders>
              <w:top w:val="nil"/>
            </w:tcBorders>
          </w:tcPr>
          <w:p w14:paraId="65707C97" w14:textId="77777777" w:rsidR="00CC5184" w:rsidRPr="00330234" w:rsidRDefault="00CC5184" w:rsidP="00BD109B">
            <w:pPr>
              <w:widowControl/>
              <w:rPr>
                <w:sz w:val="20"/>
                <w:szCs w:val="20"/>
              </w:rPr>
            </w:pPr>
          </w:p>
        </w:tc>
      </w:tr>
      <w:tr w:rsidR="00CC5184" w:rsidRPr="00330234" w14:paraId="6B0D6F49" w14:textId="77777777" w:rsidTr="004C0949">
        <w:trPr>
          <w:trHeight w:val="20"/>
        </w:trPr>
        <w:tc>
          <w:tcPr>
            <w:tcW w:w="2464" w:type="dxa"/>
          </w:tcPr>
          <w:p w14:paraId="4634E3AC" w14:textId="5D152A49" w:rsidR="00436DAA" w:rsidRPr="00330234" w:rsidRDefault="009B4B8E" w:rsidP="00CC5184">
            <w:pPr>
              <w:pStyle w:val="TableParagraph"/>
              <w:widowControl/>
              <w:rPr>
                <w:sz w:val="20"/>
                <w:szCs w:val="20"/>
              </w:rPr>
            </w:pPr>
            <w:r w:rsidRPr="00330234">
              <w:rPr>
                <w:sz w:val="20"/>
                <w:szCs w:val="20"/>
              </w:rPr>
              <w:t>Immuunsysteem-</w:t>
            </w:r>
            <w:r w:rsidR="00CC5184" w:rsidRPr="00330234">
              <w:rPr>
                <w:sz w:val="20"/>
                <w:szCs w:val="20"/>
              </w:rPr>
              <w:t xml:space="preserve"> </w:t>
            </w:r>
            <w:r w:rsidRPr="00330234">
              <w:rPr>
                <w:sz w:val="20"/>
                <w:szCs w:val="20"/>
              </w:rPr>
              <w:t>aandoeningen</w:t>
            </w:r>
          </w:p>
        </w:tc>
        <w:tc>
          <w:tcPr>
            <w:tcW w:w="1540" w:type="dxa"/>
          </w:tcPr>
          <w:p w14:paraId="760F1A2B" w14:textId="77777777" w:rsidR="00436DAA" w:rsidRPr="00330234" w:rsidRDefault="00436DAA" w:rsidP="00BD109B">
            <w:pPr>
              <w:pStyle w:val="TableParagraph"/>
              <w:widowControl/>
              <w:rPr>
                <w:sz w:val="20"/>
                <w:szCs w:val="20"/>
              </w:rPr>
            </w:pPr>
          </w:p>
        </w:tc>
        <w:tc>
          <w:tcPr>
            <w:tcW w:w="1847" w:type="dxa"/>
          </w:tcPr>
          <w:p w14:paraId="3C6BD7E9" w14:textId="77777777" w:rsidR="00436DAA" w:rsidRPr="00330234" w:rsidRDefault="00436DAA" w:rsidP="00BD109B">
            <w:pPr>
              <w:pStyle w:val="TableParagraph"/>
              <w:widowControl/>
              <w:rPr>
                <w:sz w:val="20"/>
                <w:szCs w:val="20"/>
              </w:rPr>
            </w:pPr>
          </w:p>
        </w:tc>
        <w:tc>
          <w:tcPr>
            <w:tcW w:w="1442" w:type="dxa"/>
          </w:tcPr>
          <w:p w14:paraId="1046DBE4" w14:textId="77777777" w:rsidR="00436DAA" w:rsidRPr="00330234" w:rsidRDefault="00436DAA" w:rsidP="00BD109B">
            <w:pPr>
              <w:pStyle w:val="TableParagraph"/>
              <w:widowControl/>
              <w:rPr>
                <w:sz w:val="20"/>
                <w:szCs w:val="20"/>
              </w:rPr>
            </w:pPr>
          </w:p>
        </w:tc>
        <w:tc>
          <w:tcPr>
            <w:tcW w:w="1778" w:type="dxa"/>
          </w:tcPr>
          <w:p w14:paraId="6CC8B67B" w14:textId="5B76501A" w:rsidR="00436DAA" w:rsidRPr="00330234" w:rsidRDefault="009B4B8E" w:rsidP="00CC5184">
            <w:pPr>
              <w:pStyle w:val="TableParagraph"/>
              <w:widowControl/>
              <w:rPr>
                <w:sz w:val="20"/>
                <w:szCs w:val="20"/>
              </w:rPr>
            </w:pPr>
            <w:r w:rsidRPr="00330234">
              <w:rPr>
                <w:sz w:val="20"/>
                <w:szCs w:val="20"/>
              </w:rPr>
              <w:t>Anafylaxie</w:t>
            </w:r>
            <w:r w:rsidR="00CC5184" w:rsidRPr="00330234">
              <w:rPr>
                <w:sz w:val="20"/>
                <w:szCs w:val="20"/>
              </w:rPr>
              <w:t xml:space="preserve"> </w:t>
            </w:r>
            <w:r w:rsidRPr="00330234">
              <w:rPr>
                <w:sz w:val="20"/>
                <w:szCs w:val="20"/>
              </w:rPr>
              <w:t>(fataal) 1,2,3</w:t>
            </w:r>
          </w:p>
        </w:tc>
      </w:tr>
      <w:tr w:rsidR="00CC5184" w:rsidRPr="00330234" w14:paraId="1ADE12AE" w14:textId="77777777" w:rsidTr="004C0949">
        <w:trPr>
          <w:trHeight w:val="20"/>
        </w:trPr>
        <w:tc>
          <w:tcPr>
            <w:tcW w:w="2464" w:type="dxa"/>
          </w:tcPr>
          <w:p w14:paraId="4A335F5E" w14:textId="79268215" w:rsidR="00436DAA" w:rsidRPr="00330234" w:rsidRDefault="009B4B8E" w:rsidP="00CC5184">
            <w:pPr>
              <w:pStyle w:val="TableParagraph"/>
              <w:widowControl/>
              <w:rPr>
                <w:sz w:val="20"/>
                <w:szCs w:val="20"/>
              </w:rPr>
            </w:pPr>
            <w:r w:rsidRPr="00330234">
              <w:rPr>
                <w:sz w:val="20"/>
                <w:szCs w:val="20"/>
              </w:rPr>
              <w:t>Endocriene</w:t>
            </w:r>
            <w:r w:rsidR="00CC5184" w:rsidRPr="00330234">
              <w:rPr>
                <w:sz w:val="20"/>
                <w:szCs w:val="20"/>
              </w:rPr>
              <w:t xml:space="preserve"> </w:t>
            </w:r>
            <w:r w:rsidRPr="00330234">
              <w:rPr>
                <w:sz w:val="20"/>
                <w:szCs w:val="20"/>
              </w:rPr>
              <w:t>aandoeningen</w:t>
            </w:r>
          </w:p>
        </w:tc>
        <w:tc>
          <w:tcPr>
            <w:tcW w:w="1540" w:type="dxa"/>
          </w:tcPr>
          <w:p w14:paraId="2FDE73E3" w14:textId="77777777" w:rsidR="00436DAA" w:rsidRPr="00330234" w:rsidRDefault="00436DAA" w:rsidP="00BD109B">
            <w:pPr>
              <w:pStyle w:val="TableParagraph"/>
              <w:widowControl/>
              <w:rPr>
                <w:sz w:val="20"/>
                <w:szCs w:val="20"/>
              </w:rPr>
            </w:pPr>
          </w:p>
        </w:tc>
        <w:tc>
          <w:tcPr>
            <w:tcW w:w="1847" w:type="dxa"/>
          </w:tcPr>
          <w:p w14:paraId="0410A409" w14:textId="77777777" w:rsidR="00436DAA" w:rsidRPr="00330234" w:rsidRDefault="00436DAA" w:rsidP="00BD109B">
            <w:pPr>
              <w:pStyle w:val="TableParagraph"/>
              <w:widowControl/>
              <w:rPr>
                <w:sz w:val="20"/>
                <w:szCs w:val="20"/>
              </w:rPr>
            </w:pPr>
          </w:p>
        </w:tc>
        <w:tc>
          <w:tcPr>
            <w:tcW w:w="1442" w:type="dxa"/>
          </w:tcPr>
          <w:p w14:paraId="0D719536" w14:textId="77777777" w:rsidR="00436DAA" w:rsidRPr="00330234" w:rsidRDefault="009B4B8E" w:rsidP="00BD109B">
            <w:pPr>
              <w:pStyle w:val="TableParagraph"/>
              <w:widowControl/>
              <w:rPr>
                <w:sz w:val="20"/>
                <w:szCs w:val="20"/>
              </w:rPr>
            </w:pPr>
            <w:r w:rsidRPr="00330234">
              <w:rPr>
                <w:sz w:val="20"/>
                <w:szCs w:val="20"/>
              </w:rPr>
              <w:t>Hypothyreoïdie</w:t>
            </w:r>
          </w:p>
        </w:tc>
        <w:tc>
          <w:tcPr>
            <w:tcW w:w="1778" w:type="dxa"/>
          </w:tcPr>
          <w:p w14:paraId="5975E4F9" w14:textId="77777777" w:rsidR="00436DAA" w:rsidRPr="00330234" w:rsidRDefault="00436DAA" w:rsidP="00BD109B">
            <w:pPr>
              <w:pStyle w:val="TableParagraph"/>
              <w:widowControl/>
              <w:rPr>
                <w:sz w:val="20"/>
                <w:szCs w:val="20"/>
              </w:rPr>
            </w:pPr>
          </w:p>
        </w:tc>
      </w:tr>
      <w:tr w:rsidR="00CC5184" w:rsidRPr="00330234" w14:paraId="12EAB554" w14:textId="77777777" w:rsidTr="004C0949">
        <w:trPr>
          <w:trHeight w:val="20"/>
        </w:trPr>
        <w:tc>
          <w:tcPr>
            <w:tcW w:w="2464" w:type="dxa"/>
          </w:tcPr>
          <w:p w14:paraId="3463D4CF" w14:textId="0771CA8E" w:rsidR="00436DAA" w:rsidRPr="00330234" w:rsidRDefault="009B4B8E" w:rsidP="00CC5184">
            <w:pPr>
              <w:pStyle w:val="TableParagraph"/>
              <w:widowControl/>
              <w:rPr>
                <w:sz w:val="20"/>
                <w:szCs w:val="20"/>
              </w:rPr>
            </w:pPr>
            <w:r w:rsidRPr="00330234">
              <w:rPr>
                <w:sz w:val="20"/>
                <w:szCs w:val="20"/>
              </w:rPr>
              <w:t>Voedings- en</w:t>
            </w:r>
            <w:r w:rsidR="00CC5184" w:rsidRPr="00330234">
              <w:rPr>
                <w:sz w:val="20"/>
                <w:szCs w:val="20"/>
              </w:rPr>
              <w:t xml:space="preserve"> </w:t>
            </w:r>
            <w:r w:rsidRPr="00330234">
              <w:rPr>
                <w:sz w:val="20"/>
                <w:szCs w:val="20"/>
              </w:rPr>
              <w:t>stofwisselingsstoornissen</w:t>
            </w:r>
          </w:p>
        </w:tc>
        <w:tc>
          <w:tcPr>
            <w:tcW w:w="1540" w:type="dxa"/>
          </w:tcPr>
          <w:p w14:paraId="7B46531C" w14:textId="56C7308B" w:rsidR="00436DAA" w:rsidRPr="00330234" w:rsidRDefault="009B4B8E" w:rsidP="00CC5184">
            <w:pPr>
              <w:pStyle w:val="TableParagraph"/>
              <w:widowControl/>
              <w:rPr>
                <w:sz w:val="20"/>
                <w:szCs w:val="20"/>
              </w:rPr>
            </w:pPr>
            <w:r w:rsidRPr="00330234">
              <w:rPr>
                <w:sz w:val="20"/>
                <w:szCs w:val="20"/>
              </w:rPr>
              <w:t>Hyper-cholesterolemie*</w:t>
            </w:r>
          </w:p>
        </w:tc>
        <w:tc>
          <w:tcPr>
            <w:tcW w:w="1847" w:type="dxa"/>
          </w:tcPr>
          <w:p w14:paraId="53EF47FD" w14:textId="77777777" w:rsidR="00436DAA" w:rsidRPr="00330234" w:rsidRDefault="00436DAA" w:rsidP="00BD109B">
            <w:pPr>
              <w:pStyle w:val="TableParagraph"/>
              <w:widowControl/>
              <w:rPr>
                <w:sz w:val="20"/>
                <w:szCs w:val="20"/>
              </w:rPr>
            </w:pPr>
          </w:p>
        </w:tc>
        <w:tc>
          <w:tcPr>
            <w:tcW w:w="1442" w:type="dxa"/>
          </w:tcPr>
          <w:p w14:paraId="1DA9A7A1" w14:textId="77777777" w:rsidR="00436DAA" w:rsidRPr="00330234" w:rsidRDefault="009B4B8E" w:rsidP="00BD109B">
            <w:pPr>
              <w:pStyle w:val="TableParagraph"/>
              <w:widowControl/>
              <w:rPr>
                <w:sz w:val="20"/>
                <w:szCs w:val="20"/>
              </w:rPr>
            </w:pPr>
            <w:r w:rsidRPr="00330234">
              <w:rPr>
                <w:sz w:val="20"/>
                <w:szCs w:val="20"/>
              </w:rPr>
              <w:t>Hyper- triglyceridemie</w:t>
            </w:r>
          </w:p>
        </w:tc>
        <w:tc>
          <w:tcPr>
            <w:tcW w:w="1778" w:type="dxa"/>
          </w:tcPr>
          <w:p w14:paraId="1090827D" w14:textId="77777777" w:rsidR="00436DAA" w:rsidRPr="00330234" w:rsidRDefault="00436DAA" w:rsidP="00BD109B">
            <w:pPr>
              <w:pStyle w:val="TableParagraph"/>
              <w:widowControl/>
              <w:rPr>
                <w:sz w:val="20"/>
                <w:szCs w:val="20"/>
              </w:rPr>
            </w:pPr>
          </w:p>
        </w:tc>
      </w:tr>
      <w:tr w:rsidR="00CC5184" w:rsidRPr="00330234" w14:paraId="10B78210" w14:textId="77777777" w:rsidTr="004C0949">
        <w:trPr>
          <w:trHeight w:val="20"/>
        </w:trPr>
        <w:tc>
          <w:tcPr>
            <w:tcW w:w="2464" w:type="dxa"/>
          </w:tcPr>
          <w:p w14:paraId="60C867F4" w14:textId="7EA8D261" w:rsidR="00436DAA" w:rsidRPr="00330234" w:rsidRDefault="009B4B8E" w:rsidP="00CC5184">
            <w:pPr>
              <w:pStyle w:val="TableParagraph"/>
              <w:widowControl/>
              <w:rPr>
                <w:sz w:val="20"/>
                <w:szCs w:val="20"/>
              </w:rPr>
            </w:pPr>
            <w:r w:rsidRPr="00330234">
              <w:rPr>
                <w:sz w:val="20"/>
                <w:szCs w:val="20"/>
              </w:rPr>
              <w:t>Zenuwstelselaandoeningen</w:t>
            </w:r>
          </w:p>
        </w:tc>
        <w:tc>
          <w:tcPr>
            <w:tcW w:w="1540" w:type="dxa"/>
          </w:tcPr>
          <w:p w14:paraId="0348E1B2" w14:textId="77777777" w:rsidR="00436DAA" w:rsidRPr="00330234" w:rsidRDefault="00436DAA" w:rsidP="00BD109B">
            <w:pPr>
              <w:pStyle w:val="TableParagraph"/>
              <w:widowControl/>
              <w:rPr>
                <w:sz w:val="20"/>
                <w:szCs w:val="20"/>
              </w:rPr>
            </w:pPr>
          </w:p>
        </w:tc>
        <w:tc>
          <w:tcPr>
            <w:tcW w:w="1847" w:type="dxa"/>
          </w:tcPr>
          <w:p w14:paraId="143A65A2" w14:textId="0FA7BD12" w:rsidR="00436DAA" w:rsidRPr="00330234" w:rsidRDefault="009B4B8E" w:rsidP="00CC5184">
            <w:pPr>
              <w:pStyle w:val="TableParagraph"/>
              <w:widowControl/>
              <w:rPr>
                <w:sz w:val="20"/>
                <w:szCs w:val="20"/>
              </w:rPr>
            </w:pPr>
            <w:r w:rsidRPr="00330234">
              <w:rPr>
                <w:sz w:val="20"/>
                <w:szCs w:val="20"/>
              </w:rPr>
              <w:t>Hoofdpijn,</w:t>
            </w:r>
            <w:r w:rsidR="00CC5184" w:rsidRPr="00330234">
              <w:rPr>
                <w:sz w:val="20"/>
                <w:szCs w:val="20"/>
              </w:rPr>
              <w:t xml:space="preserve"> </w:t>
            </w:r>
            <w:r w:rsidRPr="00330234">
              <w:rPr>
                <w:sz w:val="20"/>
                <w:szCs w:val="20"/>
              </w:rPr>
              <w:t>Duizeligheid</w:t>
            </w:r>
          </w:p>
        </w:tc>
        <w:tc>
          <w:tcPr>
            <w:tcW w:w="1442" w:type="dxa"/>
          </w:tcPr>
          <w:p w14:paraId="1F59A70F" w14:textId="77777777" w:rsidR="00436DAA" w:rsidRPr="00330234" w:rsidRDefault="00436DAA" w:rsidP="00BD109B">
            <w:pPr>
              <w:pStyle w:val="TableParagraph"/>
              <w:widowControl/>
              <w:rPr>
                <w:sz w:val="20"/>
                <w:szCs w:val="20"/>
              </w:rPr>
            </w:pPr>
          </w:p>
        </w:tc>
        <w:tc>
          <w:tcPr>
            <w:tcW w:w="1778" w:type="dxa"/>
          </w:tcPr>
          <w:p w14:paraId="4D6AAE8F" w14:textId="77777777" w:rsidR="00436DAA" w:rsidRPr="00330234" w:rsidRDefault="00436DAA" w:rsidP="00BD109B">
            <w:pPr>
              <w:pStyle w:val="TableParagraph"/>
              <w:widowControl/>
              <w:rPr>
                <w:sz w:val="20"/>
                <w:szCs w:val="20"/>
              </w:rPr>
            </w:pPr>
          </w:p>
        </w:tc>
      </w:tr>
      <w:tr w:rsidR="00CC5184" w:rsidRPr="00330234" w14:paraId="241BDA2F" w14:textId="77777777" w:rsidTr="004C0949">
        <w:trPr>
          <w:trHeight w:val="20"/>
        </w:trPr>
        <w:tc>
          <w:tcPr>
            <w:tcW w:w="2464" w:type="dxa"/>
          </w:tcPr>
          <w:p w14:paraId="6B0558AE" w14:textId="77777777" w:rsidR="00436DAA" w:rsidRPr="00330234" w:rsidRDefault="009B4B8E" w:rsidP="00BD109B">
            <w:pPr>
              <w:pStyle w:val="TableParagraph"/>
              <w:widowControl/>
              <w:rPr>
                <w:sz w:val="20"/>
                <w:szCs w:val="20"/>
              </w:rPr>
            </w:pPr>
            <w:r w:rsidRPr="00330234">
              <w:rPr>
                <w:sz w:val="20"/>
                <w:szCs w:val="20"/>
              </w:rPr>
              <w:t>Oogaandoeningen</w:t>
            </w:r>
          </w:p>
        </w:tc>
        <w:tc>
          <w:tcPr>
            <w:tcW w:w="1540" w:type="dxa"/>
          </w:tcPr>
          <w:p w14:paraId="4728063E" w14:textId="77777777" w:rsidR="00436DAA" w:rsidRPr="00330234" w:rsidRDefault="00436DAA" w:rsidP="00BD109B">
            <w:pPr>
              <w:pStyle w:val="TableParagraph"/>
              <w:widowControl/>
              <w:rPr>
                <w:sz w:val="20"/>
                <w:szCs w:val="20"/>
              </w:rPr>
            </w:pPr>
          </w:p>
        </w:tc>
        <w:tc>
          <w:tcPr>
            <w:tcW w:w="1847" w:type="dxa"/>
          </w:tcPr>
          <w:p w14:paraId="65845C40" w14:textId="77777777" w:rsidR="00436DAA" w:rsidRPr="00330234" w:rsidRDefault="009B4B8E" w:rsidP="00BD109B">
            <w:pPr>
              <w:pStyle w:val="TableParagraph"/>
              <w:widowControl/>
              <w:rPr>
                <w:sz w:val="20"/>
                <w:szCs w:val="20"/>
              </w:rPr>
            </w:pPr>
            <w:r w:rsidRPr="00330234">
              <w:rPr>
                <w:sz w:val="20"/>
                <w:szCs w:val="20"/>
              </w:rPr>
              <w:t>Conjunctivitis</w:t>
            </w:r>
          </w:p>
        </w:tc>
        <w:tc>
          <w:tcPr>
            <w:tcW w:w="1442" w:type="dxa"/>
          </w:tcPr>
          <w:p w14:paraId="21D3FA63" w14:textId="77777777" w:rsidR="00436DAA" w:rsidRPr="00330234" w:rsidRDefault="00436DAA" w:rsidP="00BD109B">
            <w:pPr>
              <w:pStyle w:val="TableParagraph"/>
              <w:widowControl/>
              <w:rPr>
                <w:sz w:val="20"/>
                <w:szCs w:val="20"/>
              </w:rPr>
            </w:pPr>
          </w:p>
        </w:tc>
        <w:tc>
          <w:tcPr>
            <w:tcW w:w="1778" w:type="dxa"/>
          </w:tcPr>
          <w:p w14:paraId="5C397A76" w14:textId="77777777" w:rsidR="00436DAA" w:rsidRPr="00330234" w:rsidRDefault="00436DAA" w:rsidP="00BD109B">
            <w:pPr>
              <w:pStyle w:val="TableParagraph"/>
              <w:widowControl/>
              <w:rPr>
                <w:sz w:val="20"/>
                <w:szCs w:val="20"/>
              </w:rPr>
            </w:pPr>
          </w:p>
        </w:tc>
      </w:tr>
      <w:tr w:rsidR="00CC5184" w:rsidRPr="00330234" w14:paraId="40FF7C9A" w14:textId="77777777" w:rsidTr="004C0949">
        <w:trPr>
          <w:trHeight w:val="20"/>
        </w:trPr>
        <w:tc>
          <w:tcPr>
            <w:tcW w:w="2464" w:type="dxa"/>
          </w:tcPr>
          <w:p w14:paraId="5B8E0454" w14:textId="77777777" w:rsidR="00436DAA" w:rsidRPr="00330234" w:rsidRDefault="009B4B8E" w:rsidP="00BD109B">
            <w:pPr>
              <w:pStyle w:val="TableParagraph"/>
              <w:widowControl/>
              <w:rPr>
                <w:sz w:val="20"/>
                <w:szCs w:val="20"/>
              </w:rPr>
            </w:pPr>
            <w:r w:rsidRPr="00330234">
              <w:rPr>
                <w:sz w:val="20"/>
                <w:szCs w:val="20"/>
              </w:rPr>
              <w:t>Bloedvataandoeningen</w:t>
            </w:r>
          </w:p>
        </w:tc>
        <w:tc>
          <w:tcPr>
            <w:tcW w:w="1540" w:type="dxa"/>
          </w:tcPr>
          <w:p w14:paraId="724900C0" w14:textId="77777777" w:rsidR="00436DAA" w:rsidRPr="00330234" w:rsidRDefault="00436DAA" w:rsidP="00BD109B">
            <w:pPr>
              <w:pStyle w:val="TableParagraph"/>
              <w:widowControl/>
              <w:rPr>
                <w:sz w:val="20"/>
                <w:szCs w:val="20"/>
              </w:rPr>
            </w:pPr>
          </w:p>
        </w:tc>
        <w:tc>
          <w:tcPr>
            <w:tcW w:w="1847" w:type="dxa"/>
          </w:tcPr>
          <w:p w14:paraId="75AEB7B7" w14:textId="77777777" w:rsidR="00436DAA" w:rsidRPr="00330234" w:rsidRDefault="009B4B8E" w:rsidP="00BD109B">
            <w:pPr>
              <w:pStyle w:val="TableParagraph"/>
              <w:widowControl/>
              <w:rPr>
                <w:sz w:val="20"/>
                <w:szCs w:val="20"/>
              </w:rPr>
            </w:pPr>
            <w:r w:rsidRPr="00330234">
              <w:rPr>
                <w:sz w:val="20"/>
                <w:szCs w:val="20"/>
              </w:rPr>
              <w:t>Hypertensie</w:t>
            </w:r>
          </w:p>
        </w:tc>
        <w:tc>
          <w:tcPr>
            <w:tcW w:w="1442" w:type="dxa"/>
          </w:tcPr>
          <w:p w14:paraId="4ACACBF5" w14:textId="77777777" w:rsidR="00436DAA" w:rsidRPr="00330234" w:rsidRDefault="00436DAA" w:rsidP="00BD109B">
            <w:pPr>
              <w:pStyle w:val="TableParagraph"/>
              <w:widowControl/>
              <w:rPr>
                <w:sz w:val="20"/>
                <w:szCs w:val="20"/>
              </w:rPr>
            </w:pPr>
          </w:p>
        </w:tc>
        <w:tc>
          <w:tcPr>
            <w:tcW w:w="1778" w:type="dxa"/>
          </w:tcPr>
          <w:p w14:paraId="60FF662B" w14:textId="77777777" w:rsidR="00436DAA" w:rsidRPr="00330234" w:rsidRDefault="00436DAA" w:rsidP="00BD109B">
            <w:pPr>
              <w:pStyle w:val="TableParagraph"/>
              <w:widowControl/>
              <w:rPr>
                <w:sz w:val="20"/>
                <w:szCs w:val="20"/>
              </w:rPr>
            </w:pPr>
          </w:p>
        </w:tc>
      </w:tr>
      <w:tr w:rsidR="00CC5184" w:rsidRPr="00330234" w14:paraId="23820B4D" w14:textId="77777777" w:rsidTr="004C0949">
        <w:trPr>
          <w:trHeight w:val="20"/>
        </w:trPr>
        <w:tc>
          <w:tcPr>
            <w:tcW w:w="2464" w:type="dxa"/>
          </w:tcPr>
          <w:p w14:paraId="7767E73D" w14:textId="64EBCC36" w:rsidR="00436DAA" w:rsidRPr="00330234" w:rsidRDefault="009B4B8E" w:rsidP="00CC5184">
            <w:pPr>
              <w:pStyle w:val="TableParagraph"/>
              <w:widowControl/>
              <w:rPr>
                <w:sz w:val="20"/>
                <w:szCs w:val="20"/>
              </w:rPr>
            </w:pPr>
            <w:r w:rsidRPr="00330234">
              <w:rPr>
                <w:sz w:val="20"/>
                <w:szCs w:val="20"/>
              </w:rPr>
              <w:t>Ademhalingsstelsel-, borstkas- en mediastinumaandoeningen</w:t>
            </w:r>
          </w:p>
        </w:tc>
        <w:tc>
          <w:tcPr>
            <w:tcW w:w="1540" w:type="dxa"/>
          </w:tcPr>
          <w:p w14:paraId="681F1A00" w14:textId="77777777" w:rsidR="00436DAA" w:rsidRPr="00330234" w:rsidRDefault="00436DAA" w:rsidP="00BD109B">
            <w:pPr>
              <w:pStyle w:val="TableParagraph"/>
              <w:widowControl/>
              <w:rPr>
                <w:sz w:val="20"/>
                <w:szCs w:val="20"/>
              </w:rPr>
            </w:pPr>
          </w:p>
        </w:tc>
        <w:tc>
          <w:tcPr>
            <w:tcW w:w="1847" w:type="dxa"/>
          </w:tcPr>
          <w:p w14:paraId="0C35622C" w14:textId="77777777" w:rsidR="00436DAA" w:rsidRPr="00330234" w:rsidRDefault="009B4B8E" w:rsidP="00BD109B">
            <w:pPr>
              <w:pStyle w:val="TableParagraph"/>
              <w:widowControl/>
              <w:rPr>
                <w:sz w:val="20"/>
                <w:szCs w:val="20"/>
              </w:rPr>
            </w:pPr>
            <w:r w:rsidRPr="00330234">
              <w:rPr>
                <w:sz w:val="20"/>
                <w:szCs w:val="20"/>
              </w:rPr>
              <w:t>Hoesten, Dyspneu</w:t>
            </w:r>
          </w:p>
        </w:tc>
        <w:tc>
          <w:tcPr>
            <w:tcW w:w="1442" w:type="dxa"/>
          </w:tcPr>
          <w:p w14:paraId="7703E23C" w14:textId="77777777" w:rsidR="00436DAA" w:rsidRPr="00330234" w:rsidRDefault="00436DAA" w:rsidP="00BD109B">
            <w:pPr>
              <w:pStyle w:val="TableParagraph"/>
              <w:widowControl/>
              <w:rPr>
                <w:sz w:val="20"/>
                <w:szCs w:val="20"/>
              </w:rPr>
            </w:pPr>
          </w:p>
        </w:tc>
        <w:tc>
          <w:tcPr>
            <w:tcW w:w="1778" w:type="dxa"/>
          </w:tcPr>
          <w:p w14:paraId="6B0B1719" w14:textId="77777777" w:rsidR="00436DAA" w:rsidRPr="00330234" w:rsidRDefault="00436DAA" w:rsidP="00BD109B">
            <w:pPr>
              <w:pStyle w:val="TableParagraph"/>
              <w:widowControl/>
              <w:rPr>
                <w:sz w:val="20"/>
                <w:szCs w:val="20"/>
              </w:rPr>
            </w:pPr>
          </w:p>
        </w:tc>
      </w:tr>
      <w:tr w:rsidR="00CC5184" w:rsidRPr="00330234" w14:paraId="160E83EE" w14:textId="77777777" w:rsidTr="004C0949">
        <w:trPr>
          <w:trHeight w:val="20"/>
        </w:trPr>
        <w:tc>
          <w:tcPr>
            <w:tcW w:w="2464" w:type="dxa"/>
          </w:tcPr>
          <w:p w14:paraId="4EF84E22" w14:textId="77777777" w:rsidR="00436DAA" w:rsidRPr="00330234" w:rsidRDefault="009B4B8E" w:rsidP="00BD109B">
            <w:pPr>
              <w:pStyle w:val="TableParagraph"/>
              <w:widowControl/>
              <w:rPr>
                <w:sz w:val="20"/>
                <w:szCs w:val="20"/>
              </w:rPr>
            </w:pPr>
            <w:r w:rsidRPr="00330234">
              <w:rPr>
                <w:sz w:val="20"/>
                <w:szCs w:val="20"/>
              </w:rPr>
              <w:t>Maagdarmstelselaandoe ningen</w:t>
            </w:r>
          </w:p>
        </w:tc>
        <w:tc>
          <w:tcPr>
            <w:tcW w:w="1540" w:type="dxa"/>
          </w:tcPr>
          <w:p w14:paraId="26DA3AEE" w14:textId="77777777" w:rsidR="00436DAA" w:rsidRPr="00330234" w:rsidRDefault="00436DAA" w:rsidP="00BD109B">
            <w:pPr>
              <w:pStyle w:val="TableParagraph"/>
              <w:widowControl/>
              <w:rPr>
                <w:sz w:val="20"/>
                <w:szCs w:val="20"/>
              </w:rPr>
            </w:pPr>
          </w:p>
        </w:tc>
        <w:tc>
          <w:tcPr>
            <w:tcW w:w="1847" w:type="dxa"/>
          </w:tcPr>
          <w:p w14:paraId="1D13885E" w14:textId="77777777" w:rsidR="00436DAA" w:rsidRPr="00330234" w:rsidRDefault="009B4B8E" w:rsidP="00BD109B">
            <w:pPr>
              <w:pStyle w:val="TableParagraph"/>
              <w:widowControl/>
              <w:rPr>
                <w:sz w:val="20"/>
                <w:szCs w:val="20"/>
              </w:rPr>
            </w:pPr>
            <w:r w:rsidRPr="00330234">
              <w:rPr>
                <w:sz w:val="20"/>
                <w:szCs w:val="20"/>
              </w:rPr>
              <w:t>Buikpijn,</w:t>
            </w:r>
          </w:p>
          <w:p w14:paraId="116331B4" w14:textId="77777777" w:rsidR="00436DAA" w:rsidRPr="00330234" w:rsidRDefault="009B4B8E" w:rsidP="00BD109B">
            <w:pPr>
              <w:pStyle w:val="TableParagraph"/>
              <w:widowControl/>
              <w:rPr>
                <w:sz w:val="20"/>
                <w:szCs w:val="20"/>
              </w:rPr>
            </w:pPr>
            <w:r w:rsidRPr="00330234">
              <w:rPr>
                <w:sz w:val="20"/>
                <w:szCs w:val="20"/>
              </w:rPr>
              <w:t>Ulceraties in de mond, Gastritis</w:t>
            </w:r>
          </w:p>
        </w:tc>
        <w:tc>
          <w:tcPr>
            <w:tcW w:w="1442" w:type="dxa"/>
          </w:tcPr>
          <w:p w14:paraId="257678AB" w14:textId="77777777" w:rsidR="00436DAA" w:rsidRPr="00330234" w:rsidRDefault="009B4B8E" w:rsidP="00BD109B">
            <w:pPr>
              <w:pStyle w:val="TableParagraph"/>
              <w:widowControl/>
              <w:rPr>
                <w:sz w:val="20"/>
                <w:szCs w:val="20"/>
              </w:rPr>
            </w:pPr>
            <w:r w:rsidRPr="00330234">
              <w:rPr>
                <w:sz w:val="20"/>
                <w:szCs w:val="20"/>
              </w:rPr>
              <w:t>Stomatitis, Maagulcus</w:t>
            </w:r>
          </w:p>
        </w:tc>
        <w:tc>
          <w:tcPr>
            <w:tcW w:w="1778" w:type="dxa"/>
          </w:tcPr>
          <w:p w14:paraId="4D000D64" w14:textId="77777777" w:rsidR="00436DAA" w:rsidRPr="00330234" w:rsidRDefault="00436DAA" w:rsidP="00BD109B">
            <w:pPr>
              <w:pStyle w:val="TableParagraph"/>
              <w:widowControl/>
              <w:rPr>
                <w:sz w:val="20"/>
                <w:szCs w:val="20"/>
              </w:rPr>
            </w:pPr>
          </w:p>
        </w:tc>
      </w:tr>
      <w:tr w:rsidR="00CC5184" w:rsidRPr="00330234" w14:paraId="2B397EE0" w14:textId="77777777" w:rsidTr="004C0949">
        <w:trPr>
          <w:trHeight w:val="20"/>
        </w:trPr>
        <w:tc>
          <w:tcPr>
            <w:tcW w:w="2464" w:type="dxa"/>
            <w:tcBorders>
              <w:bottom w:val="nil"/>
            </w:tcBorders>
          </w:tcPr>
          <w:p w14:paraId="45E809B1" w14:textId="77777777" w:rsidR="00436DAA" w:rsidRPr="00330234" w:rsidRDefault="009B4B8E" w:rsidP="00BD109B">
            <w:pPr>
              <w:pStyle w:val="TableParagraph"/>
              <w:widowControl/>
              <w:rPr>
                <w:sz w:val="20"/>
                <w:szCs w:val="20"/>
              </w:rPr>
            </w:pPr>
            <w:r w:rsidRPr="00330234">
              <w:rPr>
                <w:sz w:val="20"/>
                <w:szCs w:val="20"/>
              </w:rPr>
              <w:t>Lever- en galaandoeningen</w:t>
            </w:r>
          </w:p>
        </w:tc>
        <w:tc>
          <w:tcPr>
            <w:tcW w:w="1540" w:type="dxa"/>
            <w:vMerge w:val="restart"/>
          </w:tcPr>
          <w:p w14:paraId="71C8A909" w14:textId="77777777" w:rsidR="00436DAA" w:rsidRPr="00330234" w:rsidRDefault="00436DAA" w:rsidP="00BD109B">
            <w:pPr>
              <w:pStyle w:val="TableParagraph"/>
              <w:widowControl/>
              <w:rPr>
                <w:sz w:val="20"/>
                <w:szCs w:val="20"/>
              </w:rPr>
            </w:pPr>
          </w:p>
        </w:tc>
        <w:tc>
          <w:tcPr>
            <w:tcW w:w="1847" w:type="dxa"/>
            <w:vMerge w:val="restart"/>
          </w:tcPr>
          <w:p w14:paraId="3A09A107" w14:textId="77777777" w:rsidR="00436DAA" w:rsidRPr="00330234" w:rsidRDefault="00436DAA" w:rsidP="00BD109B">
            <w:pPr>
              <w:pStyle w:val="TableParagraph"/>
              <w:widowControl/>
              <w:rPr>
                <w:sz w:val="20"/>
                <w:szCs w:val="20"/>
              </w:rPr>
            </w:pPr>
          </w:p>
        </w:tc>
        <w:tc>
          <w:tcPr>
            <w:tcW w:w="1442" w:type="dxa"/>
            <w:vMerge w:val="restart"/>
          </w:tcPr>
          <w:p w14:paraId="1E734C9B" w14:textId="77777777" w:rsidR="00436DAA" w:rsidRPr="00330234" w:rsidRDefault="00436DAA" w:rsidP="00BD109B">
            <w:pPr>
              <w:pStyle w:val="TableParagraph"/>
              <w:widowControl/>
              <w:rPr>
                <w:sz w:val="20"/>
                <w:szCs w:val="20"/>
              </w:rPr>
            </w:pPr>
          </w:p>
        </w:tc>
        <w:tc>
          <w:tcPr>
            <w:tcW w:w="1778" w:type="dxa"/>
            <w:tcBorders>
              <w:bottom w:val="nil"/>
            </w:tcBorders>
          </w:tcPr>
          <w:p w14:paraId="484E9F97" w14:textId="77777777" w:rsidR="00436DAA" w:rsidRPr="00330234" w:rsidRDefault="009B4B8E" w:rsidP="00BD109B">
            <w:pPr>
              <w:pStyle w:val="TableParagraph"/>
              <w:widowControl/>
              <w:rPr>
                <w:sz w:val="20"/>
                <w:szCs w:val="20"/>
              </w:rPr>
            </w:pPr>
            <w:r w:rsidRPr="00330234">
              <w:rPr>
                <w:sz w:val="20"/>
                <w:szCs w:val="20"/>
              </w:rPr>
              <w:t>Geneesmiddel- geïnduceerde leverschade, Hepatitis, Geelzucht.</w:t>
            </w:r>
          </w:p>
          <w:p w14:paraId="0B4D3010" w14:textId="77777777" w:rsidR="00436DAA" w:rsidRPr="00330234" w:rsidRDefault="009B4B8E" w:rsidP="00BD109B">
            <w:pPr>
              <w:pStyle w:val="TableParagraph"/>
              <w:widowControl/>
              <w:rPr>
                <w:sz w:val="20"/>
                <w:szCs w:val="20"/>
              </w:rPr>
            </w:pPr>
            <w:r w:rsidRPr="00330234">
              <w:rPr>
                <w:sz w:val="20"/>
                <w:szCs w:val="20"/>
              </w:rPr>
              <w:t>Zeer zelden:</w:t>
            </w:r>
          </w:p>
        </w:tc>
      </w:tr>
      <w:tr w:rsidR="00CC5184" w:rsidRPr="00330234" w14:paraId="1B2B3B01" w14:textId="77777777" w:rsidTr="004C0949">
        <w:trPr>
          <w:trHeight w:val="20"/>
        </w:trPr>
        <w:tc>
          <w:tcPr>
            <w:tcW w:w="2464" w:type="dxa"/>
            <w:tcBorders>
              <w:top w:val="nil"/>
            </w:tcBorders>
          </w:tcPr>
          <w:p w14:paraId="57C51F88" w14:textId="77777777" w:rsidR="00436DAA" w:rsidRPr="00330234" w:rsidRDefault="00436DAA" w:rsidP="00BD109B">
            <w:pPr>
              <w:pStyle w:val="TableParagraph"/>
              <w:widowControl/>
              <w:rPr>
                <w:sz w:val="20"/>
                <w:szCs w:val="20"/>
              </w:rPr>
            </w:pPr>
          </w:p>
        </w:tc>
        <w:tc>
          <w:tcPr>
            <w:tcW w:w="1540" w:type="dxa"/>
            <w:vMerge/>
            <w:tcBorders>
              <w:top w:val="nil"/>
            </w:tcBorders>
          </w:tcPr>
          <w:p w14:paraId="40577B2C" w14:textId="77777777" w:rsidR="00436DAA" w:rsidRPr="00330234" w:rsidRDefault="00436DAA" w:rsidP="00BD109B">
            <w:pPr>
              <w:widowControl/>
              <w:rPr>
                <w:sz w:val="20"/>
                <w:szCs w:val="20"/>
              </w:rPr>
            </w:pPr>
          </w:p>
        </w:tc>
        <w:tc>
          <w:tcPr>
            <w:tcW w:w="1847" w:type="dxa"/>
            <w:vMerge/>
            <w:tcBorders>
              <w:top w:val="nil"/>
            </w:tcBorders>
          </w:tcPr>
          <w:p w14:paraId="771D2DDC" w14:textId="77777777" w:rsidR="00436DAA" w:rsidRPr="00330234" w:rsidRDefault="00436DAA" w:rsidP="00BD109B">
            <w:pPr>
              <w:widowControl/>
              <w:rPr>
                <w:sz w:val="20"/>
                <w:szCs w:val="20"/>
              </w:rPr>
            </w:pPr>
          </w:p>
        </w:tc>
        <w:tc>
          <w:tcPr>
            <w:tcW w:w="1442" w:type="dxa"/>
            <w:vMerge/>
            <w:tcBorders>
              <w:top w:val="nil"/>
            </w:tcBorders>
          </w:tcPr>
          <w:p w14:paraId="357539D3" w14:textId="77777777" w:rsidR="00436DAA" w:rsidRPr="00330234" w:rsidRDefault="00436DAA" w:rsidP="00BD109B">
            <w:pPr>
              <w:widowControl/>
              <w:rPr>
                <w:sz w:val="20"/>
                <w:szCs w:val="20"/>
              </w:rPr>
            </w:pPr>
          </w:p>
        </w:tc>
        <w:tc>
          <w:tcPr>
            <w:tcW w:w="1778" w:type="dxa"/>
            <w:tcBorders>
              <w:top w:val="nil"/>
            </w:tcBorders>
          </w:tcPr>
          <w:p w14:paraId="6D381284" w14:textId="77777777" w:rsidR="00436DAA" w:rsidRPr="00330234" w:rsidRDefault="009B4B8E" w:rsidP="00BD109B">
            <w:pPr>
              <w:pStyle w:val="TableParagraph"/>
              <w:widowControl/>
              <w:rPr>
                <w:sz w:val="20"/>
                <w:szCs w:val="20"/>
              </w:rPr>
            </w:pPr>
            <w:r w:rsidRPr="00330234">
              <w:rPr>
                <w:sz w:val="20"/>
                <w:szCs w:val="20"/>
              </w:rPr>
              <w:t>Leverfalen</w:t>
            </w:r>
          </w:p>
        </w:tc>
      </w:tr>
      <w:tr w:rsidR="00CC5184" w:rsidRPr="00330234" w14:paraId="4B1609E8" w14:textId="77777777" w:rsidTr="004C0949">
        <w:trPr>
          <w:trHeight w:val="20"/>
        </w:trPr>
        <w:tc>
          <w:tcPr>
            <w:tcW w:w="2464" w:type="dxa"/>
          </w:tcPr>
          <w:p w14:paraId="64836250" w14:textId="77777777" w:rsidR="00436DAA" w:rsidRPr="00330234" w:rsidRDefault="009B4B8E" w:rsidP="00BD109B">
            <w:pPr>
              <w:pStyle w:val="TableParagraph"/>
              <w:widowControl/>
              <w:rPr>
                <w:sz w:val="20"/>
                <w:szCs w:val="20"/>
              </w:rPr>
            </w:pPr>
            <w:r w:rsidRPr="00330234">
              <w:rPr>
                <w:sz w:val="20"/>
                <w:szCs w:val="20"/>
              </w:rPr>
              <w:t>Huid- en onderhuidaandoeningen</w:t>
            </w:r>
          </w:p>
        </w:tc>
        <w:tc>
          <w:tcPr>
            <w:tcW w:w="1540" w:type="dxa"/>
          </w:tcPr>
          <w:p w14:paraId="1F5F85CF" w14:textId="77777777" w:rsidR="00436DAA" w:rsidRPr="00330234" w:rsidRDefault="00436DAA" w:rsidP="00BD109B">
            <w:pPr>
              <w:pStyle w:val="TableParagraph"/>
              <w:widowControl/>
              <w:rPr>
                <w:sz w:val="20"/>
                <w:szCs w:val="20"/>
              </w:rPr>
            </w:pPr>
          </w:p>
        </w:tc>
        <w:tc>
          <w:tcPr>
            <w:tcW w:w="1847" w:type="dxa"/>
          </w:tcPr>
          <w:p w14:paraId="2E9D1B82" w14:textId="77777777" w:rsidR="00436DAA" w:rsidRPr="00330234" w:rsidRDefault="009B4B8E" w:rsidP="00BD109B">
            <w:pPr>
              <w:pStyle w:val="TableParagraph"/>
              <w:widowControl/>
              <w:rPr>
                <w:sz w:val="20"/>
                <w:szCs w:val="20"/>
              </w:rPr>
            </w:pPr>
            <w:r w:rsidRPr="00330234">
              <w:rPr>
                <w:sz w:val="20"/>
                <w:szCs w:val="20"/>
              </w:rPr>
              <w:t>Huiduitslag, Pruritus, Urticaria</w:t>
            </w:r>
          </w:p>
        </w:tc>
        <w:tc>
          <w:tcPr>
            <w:tcW w:w="1442" w:type="dxa"/>
          </w:tcPr>
          <w:p w14:paraId="5C3524BD" w14:textId="77777777" w:rsidR="00436DAA" w:rsidRPr="00330234" w:rsidRDefault="00436DAA" w:rsidP="00BD109B">
            <w:pPr>
              <w:pStyle w:val="TableParagraph"/>
              <w:widowControl/>
              <w:rPr>
                <w:sz w:val="20"/>
                <w:szCs w:val="20"/>
              </w:rPr>
            </w:pPr>
          </w:p>
        </w:tc>
        <w:tc>
          <w:tcPr>
            <w:tcW w:w="1778" w:type="dxa"/>
          </w:tcPr>
          <w:p w14:paraId="7DCF50AE" w14:textId="77777777" w:rsidR="00436DAA" w:rsidRPr="00330234" w:rsidRDefault="009B4B8E" w:rsidP="00BD109B">
            <w:pPr>
              <w:pStyle w:val="TableParagraph"/>
              <w:widowControl/>
              <w:rPr>
                <w:sz w:val="20"/>
                <w:szCs w:val="20"/>
              </w:rPr>
            </w:pPr>
            <w:r w:rsidRPr="00330234">
              <w:rPr>
                <w:sz w:val="20"/>
                <w:szCs w:val="20"/>
              </w:rPr>
              <w:t>Stevens-</w:t>
            </w:r>
          </w:p>
          <w:p w14:paraId="1557243E" w14:textId="77777777" w:rsidR="00436DAA" w:rsidRPr="00330234" w:rsidRDefault="009B4B8E" w:rsidP="00BD109B">
            <w:pPr>
              <w:pStyle w:val="TableParagraph"/>
              <w:widowControl/>
              <w:rPr>
                <w:sz w:val="20"/>
                <w:szCs w:val="20"/>
              </w:rPr>
            </w:pPr>
            <w:r w:rsidRPr="00330234">
              <w:rPr>
                <w:sz w:val="20"/>
                <w:szCs w:val="20"/>
              </w:rPr>
              <w:t>Johnson-syndro om</w:t>
            </w:r>
          </w:p>
        </w:tc>
      </w:tr>
      <w:tr w:rsidR="00CC5184" w:rsidRPr="00330234" w14:paraId="15F71D9B" w14:textId="77777777" w:rsidTr="004C0949">
        <w:trPr>
          <w:trHeight w:val="20"/>
        </w:trPr>
        <w:tc>
          <w:tcPr>
            <w:tcW w:w="2464" w:type="dxa"/>
          </w:tcPr>
          <w:p w14:paraId="2786E9A4" w14:textId="77777777" w:rsidR="00436DAA" w:rsidRPr="00330234" w:rsidRDefault="009B4B8E" w:rsidP="00BD109B">
            <w:pPr>
              <w:pStyle w:val="TableParagraph"/>
              <w:widowControl/>
              <w:rPr>
                <w:sz w:val="20"/>
                <w:szCs w:val="20"/>
              </w:rPr>
            </w:pPr>
            <w:r w:rsidRPr="00330234">
              <w:rPr>
                <w:sz w:val="20"/>
                <w:szCs w:val="20"/>
              </w:rPr>
              <w:t>Nier- en</w:t>
            </w:r>
          </w:p>
          <w:p w14:paraId="7DBE02AE" w14:textId="77777777" w:rsidR="00436DAA" w:rsidRPr="00330234" w:rsidRDefault="009B4B8E" w:rsidP="00BD109B">
            <w:pPr>
              <w:pStyle w:val="TableParagraph"/>
              <w:widowControl/>
              <w:rPr>
                <w:sz w:val="20"/>
                <w:szCs w:val="20"/>
              </w:rPr>
            </w:pPr>
            <w:r w:rsidRPr="00330234">
              <w:rPr>
                <w:sz w:val="20"/>
                <w:szCs w:val="20"/>
              </w:rPr>
              <w:t>urinewegaandoeningen</w:t>
            </w:r>
          </w:p>
        </w:tc>
        <w:tc>
          <w:tcPr>
            <w:tcW w:w="1540" w:type="dxa"/>
          </w:tcPr>
          <w:p w14:paraId="7D79BFB3" w14:textId="77777777" w:rsidR="00436DAA" w:rsidRPr="00330234" w:rsidRDefault="00436DAA" w:rsidP="00BD109B">
            <w:pPr>
              <w:pStyle w:val="TableParagraph"/>
              <w:widowControl/>
              <w:rPr>
                <w:sz w:val="20"/>
                <w:szCs w:val="20"/>
              </w:rPr>
            </w:pPr>
          </w:p>
        </w:tc>
        <w:tc>
          <w:tcPr>
            <w:tcW w:w="1847" w:type="dxa"/>
          </w:tcPr>
          <w:p w14:paraId="42BC24D9" w14:textId="77777777" w:rsidR="00436DAA" w:rsidRPr="00330234" w:rsidRDefault="00436DAA" w:rsidP="00BD109B">
            <w:pPr>
              <w:pStyle w:val="TableParagraph"/>
              <w:widowControl/>
              <w:rPr>
                <w:sz w:val="20"/>
                <w:szCs w:val="20"/>
              </w:rPr>
            </w:pPr>
          </w:p>
        </w:tc>
        <w:tc>
          <w:tcPr>
            <w:tcW w:w="1442" w:type="dxa"/>
          </w:tcPr>
          <w:p w14:paraId="46DE652F" w14:textId="77777777" w:rsidR="00436DAA" w:rsidRPr="00330234" w:rsidRDefault="009B4B8E" w:rsidP="00BD109B">
            <w:pPr>
              <w:pStyle w:val="TableParagraph"/>
              <w:widowControl/>
              <w:rPr>
                <w:sz w:val="20"/>
                <w:szCs w:val="20"/>
              </w:rPr>
            </w:pPr>
            <w:r w:rsidRPr="00330234">
              <w:rPr>
                <w:sz w:val="20"/>
                <w:szCs w:val="20"/>
              </w:rPr>
              <w:t>Nefrolithiase</w:t>
            </w:r>
          </w:p>
        </w:tc>
        <w:tc>
          <w:tcPr>
            <w:tcW w:w="1778" w:type="dxa"/>
          </w:tcPr>
          <w:p w14:paraId="5CDC996F" w14:textId="77777777" w:rsidR="00436DAA" w:rsidRPr="00330234" w:rsidRDefault="00436DAA" w:rsidP="00BD109B">
            <w:pPr>
              <w:pStyle w:val="TableParagraph"/>
              <w:widowControl/>
              <w:rPr>
                <w:sz w:val="20"/>
                <w:szCs w:val="20"/>
              </w:rPr>
            </w:pPr>
          </w:p>
        </w:tc>
      </w:tr>
      <w:tr w:rsidR="00CC5184" w:rsidRPr="00330234" w14:paraId="60AAAD16" w14:textId="77777777" w:rsidTr="004C0949">
        <w:trPr>
          <w:trHeight w:val="20"/>
        </w:trPr>
        <w:tc>
          <w:tcPr>
            <w:tcW w:w="2464" w:type="dxa"/>
          </w:tcPr>
          <w:p w14:paraId="1E7BB2B4" w14:textId="430692EE" w:rsidR="00436DAA" w:rsidRPr="00330234" w:rsidRDefault="009B4B8E" w:rsidP="00CC5184">
            <w:pPr>
              <w:pStyle w:val="TableParagraph"/>
              <w:widowControl/>
              <w:rPr>
                <w:sz w:val="20"/>
                <w:szCs w:val="20"/>
              </w:rPr>
            </w:pPr>
            <w:r w:rsidRPr="00330234">
              <w:rPr>
                <w:sz w:val="20"/>
                <w:szCs w:val="20"/>
              </w:rPr>
              <w:t>Algemene aandoeningenen toedieningsplaatsstoornissen</w:t>
            </w:r>
          </w:p>
        </w:tc>
        <w:tc>
          <w:tcPr>
            <w:tcW w:w="1540" w:type="dxa"/>
          </w:tcPr>
          <w:p w14:paraId="0A836315" w14:textId="77777777" w:rsidR="00436DAA" w:rsidRPr="00330234" w:rsidRDefault="009B4B8E" w:rsidP="00BD109B">
            <w:pPr>
              <w:pStyle w:val="TableParagraph"/>
              <w:widowControl/>
              <w:rPr>
                <w:sz w:val="20"/>
                <w:szCs w:val="20"/>
              </w:rPr>
            </w:pPr>
            <w:r w:rsidRPr="00330234">
              <w:rPr>
                <w:sz w:val="20"/>
                <w:szCs w:val="20"/>
              </w:rPr>
              <w:t>Reacties op de injectieplaats</w:t>
            </w:r>
          </w:p>
        </w:tc>
        <w:tc>
          <w:tcPr>
            <w:tcW w:w="1847" w:type="dxa"/>
          </w:tcPr>
          <w:p w14:paraId="6D7CDF3D" w14:textId="7D8A5ACF" w:rsidR="00436DAA" w:rsidRPr="00330234" w:rsidRDefault="009B4B8E" w:rsidP="00BD109B">
            <w:pPr>
              <w:pStyle w:val="TableParagraph"/>
              <w:widowControl/>
              <w:rPr>
                <w:sz w:val="20"/>
                <w:szCs w:val="20"/>
              </w:rPr>
            </w:pPr>
            <w:r w:rsidRPr="00330234">
              <w:rPr>
                <w:sz w:val="20"/>
                <w:szCs w:val="20"/>
              </w:rPr>
              <w:t>Perifeer oedeem, Overgevoeligheids-reactie</w:t>
            </w:r>
          </w:p>
        </w:tc>
        <w:tc>
          <w:tcPr>
            <w:tcW w:w="1442" w:type="dxa"/>
          </w:tcPr>
          <w:p w14:paraId="6A8D135B" w14:textId="77777777" w:rsidR="00436DAA" w:rsidRPr="00330234" w:rsidRDefault="00436DAA" w:rsidP="00BD109B">
            <w:pPr>
              <w:pStyle w:val="TableParagraph"/>
              <w:widowControl/>
              <w:rPr>
                <w:sz w:val="20"/>
                <w:szCs w:val="20"/>
              </w:rPr>
            </w:pPr>
          </w:p>
        </w:tc>
        <w:tc>
          <w:tcPr>
            <w:tcW w:w="1778" w:type="dxa"/>
          </w:tcPr>
          <w:p w14:paraId="412C6EFD" w14:textId="77777777" w:rsidR="00436DAA" w:rsidRPr="00330234" w:rsidRDefault="00436DAA" w:rsidP="00BD109B">
            <w:pPr>
              <w:pStyle w:val="TableParagraph"/>
              <w:widowControl/>
              <w:rPr>
                <w:sz w:val="20"/>
                <w:szCs w:val="20"/>
              </w:rPr>
            </w:pPr>
          </w:p>
        </w:tc>
      </w:tr>
      <w:tr w:rsidR="004C0949" w:rsidRPr="00330234" w14:paraId="33338BB8" w14:textId="77777777" w:rsidTr="004C0949">
        <w:trPr>
          <w:trHeight w:val="20"/>
        </w:trPr>
        <w:tc>
          <w:tcPr>
            <w:tcW w:w="2464" w:type="dxa"/>
          </w:tcPr>
          <w:p w14:paraId="2099F7A1" w14:textId="77777777" w:rsidR="00436DAA" w:rsidRPr="00330234" w:rsidRDefault="009B4B8E" w:rsidP="00BD109B">
            <w:pPr>
              <w:pStyle w:val="TableParagraph"/>
              <w:widowControl/>
              <w:rPr>
                <w:sz w:val="20"/>
                <w:szCs w:val="20"/>
              </w:rPr>
            </w:pPr>
            <w:r w:rsidRPr="00330234">
              <w:rPr>
                <w:sz w:val="20"/>
                <w:szCs w:val="20"/>
              </w:rPr>
              <w:t>Onderzoeken</w:t>
            </w:r>
          </w:p>
        </w:tc>
        <w:tc>
          <w:tcPr>
            <w:tcW w:w="1540" w:type="dxa"/>
          </w:tcPr>
          <w:p w14:paraId="4DBDB0AE" w14:textId="77777777" w:rsidR="00436DAA" w:rsidRPr="00330234" w:rsidRDefault="00436DAA" w:rsidP="00BD109B">
            <w:pPr>
              <w:pStyle w:val="TableParagraph"/>
              <w:widowControl/>
              <w:rPr>
                <w:sz w:val="20"/>
                <w:szCs w:val="20"/>
              </w:rPr>
            </w:pPr>
          </w:p>
        </w:tc>
        <w:tc>
          <w:tcPr>
            <w:tcW w:w="1847" w:type="dxa"/>
          </w:tcPr>
          <w:p w14:paraId="27454A9C" w14:textId="11F7F5E1" w:rsidR="00436DAA" w:rsidRPr="00330234" w:rsidRDefault="009B4B8E" w:rsidP="00CC5184">
            <w:pPr>
              <w:pStyle w:val="TableParagraph"/>
              <w:widowControl/>
              <w:rPr>
                <w:sz w:val="20"/>
                <w:szCs w:val="20"/>
              </w:rPr>
            </w:pPr>
            <w:r w:rsidRPr="00330234">
              <w:rPr>
                <w:sz w:val="20"/>
                <w:szCs w:val="20"/>
              </w:rPr>
              <w:t>Levertransaminas en-stijging, Gewichtstoename, Stijging totaal</w:t>
            </w:r>
            <w:r w:rsidR="00CC5184" w:rsidRPr="00330234">
              <w:rPr>
                <w:sz w:val="20"/>
                <w:szCs w:val="20"/>
              </w:rPr>
              <w:t xml:space="preserve"> </w:t>
            </w:r>
            <w:r w:rsidRPr="00330234">
              <w:rPr>
                <w:sz w:val="20"/>
                <w:szCs w:val="20"/>
              </w:rPr>
              <w:t>bilirubine*</w:t>
            </w:r>
          </w:p>
        </w:tc>
        <w:tc>
          <w:tcPr>
            <w:tcW w:w="1442" w:type="dxa"/>
          </w:tcPr>
          <w:p w14:paraId="284BF9AC" w14:textId="77777777" w:rsidR="00436DAA" w:rsidRPr="00330234" w:rsidRDefault="00436DAA" w:rsidP="00BD109B">
            <w:pPr>
              <w:pStyle w:val="TableParagraph"/>
              <w:widowControl/>
              <w:rPr>
                <w:sz w:val="20"/>
                <w:szCs w:val="20"/>
              </w:rPr>
            </w:pPr>
          </w:p>
        </w:tc>
        <w:tc>
          <w:tcPr>
            <w:tcW w:w="1778" w:type="dxa"/>
          </w:tcPr>
          <w:p w14:paraId="05B606E7" w14:textId="77777777" w:rsidR="00436DAA" w:rsidRPr="00330234" w:rsidRDefault="00436DAA" w:rsidP="00BD109B">
            <w:pPr>
              <w:pStyle w:val="TableParagraph"/>
              <w:widowControl/>
              <w:rPr>
                <w:sz w:val="20"/>
                <w:szCs w:val="20"/>
              </w:rPr>
            </w:pPr>
          </w:p>
        </w:tc>
      </w:tr>
    </w:tbl>
    <w:p w14:paraId="5B83F216" w14:textId="6EDE72CE" w:rsidR="00436DAA" w:rsidRPr="00330234" w:rsidRDefault="009B4B8E" w:rsidP="004C0949">
      <w:pPr>
        <w:widowControl/>
        <w:ind w:left="284" w:hanging="284"/>
        <w:rPr>
          <w:sz w:val="18"/>
          <w:szCs w:val="18"/>
        </w:rPr>
      </w:pPr>
      <w:r w:rsidRPr="00330234">
        <w:rPr>
          <w:sz w:val="18"/>
          <w:szCs w:val="18"/>
        </w:rPr>
        <w:t>*</w:t>
      </w:r>
      <w:r w:rsidR="004C0949" w:rsidRPr="00330234">
        <w:rPr>
          <w:sz w:val="18"/>
          <w:szCs w:val="18"/>
        </w:rPr>
        <w:tab/>
      </w:r>
      <w:r w:rsidRPr="00330234">
        <w:rPr>
          <w:sz w:val="18"/>
          <w:szCs w:val="18"/>
        </w:rPr>
        <w:t>inclusief verhogingen welke verzameld zijn via routinematige controles in een laboratorium (zie tekst hieronder)</w:t>
      </w:r>
    </w:p>
    <w:p w14:paraId="6FEB2F30" w14:textId="61170A27" w:rsidR="00436DAA" w:rsidRPr="00330234" w:rsidRDefault="009B4B8E" w:rsidP="004C0949">
      <w:pPr>
        <w:widowControl/>
        <w:ind w:left="284" w:hanging="284"/>
        <w:rPr>
          <w:sz w:val="18"/>
          <w:szCs w:val="18"/>
        </w:rPr>
      </w:pPr>
      <w:r w:rsidRPr="00330234">
        <w:rPr>
          <w:sz w:val="18"/>
          <w:szCs w:val="18"/>
          <w:vertAlign w:val="superscript"/>
        </w:rPr>
        <w:t>1</w:t>
      </w:r>
      <w:r w:rsidR="004C0949" w:rsidRPr="00330234">
        <w:rPr>
          <w:sz w:val="18"/>
          <w:szCs w:val="18"/>
        </w:rPr>
        <w:tab/>
      </w:r>
      <w:r w:rsidRPr="00330234">
        <w:rPr>
          <w:sz w:val="18"/>
          <w:szCs w:val="18"/>
        </w:rPr>
        <w:t>Zie rubriek 4.3</w:t>
      </w:r>
    </w:p>
    <w:p w14:paraId="2C7E29E4" w14:textId="5B82AB1C" w:rsidR="00436DAA" w:rsidRPr="00330234" w:rsidRDefault="009B4B8E" w:rsidP="004C0949">
      <w:pPr>
        <w:widowControl/>
        <w:ind w:left="284" w:hanging="284"/>
        <w:rPr>
          <w:sz w:val="18"/>
          <w:szCs w:val="18"/>
        </w:rPr>
      </w:pPr>
      <w:r w:rsidRPr="00330234">
        <w:rPr>
          <w:sz w:val="18"/>
          <w:szCs w:val="18"/>
          <w:vertAlign w:val="superscript"/>
        </w:rPr>
        <w:t>2</w:t>
      </w:r>
      <w:r w:rsidR="004C0949" w:rsidRPr="00330234">
        <w:rPr>
          <w:sz w:val="18"/>
          <w:szCs w:val="18"/>
        </w:rPr>
        <w:tab/>
      </w:r>
      <w:r w:rsidRPr="00330234">
        <w:rPr>
          <w:sz w:val="18"/>
          <w:szCs w:val="18"/>
        </w:rPr>
        <w:t>Zie rubriek 4.4</w:t>
      </w:r>
    </w:p>
    <w:p w14:paraId="7F19E791" w14:textId="0A89AA66" w:rsidR="00436DAA" w:rsidRPr="00330234" w:rsidRDefault="009B4B8E" w:rsidP="004C0949">
      <w:pPr>
        <w:widowControl/>
        <w:ind w:left="284" w:hanging="284"/>
        <w:rPr>
          <w:sz w:val="18"/>
          <w:szCs w:val="18"/>
        </w:rPr>
      </w:pPr>
      <w:r w:rsidRPr="00330234">
        <w:rPr>
          <w:sz w:val="18"/>
          <w:szCs w:val="18"/>
          <w:vertAlign w:val="superscript"/>
        </w:rPr>
        <w:lastRenderedPageBreak/>
        <w:t>3</w:t>
      </w:r>
      <w:r w:rsidR="004C0949" w:rsidRPr="00330234">
        <w:rPr>
          <w:sz w:val="18"/>
          <w:szCs w:val="18"/>
        </w:rPr>
        <w:tab/>
      </w:r>
      <w:r w:rsidRPr="00330234">
        <w:rPr>
          <w:sz w:val="18"/>
          <w:szCs w:val="18"/>
        </w:rPr>
        <w:t>Deze bijwerking werd gemeld na het in de handel brengen, maar werd niet waargenomen tijdens gecontroleerde klinische onderzoeken. De frequentiecategorie is geschat als de bovengrens van het 95% betrouwbaarheidsinterval berekend op basis van het totaal aantal patiënten blootgesteld aan tocilizumab in klinische onderzoeken.</w:t>
      </w:r>
    </w:p>
    <w:p w14:paraId="2CA95E4A" w14:textId="77777777" w:rsidR="00772B43" w:rsidRPr="00330234" w:rsidRDefault="00772B43" w:rsidP="00BD109B">
      <w:pPr>
        <w:widowControl/>
      </w:pPr>
    </w:p>
    <w:p w14:paraId="1FD59A6B" w14:textId="77777777" w:rsidR="00436DAA" w:rsidRPr="00330234" w:rsidRDefault="009B4B8E" w:rsidP="00BD109B">
      <w:pPr>
        <w:pStyle w:val="a3"/>
        <w:widowControl/>
        <w:ind w:left="0"/>
      </w:pPr>
      <w:r w:rsidRPr="00330234">
        <w:rPr>
          <w:u w:val="single"/>
        </w:rPr>
        <w:t>Subcutaan gebruik</w:t>
      </w:r>
    </w:p>
    <w:p w14:paraId="6091AE58" w14:textId="77777777" w:rsidR="00436DAA" w:rsidRPr="00330234" w:rsidRDefault="009B4B8E" w:rsidP="00BD109B">
      <w:pPr>
        <w:widowControl/>
        <w:rPr>
          <w:b/>
        </w:rPr>
      </w:pPr>
      <w:r w:rsidRPr="00330234">
        <w:rPr>
          <w:b/>
          <w:u w:val="single"/>
        </w:rPr>
        <w:t>RA</w:t>
      </w:r>
    </w:p>
    <w:p w14:paraId="4FDA5E01" w14:textId="72B562B3" w:rsidR="00436DAA" w:rsidRPr="00330234" w:rsidRDefault="009B4B8E" w:rsidP="00BD109B">
      <w:pPr>
        <w:pStyle w:val="a3"/>
        <w:widowControl/>
        <w:ind w:left="0"/>
      </w:pPr>
      <w:r w:rsidRPr="00330234">
        <w:t xml:space="preserve">De veiligheid van subcutane </w:t>
      </w:r>
      <w:r w:rsidR="005067FF" w:rsidRPr="00330234">
        <w:t>tocilizumab</w:t>
      </w:r>
      <w:r w:rsidRPr="00330234">
        <w:t xml:space="preserve"> in RA is onderzocht in een dubbelblinde, gecontroleerde, multicenterstudie, SC-I. SC-I was een non-inferioriteitsstudie waarbij de werkzaamheid en veiligheid van subcutane </w:t>
      </w:r>
      <w:r w:rsidR="005067FF" w:rsidRPr="00330234">
        <w:t>tocilizumab</w:t>
      </w:r>
      <w:r w:rsidRPr="00330234">
        <w:t xml:space="preserve"> 162 mg, wekelijks toegediend, werd vergeleken met 8 mg/kg intraveneuze toediening bij 1262 patiënten met RA. Alle patiënten kregen als achtergrondbehandeling </w:t>
      </w:r>
      <w:r w:rsidRPr="00330234">
        <w:rPr>
          <w:i/>
        </w:rPr>
        <w:t xml:space="preserve">non-biologic </w:t>
      </w:r>
      <w:r w:rsidRPr="00330234">
        <w:t xml:space="preserve">DMARD(’s). De veiligheid en immunogeniciteit, waargenomen voor subcutaan toegediende </w:t>
      </w:r>
      <w:r w:rsidR="005067FF" w:rsidRPr="00330234">
        <w:t>tocilizumab</w:t>
      </w:r>
      <w:r w:rsidRPr="00330234">
        <w:t xml:space="preserve">, was gelijk aan het bekende veiligheidsprofiel van intraveneus toegediende </w:t>
      </w:r>
      <w:r w:rsidR="005067FF" w:rsidRPr="00330234">
        <w:t>tocilizumab</w:t>
      </w:r>
      <w:r w:rsidRPr="00330234">
        <w:t xml:space="preserve"> en er werden geen nieuwe of onverwachte bijwerkingen waargenomen (zie tabel 1). Een hogere frequentie van reacties op de injectieplaats werd waargenomen in de subcutaan-armen vergeleken met de placebo subcutane injecties in de intraveneus-armen.</w:t>
      </w:r>
    </w:p>
    <w:p w14:paraId="39BF7836" w14:textId="77777777" w:rsidR="00772B43" w:rsidRPr="00330234" w:rsidRDefault="00772B43" w:rsidP="00BD109B">
      <w:pPr>
        <w:pStyle w:val="a3"/>
        <w:widowControl/>
        <w:ind w:left="0"/>
      </w:pPr>
    </w:p>
    <w:p w14:paraId="075525C2" w14:textId="77777777" w:rsidR="00436DAA" w:rsidRPr="00330234" w:rsidRDefault="009B4B8E" w:rsidP="00BD109B">
      <w:pPr>
        <w:widowControl/>
        <w:rPr>
          <w:i/>
        </w:rPr>
      </w:pPr>
      <w:r w:rsidRPr="00330234">
        <w:rPr>
          <w:i/>
        </w:rPr>
        <w:t>Reacties op de injectieplaats</w:t>
      </w:r>
    </w:p>
    <w:p w14:paraId="68962B56" w14:textId="33985D6C" w:rsidR="00436DAA" w:rsidRPr="00330234" w:rsidRDefault="009B4B8E" w:rsidP="00BD109B">
      <w:pPr>
        <w:pStyle w:val="a3"/>
        <w:widowControl/>
        <w:ind w:left="0"/>
      </w:pPr>
      <w:r w:rsidRPr="00330234">
        <w:t xml:space="preserve">Tijdens de 6 maanden durende gecontroleerde periode in SC-I was de frequentie van reacties op de injectieplaats 10,1% (64/631) en 2,4% (15/631) voor respectievelijk de wekelijkse subcutane </w:t>
      </w:r>
      <w:r w:rsidR="005067FF" w:rsidRPr="00330234">
        <w:t>tocilizumab</w:t>
      </w:r>
      <w:r w:rsidRPr="00330234">
        <w:t>-injecties en de wekelijkse subcutane placebo-injecties (intraveneus-groep). Deze reacties op de injectieplaats (waaronder erytheem, pruritus, pijn en hematoom) waren licht tot matig in ernst. Het merendeel verdween zonder enige behandeling en er was geen noodzaak om het geneesmiddel te staken.</w:t>
      </w:r>
    </w:p>
    <w:p w14:paraId="4B03A677" w14:textId="77777777" w:rsidR="00772B43" w:rsidRPr="00330234" w:rsidRDefault="00772B43" w:rsidP="00BD109B">
      <w:pPr>
        <w:pStyle w:val="a3"/>
        <w:widowControl/>
        <w:ind w:left="0"/>
      </w:pPr>
    </w:p>
    <w:p w14:paraId="179BCB3A" w14:textId="77777777" w:rsidR="00772B43" w:rsidRPr="00330234" w:rsidRDefault="009B4B8E" w:rsidP="00BD109B">
      <w:pPr>
        <w:widowControl/>
        <w:rPr>
          <w:i/>
        </w:rPr>
      </w:pPr>
      <w:r w:rsidRPr="00330234">
        <w:rPr>
          <w:i/>
        </w:rPr>
        <w:t>Hematologische afwijkingen</w:t>
      </w:r>
    </w:p>
    <w:p w14:paraId="64BA487D" w14:textId="67ADF4F8" w:rsidR="00436DAA" w:rsidRPr="00330234" w:rsidRDefault="009B4B8E" w:rsidP="00BD109B">
      <w:pPr>
        <w:widowControl/>
        <w:rPr>
          <w:i/>
        </w:rPr>
      </w:pPr>
      <w:r w:rsidRPr="00330234">
        <w:rPr>
          <w:i/>
        </w:rPr>
        <w:t>Neutrofielen</w:t>
      </w:r>
    </w:p>
    <w:p w14:paraId="597BD0F4" w14:textId="669AEE49" w:rsidR="00436DAA" w:rsidRPr="00330234" w:rsidRDefault="009B4B8E" w:rsidP="00BD109B">
      <w:pPr>
        <w:pStyle w:val="a3"/>
        <w:widowControl/>
        <w:ind w:left="0"/>
      </w:pPr>
      <w:r w:rsidRPr="00330234">
        <w:t xml:space="preserve">Tijdens de 6 maanden durende gecontroleerde SC-I klinische studie met </w:t>
      </w:r>
      <w:r w:rsidR="005067FF" w:rsidRPr="00330234">
        <w:t>tocilizumab</w:t>
      </w:r>
      <w:r w:rsidRPr="00330234">
        <w:t xml:space="preserve"> werd bij routinematig laboratoriumonderzoek bij 2,9% van de patiënten, die werden behandeld met de wekelijkse subcutane dosis, een daling van het aantal neutrofielen gezien tot minder dan 1 × 10</w:t>
      </w:r>
      <w:r w:rsidRPr="00330234">
        <w:rPr>
          <w:vertAlign w:val="superscript"/>
        </w:rPr>
        <w:t>9</w:t>
      </w:r>
      <w:r w:rsidRPr="00330234">
        <w:t>/l.</w:t>
      </w:r>
    </w:p>
    <w:p w14:paraId="73445C99" w14:textId="77777777" w:rsidR="00436DAA" w:rsidRPr="00330234" w:rsidRDefault="00436DAA" w:rsidP="00BD109B">
      <w:pPr>
        <w:widowControl/>
      </w:pPr>
    </w:p>
    <w:p w14:paraId="2FCB2D5F" w14:textId="77777777" w:rsidR="00436DAA" w:rsidRPr="00330234" w:rsidRDefault="009B4B8E" w:rsidP="00BD109B">
      <w:pPr>
        <w:pStyle w:val="a3"/>
        <w:widowControl/>
        <w:ind w:left="0"/>
      </w:pPr>
      <w:r w:rsidRPr="00330234">
        <w:t>Er was geen duidelijke relatie tussen de dalingen in het aantal neutrofielen onder 1 × 10</w:t>
      </w:r>
      <w:r w:rsidRPr="00330234">
        <w:rPr>
          <w:vertAlign w:val="superscript"/>
        </w:rPr>
        <w:t>9</w:t>
      </w:r>
      <w:r w:rsidRPr="00330234">
        <w:t>/l en het optreden van ernstige infecties.</w:t>
      </w:r>
    </w:p>
    <w:p w14:paraId="2098532E" w14:textId="77777777" w:rsidR="00436DAA" w:rsidRPr="00330234" w:rsidRDefault="00436DAA" w:rsidP="00BD109B">
      <w:pPr>
        <w:pStyle w:val="a3"/>
        <w:widowControl/>
        <w:ind w:left="0"/>
      </w:pPr>
    </w:p>
    <w:p w14:paraId="0EBBD1FF" w14:textId="77777777" w:rsidR="00436DAA" w:rsidRPr="00330234" w:rsidRDefault="009B4B8E" w:rsidP="00BD109B">
      <w:pPr>
        <w:widowControl/>
        <w:rPr>
          <w:i/>
        </w:rPr>
      </w:pPr>
      <w:r w:rsidRPr="00330234">
        <w:rPr>
          <w:i/>
        </w:rPr>
        <w:t>Trombocyten</w:t>
      </w:r>
    </w:p>
    <w:p w14:paraId="5673E5A6" w14:textId="60B44C7F" w:rsidR="00436DAA" w:rsidRPr="00330234" w:rsidRDefault="009B4B8E" w:rsidP="00BD109B">
      <w:pPr>
        <w:pStyle w:val="a3"/>
        <w:widowControl/>
        <w:ind w:left="0"/>
      </w:pPr>
      <w:r w:rsidRPr="00330234">
        <w:t xml:space="preserve">Tijdens de 6 maanden durende gecontroleerde SC-I klinische studie met </w:t>
      </w:r>
      <w:r w:rsidR="005067FF" w:rsidRPr="00330234">
        <w:t>tocilizumab</w:t>
      </w:r>
      <w:r w:rsidRPr="00330234">
        <w:t xml:space="preserve"> werd bij routinematig laboratoriumonderzoek bij geen van de patiënten, die werden behandeld met de wekelijkse subcutane dosis, een daling gezien van het aantal trombocyten tot ≤ 50 × 10</w:t>
      </w:r>
      <w:r w:rsidRPr="00330234">
        <w:rPr>
          <w:vertAlign w:val="superscript"/>
        </w:rPr>
        <w:t>3</w:t>
      </w:r>
      <w:r w:rsidRPr="00330234">
        <w:t>/μl.</w:t>
      </w:r>
    </w:p>
    <w:p w14:paraId="373DEC1E" w14:textId="77777777" w:rsidR="00436DAA" w:rsidRPr="00330234" w:rsidRDefault="00436DAA" w:rsidP="00BD109B">
      <w:pPr>
        <w:pStyle w:val="a3"/>
        <w:widowControl/>
        <w:ind w:left="0"/>
      </w:pPr>
    </w:p>
    <w:p w14:paraId="5D981A6E" w14:textId="77777777" w:rsidR="00436DAA" w:rsidRPr="00330234" w:rsidRDefault="009B4B8E" w:rsidP="00BD109B">
      <w:pPr>
        <w:widowControl/>
        <w:rPr>
          <w:i/>
        </w:rPr>
      </w:pPr>
      <w:r w:rsidRPr="00330234">
        <w:rPr>
          <w:i/>
        </w:rPr>
        <w:t>Stijging van levertransaminasen</w:t>
      </w:r>
    </w:p>
    <w:p w14:paraId="2F3ADE81" w14:textId="7FE78624" w:rsidR="00436DAA" w:rsidRPr="00330234" w:rsidRDefault="009B4B8E" w:rsidP="00BD109B">
      <w:pPr>
        <w:pStyle w:val="a3"/>
        <w:widowControl/>
        <w:ind w:left="0"/>
      </w:pPr>
      <w:r w:rsidRPr="00330234">
        <w:t xml:space="preserve">Tijdens de 6 maanden durende gecontroleerde SC-I klinische studie met </w:t>
      </w:r>
      <w:r w:rsidR="005067FF" w:rsidRPr="00330234">
        <w:t>tocilizumab</w:t>
      </w:r>
      <w:r w:rsidRPr="00330234">
        <w:t xml:space="preserve"> werd bij routinematig laboratoriumonderzoek bij 6,5% en 1,4% van de patiënten, die werden behandeld met de wekelijkse subcutane dosis, respectievelijk een ALAT- of ASAT-verhoging gezien van ≥ 3 xULN.</w:t>
      </w:r>
    </w:p>
    <w:p w14:paraId="0076CDF7" w14:textId="77777777" w:rsidR="00436DAA" w:rsidRPr="00330234" w:rsidRDefault="00436DAA" w:rsidP="00BD109B">
      <w:pPr>
        <w:pStyle w:val="a3"/>
        <w:widowControl/>
        <w:ind w:left="0"/>
      </w:pPr>
    </w:p>
    <w:p w14:paraId="68C81AB3" w14:textId="77777777" w:rsidR="00436DAA" w:rsidRPr="00330234" w:rsidRDefault="009B4B8E" w:rsidP="00BD109B">
      <w:pPr>
        <w:widowControl/>
        <w:rPr>
          <w:i/>
        </w:rPr>
      </w:pPr>
      <w:r w:rsidRPr="00330234">
        <w:rPr>
          <w:i/>
        </w:rPr>
        <w:t>Lipideparameters</w:t>
      </w:r>
    </w:p>
    <w:p w14:paraId="5FB5380B" w14:textId="70120365" w:rsidR="00436DAA" w:rsidRPr="00330234" w:rsidRDefault="009B4B8E" w:rsidP="00BD109B">
      <w:pPr>
        <w:pStyle w:val="a3"/>
        <w:widowControl/>
        <w:ind w:left="0"/>
      </w:pPr>
      <w:r w:rsidRPr="00330234">
        <w:t xml:space="preserve">Tijdens de 6 maanden durende gecontroleerde SC-I klinische studie met </w:t>
      </w:r>
      <w:r w:rsidR="005067FF" w:rsidRPr="00330234">
        <w:t>tocilizumab</w:t>
      </w:r>
      <w:r w:rsidRPr="00330234">
        <w:t xml:space="preserve"> werd bij routinematig laboratoriumonderzoek bij 19% van de patiënten, die werden behandeld met de wekelijkse subcutane dosis, aanhoudend een verhoogd totaalcholesterol gezien van &gt; 6,2 mmol/l (240</w:t>
      </w:r>
      <w:r w:rsidR="00772B43" w:rsidRPr="00330234">
        <w:t> </w:t>
      </w:r>
      <w:r w:rsidRPr="00330234">
        <w:t xml:space="preserve">mg/dl), waarvan 9% een blijvende toename van LDL had tot </w:t>
      </w:r>
      <w:r w:rsidR="001C035A" w:rsidRPr="00330234">
        <w:t>≥</w:t>
      </w:r>
      <w:r w:rsidRPr="00330234">
        <w:t xml:space="preserve"> 4,1 mmol/l (160 mg/dl).</w:t>
      </w:r>
    </w:p>
    <w:p w14:paraId="4633DC55" w14:textId="77777777" w:rsidR="00436DAA" w:rsidRPr="00330234" w:rsidRDefault="00436DAA" w:rsidP="00BD109B">
      <w:pPr>
        <w:pStyle w:val="a3"/>
        <w:widowControl/>
        <w:ind w:left="0"/>
      </w:pPr>
    </w:p>
    <w:p w14:paraId="4E9876A7" w14:textId="77777777" w:rsidR="00436DAA" w:rsidRPr="00330234" w:rsidRDefault="009B4B8E" w:rsidP="004C0949">
      <w:pPr>
        <w:pStyle w:val="a3"/>
        <w:keepNext/>
        <w:keepLines/>
        <w:widowControl/>
        <w:ind w:left="0"/>
      </w:pPr>
      <w:r w:rsidRPr="00330234">
        <w:rPr>
          <w:u w:val="single"/>
        </w:rPr>
        <w:t>Subcutaan gebruik</w:t>
      </w:r>
    </w:p>
    <w:p w14:paraId="4A0CD356" w14:textId="77777777" w:rsidR="00436DAA" w:rsidRPr="00330234" w:rsidRDefault="009B4B8E" w:rsidP="004C0949">
      <w:pPr>
        <w:keepNext/>
        <w:keepLines/>
        <w:widowControl/>
        <w:rPr>
          <w:b/>
        </w:rPr>
      </w:pPr>
      <w:r w:rsidRPr="00330234">
        <w:rPr>
          <w:b/>
          <w:u w:val="single"/>
        </w:rPr>
        <w:t>sJIA</w:t>
      </w:r>
    </w:p>
    <w:p w14:paraId="69146EF2" w14:textId="7E191E51" w:rsidR="00436DAA" w:rsidRPr="00330234" w:rsidRDefault="009B4B8E" w:rsidP="004C0949">
      <w:pPr>
        <w:pStyle w:val="a3"/>
        <w:keepNext/>
        <w:keepLines/>
        <w:widowControl/>
        <w:ind w:left="0"/>
      </w:pPr>
      <w:r w:rsidRPr="00330234">
        <w:t xml:space="preserve">Het veiligheidsprofiel van de subcutane formulering van </w:t>
      </w:r>
      <w:r w:rsidR="005067FF" w:rsidRPr="00330234">
        <w:t>tocilizumab</w:t>
      </w:r>
      <w:r w:rsidRPr="00330234">
        <w:t xml:space="preserve"> is onderzocht bij 51 pediatrische patiënten (leeftijd 1 - 17 jaar) met sJIA. Over het algemeen kwamen de bijwerkingen bij patiënten met sJIA overeen met het soort bijwerkingen dat bij patiënten met RA werd waargenomen (zie bijwerkingen hierboven).</w:t>
      </w:r>
    </w:p>
    <w:p w14:paraId="1645D09E" w14:textId="77777777" w:rsidR="00772B43" w:rsidRPr="00330234" w:rsidRDefault="00772B43" w:rsidP="00BD109B">
      <w:pPr>
        <w:pStyle w:val="a3"/>
        <w:widowControl/>
        <w:ind w:left="0"/>
      </w:pPr>
    </w:p>
    <w:p w14:paraId="4FF1188C" w14:textId="77777777" w:rsidR="00436DAA" w:rsidRPr="00330234" w:rsidRDefault="009B4B8E" w:rsidP="001B3E1E">
      <w:pPr>
        <w:keepNext/>
        <w:keepLines/>
        <w:widowControl/>
        <w:rPr>
          <w:i/>
        </w:rPr>
      </w:pPr>
      <w:r w:rsidRPr="00330234">
        <w:rPr>
          <w:i/>
        </w:rPr>
        <w:lastRenderedPageBreak/>
        <w:t>Infecties</w:t>
      </w:r>
    </w:p>
    <w:p w14:paraId="6F479C81" w14:textId="1D06BADC" w:rsidR="00436DAA" w:rsidRPr="00330234" w:rsidRDefault="009B4B8E" w:rsidP="00BD109B">
      <w:pPr>
        <w:pStyle w:val="a3"/>
        <w:widowControl/>
        <w:ind w:left="0"/>
      </w:pPr>
      <w:r w:rsidRPr="00330234">
        <w:t xml:space="preserve">Het aantal infecties bij sJIA-patiënten die behandeld werden met subcutaan </w:t>
      </w:r>
      <w:r w:rsidR="00790622" w:rsidRPr="00330234">
        <w:t>tocilizumab</w:t>
      </w:r>
      <w:r w:rsidRPr="00330234">
        <w:t xml:space="preserve"> was vergelijkbaar met sJIA-patiënten die behandeld werden met intraveneus </w:t>
      </w:r>
      <w:r w:rsidR="00790622" w:rsidRPr="00330234">
        <w:t>tocilizumab</w:t>
      </w:r>
      <w:r w:rsidRPr="00330234">
        <w:t>.</w:t>
      </w:r>
    </w:p>
    <w:p w14:paraId="294C056A" w14:textId="77777777" w:rsidR="00436DAA" w:rsidRPr="00330234" w:rsidRDefault="00436DAA" w:rsidP="00BD109B">
      <w:pPr>
        <w:pStyle w:val="a3"/>
        <w:widowControl/>
        <w:ind w:left="0"/>
      </w:pPr>
    </w:p>
    <w:p w14:paraId="6478736B" w14:textId="77777777" w:rsidR="00436DAA" w:rsidRPr="00330234" w:rsidRDefault="009B4B8E" w:rsidP="00BD109B">
      <w:pPr>
        <w:widowControl/>
        <w:rPr>
          <w:i/>
        </w:rPr>
      </w:pPr>
      <w:r w:rsidRPr="00330234">
        <w:rPr>
          <w:i/>
        </w:rPr>
        <w:t>Reacties op de injectieplaats</w:t>
      </w:r>
    </w:p>
    <w:p w14:paraId="7BF0CDBF" w14:textId="263B4438" w:rsidR="00436DAA" w:rsidRPr="00330234" w:rsidRDefault="009B4B8E" w:rsidP="00BD109B">
      <w:pPr>
        <w:pStyle w:val="a3"/>
        <w:widowControl/>
        <w:ind w:left="0"/>
      </w:pPr>
      <w:r w:rsidRPr="00330234">
        <w:t xml:space="preserve">In het subcutaan onderzoek (WA28118) kregen in totaal 41,2% (21/51) van de sJIA-patiënten die behandeld werden met </w:t>
      </w:r>
      <w:r w:rsidR="00790622" w:rsidRPr="00330234">
        <w:t>tocilizumab</w:t>
      </w:r>
      <w:r w:rsidRPr="00330234">
        <w:t xml:space="preserve"> subcutaan reacties op de injectieplaats. De meest gemelde reacties waren erytheem, pruritus, pijn en zwelling op de injectieplaats. Het merendeel van de gemelde reacties op de injectieplaats waren graad 1-voorvallen; geen van allen was ernstig of vereiste het staken of onderbreken van de behandeling.</w:t>
      </w:r>
    </w:p>
    <w:p w14:paraId="61DE4D8E" w14:textId="77777777" w:rsidR="00436DAA" w:rsidRPr="00330234" w:rsidRDefault="00436DAA" w:rsidP="00BD109B">
      <w:pPr>
        <w:pStyle w:val="a3"/>
        <w:widowControl/>
        <w:ind w:left="0"/>
      </w:pPr>
    </w:p>
    <w:p w14:paraId="285228AA" w14:textId="77777777" w:rsidR="00436DAA" w:rsidRPr="00330234" w:rsidRDefault="009B4B8E" w:rsidP="00BD109B">
      <w:pPr>
        <w:widowControl/>
        <w:rPr>
          <w:i/>
        </w:rPr>
      </w:pPr>
      <w:r w:rsidRPr="00330234">
        <w:rPr>
          <w:i/>
        </w:rPr>
        <w:t>Laboratoriumafwijkingen</w:t>
      </w:r>
    </w:p>
    <w:p w14:paraId="72EEC0B2" w14:textId="77E2F513" w:rsidR="00436DAA" w:rsidRPr="00330234" w:rsidRDefault="009B4B8E" w:rsidP="00BD109B">
      <w:pPr>
        <w:pStyle w:val="a3"/>
        <w:widowControl/>
        <w:ind w:left="0"/>
      </w:pPr>
      <w:r w:rsidRPr="00330234">
        <w:t>In het 52 weken durend, open-label, subcutaan onderzoek (WA28118) trad een verlaging van het aantal neutrofielen tot onder de 1 x 10</w:t>
      </w:r>
      <w:r w:rsidRPr="00330234">
        <w:rPr>
          <w:vertAlign w:val="superscript"/>
        </w:rPr>
        <w:t>9</w:t>
      </w:r>
      <w:r w:rsidRPr="00330234">
        <w:t xml:space="preserve">/l op bij 23,5% van de patiënten die behandeld werden met </w:t>
      </w:r>
      <w:r w:rsidR="00790622" w:rsidRPr="00330234">
        <w:t>tocilizumab</w:t>
      </w:r>
      <w:r w:rsidRPr="00330234">
        <w:t xml:space="preserve"> subcutaan. Een verlaging van het aantal trombocyten tot onder de 100 x 10</w:t>
      </w:r>
      <w:r w:rsidRPr="00330234">
        <w:rPr>
          <w:vertAlign w:val="superscript"/>
        </w:rPr>
        <w:t>3</w:t>
      </w:r>
      <w:r w:rsidRPr="00330234">
        <w:t xml:space="preserve">/μl trad op bij 2% van de patiënten die werden behandeld met </w:t>
      </w:r>
      <w:r w:rsidR="00790622" w:rsidRPr="00330234">
        <w:t>tocilizumab</w:t>
      </w:r>
      <w:r w:rsidRPr="00330234">
        <w:t xml:space="preserve"> subcutaan. Een verhoging van ALAT of ASAT tot ≥3 x ULN trad op bij respectievelijk 9,8% en 4,0% van de patiënten die werden behandeld met </w:t>
      </w:r>
      <w:r w:rsidR="00790622" w:rsidRPr="00330234">
        <w:t>tocilizumab</w:t>
      </w:r>
      <w:r w:rsidRPr="00330234">
        <w:t xml:space="preserve"> subcutaan.</w:t>
      </w:r>
    </w:p>
    <w:p w14:paraId="4C635CAE" w14:textId="77777777" w:rsidR="00436DAA" w:rsidRPr="00330234" w:rsidRDefault="00436DAA" w:rsidP="00BD109B">
      <w:pPr>
        <w:pStyle w:val="a3"/>
        <w:widowControl/>
        <w:ind w:left="0"/>
      </w:pPr>
    </w:p>
    <w:p w14:paraId="1AE76E55" w14:textId="77777777" w:rsidR="00436DAA" w:rsidRPr="00330234" w:rsidRDefault="009B4B8E" w:rsidP="00BD109B">
      <w:pPr>
        <w:widowControl/>
        <w:rPr>
          <w:i/>
        </w:rPr>
      </w:pPr>
      <w:r w:rsidRPr="00330234">
        <w:rPr>
          <w:i/>
        </w:rPr>
        <w:t>Lipideparameters</w:t>
      </w:r>
    </w:p>
    <w:p w14:paraId="3B8074AB" w14:textId="58E0DC6D" w:rsidR="00436DAA" w:rsidRPr="00330234" w:rsidRDefault="009B4B8E" w:rsidP="00BD109B">
      <w:pPr>
        <w:pStyle w:val="a3"/>
        <w:widowControl/>
        <w:ind w:left="0"/>
      </w:pPr>
      <w:r w:rsidRPr="00330234">
        <w:t xml:space="preserve">In het 52 weken durend, open-label, subcutaan </w:t>
      </w:r>
      <w:r w:rsidR="006C314E" w:rsidRPr="00330234">
        <w:t>tocilizumab</w:t>
      </w:r>
      <w:r w:rsidRPr="00330234">
        <w:t>-onderzoek (WA28118) had 23,4% en 35,4% van de patiënten een verhoging ten opzichte van baseline van respectievelijk hun LDL- cholesterolwaarde tot ≥ 130 mg/dl en totaal cholesterolwaarde tot ≥ 200 mg/dl op enig moment gedurende de onderzoeksbehandeling.</w:t>
      </w:r>
    </w:p>
    <w:p w14:paraId="42A2D483" w14:textId="77777777" w:rsidR="00436DAA" w:rsidRPr="00330234" w:rsidRDefault="00436DAA" w:rsidP="00BD109B">
      <w:pPr>
        <w:widowControl/>
      </w:pPr>
    </w:p>
    <w:p w14:paraId="44A41A71" w14:textId="77777777" w:rsidR="00436DAA" w:rsidRPr="00330234" w:rsidRDefault="009B4B8E" w:rsidP="00BD109B">
      <w:pPr>
        <w:pStyle w:val="a3"/>
        <w:widowControl/>
        <w:ind w:left="0"/>
      </w:pPr>
      <w:r w:rsidRPr="00330234">
        <w:rPr>
          <w:u w:val="single"/>
        </w:rPr>
        <w:t>Subcutaan gebruik</w:t>
      </w:r>
    </w:p>
    <w:p w14:paraId="66972A1B" w14:textId="77777777" w:rsidR="00436DAA" w:rsidRPr="00330234" w:rsidRDefault="009B4B8E" w:rsidP="00BD109B">
      <w:pPr>
        <w:widowControl/>
        <w:rPr>
          <w:b/>
        </w:rPr>
      </w:pPr>
      <w:r w:rsidRPr="00330234">
        <w:rPr>
          <w:b/>
          <w:u w:val="single"/>
        </w:rPr>
        <w:t>pJIA</w:t>
      </w:r>
    </w:p>
    <w:p w14:paraId="6F8B7661" w14:textId="57550F7B" w:rsidR="00436DAA" w:rsidRPr="00330234" w:rsidRDefault="009B4B8E" w:rsidP="00FF3CA3">
      <w:pPr>
        <w:pStyle w:val="a3"/>
        <w:widowControl/>
        <w:ind w:left="0"/>
      </w:pPr>
      <w:r w:rsidRPr="00330234">
        <w:t xml:space="preserve">Het veiligheidsprofiel van de subcutane formulering van </w:t>
      </w:r>
      <w:r w:rsidR="00790622" w:rsidRPr="00330234">
        <w:t>tocilizumab</w:t>
      </w:r>
      <w:r w:rsidRPr="00330234">
        <w:t xml:space="preserve"> is ook onderzocht bij</w:t>
      </w:r>
      <w:r w:rsidR="00B07007" w:rsidRPr="00330234">
        <w:t xml:space="preserve"> 52 </w:t>
      </w:r>
      <w:r w:rsidRPr="00330234">
        <w:t xml:space="preserve">pediatrische patiënten met pJIA. De totale blootstelling bij patiënten in de pJIA-populatie die werden behandeld met </w:t>
      </w:r>
      <w:r w:rsidR="00790622" w:rsidRPr="00330234">
        <w:t>tocilizumab</w:t>
      </w:r>
      <w:r w:rsidRPr="00330234">
        <w:t xml:space="preserve"> was 184,4 patiëntjaren voor intraveneus en 50,4 patiëntjaren voor subcutaan tocilizumab. Over het algemeen kwam het veiligheidsprofiel waargenomen bij patiënten met pJIA overeen met het bekende veiligheidsprofiel van </w:t>
      </w:r>
      <w:r w:rsidR="00790622" w:rsidRPr="00330234">
        <w:t>tocilizumab</w:t>
      </w:r>
      <w:r w:rsidRPr="00330234">
        <w:t xml:space="preserve">, met uitzondering van reacties op de injectieplaats (zie tabel 1). Een hoger percentage van de pJIA-patiënten kreeg reacties op de injectieplaats na subcutane injecties van </w:t>
      </w:r>
      <w:r w:rsidR="00790622" w:rsidRPr="00330234">
        <w:t>tocilizumab</w:t>
      </w:r>
      <w:r w:rsidRPr="00330234">
        <w:t xml:space="preserve"> vergeleken met volwassen RA-patiënten.</w:t>
      </w:r>
    </w:p>
    <w:p w14:paraId="544954A2" w14:textId="77777777" w:rsidR="00436DAA" w:rsidRPr="00330234" w:rsidRDefault="00436DAA" w:rsidP="00BD109B">
      <w:pPr>
        <w:pStyle w:val="a3"/>
        <w:widowControl/>
        <w:ind w:left="0"/>
      </w:pPr>
    </w:p>
    <w:p w14:paraId="1C40AC30" w14:textId="77777777" w:rsidR="00436DAA" w:rsidRPr="00330234" w:rsidRDefault="009B4B8E" w:rsidP="00BD109B">
      <w:pPr>
        <w:widowControl/>
        <w:rPr>
          <w:i/>
        </w:rPr>
      </w:pPr>
      <w:r w:rsidRPr="00330234">
        <w:rPr>
          <w:i/>
        </w:rPr>
        <w:t>Infecties</w:t>
      </w:r>
    </w:p>
    <w:p w14:paraId="781A5F09" w14:textId="14296A32" w:rsidR="00436DAA" w:rsidRPr="00330234" w:rsidRDefault="009B4B8E" w:rsidP="00BD109B">
      <w:pPr>
        <w:pStyle w:val="a3"/>
        <w:widowControl/>
        <w:ind w:left="0"/>
      </w:pPr>
      <w:r w:rsidRPr="00330234">
        <w:t xml:space="preserve">Bij het onderzoek met subcutaan </w:t>
      </w:r>
      <w:r w:rsidR="00790622" w:rsidRPr="00330234">
        <w:t>tocilizumab</w:t>
      </w:r>
      <w:r w:rsidRPr="00330234">
        <w:t xml:space="preserve"> was het aantal infecties bij pJIA-patiënten die behandeld werden met subcutaan </w:t>
      </w:r>
      <w:r w:rsidR="00790622" w:rsidRPr="00330234">
        <w:t>tocilizumab</w:t>
      </w:r>
      <w:r w:rsidRPr="00330234">
        <w:t xml:space="preserve"> vergelijkbaar met pJIA-patiënten die behandeld werden met intraveneus </w:t>
      </w:r>
      <w:r w:rsidR="00790622" w:rsidRPr="00330234">
        <w:t>tocilizumab</w:t>
      </w:r>
      <w:r w:rsidRPr="00330234">
        <w:t>.</w:t>
      </w:r>
    </w:p>
    <w:p w14:paraId="26BCE5EA" w14:textId="77777777" w:rsidR="00436DAA" w:rsidRPr="00330234" w:rsidRDefault="00436DAA" w:rsidP="00BD109B">
      <w:pPr>
        <w:pStyle w:val="a3"/>
        <w:widowControl/>
        <w:ind w:left="0"/>
      </w:pPr>
    </w:p>
    <w:p w14:paraId="37CD0F69" w14:textId="77777777" w:rsidR="00436DAA" w:rsidRPr="00330234" w:rsidRDefault="009B4B8E" w:rsidP="00BD109B">
      <w:pPr>
        <w:widowControl/>
        <w:rPr>
          <w:i/>
        </w:rPr>
      </w:pPr>
      <w:r w:rsidRPr="00330234">
        <w:rPr>
          <w:i/>
        </w:rPr>
        <w:t>Reacties op de injectieplaats</w:t>
      </w:r>
    </w:p>
    <w:p w14:paraId="15ACF568" w14:textId="13DBC10E" w:rsidR="00436DAA" w:rsidRPr="00330234" w:rsidRDefault="009B4B8E" w:rsidP="00772B43">
      <w:pPr>
        <w:pStyle w:val="a3"/>
        <w:widowControl/>
        <w:ind w:left="0"/>
      </w:pPr>
      <w:r w:rsidRPr="00330234">
        <w:t xml:space="preserve">In totaal 28,8% (15/52) van de pJIA-patiënten die behandeld werden met </w:t>
      </w:r>
      <w:r w:rsidR="00790622" w:rsidRPr="00330234">
        <w:t>tocilizumab</w:t>
      </w:r>
      <w:r w:rsidRPr="00330234">
        <w:t xml:space="preserve"> subcutaan kreeg een reactie op de injectieplaats. Deze reacties op de injectieplaats traden op bij 44% van de patiënten</w:t>
      </w:r>
      <w:r w:rsidR="00772B43" w:rsidRPr="00330234">
        <w:t xml:space="preserve"> </w:t>
      </w:r>
      <w:r w:rsidRPr="00330234">
        <w:t>≥</w:t>
      </w:r>
      <w:r w:rsidR="00772B43" w:rsidRPr="00330234">
        <w:t> </w:t>
      </w:r>
      <w:r w:rsidRPr="00330234">
        <w:t xml:space="preserve">30 kg vergeleken met 14,8% van de patiënten </w:t>
      </w:r>
      <w:r w:rsidRPr="00330234">
        <w:rPr>
          <w:u w:val="single"/>
        </w:rPr>
        <w:t xml:space="preserve">&lt; </w:t>
      </w:r>
      <w:r w:rsidRPr="00330234">
        <w:t>30 kg. De meest gemelde reacties op de injectieplaats waren erytheem, zwelling, hematoom, pijn en pruritus. Alle gemelde reacties op de injectieplaats waren niet-ernstige graad 1-voorvallen, die bij geen enkele patiënt het staken of onderbreken van de behandeling vereisten.</w:t>
      </w:r>
    </w:p>
    <w:p w14:paraId="7A43CAC1" w14:textId="77777777" w:rsidR="00772B43" w:rsidRPr="00330234" w:rsidRDefault="00772B43" w:rsidP="00BD109B">
      <w:pPr>
        <w:pStyle w:val="a3"/>
        <w:widowControl/>
        <w:ind w:left="0"/>
      </w:pPr>
    </w:p>
    <w:p w14:paraId="59C376CC" w14:textId="77777777" w:rsidR="00436DAA" w:rsidRPr="00330234" w:rsidRDefault="009B4B8E" w:rsidP="00BD109B">
      <w:pPr>
        <w:widowControl/>
        <w:rPr>
          <w:i/>
        </w:rPr>
      </w:pPr>
      <w:r w:rsidRPr="00330234">
        <w:rPr>
          <w:i/>
        </w:rPr>
        <w:t>Laboratoriumafwijkingen</w:t>
      </w:r>
    </w:p>
    <w:p w14:paraId="3AB14BF9" w14:textId="4AEE2956" w:rsidR="00436DAA" w:rsidRPr="00330234" w:rsidRDefault="009B4B8E" w:rsidP="00BD109B">
      <w:pPr>
        <w:pStyle w:val="a3"/>
        <w:widowControl/>
        <w:ind w:left="0"/>
      </w:pPr>
      <w:r w:rsidRPr="00330234">
        <w:t xml:space="preserve">Bij routinematig laboratoriumonderzoek bij de totale populatie die werd behandeld met </w:t>
      </w:r>
      <w:r w:rsidR="006C314E" w:rsidRPr="00330234">
        <w:t>tocilizumab</w:t>
      </w:r>
      <w:r w:rsidRPr="00330234">
        <w:t xml:space="preserve"> trad een verlaging van het aantal neutrofielen tot onder de 1 x 10</w:t>
      </w:r>
      <w:r w:rsidRPr="00330234">
        <w:rPr>
          <w:vertAlign w:val="superscript"/>
        </w:rPr>
        <w:t>9</w:t>
      </w:r>
      <w:r w:rsidRPr="00330234">
        <w:t xml:space="preserve">/l op bij 15,4% van de patiënten die behandeld werden met </w:t>
      </w:r>
      <w:r w:rsidR="006C314E" w:rsidRPr="00330234">
        <w:t>tocilizumab</w:t>
      </w:r>
      <w:r w:rsidRPr="00330234">
        <w:t xml:space="preserve"> subcutaan. Een verhoging van ALAT of ASAT van ≥ 3 x ULN trad op bij respectievelijk 9,6% en 3,8% van de patiënten die werden behandeld met </w:t>
      </w:r>
      <w:r w:rsidR="006C314E" w:rsidRPr="00330234">
        <w:t>tocilizumab</w:t>
      </w:r>
      <w:r w:rsidRPr="00330234">
        <w:t xml:space="preserve"> subcutaan. Geen van de patiënten die behandeld werden met </w:t>
      </w:r>
      <w:r w:rsidR="006C314E" w:rsidRPr="00330234">
        <w:t>tocilizumab</w:t>
      </w:r>
      <w:r w:rsidRPr="00330234">
        <w:t xml:space="preserve"> subcutaan had een verlaging van het aantal trombocyten tot </w:t>
      </w:r>
      <w:r w:rsidR="00772B43" w:rsidRPr="00330234">
        <w:t>≤</w:t>
      </w:r>
      <w:r w:rsidRPr="00330234">
        <w:t xml:space="preserve"> 50 x 10</w:t>
      </w:r>
      <w:r w:rsidRPr="00330234">
        <w:rPr>
          <w:vertAlign w:val="superscript"/>
        </w:rPr>
        <w:t>3</w:t>
      </w:r>
      <w:r w:rsidRPr="00330234">
        <w:t>/μl.</w:t>
      </w:r>
    </w:p>
    <w:p w14:paraId="71EB5FDD" w14:textId="77777777" w:rsidR="00772B43" w:rsidRPr="00330234" w:rsidRDefault="00772B43" w:rsidP="00BD109B">
      <w:pPr>
        <w:pStyle w:val="a3"/>
        <w:widowControl/>
        <w:ind w:left="0"/>
      </w:pPr>
    </w:p>
    <w:p w14:paraId="3EBC5D75" w14:textId="77777777" w:rsidR="00436DAA" w:rsidRPr="00330234" w:rsidRDefault="009B4B8E" w:rsidP="001B3E1E">
      <w:pPr>
        <w:keepNext/>
        <w:keepLines/>
        <w:widowControl/>
        <w:rPr>
          <w:i/>
        </w:rPr>
      </w:pPr>
      <w:r w:rsidRPr="00330234">
        <w:rPr>
          <w:i/>
        </w:rPr>
        <w:lastRenderedPageBreak/>
        <w:t>Lipideparameters</w:t>
      </w:r>
    </w:p>
    <w:p w14:paraId="5B5A2EB7" w14:textId="2DB4B3B1" w:rsidR="00436DAA" w:rsidRPr="00330234" w:rsidRDefault="009B4B8E" w:rsidP="00BD109B">
      <w:pPr>
        <w:pStyle w:val="a3"/>
        <w:widowControl/>
        <w:ind w:left="0"/>
      </w:pPr>
      <w:r w:rsidRPr="00330234">
        <w:t xml:space="preserve">In het subcutaan </w:t>
      </w:r>
      <w:r w:rsidR="00E37B81" w:rsidRPr="00330234">
        <w:t>tocilizumab</w:t>
      </w:r>
      <w:r w:rsidRPr="00330234">
        <w:t>-onderzoek had 14,3% en 12,8% van de patiënten een verhoging ten opzichte van baseline van respectievelijk hun LDL-cholesterolwaarde tot ≥ 130 mg/dl en totaal cholesterolwaarde tot ≥ 200 mg/dl op enig moment gedurende de onderzoeksbehandeling.</w:t>
      </w:r>
    </w:p>
    <w:p w14:paraId="2DBEFAD3" w14:textId="77777777" w:rsidR="00436DAA" w:rsidRPr="00330234" w:rsidRDefault="00436DAA" w:rsidP="00BD109B">
      <w:pPr>
        <w:pStyle w:val="a3"/>
        <w:widowControl/>
        <w:ind w:left="0"/>
      </w:pPr>
    </w:p>
    <w:p w14:paraId="12A92A0D" w14:textId="77777777" w:rsidR="00436DAA" w:rsidRPr="00330234" w:rsidRDefault="009B4B8E" w:rsidP="00BD109B">
      <w:pPr>
        <w:pStyle w:val="a3"/>
        <w:widowControl/>
        <w:ind w:left="0"/>
      </w:pPr>
      <w:r w:rsidRPr="00330234">
        <w:rPr>
          <w:u w:val="single"/>
        </w:rPr>
        <w:t>Subcutaan gebruik</w:t>
      </w:r>
    </w:p>
    <w:p w14:paraId="7EBEED71" w14:textId="77777777" w:rsidR="00436DAA" w:rsidRPr="00330234" w:rsidRDefault="009B4B8E" w:rsidP="00BD109B">
      <w:pPr>
        <w:widowControl/>
        <w:rPr>
          <w:b/>
        </w:rPr>
      </w:pPr>
      <w:r w:rsidRPr="00330234">
        <w:rPr>
          <w:b/>
          <w:u w:val="single"/>
        </w:rPr>
        <w:t>GCA</w:t>
      </w:r>
    </w:p>
    <w:p w14:paraId="7DA7F525" w14:textId="78C8C88E" w:rsidR="00436DAA" w:rsidRPr="00330234" w:rsidRDefault="009B4B8E" w:rsidP="00BD109B">
      <w:pPr>
        <w:pStyle w:val="a3"/>
        <w:widowControl/>
        <w:ind w:left="0"/>
      </w:pPr>
      <w:r w:rsidRPr="00330234">
        <w:t xml:space="preserve">De veiligheid van de subcutane formulering van </w:t>
      </w:r>
      <w:r w:rsidR="00EF54E2" w:rsidRPr="00330234">
        <w:t>tocilizumab</w:t>
      </w:r>
      <w:r w:rsidRPr="00330234">
        <w:t xml:space="preserve"> is onderzocht in één fase III-onderzoek (WA28119) met 251 GCA-patiënten. Het totale aantal patiëntjaren in de totale populatie die werd behandeld met </w:t>
      </w:r>
      <w:r w:rsidR="00EF54E2" w:rsidRPr="00330234">
        <w:t>tocilizumab</w:t>
      </w:r>
      <w:r w:rsidRPr="00330234">
        <w:t xml:space="preserve"> was 138,5 patiëntjaren gedurende de 12 maanden van de dubbelblinde, placebogecontroleerde fase van het onderzoek. Het algehele veiligheidsprofiel waargenomen in de </w:t>
      </w:r>
      <w:r w:rsidR="00EF54E2" w:rsidRPr="00330234">
        <w:t>tocilizumab</w:t>
      </w:r>
      <w:r w:rsidRPr="00330234">
        <w:t xml:space="preserve">-behandelarmen kwam overeen met het bekende veiligheidsprofiel van </w:t>
      </w:r>
      <w:r w:rsidR="00EF54E2" w:rsidRPr="00330234">
        <w:t>tocilizumab</w:t>
      </w:r>
      <w:r w:rsidRPr="00330234">
        <w:t xml:space="preserve"> (zie tabel 1).</w:t>
      </w:r>
    </w:p>
    <w:p w14:paraId="4083014F" w14:textId="77777777" w:rsidR="00772B43" w:rsidRPr="00330234" w:rsidRDefault="00772B43" w:rsidP="00BD109B">
      <w:pPr>
        <w:pStyle w:val="a3"/>
        <w:widowControl/>
        <w:ind w:left="0"/>
      </w:pPr>
    </w:p>
    <w:p w14:paraId="2F747844" w14:textId="77777777" w:rsidR="00436DAA" w:rsidRPr="00330234" w:rsidRDefault="009B4B8E" w:rsidP="00BD109B">
      <w:pPr>
        <w:widowControl/>
        <w:rPr>
          <w:i/>
        </w:rPr>
      </w:pPr>
      <w:r w:rsidRPr="00330234">
        <w:rPr>
          <w:i/>
        </w:rPr>
        <w:t>Infecties</w:t>
      </w:r>
    </w:p>
    <w:p w14:paraId="217A2909" w14:textId="49C2D99C" w:rsidR="00436DAA" w:rsidRPr="00330234" w:rsidRDefault="009B4B8E" w:rsidP="00772B43">
      <w:pPr>
        <w:pStyle w:val="a3"/>
        <w:widowControl/>
        <w:ind w:left="0"/>
      </w:pPr>
      <w:r w:rsidRPr="00330234">
        <w:t xml:space="preserve">Het aantal infecties/ernstige infecties was vergelijkbaar tussen de groep wekelijks behandeld met </w:t>
      </w:r>
      <w:r w:rsidR="00EF54E2" w:rsidRPr="00330234">
        <w:t>tocilizumab</w:t>
      </w:r>
      <w:r w:rsidRPr="00330234">
        <w:t xml:space="preserve"> (200,2/9,7 voorvallen per 100 patiëntjaren) en de groep met placebo plus de in 26 weken afbouwende prednisonbehandeling (156,0/4,2 voorvallen per 100 patiëntjaren) en de groep met placebo plus de in 52 weken afbouwende prednisonbehandeling (210,2/12,5 voorvallen per</w:t>
      </w:r>
      <w:r w:rsidR="00772B43" w:rsidRPr="00330234">
        <w:t xml:space="preserve"> </w:t>
      </w:r>
      <w:r w:rsidRPr="00330234">
        <w:t>100</w:t>
      </w:r>
      <w:r w:rsidR="00772B43" w:rsidRPr="00330234">
        <w:t> </w:t>
      </w:r>
      <w:r w:rsidRPr="00330234">
        <w:t>patiëntjaren).</w:t>
      </w:r>
    </w:p>
    <w:p w14:paraId="38D84F91" w14:textId="77777777" w:rsidR="00436DAA" w:rsidRPr="00330234" w:rsidRDefault="00436DAA" w:rsidP="00BD109B">
      <w:pPr>
        <w:widowControl/>
      </w:pPr>
    </w:p>
    <w:p w14:paraId="1A99003E" w14:textId="77777777" w:rsidR="00436DAA" w:rsidRPr="00330234" w:rsidRDefault="009B4B8E" w:rsidP="00BD109B">
      <w:pPr>
        <w:widowControl/>
        <w:rPr>
          <w:i/>
        </w:rPr>
      </w:pPr>
      <w:r w:rsidRPr="00330234">
        <w:rPr>
          <w:i/>
        </w:rPr>
        <w:t>Reacties op de injectieplaats</w:t>
      </w:r>
    </w:p>
    <w:p w14:paraId="7AAB1693" w14:textId="53231069" w:rsidR="00436DAA" w:rsidRPr="00330234" w:rsidRDefault="009B4B8E" w:rsidP="00BD109B">
      <w:pPr>
        <w:pStyle w:val="a3"/>
        <w:widowControl/>
        <w:ind w:left="0"/>
      </w:pPr>
      <w:r w:rsidRPr="00330234">
        <w:t xml:space="preserve">In de groep met wekelijks </w:t>
      </w:r>
      <w:r w:rsidR="00EF54E2" w:rsidRPr="00330234">
        <w:t>tocilizumab</w:t>
      </w:r>
      <w:r w:rsidRPr="00330234">
        <w:t xml:space="preserve"> subcutaan werd bij in totaal 6% (6/100) van de patiënten een reactie waargenomen op de plaats van de subcutane injectie. Geen van de reacties op de injectieplaats werd gemeld als ernstige bijwerking of vereiste het staken van de behandeling.</w:t>
      </w:r>
    </w:p>
    <w:p w14:paraId="2CC07183" w14:textId="77777777" w:rsidR="00436DAA" w:rsidRPr="00330234" w:rsidRDefault="00436DAA" w:rsidP="00BD109B">
      <w:pPr>
        <w:pStyle w:val="a3"/>
        <w:widowControl/>
        <w:ind w:left="0"/>
      </w:pPr>
    </w:p>
    <w:p w14:paraId="6DCF74B8" w14:textId="77777777" w:rsidR="00436DAA" w:rsidRPr="00330234" w:rsidRDefault="009B4B8E" w:rsidP="00BD109B">
      <w:pPr>
        <w:widowControl/>
        <w:rPr>
          <w:i/>
        </w:rPr>
      </w:pPr>
      <w:r w:rsidRPr="00330234">
        <w:rPr>
          <w:i/>
        </w:rPr>
        <w:t>Hematologische afwijkingen Neutrofielen</w:t>
      </w:r>
    </w:p>
    <w:p w14:paraId="4ABDB7A5" w14:textId="4A7D209B" w:rsidR="00436DAA" w:rsidRPr="00330234" w:rsidRDefault="009B4B8E" w:rsidP="00BD109B">
      <w:pPr>
        <w:pStyle w:val="a3"/>
        <w:widowControl/>
        <w:ind w:left="0"/>
      </w:pPr>
      <w:r w:rsidRPr="00330234">
        <w:t xml:space="preserve">Bij routinematig laboratoriumonderzoek tijdens het 12 maanden durende gecontroleerde klinische onderzoek met </w:t>
      </w:r>
      <w:r w:rsidR="00E37B81" w:rsidRPr="00330234">
        <w:t>tocilizumab</w:t>
      </w:r>
      <w:r w:rsidRPr="00330234">
        <w:t xml:space="preserve">, had 4% van de patiënten in de wekelijks met </w:t>
      </w:r>
      <w:r w:rsidR="00E37B81" w:rsidRPr="00330234">
        <w:t>tocilizumab</w:t>
      </w:r>
      <w:r w:rsidRPr="00330234">
        <w:t xml:space="preserve"> subcutaan behandelde groep een verlaagd aantal neutrofielen van onder de 1 x 10</w:t>
      </w:r>
      <w:r w:rsidRPr="00330234">
        <w:rPr>
          <w:vertAlign w:val="superscript"/>
        </w:rPr>
        <w:t>9</w:t>
      </w:r>
      <w:r w:rsidRPr="00330234">
        <w:t>/l. Dit werd in geen van de groepen met placebo plus afbouwende prednisonbehandeling waargenomen.</w:t>
      </w:r>
    </w:p>
    <w:p w14:paraId="6B3B1812" w14:textId="77777777" w:rsidR="00436DAA" w:rsidRPr="00330234" w:rsidRDefault="00436DAA" w:rsidP="00BD109B">
      <w:pPr>
        <w:pStyle w:val="a3"/>
        <w:widowControl/>
        <w:ind w:left="0"/>
      </w:pPr>
    </w:p>
    <w:p w14:paraId="5517504A" w14:textId="77777777" w:rsidR="00436DAA" w:rsidRPr="00330234" w:rsidRDefault="009B4B8E" w:rsidP="00BD109B">
      <w:pPr>
        <w:widowControl/>
        <w:rPr>
          <w:i/>
        </w:rPr>
      </w:pPr>
      <w:r w:rsidRPr="00330234">
        <w:rPr>
          <w:i/>
        </w:rPr>
        <w:t>Trombocyten</w:t>
      </w:r>
    </w:p>
    <w:p w14:paraId="7A701A7E" w14:textId="0FE6FD43" w:rsidR="00436DAA" w:rsidRPr="00330234" w:rsidRDefault="009B4B8E" w:rsidP="00BD109B">
      <w:pPr>
        <w:pStyle w:val="a3"/>
        <w:widowControl/>
        <w:ind w:left="0"/>
      </w:pPr>
      <w:r w:rsidRPr="00330234">
        <w:t xml:space="preserve">Bij routinematig laboratoriumonderzoek tijdens het 12 maanden durende gecontroleerde klinische onderzoek met </w:t>
      </w:r>
      <w:r w:rsidR="00EF54E2" w:rsidRPr="00330234">
        <w:t>tocilizumab</w:t>
      </w:r>
      <w:r w:rsidRPr="00330234">
        <w:t xml:space="preserve">, had één patiënt (1%, 1/100) in de groep met wekelijks </w:t>
      </w:r>
      <w:r w:rsidR="00EF54E2" w:rsidRPr="00330234">
        <w:t>tocilizumab</w:t>
      </w:r>
      <w:r w:rsidRPr="00330234">
        <w:t xml:space="preserve"> subcutaan eenmalig een tijdelijk verlaagd aantal trombocyten van &lt; 100x10</w:t>
      </w:r>
      <w:r w:rsidRPr="00330234">
        <w:rPr>
          <w:vertAlign w:val="superscript"/>
        </w:rPr>
        <w:t>3</w:t>
      </w:r>
      <w:r w:rsidRPr="00330234">
        <w:t>/µl zonder geassocieerde bloedingen. Een verlaagd aantal trombocyten van onder de 100x10</w:t>
      </w:r>
      <w:r w:rsidRPr="00330234">
        <w:rPr>
          <w:vertAlign w:val="superscript"/>
        </w:rPr>
        <w:t>3</w:t>
      </w:r>
      <w:r w:rsidRPr="00330234">
        <w:t>/µl werd in geen van de groepen met placebo plus afbouwende prednisonbehandeling waargenomen.</w:t>
      </w:r>
    </w:p>
    <w:p w14:paraId="39B55E64" w14:textId="77777777" w:rsidR="00436DAA" w:rsidRPr="00330234" w:rsidRDefault="00436DAA" w:rsidP="00BD109B">
      <w:pPr>
        <w:pStyle w:val="a3"/>
        <w:widowControl/>
        <w:ind w:left="0"/>
      </w:pPr>
    </w:p>
    <w:p w14:paraId="7DF2FDAA" w14:textId="77777777" w:rsidR="00436DAA" w:rsidRPr="00330234" w:rsidRDefault="009B4B8E" w:rsidP="00BD109B">
      <w:pPr>
        <w:widowControl/>
        <w:rPr>
          <w:i/>
        </w:rPr>
      </w:pPr>
      <w:r w:rsidRPr="00330234">
        <w:rPr>
          <w:i/>
        </w:rPr>
        <w:t>Stijging van levertransaminasen</w:t>
      </w:r>
    </w:p>
    <w:p w14:paraId="6DFA4CB4" w14:textId="199D21E0" w:rsidR="00436DAA" w:rsidRPr="00330234" w:rsidRDefault="009B4B8E" w:rsidP="00BD109B">
      <w:pPr>
        <w:pStyle w:val="a3"/>
        <w:widowControl/>
        <w:ind w:left="0"/>
      </w:pPr>
      <w:r w:rsidRPr="00330234">
        <w:t xml:space="preserve">Bij routinematig laboratoriumonderzoek tijdens het 12 maanden durende gecontroleerde klinische onderzoek met </w:t>
      </w:r>
      <w:r w:rsidR="00EF54E2" w:rsidRPr="00330234">
        <w:t>tocilizumab</w:t>
      </w:r>
      <w:r w:rsidRPr="00330234">
        <w:t xml:space="preserve"> had 3% van de patiënten in de groep die wekelijks werd behandeld met </w:t>
      </w:r>
      <w:r w:rsidR="00E37B81" w:rsidRPr="00330234">
        <w:t>tocilizumab</w:t>
      </w:r>
      <w:r w:rsidRPr="00330234">
        <w:t xml:space="preserve"> subcutaan een verhoging van ALAT ≥3x ULN, vergeleken met 2% in de groep met placebo plus in 52 weken afbouwende prednisonbehandeling en geen patiënten in de groep met placebo plus in 26 weken afbouwende prednisonbehandeling. Bij 1% van de patiënten in de groep met wekelijks </w:t>
      </w:r>
      <w:r w:rsidR="00EF54E2" w:rsidRPr="00330234">
        <w:t>tocilizumab</w:t>
      </w:r>
      <w:r w:rsidRPr="00330234">
        <w:t xml:space="preserve"> subcutaan vond een verhoging van ASAT &gt;3x ULN plaats vergeleken met geen patiënten in beide groepen met placebo plus afbouwende prednisonbehandeling.</w:t>
      </w:r>
    </w:p>
    <w:p w14:paraId="5031814C" w14:textId="77777777" w:rsidR="00772B43" w:rsidRPr="00330234" w:rsidRDefault="00772B43" w:rsidP="00BD109B">
      <w:pPr>
        <w:pStyle w:val="a3"/>
        <w:widowControl/>
        <w:ind w:left="0"/>
      </w:pPr>
    </w:p>
    <w:p w14:paraId="365D8F99" w14:textId="77777777" w:rsidR="00436DAA" w:rsidRPr="00330234" w:rsidRDefault="009B4B8E" w:rsidP="00BD109B">
      <w:pPr>
        <w:widowControl/>
        <w:rPr>
          <w:i/>
        </w:rPr>
      </w:pPr>
      <w:r w:rsidRPr="00330234">
        <w:rPr>
          <w:i/>
        </w:rPr>
        <w:t>Lipideparameters</w:t>
      </w:r>
    </w:p>
    <w:p w14:paraId="3E5AC450" w14:textId="1700CC29" w:rsidR="00436DAA" w:rsidRPr="00330234" w:rsidRDefault="009B4B8E" w:rsidP="00BD109B">
      <w:pPr>
        <w:pStyle w:val="a3"/>
        <w:widowControl/>
        <w:ind w:left="0"/>
      </w:pPr>
      <w:r w:rsidRPr="00330234">
        <w:t xml:space="preserve">Bij routinematig laboratoriumonderzoek tijdens het 12 maanden durende gecontroleerde klinische onderzoek met </w:t>
      </w:r>
      <w:r w:rsidR="00EF54E2" w:rsidRPr="00330234">
        <w:t>tocilizumab</w:t>
      </w:r>
      <w:r w:rsidRPr="00330234">
        <w:t xml:space="preserve"> had 34% van de patiënten een blijvend verhoogd cholesterol &gt;6,2 mmol/l (240 mg/dl), waarvan 15% een blijvend verhoogd LDL had tot ≥ 4,1 mmol/l (160 mg/dl) in de groep wekelijks behandeld met </w:t>
      </w:r>
      <w:r w:rsidR="00EF54E2" w:rsidRPr="00330234">
        <w:t>tocilizumab</w:t>
      </w:r>
      <w:r w:rsidRPr="00330234">
        <w:t xml:space="preserve"> subcutaan.</w:t>
      </w:r>
    </w:p>
    <w:p w14:paraId="3B2A01D6" w14:textId="77777777" w:rsidR="00436DAA" w:rsidRPr="00330234" w:rsidRDefault="00436DAA" w:rsidP="00BD109B">
      <w:pPr>
        <w:pStyle w:val="a3"/>
        <w:widowControl/>
        <w:ind w:left="0"/>
      </w:pPr>
    </w:p>
    <w:p w14:paraId="5595413D" w14:textId="77777777" w:rsidR="00436DAA" w:rsidRPr="00330234" w:rsidRDefault="009B4B8E" w:rsidP="00772B43">
      <w:pPr>
        <w:pStyle w:val="a3"/>
        <w:keepNext/>
        <w:keepLines/>
        <w:widowControl/>
        <w:ind w:left="0"/>
      </w:pPr>
      <w:r w:rsidRPr="00330234">
        <w:rPr>
          <w:u w:val="single"/>
        </w:rPr>
        <w:lastRenderedPageBreak/>
        <w:t>Intraveneus gebruik</w:t>
      </w:r>
    </w:p>
    <w:p w14:paraId="59F49A79" w14:textId="77777777" w:rsidR="00436DAA" w:rsidRPr="00330234" w:rsidRDefault="009B4B8E" w:rsidP="00772B43">
      <w:pPr>
        <w:pStyle w:val="1"/>
        <w:keepNext/>
        <w:keepLines/>
      </w:pPr>
      <w:r w:rsidRPr="00330234">
        <w:t>RA</w:t>
      </w:r>
    </w:p>
    <w:p w14:paraId="17D70194" w14:textId="14A50B73" w:rsidR="00436DAA" w:rsidRPr="00330234" w:rsidRDefault="009B4B8E" w:rsidP="00772B43">
      <w:pPr>
        <w:pStyle w:val="a3"/>
        <w:keepNext/>
        <w:keepLines/>
        <w:widowControl/>
        <w:ind w:left="0"/>
      </w:pPr>
      <w:r w:rsidRPr="00330234">
        <w:t xml:space="preserve">De veiligheid van </w:t>
      </w:r>
      <w:r w:rsidR="00EF54E2" w:rsidRPr="00330234">
        <w:t>tocilizumab</w:t>
      </w:r>
      <w:r w:rsidRPr="00330234">
        <w:t xml:space="preserve"> is onderzocht in 4 placebogecontroleerde studies (studies II, III, IV en V), 1 MTX-gecontroleerde studie (studie I) en hun extensieperiodes (zie rubriek 5.1).</w:t>
      </w:r>
    </w:p>
    <w:p w14:paraId="5018084D" w14:textId="77777777" w:rsidR="00772B43" w:rsidRPr="00330234" w:rsidRDefault="00772B43" w:rsidP="00BD109B">
      <w:pPr>
        <w:pStyle w:val="a3"/>
        <w:widowControl/>
        <w:ind w:left="0"/>
      </w:pPr>
    </w:p>
    <w:p w14:paraId="2CFDF61E" w14:textId="726DB7E8" w:rsidR="00436DAA" w:rsidRPr="00330234" w:rsidRDefault="009B4B8E" w:rsidP="00772B43">
      <w:pPr>
        <w:pStyle w:val="a3"/>
        <w:widowControl/>
        <w:ind w:left="0"/>
      </w:pPr>
      <w:r w:rsidRPr="00330234">
        <w:t>De dubbelblinde gecontroleerde periode was 6 maanden bij vier studies (studies I, III, IV en V) en was maximaal 2 jaar bij één studie (studie II). In de dubbelblinde gecontroleerde studies kregen</w:t>
      </w:r>
      <w:r w:rsidR="00772B43" w:rsidRPr="00330234">
        <w:t xml:space="preserve"> </w:t>
      </w:r>
      <w:r w:rsidRPr="00330234">
        <w:t>774</w:t>
      </w:r>
      <w:r w:rsidR="00772B43" w:rsidRPr="00330234">
        <w:t> </w:t>
      </w:r>
      <w:r w:rsidRPr="00330234">
        <w:t xml:space="preserve">patiënten </w:t>
      </w:r>
      <w:r w:rsidR="00ED6352" w:rsidRPr="00330234">
        <w:t>tocilizumab</w:t>
      </w:r>
      <w:r w:rsidRPr="00330234">
        <w:t xml:space="preserve"> 4 mg/kg in combinatie met MTX, 1870 patiënten kregen </w:t>
      </w:r>
      <w:r w:rsidR="00ED6352" w:rsidRPr="00330234">
        <w:t>tocilizumab</w:t>
      </w:r>
      <w:r w:rsidR="00772B43" w:rsidRPr="00330234">
        <w:t xml:space="preserve"> </w:t>
      </w:r>
      <w:r w:rsidRPr="00330234">
        <w:t>8</w:t>
      </w:r>
      <w:r w:rsidR="00772B43" w:rsidRPr="00330234">
        <w:t> </w:t>
      </w:r>
      <w:r w:rsidRPr="00330234">
        <w:t>mg/kg in combinatie met MTX of andere DMARD</w:t>
      </w:r>
      <w:r w:rsidR="00753185" w:rsidRPr="00330234">
        <w:t>’</w:t>
      </w:r>
      <w:r w:rsidRPr="00330234">
        <w:t xml:space="preserve">s en 288 patiënten kregen </w:t>
      </w:r>
      <w:r w:rsidR="00ED6352" w:rsidRPr="00330234">
        <w:t>tocilizumab</w:t>
      </w:r>
      <w:r w:rsidRPr="00330234">
        <w:t xml:space="preserve"> 8 mg/kg als monotherapie.</w:t>
      </w:r>
    </w:p>
    <w:p w14:paraId="65898B2B" w14:textId="77777777" w:rsidR="00772B43" w:rsidRPr="00330234" w:rsidRDefault="00772B43" w:rsidP="00772B43">
      <w:pPr>
        <w:pStyle w:val="a3"/>
        <w:widowControl/>
        <w:ind w:left="0"/>
      </w:pPr>
    </w:p>
    <w:p w14:paraId="25D79FA9" w14:textId="763526E7" w:rsidR="00436DAA" w:rsidRPr="00330234" w:rsidRDefault="009B4B8E" w:rsidP="00BD109B">
      <w:pPr>
        <w:pStyle w:val="a3"/>
        <w:widowControl/>
        <w:ind w:left="0"/>
      </w:pPr>
      <w:r w:rsidRPr="00330234">
        <w:t xml:space="preserve">De populatie met langdurige blootstelling omvatte alle patiënten die ten minste één dosis </w:t>
      </w:r>
      <w:r w:rsidR="00ED6352" w:rsidRPr="00330234">
        <w:t>tocilizumab</w:t>
      </w:r>
      <w:r w:rsidRPr="00330234">
        <w:t xml:space="preserve"> hadden ontvangen, of in de dubbelblinde gecontroleerde periode of in de open-label-extensiefase van de studies. Van de 4009 patiënten in deze populatie kregen 3577 patiënten een behandeling voor ten minste 6 maanden, 3296 voor ten minste één jaar, 2806 voor ten minste 2 jaar en 1222 voor 3 jaar.</w:t>
      </w:r>
    </w:p>
    <w:p w14:paraId="491EF42F" w14:textId="77777777" w:rsidR="00436DAA" w:rsidRPr="00330234" w:rsidRDefault="00436DAA" w:rsidP="00BD109B">
      <w:pPr>
        <w:widowControl/>
      </w:pPr>
    </w:p>
    <w:p w14:paraId="296829F2" w14:textId="77777777" w:rsidR="00436DAA" w:rsidRPr="00330234" w:rsidRDefault="009B4B8E" w:rsidP="00BD109B">
      <w:pPr>
        <w:pStyle w:val="a3"/>
        <w:widowControl/>
        <w:ind w:left="0"/>
        <w:rPr>
          <w:u w:val="single"/>
        </w:rPr>
      </w:pPr>
      <w:r w:rsidRPr="00330234">
        <w:rPr>
          <w:u w:val="single"/>
        </w:rPr>
        <w:t>Beschrijving van geselecteerde bijwerkingen</w:t>
      </w:r>
    </w:p>
    <w:p w14:paraId="36C6C971" w14:textId="77777777" w:rsidR="00B07007" w:rsidRPr="00330234" w:rsidRDefault="00B07007" w:rsidP="00BD109B">
      <w:pPr>
        <w:pStyle w:val="a3"/>
        <w:widowControl/>
        <w:ind w:left="0"/>
      </w:pPr>
    </w:p>
    <w:p w14:paraId="1C1DF6D8" w14:textId="77777777" w:rsidR="00436DAA" w:rsidRPr="00330234" w:rsidRDefault="009B4B8E" w:rsidP="00BD109B">
      <w:pPr>
        <w:widowControl/>
        <w:rPr>
          <w:i/>
        </w:rPr>
      </w:pPr>
      <w:r w:rsidRPr="00330234">
        <w:rPr>
          <w:i/>
        </w:rPr>
        <w:t>Infecties</w:t>
      </w:r>
    </w:p>
    <w:p w14:paraId="44936C59" w14:textId="74D1250A" w:rsidR="00436DAA" w:rsidRPr="00330234" w:rsidRDefault="009B4B8E" w:rsidP="00BD109B">
      <w:pPr>
        <w:pStyle w:val="a3"/>
        <w:widowControl/>
        <w:ind w:left="0"/>
      </w:pPr>
      <w:r w:rsidRPr="00330234">
        <w:t xml:space="preserve">In de 6 maanden durende gecontroleerde studies was het aantal van alle gemelde infecties bij de behandeling met </w:t>
      </w:r>
      <w:r w:rsidR="00ED6352" w:rsidRPr="00330234">
        <w:t>tocilizumab</w:t>
      </w:r>
      <w:r w:rsidRPr="00330234">
        <w:t xml:space="preserve"> 8 mg/kg plus DMARD’s 127 voorvallen per 100 patiëntjaren vergeleken met 112 voorvallen per 100 patiëntjaren bij placebo plus DMARD’s. In de populatie met langdurige blootstelling was het totale aantal infecties met </w:t>
      </w:r>
      <w:r w:rsidR="00ED6352" w:rsidRPr="00330234">
        <w:t>tocilizumab</w:t>
      </w:r>
      <w:r w:rsidRPr="00330234">
        <w:t xml:space="preserve"> 108 voorvallen per 100 patiëntjaren blootstelling.</w:t>
      </w:r>
    </w:p>
    <w:p w14:paraId="66B06ECB" w14:textId="77777777" w:rsidR="00436DAA" w:rsidRPr="00330234" w:rsidRDefault="00436DAA" w:rsidP="00BD109B">
      <w:pPr>
        <w:pStyle w:val="a3"/>
        <w:widowControl/>
        <w:ind w:left="0"/>
      </w:pPr>
    </w:p>
    <w:p w14:paraId="19974122" w14:textId="4F59AFF1" w:rsidR="00436DAA" w:rsidRPr="00330234" w:rsidRDefault="009B4B8E" w:rsidP="00BD109B">
      <w:pPr>
        <w:pStyle w:val="a3"/>
        <w:widowControl/>
        <w:ind w:left="0"/>
      </w:pPr>
      <w:r w:rsidRPr="00330234">
        <w:t xml:space="preserve">In de 6 maanden durende gecontroleerde klinische studies, was het aantal gemelde ernstige infecties met </w:t>
      </w:r>
      <w:r w:rsidR="00ED6352" w:rsidRPr="00330234">
        <w:t>tocilizumab</w:t>
      </w:r>
      <w:r w:rsidRPr="00330234">
        <w:t xml:space="preserve"> 8 mg/kg plus DMARD’s 5,3 voorvallen per 100 patiëntjaren blootstelling vergeleken met 3,9 voorvallen per 100 patiëntjaren blootstelling bij de placebo plus DMARD-groep. In het monotherapie onderzoek was het aantal gemelde ernstige infecties 3,6 voorvallen per 100 patiëntjaren blootstelling in de </w:t>
      </w:r>
      <w:r w:rsidR="00ED6352" w:rsidRPr="00330234">
        <w:t>tocilizumab</w:t>
      </w:r>
      <w:r w:rsidRPr="00330234">
        <w:t>-groep en 1,5 voorvallen per 100 patiëntjaren blootstelling bij de MTX- groep.</w:t>
      </w:r>
    </w:p>
    <w:p w14:paraId="5AAA7198" w14:textId="77777777" w:rsidR="00436DAA" w:rsidRPr="00330234" w:rsidRDefault="00436DAA" w:rsidP="00BD109B">
      <w:pPr>
        <w:pStyle w:val="a3"/>
        <w:widowControl/>
        <w:ind w:left="0"/>
      </w:pPr>
    </w:p>
    <w:p w14:paraId="3E9A1488" w14:textId="77777777" w:rsidR="009C3F98" w:rsidRPr="00330234" w:rsidRDefault="009B4B8E" w:rsidP="00BD109B">
      <w:pPr>
        <w:pStyle w:val="a3"/>
        <w:widowControl/>
        <w:ind w:left="0"/>
      </w:pPr>
      <w:r w:rsidRPr="00330234">
        <w:t xml:space="preserve">Bij de populatie met langdurige blootstelling was het totale aantal ernstige infecties (bacterieel, viraal en schimmel) 4,7 voorvallen per 100 patiëntjaren. De gemelde ernstige infecties, enkele met fatale afloop, waren o.a. actieve tuberculose, hetgeen zich kan presenteren met intrapulmonale of extrapulmonale ziekte, invasieve pulmonale infecties, waaronder candidiasis, aspergillose, coccidioïdomycose en pneumocystis jiroveci, pneumonie, cellulitis, herpes zoster, gastro-enteritis, diverticulitis, sepsis en bacteriële artritis. </w:t>
      </w:r>
    </w:p>
    <w:p w14:paraId="3597A8DE" w14:textId="77777777" w:rsidR="009C3F98" w:rsidRPr="00330234" w:rsidRDefault="009C3F98" w:rsidP="00BD109B">
      <w:pPr>
        <w:pStyle w:val="a3"/>
        <w:widowControl/>
        <w:ind w:left="0"/>
      </w:pPr>
    </w:p>
    <w:p w14:paraId="57D4AF8E" w14:textId="38126ACA" w:rsidR="00436DAA" w:rsidRPr="00330234" w:rsidRDefault="009B4B8E" w:rsidP="00BD109B">
      <w:pPr>
        <w:pStyle w:val="a3"/>
        <w:widowControl/>
        <w:ind w:left="0"/>
      </w:pPr>
      <w:r w:rsidRPr="00330234">
        <w:t>Gevallen van opportunistische infecties zijn gemeld.</w:t>
      </w:r>
    </w:p>
    <w:p w14:paraId="208D0EDD" w14:textId="77777777" w:rsidR="00772B43" w:rsidRPr="00330234" w:rsidRDefault="00772B43" w:rsidP="00BD109B">
      <w:pPr>
        <w:pStyle w:val="a3"/>
        <w:widowControl/>
        <w:ind w:left="0"/>
      </w:pPr>
    </w:p>
    <w:p w14:paraId="155FC48A" w14:textId="77777777" w:rsidR="00436DAA" w:rsidRPr="00330234" w:rsidRDefault="009B4B8E" w:rsidP="00BD109B">
      <w:pPr>
        <w:widowControl/>
        <w:rPr>
          <w:i/>
        </w:rPr>
      </w:pPr>
      <w:r w:rsidRPr="00330234">
        <w:rPr>
          <w:i/>
        </w:rPr>
        <w:t>Interstitiële longziekte</w:t>
      </w:r>
    </w:p>
    <w:p w14:paraId="16038F78" w14:textId="77777777" w:rsidR="00436DAA" w:rsidRPr="00330234" w:rsidRDefault="009B4B8E" w:rsidP="00BD109B">
      <w:pPr>
        <w:pStyle w:val="a3"/>
        <w:widowControl/>
        <w:ind w:left="0"/>
      </w:pPr>
      <w:r w:rsidRPr="00330234">
        <w:t>Het risico op het ontwikkelen van infecties kan toenemen bij een verminderde longfunctie. Er zijn postmarketingmeldingen van interstitiële longziekten (waaronder pneumonitis en longfibrose), waarvan sommige een fatale afloop hadden.</w:t>
      </w:r>
    </w:p>
    <w:p w14:paraId="21A39DF3" w14:textId="77777777" w:rsidR="00436DAA" w:rsidRPr="00330234" w:rsidRDefault="00436DAA" w:rsidP="00BD109B">
      <w:pPr>
        <w:pStyle w:val="a3"/>
        <w:widowControl/>
        <w:ind w:left="0"/>
      </w:pPr>
    </w:p>
    <w:p w14:paraId="1CEF4554" w14:textId="77777777" w:rsidR="00436DAA" w:rsidRPr="00330234" w:rsidRDefault="009B4B8E" w:rsidP="00BD109B">
      <w:pPr>
        <w:widowControl/>
        <w:rPr>
          <w:i/>
        </w:rPr>
      </w:pPr>
      <w:r w:rsidRPr="00330234">
        <w:rPr>
          <w:i/>
        </w:rPr>
        <w:t>Gastro-intestinale perforatie</w:t>
      </w:r>
    </w:p>
    <w:p w14:paraId="0C6E3ACE" w14:textId="540A9D10" w:rsidR="00436DAA" w:rsidRPr="00330234" w:rsidRDefault="009B4B8E" w:rsidP="00772B43">
      <w:pPr>
        <w:pStyle w:val="a3"/>
        <w:widowControl/>
        <w:ind w:left="0"/>
      </w:pPr>
      <w:r w:rsidRPr="00330234">
        <w:t xml:space="preserve">Tijdens de 6 maanden durende gecontroleerde klinische studies was het totale aantal gastro-intestinale perforaties 0,26 voorvallen per 100 patiëntjaren bij behandeling met </w:t>
      </w:r>
      <w:r w:rsidR="00ED6352" w:rsidRPr="00330234">
        <w:t>tocilizumab</w:t>
      </w:r>
      <w:r w:rsidRPr="00330234">
        <w:t>. Bij de populatie met langdurige blootstelling was het totaal aantal gastro-intestinale perforaties 0,28 voorvallen per</w:t>
      </w:r>
      <w:r w:rsidR="00772B43" w:rsidRPr="00330234">
        <w:t xml:space="preserve"> </w:t>
      </w:r>
      <w:r w:rsidRPr="00330234">
        <w:t>100</w:t>
      </w:r>
      <w:r w:rsidR="00772B43" w:rsidRPr="00330234">
        <w:t> </w:t>
      </w:r>
      <w:r w:rsidRPr="00330234">
        <w:t xml:space="preserve">patiëntjaren. Gastro-intestinale perforaties bij gebruik van </w:t>
      </w:r>
      <w:r w:rsidR="00ED6352" w:rsidRPr="00330234">
        <w:t>tocilizumab</w:t>
      </w:r>
      <w:r w:rsidRPr="00330234">
        <w:t xml:space="preserve"> werden voornamelijk gemeld als complicaties van diverticulitis, waaronder gegeneraliseerde purulente peritonitis, lage gastro-intestinale perforaties, fistels en abcessen.</w:t>
      </w:r>
    </w:p>
    <w:p w14:paraId="117E4E68" w14:textId="77777777" w:rsidR="00772B43" w:rsidRPr="00330234" w:rsidRDefault="00772B43" w:rsidP="00772B43">
      <w:pPr>
        <w:pStyle w:val="a3"/>
        <w:widowControl/>
        <w:ind w:left="0"/>
      </w:pPr>
    </w:p>
    <w:p w14:paraId="7BD29818" w14:textId="77777777" w:rsidR="00436DAA" w:rsidRPr="00330234" w:rsidRDefault="009B4B8E" w:rsidP="00BD109B">
      <w:pPr>
        <w:widowControl/>
        <w:rPr>
          <w:i/>
        </w:rPr>
      </w:pPr>
      <w:r w:rsidRPr="00330234">
        <w:rPr>
          <w:i/>
        </w:rPr>
        <w:t>Infusiegerelateerde reacties</w:t>
      </w:r>
    </w:p>
    <w:p w14:paraId="5921D7D0" w14:textId="3638426F" w:rsidR="00436DAA" w:rsidRPr="00330234" w:rsidRDefault="009B4B8E" w:rsidP="00BD109B">
      <w:pPr>
        <w:pStyle w:val="a3"/>
        <w:widowControl/>
        <w:ind w:left="0"/>
      </w:pPr>
      <w:r w:rsidRPr="00330234">
        <w:t xml:space="preserve">In de 6 maanden durende gecontroleerde studies zijn infusiegerelateerde bijwerkingen (specifieke gebeurtenissen die voorkomen gedurende of binnen 24 uur na infusie) bij 6,9% van de patiënten in de </w:t>
      </w:r>
      <w:r w:rsidR="00ED6352" w:rsidRPr="00330234">
        <w:lastRenderedPageBreak/>
        <w:t>tocilizumab</w:t>
      </w:r>
      <w:r w:rsidRPr="00330234">
        <w:t xml:space="preserve"> 8 mg/kg plus DMARD-groep en bij 5,1% van de patiënten in de placebo plus DMARD- groep gemeld. Bijwerkingen die tijdens de infusie zijn gemeld waren voornamelijk episoden van hypertensie; bijwerkingen die binnen 24 uur na de infusie zijn gemeld waren hoofdpijn en huidreacties (uitslag en urticaria). Deze gebeurtenissen hadden geen gevolgen voor de behandeling.</w:t>
      </w:r>
    </w:p>
    <w:p w14:paraId="02613396" w14:textId="77777777" w:rsidR="00436DAA" w:rsidRPr="00330234" w:rsidRDefault="00436DAA" w:rsidP="00BD109B">
      <w:pPr>
        <w:pStyle w:val="a3"/>
        <w:widowControl/>
        <w:ind w:left="0"/>
      </w:pPr>
    </w:p>
    <w:p w14:paraId="5F45ECC1" w14:textId="01F01E09" w:rsidR="00436DAA" w:rsidRPr="00330234" w:rsidRDefault="009B4B8E" w:rsidP="00772B43">
      <w:pPr>
        <w:pStyle w:val="a3"/>
        <w:widowControl/>
        <w:ind w:left="0"/>
      </w:pPr>
      <w:r w:rsidRPr="00330234">
        <w:t xml:space="preserve">Het aantal anafylactische reacties (die voorkwamen bij in totaal 8 van de 4009 patiënten, 0,2%) was verscheidene malen hoger bij de 4 mg/kg dosering vergeleken met de 8 mg/kg dosering. Klinisch significante overgevoeligheidsreacties geassocieerd met </w:t>
      </w:r>
      <w:r w:rsidR="00ED6352" w:rsidRPr="00330234">
        <w:t>tocilizumab</w:t>
      </w:r>
      <w:r w:rsidRPr="00330234">
        <w:t xml:space="preserve"> waarbij staken van de behandeling noodzakelijk was, zijn bij in totaal 56 van de 4009 (1,4%) patiënten gemeld die tijdens de gecontroleerde en open-label klinische studies werden behandeld met </w:t>
      </w:r>
      <w:r w:rsidR="00ED6352" w:rsidRPr="00330234">
        <w:t>tocilizumab</w:t>
      </w:r>
      <w:r w:rsidRPr="00330234">
        <w:t>. Deze reacties werden over het algemeen bij de 2</w:t>
      </w:r>
      <w:r w:rsidRPr="00330234">
        <w:rPr>
          <w:vertAlign w:val="superscript"/>
        </w:rPr>
        <w:t>e</w:t>
      </w:r>
      <w:r w:rsidRPr="00330234">
        <w:t xml:space="preserve"> tot aan de 5</w:t>
      </w:r>
      <w:r w:rsidRPr="00330234">
        <w:rPr>
          <w:vertAlign w:val="superscript"/>
        </w:rPr>
        <w:t>e</w:t>
      </w:r>
      <w:r w:rsidRPr="00330234">
        <w:t xml:space="preserve"> infusie van tocilizumab waargenomen (zie</w:t>
      </w:r>
      <w:r w:rsidR="00772B43" w:rsidRPr="00330234">
        <w:t xml:space="preserve"> </w:t>
      </w:r>
      <w:r w:rsidRPr="00330234">
        <w:t>rubriek</w:t>
      </w:r>
      <w:r w:rsidR="00772B43" w:rsidRPr="00330234">
        <w:t> </w:t>
      </w:r>
      <w:r w:rsidRPr="00330234">
        <w:t xml:space="preserve">4.4). Anafylaxie met fatale afloop is gemeld tijdens behandeling met </w:t>
      </w:r>
      <w:r w:rsidR="00ED6352" w:rsidRPr="00330234">
        <w:t>tocilizumab</w:t>
      </w:r>
      <w:r w:rsidRPr="00330234">
        <w:t xml:space="preserve"> intraveneus na het toekennen van de handelsvergunning (zie rubriek 4.4).</w:t>
      </w:r>
    </w:p>
    <w:p w14:paraId="4CCE15B9" w14:textId="77777777" w:rsidR="00436DAA" w:rsidRPr="00330234" w:rsidRDefault="00436DAA" w:rsidP="00BD109B">
      <w:pPr>
        <w:pStyle w:val="a3"/>
        <w:widowControl/>
        <w:ind w:left="0"/>
      </w:pPr>
    </w:p>
    <w:p w14:paraId="2D008CAD" w14:textId="77777777" w:rsidR="00772B43" w:rsidRPr="00330234" w:rsidRDefault="009B4B8E" w:rsidP="00BD109B">
      <w:pPr>
        <w:widowControl/>
        <w:rPr>
          <w:i/>
        </w:rPr>
      </w:pPr>
      <w:r w:rsidRPr="00330234">
        <w:rPr>
          <w:i/>
        </w:rPr>
        <w:t>Hematologische afwijkingen</w:t>
      </w:r>
    </w:p>
    <w:p w14:paraId="19243818" w14:textId="4026D685" w:rsidR="00436DAA" w:rsidRPr="00330234" w:rsidRDefault="009B4B8E" w:rsidP="00BD109B">
      <w:pPr>
        <w:widowControl/>
        <w:rPr>
          <w:i/>
        </w:rPr>
      </w:pPr>
      <w:r w:rsidRPr="00330234">
        <w:rPr>
          <w:i/>
        </w:rPr>
        <w:t>Neutrofielen</w:t>
      </w:r>
    </w:p>
    <w:p w14:paraId="217C9C65" w14:textId="4816E6FA" w:rsidR="00436DAA" w:rsidRPr="00330234" w:rsidRDefault="009B4B8E" w:rsidP="007669F1">
      <w:pPr>
        <w:pStyle w:val="a3"/>
        <w:widowControl/>
        <w:ind w:left="0"/>
      </w:pPr>
      <w:r w:rsidRPr="00330234">
        <w:t>Bij de 6 maanden durende gecontroleerde studies werd een afname van het neutrofielenaantal onder 1</w:t>
      </w:r>
      <w:r w:rsidR="00A24778" w:rsidRPr="00330234">
        <w:t> </w:t>
      </w:r>
      <w:r w:rsidRPr="00330234">
        <w:t>x 10</w:t>
      </w:r>
      <w:r w:rsidRPr="00330234">
        <w:rPr>
          <w:vertAlign w:val="superscript"/>
        </w:rPr>
        <w:t>9</w:t>
      </w:r>
      <w:r w:rsidRPr="00330234">
        <w:t xml:space="preserve">/l gezien bij 3,4% van de patiënten die behandeld werden met </w:t>
      </w:r>
      <w:r w:rsidR="009C3F98" w:rsidRPr="00330234">
        <w:t>tocilizumab</w:t>
      </w:r>
      <w:r w:rsidRPr="00330234">
        <w:t xml:space="preserve"> 8 mg/kg plus DMARD’s vergeleken met &lt; 0,1% van de patiënten die behandeld werden met placebo plus DMARD’s. Bij ongeveer de helft van de patiënten die een absoluut neutrofielenaantal van &lt; 1 x 10</w:t>
      </w:r>
      <w:r w:rsidRPr="00330234">
        <w:rPr>
          <w:vertAlign w:val="superscript"/>
        </w:rPr>
        <w:t>9</w:t>
      </w:r>
      <w:r w:rsidRPr="00330234">
        <w:t>/l</w:t>
      </w:r>
      <w:r w:rsidR="007669F1" w:rsidRPr="00330234">
        <w:t xml:space="preserve"> </w:t>
      </w:r>
      <w:r w:rsidRPr="00330234">
        <w:t>ontwikkelde, gebeurde dit binnen 8 weken na het starten van de therapie. Afname onder de 0,5 x 10</w:t>
      </w:r>
      <w:r w:rsidRPr="00330234">
        <w:rPr>
          <w:vertAlign w:val="superscript"/>
        </w:rPr>
        <w:t>9</w:t>
      </w:r>
      <w:r w:rsidRPr="00330234">
        <w:t xml:space="preserve">/l is gemeld bij 0,3% van de patiënten die </w:t>
      </w:r>
      <w:r w:rsidR="009C3F98" w:rsidRPr="00330234">
        <w:t>tocilizumab</w:t>
      </w:r>
      <w:r w:rsidRPr="00330234">
        <w:t xml:space="preserve"> 8 mg/kg plus DMARD’s kregen. Infecties met neutropenie zijn gemeld.</w:t>
      </w:r>
    </w:p>
    <w:p w14:paraId="68A6A4C1" w14:textId="77777777" w:rsidR="00772B43" w:rsidRPr="00330234" w:rsidRDefault="00772B43" w:rsidP="00BD109B">
      <w:pPr>
        <w:pStyle w:val="a3"/>
        <w:widowControl/>
        <w:ind w:left="0"/>
      </w:pPr>
    </w:p>
    <w:p w14:paraId="45410E6C" w14:textId="6D651E74" w:rsidR="00436DAA" w:rsidRPr="00330234" w:rsidRDefault="009B4B8E" w:rsidP="00772B43">
      <w:pPr>
        <w:pStyle w:val="a3"/>
        <w:widowControl/>
        <w:ind w:left="0"/>
      </w:pPr>
      <w:r w:rsidRPr="00330234">
        <w:t>Tijdens de dubbelblinde gecontroleerde periode en bij langdurige blootstelling bleven het patroon en de incidentie van de daling van het aantal neutrofielen gelijk aan wat werd waargenomen bij de</w:t>
      </w:r>
      <w:r w:rsidR="00772B43" w:rsidRPr="00330234">
        <w:t xml:space="preserve"> </w:t>
      </w:r>
      <w:r w:rsidRPr="00330234">
        <w:t>6</w:t>
      </w:r>
      <w:r w:rsidR="00772B43" w:rsidRPr="00330234">
        <w:t> </w:t>
      </w:r>
      <w:r w:rsidRPr="00330234">
        <w:t>maanden durende gecontroleerde klinische studies.</w:t>
      </w:r>
    </w:p>
    <w:p w14:paraId="64B5EFAA" w14:textId="77777777" w:rsidR="00772B43" w:rsidRPr="00330234" w:rsidRDefault="00772B43" w:rsidP="00772B43">
      <w:pPr>
        <w:pStyle w:val="a3"/>
        <w:widowControl/>
        <w:ind w:left="0"/>
      </w:pPr>
    </w:p>
    <w:p w14:paraId="6BD3110F" w14:textId="77777777" w:rsidR="00436DAA" w:rsidRPr="00330234" w:rsidRDefault="009B4B8E" w:rsidP="00BD109B">
      <w:pPr>
        <w:widowControl/>
        <w:rPr>
          <w:i/>
        </w:rPr>
      </w:pPr>
      <w:r w:rsidRPr="00330234">
        <w:rPr>
          <w:i/>
        </w:rPr>
        <w:t>Trombocyten</w:t>
      </w:r>
    </w:p>
    <w:p w14:paraId="5D46A050" w14:textId="31A7D153" w:rsidR="00436DAA" w:rsidRPr="00330234" w:rsidRDefault="009B4B8E" w:rsidP="007669F1">
      <w:pPr>
        <w:pStyle w:val="a3"/>
        <w:widowControl/>
        <w:ind w:left="0"/>
      </w:pPr>
      <w:r w:rsidRPr="00330234">
        <w:t>In de 6 maanden durende gecontroleerde studies daalde het aantal trombocyten onder 100 x 10</w:t>
      </w:r>
      <w:r w:rsidRPr="00330234">
        <w:rPr>
          <w:vertAlign w:val="superscript"/>
        </w:rPr>
        <w:t>3</w:t>
      </w:r>
      <w:r w:rsidRPr="00330234">
        <w:t xml:space="preserve">/μl bij 1,7% van de patiënten die behandeld werden met </w:t>
      </w:r>
      <w:r w:rsidR="009C3F98" w:rsidRPr="00330234">
        <w:t>tocilizumab</w:t>
      </w:r>
      <w:r w:rsidRPr="00330234">
        <w:t xml:space="preserve"> 8 mg/kg plus DMARD’s vergeleken met</w:t>
      </w:r>
      <w:r w:rsidR="007669F1" w:rsidRPr="00330234">
        <w:t xml:space="preserve"> </w:t>
      </w:r>
      <w:r w:rsidRPr="00330234">
        <w:t>&lt; 1% bij de patiënten die behandeld werden met placebo plus DMARD’s. Deze afname ging niet gepaard met geassocieerde bloedingen.</w:t>
      </w:r>
    </w:p>
    <w:p w14:paraId="5E5165E1" w14:textId="77777777" w:rsidR="00772B43" w:rsidRPr="00330234" w:rsidRDefault="00772B43" w:rsidP="00BD109B">
      <w:pPr>
        <w:pStyle w:val="a3"/>
        <w:widowControl/>
        <w:ind w:left="0"/>
      </w:pPr>
    </w:p>
    <w:p w14:paraId="63DA6A19" w14:textId="0E162217" w:rsidR="00436DAA" w:rsidRPr="00330234" w:rsidRDefault="009B4B8E" w:rsidP="007669F1">
      <w:pPr>
        <w:pStyle w:val="a3"/>
        <w:widowControl/>
        <w:ind w:left="0"/>
      </w:pPr>
      <w:r w:rsidRPr="00330234">
        <w:t>Tijdens de dubbelblinde gecontroleerde periode en bij langdurige blootstelling bleven het patroon en de incidentie van de daling van het aantal trombocyten gelijk aan wat werd waargenomen bij de</w:t>
      </w:r>
      <w:r w:rsidR="007669F1" w:rsidRPr="00330234">
        <w:t xml:space="preserve"> </w:t>
      </w:r>
      <w:r w:rsidRPr="00330234">
        <w:t>6</w:t>
      </w:r>
      <w:r w:rsidR="00A24778" w:rsidRPr="00330234">
        <w:t> </w:t>
      </w:r>
      <w:r w:rsidRPr="00330234">
        <w:t>maanden durende gecontroleerde klinische studies.</w:t>
      </w:r>
    </w:p>
    <w:p w14:paraId="4D251E5E" w14:textId="77777777" w:rsidR="00436DAA" w:rsidRPr="00330234" w:rsidRDefault="00436DAA" w:rsidP="00BD109B">
      <w:pPr>
        <w:pStyle w:val="a3"/>
        <w:widowControl/>
        <w:ind w:left="0"/>
      </w:pPr>
    </w:p>
    <w:p w14:paraId="240ADB76" w14:textId="02268408" w:rsidR="00436DAA" w:rsidRPr="00330234" w:rsidRDefault="009B4B8E" w:rsidP="00BD109B">
      <w:pPr>
        <w:pStyle w:val="a3"/>
        <w:widowControl/>
        <w:ind w:left="0"/>
        <w:rPr>
          <w:rFonts w:eastAsia="SimSun"/>
          <w:lang w:eastAsia="zh-CN"/>
        </w:rPr>
      </w:pPr>
      <w:r w:rsidRPr="00330234">
        <w:t>Na het in de handel brengen zijn zeer zelden gevallen van pancytopenie voorgekomen</w:t>
      </w:r>
      <w:r w:rsidR="00337850" w:rsidRPr="00330234">
        <w:rPr>
          <w:rFonts w:eastAsia="SimSun"/>
          <w:lang w:eastAsia="zh-CN"/>
        </w:rPr>
        <w:t>.</w:t>
      </w:r>
    </w:p>
    <w:p w14:paraId="6A066025" w14:textId="77777777" w:rsidR="00772B43" w:rsidRPr="00330234" w:rsidRDefault="00772B43" w:rsidP="00BD109B">
      <w:pPr>
        <w:pStyle w:val="a3"/>
        <w:widowControl/>
        <w:ind w:left="0"/>
      </w:pPr>
    </w:p>
    <w:p w14:paraId="4F91F324" w14:textId="77777777" w:rsidR="00436DAA" w:rsidRPr="00330234" w:rsidRDefault="009B4B8E" w:rsidP="00BD109B">
      <w:pPr>
        <w:widowControl/>
        <w:rPr>
          <w:i/>
        </w:rPr>
      </w:pPr>
      <w:r w:rsidRPr="00330234">
        <w:rPr>
          <w:i/>
        </w:rPr>
        <w:t>Stijging van levertransaminasen</w:t>
      </w:r>
    </w:p>
    <w:p w14:paraId="2DDAF058" w14:textId="1AC155FF" w:rsidR="00436DAA" w:rsidRPr="00330234" w:rsidRDefault="009B4B8E" w:rsidP="00772B43">
      <w:pPr>
        <w:pStyle w:val="a3"/>
        <w:widowControl/>
        <w:ind w:left="0"/>
      </w:pPr>
      <w:r w:rsidRPr="00330234">
        <w:t xml:space="preserve">Tijdens de 6 maanden durende gecontroleerde studies is een kortstondige stijging van ALAT/ASAT &gt;3 x ULN waargenomen bij 2,1% van de patiënten die behandeld werden met </w:t>
      </w:r>
      <w:r w:rsidR="009C3F98" w:rsidRPr="00330234">
        <w:t>tocilizumab</w:t>
      </w:r>
      <w:r w:rsidRPr="00330234">
        <w:t xml:space="preserve"> 8 mg/kg vergeleken met 4,9% van de patiënten die behandeld werden met MTX en bij</w:t>
      </w:r>
      <w:r w:rsidR="00772B43" w:rsidRPr="00330234">
        <w:t xml:space="preserve"> </w:t>
      </w:r>
      <w:r w:rsidRPr="00330234">
        <w:t xml:space="preserve">6,5% van de patiënten met 8 mg/kg </w:t>
      </w:r>
      <w:r w:rsidR="009C3F98" w:rsidRPr="00330234">
        <w:t>tocilizumab</w:t>
      </w:r>
      <w:r w:rsidRPr="00330234">
        <w:t xml:space="preserve"> plus DMARD’s vergeleken met 1,5% van de patiënten die behandeld werden met placebo plus DMARD’s.</w:t>
      </w:r>
    </w:p>
    <w:p w14:paraId="19ED247F" w14:textId="77777777" w:rsidR="00772B43" w:rsidRPr="00330234" w:rsidRDefault="00772B43" w:rsidP="00772B43">
      <w:pPr>
        <w:pStyle w:val="a3"/>
        <w:widowControl/>
        <w:ind w:left="0"/>
      </w:pPr>
    </w:p>
    <w:p w14:paraId="601B493A" w14:textId="4E5B7EDA" w:rsidR="00436DAA" w:rsidRPr="00330234" w:rsidRDefault="009B4B8E" w:rsidP="00772B43">
      <w:pPr>
        <w:pStyle w:val="a3"/>
        <w:widowControl/>
        <w:ind w:left="0"/>
      </w:pPr>
      <w:r w:rsidRPr="00330234">
        <w:t xml:space="preserve">Toevoeging van potentieel hepatotoxische geneesmiddelen (bijv. MTX) aan </w:t>
      </w:r>
      <w:r w:rsidR="009C3F98" w:rsidRPr="00330234">
        <w:t>tocilizumab</w:t>
      </w:r>
      <w:r w:rsidRPr="00330234">
        <w:t xml:space="preserve"> monotherapie resulteerde in een toename van de frequentie van deze stijgingen. Stijging van</w:t>
      </w:r>
      <w:r w:rsidR="00772B43" w:rsidRPr="00330234">
        <w:t xml:space="preserve"> </w:t>
      </w:r>
      <w:r w:rsidRPr="00330234">
        <w:t xml:space="preserve">ALAT/ASAT &gt;5 x ULN werd gezien bij 0,7% van de patiënten die behandeld werden met </w:t>
      </w:r>
      <w:r w:rsidR="009C3F98" w:rsidRPr="00330234">
        <w:t>tocilizumab</w:t>
      </w:r>
      <w:r w:rsidRPr="00330234">
        <w:t xml:space="preserve"> monotherapie en bij 1,4% van de patiënten die behandeld werden met </w:t>
      </w:r>
      <w:r w:rsidR="009C3F98" w:rsidRPr="00330234">
        <w:t>tocilizumab</w:t>
      </w:r>
      <w:r w:rsidRPr="00330234">
        <w:t xml:space="preserve"> plus DMARD. Het merendeel van hen staakte de behandeling met </w:t>
      </w:r>
      <w:r w:rsidR="009C3F98" w:rsidRPr="00330234">
        <w:t>tocilizumab</w:t>
      </w:r>
      <w:r w:rsidRPr="00330234">
        <w:t xml:space="preserve"> definitief. Gedurende de dubbelblinde gecontroleerde periode was de incidentie van indirect bilirubine die hoger is dan de ULN, verzameld als routinematige laboratoriumparameter, 6,2% bij patiënten die behandeld werden met </w:t>
      </w:r>
      <w:r w:rsidR="009C3F98" w:rsidRPr="00330234">
        <w:t>tocilizumab</w:t>
      </w:r>
      <w:r w:rsidR="00772B43" w:rsidRPr="00330234">
        <w:t xml:space="preserve"> </w:t>
      </w:r>
      <w:r w:rsidRPr="00330234">
        <w:t>8</w:t>
      </w:r>
      <w:r w:rsidR="00772B43" w:rsidRPr="00330234">
        <w:t> </w:t>
      </w:r>
      <w:r w:rsidRPr="00330234">
        <w:t>mg/kg plus DMARD. Een totaal van 5,8% van de patiënten had een verhoging van indirect bilirubine van &gt; 1 tot 2 x ULN en 0,4% had een verhoging van &gt; 2 x ULN.</w:t>
      </w:r>
    </w:p>
    <w:p w14:paraId="66865040" w14:textId="77777777" w:rsidR="00772B43" w:rsidRPr="00330234" w:rsidRDefault="00772B43" w:rsidP="00772B43">
      <w:pPr>
        <w:pStyle w:val="a3"/>
        <w:widowControl/>
        <w:ind w:left="0"/>
      </w:pPr>
    </w:p>
    <w:p w14:paraId="37DB57C8" w14:textId="3003C3B0" w:rsidR="00436DAA" w:rsidRPr="00330234" w:rsidRDefault="009B4B8E" w:rsidP="00772B43">
      <w:pPr>
        <w:pStyle w:val="a3"/>
        <w:widowControl/>
        <w:ind w:left="0"/>
      </w:pPr>
      <w:r w:rsidRPr="00330234">
        <w:lastRenderedPageBreak/>
        <w:t>Tijdens de dubbelblinde gecontroleerde periode en bij langdurige blootstelling bleven het patroon en de incidentie van de stijging van ALAT/ASAT gelijk aan wat werd waargenomen tijdens de</w:t>
      </w:r>
      <w:r w:rsidR="00772B43" w:rsidRPr="00330234">
        <w:t xml:space="preserve"> </w:t>
      </w:r>
      <w:r w:rsidRPr="00330234">
        <w:t>6</w:t>
      </w:r>
      <w:r w:rsidR="00772B43" w:rsidRPr="00330234">
        <w:t> </w:t>
      </w:r>
      <w:r w:rsidRPr="00330234">
        <w:t>maanden durende gecontroleerde klinische studies.</w:t>
      </w:r>
    </w:p>
    <w:p w14:paraId="74C357EA" w14:textId="77777777" w:rsidR="00436DAA" w:rsidRPr="00330234" w:rsidRDefault="00436DAA" w:rsidP="00BD109B">
      <w:pPr>
        <w:pStyle w:val="a3"/>
        <w:widowControl/>
        <w:ind w:left="0"/>
      </w:pPr>
    </w:p>
    <w:p w14:paraId="0510980F" w14:textId="77777777" w:rsidR="00436DAA" w:rsidRPr="00330234" w:rsidRDefault="009B4B8E" w:rsidP="00BD109B">
      <w:pPr>
        <w:widowControl/>
        <w:rPr>
          <w:i/>
        </w:rPr>
      </w:pPr>
      <w:r w:rsidRPr="00330234">
        <w:rPr>
          <w:i/>
        </w:rPr>
        <w:t>Lipideparameters</w:t>
      </w:r>
    </w:p>
    <w:p w14:paraId="49621C6D" w14:textId="271E6257" w:rsidR="00436DAA" w:rsidRPr="00330234" w:rsidRDefault="009B4B8E" w:rsidP="00772B43">
      <w:pPr>
        <w:pStyle w:val="a3"/>
        <w:widowControl/>
        <w:ind w:left="0"/>
      </w:pPr>
      <w:r w:rsidRPr="00330234">
        <w:t xml:space="preserve">Tijdens de 6 maanden durende gecontroleerde onderzoeken, is een toename van de lipideparameters zoals totaal cholesterol, triglyceriden, LDL cholesterol en/of HDL cholesterol vaak gemeld. Met routinematige controles in het laboratorium werd waargenomen dat ongeveer 24% van de patiënten die bij klinische studies </w:t>
      </w:r>
      <w:r w:rsidR="009C3F98" w:rsidRPr="00330234">
        <w:t>tocilizumab</w:t>
      </w:r>
      <w:r w:rsidRPr="00330234">
        <w:t xml:space="preserve"> kregen, een aanhoudende stijging van de totaal cholesterol</w:t>
      </w:r>
      <w:r w:rsidR="00772B43" w:rsidRPr="00330234">
        <w:t xml:space="preserve"> </w:t>
      </w:r>
      <w:r w:rsidRPr="00330234">
        <w:t>≥6,2</w:t>
      </w:r>
      <w:r w:rsidR="00772B43" w:rsidRPr="00330234">
        <w:t> </w:t>
      </w:r>
      <w:r w:rsidRPr="00330234">
        <w:t>mmol/l had, waarvan 15% een aanhoudende stijging van LDL-cholesterol tot ≥4,1 mmol/l ervaarde. Stijgingen van lipideparameters reageerden op behandeling met lipideverlagende middelen.</w:t>
      </w:r>
    </w:p>
    <w:p w14:paraId="392A9475" w14:textId="77777777" w:rsidR="00772B43" w:rsidRPr="00330234" w:rsidRDefault="00772B43" w:rsidP="00BD109B">
      <w:pPr>
        <w:pStyle w:val="a3"/>
        <w:widowControl/>
        <w:ind w:left="0"/>
      </w:pPr>
    </w:p>
    <w:p w14:paraId="08C46BE8" w14:textId="55610744" w:rsidR="00436DAA" w:rsidRPr="00330234" w:rsidRDefault="009B4B8E" w:rsidP="007669F1">
      <w:pPr>
        <w:pStyle w:val="a3"/>
        <w:widowControl/>
        <w:ind w:left="0"/>
      </w:pPr>
      <w:r w:rsidRPr="00330234">
        <w:t>Tijdens de dubbelblinde gecontroleerde periode en bij langdurige blootstelling bleven het patroon en de incidentie van de stijging van de lipideparameters gelijk aan wat werd waargenomen tijdens de</w:t>
      </w:r>
      <w:r w:rsidR="007669F1" w:rsidRPr="00330234">
        <w:t xml:space="preserve"> 6 </w:t>
      </w:r>
      <w:r w:rsidRPr="00330234">
        <w:t>maanden durende gecontroleerde klinische studies.</w:t>
      </w:r>
    </w:p>
    <w:p w14:paraId="726C55C8" w14:textId="77777777" w:rsidR="00436DAA" w:rsidRPr="00330234" w:rsidRDefault="00436DAA" w:rsidP="00BD109B">
      <w:pPr>
        <w:pStyle w:val="a3"/>
        <w:widowControl/>
        <w:ind w:left="0"/>
      </w:pPr>
    </w:p>
    <w:p w14:paraId="4123C3D4" w14:textId="77777777" w:rsidR="00436DAA" w:rsidRPr="00330234" w:rsidRDefault="009B4B8E" w:rsidP="00BD109B">
      <w:pPr>
        <w:widowControl/>
        <w:rPr>
          <w:i/>
        </w:rPr>
      </w:pPr>
      <w:r w:rsidRPr="00330234">
        <w:rPr>
          <w:i/>
        </w:rPr>
        <w:t>Maligniteiten</w:t>
      </w:r>
    </w:p>
    <w:p w14:paraId="141C84B2" w14:textId="53AF61B8" w:rsidR="00436DAA" w:rsidRPr="00330234" w:rsidRDefault="009B4B8E" w:rsidP="00BD109B">
      <w:pPr>
        <w:pStyle w:val="a3"/>
        <w:widowControl/>
        <w:ind w:left="0"/>
      </w:pPr>
      <w:r w:rsidRPr="00330234">
        <w:t xml:space="preserve">Er zijn onvoldoende klinische gegevens beschikbaar om de potentiële incidentie van maligniteiten als gevolg van blootstelling aan </w:t>
      </w:r>
      <w:r w:rsidR="009C3F98" w:rsidRPr="00330234">
        <w:t>tocilizumab</w:t>
      </w:r>
      <w:r w:rsidRPr="00330234">
        <w:t xml:space="preserve"> te bepalen. Langetermijnveiligheidsevaluaties zijn nog gaande.</w:t>
      </w:r>
    </w:p>
    <w:p w14:paraId="360B6803" w14:textId="77777777" w:rsidR="00772B43" w:rsidRPr="00330234" w:rsidRDefault="00772B43" w:rsidP="00BD109B">
      <w:pPr>
        <w:pStyle w:val="a3"/>
        <w:widowControl/>
        <w:ind w:left="0"/>
      </w:pPr>
    </w:p>
    <w:p w14:paraId="251B4AA0" w14:textId="77777777" w:rsidR="00436DAA" w:rsidRPr="00330234" w:rsidRDefault="009B4B8E" w:rsidP="00BD109B">
      <w:pPr>
        <w:widowControl/>
        <w:rPr>
          <w:i/>
        </w:rPr>
      </w:pPr>
      <w:r w:rsidRPr="00330234">
        <w:rPr>
          <w:i/>
        </w:rPr>
        <w:t>Huidreacties</w:t>
      </w:r>
    </w:p>
    <w:p w14:paraId="230AAB2D" w14:textId="77777777" w:rsidR="00436DAA" w:rsidRPr="00330234" w:rsidRDefault="009B4B8E" w:rsidP="00BD109B">
      <w:pPr>
        <w:pStyle w:val="a3"/>
        <w:widowControl/>
        <w:ind w:left="0"/>
      </w:pPr>
      <w:r w:rsidRPr="00330234">
        <w:t>Na het in de handel brengen is zelden melding gedaan van stevens-johnsonsyndroom.</w:t>
      </w:r>
    </w:p>
    <w:p w14:paraId="6B55A906" w14:textId="77777777" w:rsidR="00436DAA" w:rsidRPr="00330234" w:rsidRDefault="00436DAA" w:rsidP="00BD109B">
      <w:pPr>
        <w:pStyle w:val="a3"/>
        <w:widowControl/>
        <w:ind w:left="0"/>
      </w:pPr>
    </w:p>
    <w:p w14:paraId="5994CE01" w14:textId="77777777" w:rsidR="009C3F98" w:rsidRPr="00330234" w:rsidRDefault="009C3F98" w:rsidP="009C3F98">
      <w:pPr>
        <w:pStyle w:val="a3"/>
        <w:keepNext/>
        <w:keepLines/>
        <w:widowControl/>
        <w:ind w:left="0"/>
        <w:rPr>
          <w:u w:val="single"/>
        </w:rPr>
      </w:pPr>
      <w:r w:rsidRPr="00330234">
        <w:rPr>
          <w:u w:val="single"/>
        </w:rPr>
        <w:t>Immunogeniciteit</w:t>
      </w:r>
    </w:p>
    <w:p w14:paraId="6DEBD9E0" w14:textId="7DD7791F" w:rsidR="009C3F98" w:rsidRPr="00330234" w:rsidRDefault="009C3F98" w:rsidP="00BD109B">
      <w:pPr>
        <w:pStyle w:val="a3"/>
        <w:widowControl/>
        <w:ind w:left="0"/>
      </w:pPr>
      <w:r w:rsidRPr="00330234">
        <w:t>Tijdens de behandeling met tocilizumab kunnen zich anti-tocilizumabantilichamen ontwikkelen. Er kan een correlatie worden waargenomen tussen de ontwikkeling van antilichamen en de klinische respons of bijwerkingen.</w:t>
      </w:r>
    </w:p>
    <w:p w14:paraId="3988A6FE" w14:textId="77777777" w:rsidR="009C3F98" w:rsidRPr="00330234" w:rsidRDefault="009C3F98" w:rsidP="00BD109B">
      <w:pPr>
        <w:pStyle w:val="a3"/>
        <w:widowControl/>
        <w:ind w:left="0"/>
      </w:pPr>
    </w:p>
    <w:p w14:paraId="5042368D" w14:textId="77777777" w:rsidR="00436DAA" w:rsidRPr="00330234" w:rsidRDefault="009B4B8E" w:rsidP="00BD109B">
      <w:pPr>
        <w:pStyle w:val="a3"/>
        <w:widowControl/>
        <w:ind w:left="0"/>
      </w:pPr>
      <w:r w:rsidRPr="00330234">
        <w:rPr>
          <w:u w:val="single"/>
        </w:rPr>
        <w:t>Melding van vermoedelijke bijwerkingen</w:t>
      </w:r>
    </w:p>
    <w:p w14:paraId="1733A44E" w14:textId="11BF92AF" w:rsidR="00436DAA" w:rsidRPr="00330234" w:rsidRDefault="009B4B8E" w:rsidP="00BD109B">
      <w:pPr>
        <w:pStyle w:val="a3"/>
        <w:widowControl/>
        <w:ind w:left="0"/>
      </w:pPr>
      <w:r w:rsidRPr="00330234">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330234">
        <w:rPr>
          <w:color w:val="000000"/>
          <w:shd w:val="pct35" w:color="auto" w:fill="auto"/>
        </w:rPr>
        <w:t>het nationale meldsysteem zoals vermeld in</w:t>
      </w:r>
      <w:hyperlink r:id="rId19">
        <w:r w:rsidRPr="00330234">
          <w:rPr>
            <w:color w:val="0000FF"/>
            <w:u w:val="single" w:color="0000FF"/>
            <w:shd w:val="pct35" w:color="auto" w:fill="auto"/>
          </w:rPr>
          <w:t xml:space="preserve"> aanhangsel V</w:t>
        </w:r>
      </w:hyperlink>
      <w:r w:rsidR="004C0949" w:rsidRPr="00330234">
        <w:t>.</w:t>
      </w:r>
    </w:p>
    <w:p w14:paraId="3332F916" w14:textId="77777777" w:rsidR="00436DAA" w:rsidRPr="00330234" w:rsidRDefault="00436DAA" w:rsidP="00BD109B">
      <w:pPr>
        <w:pStyle w:val="a3"/>
        <w:widowControl/>
        <w:ind w:left="0"/>
      </w:pPr>
    </w:p>
    <w:p w14:paraId="458A9609" w14:textId="7936871E" w:rsidR="00436DAA" w:rsidRPr="00330234" w:rsidRDefault="005328BF" w:rsidP="004C0949">
      <w:pPr>
        <w:pStyle w:val="2"/>
        <w:keepNext/>
        <w:keepLines/>
      </w:pPr>
      <w:r w:rsidRPr="00330234">
        <w:t>4.9</w:t>
      </w:r>
      <w:r w:rsidRPr="00330234">
        <w:tab/>
      </w:r>
      <w:r w:rsidR="009B4B8E" w:rsidRPr="00330234">
        <w:t>Overdosering</w:t>
      </w:r>
    </w:p>
    <w:p w14:paraId="59073748" w14:textId="77777777" w:rsidR="00772B43" w:rsidRPr="00330234" w:rsidRDefault="00772B43" w:rsidP="004C0949">
      <w:pPr>
        <w:pStyle w:val="a3"/>
        <w:keepNext/>
        <w:keepLines/>
        <w:widowControl/>
        <w:ind w:left="0"/>
      </w:pPr>
    </w:p>
    <w:p w14:paraId="70AAB753" w14:textId="0A44BFF1" w:rsidR="00436DAA" w:rsidRPr="00330234" w:rsidRDefault="009B4B8E" w:rsidP="004C0949">
      <w:pPr>
        <w:pStyle w:val="a3"/>
        <w:keepNext/>
        <w:keepLines/>
        <w:widowControl/>
        <w:ind w:left="0"/>
      </w:pPr>
      <w:r w:rsidRPr="00330234">
        <w:t xml:space="preserve">Er zijn beperkte gegevens beschikbaar van overdosering met </w:t>
      </w:r>
      <w:r w:rsidR="009C3F98" w:rsidRPr="00330234">
        <w:t>tocilizumab</w:t>
      </w:r>
      <w:r w:rsidRPr="00330234">
        <w:t>. Eén geval van overdosering is gemeld bij een patiënt met multipel myeloom die een enkelvoudige dosis van 40 mg/kg intraveneus toegediend kreeg. Er zijn geen bijwerkingen waargenomen.</w:t>
      </w:r>
    </w:p>
    <w:p w14:paraId="6047E61C" w14:textId="77777777" w:rsidR="00436DAA" w:rsidRPr="00330234" w:rsidRDefault="00436DAA" w:rsidP="00BD109B">
      <w:pPr>
        <w:pStyle w:val="a3"/>
        <w:widowControl/>
        <w:ind w:left="0"/>
      </w:pPr>
    </w:p>
    <w:p w14:paraId="41539CDC" w14:textId="77777777" w:rsidR="00436DAA" w:rsidRPr="00330234" w:rsidRDefault="009B4B8E" w:rsidP="00BD109B">
      <w:pPr>
        <w:pStyle w:val="a3"/>
        <w:widowControl/>
        <w:ind w:left="0"/>
      </w:pPr>
      <w:r w:rsidRPr="00330234">
        <w:t>Er zijn geen ernstige bijwerkingen waargenomen bij gezonde vrijwilligers die een enkelvoudige dosering tot 28 mg/kg kregen. Hierbij trad echter wel een dosisbeperkende neutropenie op.</w:t>
      </w:r>
    </w:p>
    <w:p w14:paraId="3FB571D9" w14:textId="77777777" w:rsidR="00436DAA" w:rsidRPr="00330234" w:rsidRDefault="00436DAA" w:rsidP="00BD109B">
      <w:pPr>
        <w:pStyle w:val="a3"/>
        <w:widowControl/>
        <w:ind w:left="0"/>
      </w:pPr>
    </w:p>
    <w:p w14:paraId="2EDD6813" w14:textId="77777777" w:rsidR="00436DAA" w:rsidRPr="00330234" w:rsidRDefault="00436DAA" w:rsidP="00BD109B">
      <w:pPr>
        <w:pStyle w:val="a3"/>
        <w:widowControl/>
        <w:ind w:left="0"/>
      </w:pPr>
    </w:p>
    <w:p w14:paraId="7EEE7D5C" w14:textId="72170C0F" w:rsidR="00436DAA" w:rsidRPr="00330234" w:rsidRDefault="005328BF" w:rsidP="001031F9">
      <w:pPr>
        <w:pStyle w:val="1"/>
      </w:pPr>
      <w:r w:rsidRPr="00330234">
        <w:t>5.</w:t>
      </w:r>
      <w:r w:rsidRPr="00330234">
        <w:tab/>
      </w:r>
      <w:r w:rsidR="009B4B8E" w:rsidRPr="00330234">
        <w:t>FARMACOLOGISCHE EIGENSCHAPPEN</w:t>
      </w:r>
    </w:p>
    <w:p w14:paraId="1E4C382C" w14:textId="77777777" w:rsidR="00436DAA" w:rsidRPr="00330234" w:rsidRDefault="00436DAA" w:rsidP="00BD109B">
      <w:pPr>
        <w:pStyle w:val="a3"/>
        <w:widowControl/>
        <w:ind w:left="0"/>
        <w:rPr>
          <w:bCs/>
        </w:rPr>
      </w:pPr>
    </w:p>
    <w:p w14:paraId="6D13AC4D" w14:textId="0F2DFB86" w:rsidR="00436DAA" w:rsidRPr="00330234" w:rsidRDefault="005328BF" w:rsidP="00BD109B">
      <w:pPr>
        <w:pStyle w:val="2"/>
      </w:pPr>
      <w:r w:rsidRPr="00330234">
        <w:t>5.1</w:t>
      </w:r>
      <w:r w:rsidRPr="00330234">
        <w:tab/>
      </w:r>
      <w:r w:rsidR="009B4B8E" w:rsidRPr="00330234">
        <w:t>Farmacodynamische eigenschappen</w:t>
      </w:r>
    </w:p>
    <w:p w14:paraId="39825FD3" w14:textId="77777777" w:rsidR="00772B43" w:rsidRPr="00330234" w:rsidRDefault="00772B43" w:rsidP="00BD109B">
      <w:pPr>
        <w:pStyle w:val="a3"/>
        <w:widowControl/>
        <w:ind w:left="0"/>
      </w:pPr>
    </w:p>
    <w:p w14:paraId="296CEF36" w14:textId="77777777" w:rsidR="00772B43" w:rsidRPr="00330234" w:rsidRDefault="009B4B8E" w:rsidP="00BD109B">
      <w:pPr>
        <w:pStyle w:val="a3"/>
        <w:widowControl/>
        <w:ind w:left="0"/>
      </w:pPr>
      <w:r w:rsidRPr="00330234">
        <w:t>Farmacotherapeutische categorie: immunosuppressiva, interleukineremmers; ATC-code: L04AC07.</w:t>
      </w:r>
    </w:p>
    <w:p w14:paraId="4E80D072" w14:textId="77777777" w:rsidR="00772B43" w:rsidRPr="00330234" w:rsidRDefault="00772B43" w:rsidP="00BD109B">
      <w:pPr>
        <w:pStyle w:val="a3"/>
        <w:widowControl/>
        <w:ind w:left="0"/>
      </w:pPr>
    </w:p>
    <w:p w14:paraId="7CB56C04" w14:textId="34E5E507" w:rsidR="009C3F98" w:rsidRPr="00330234" w:rsidRDefault="009C3F98" w:rsidP="00BD109B">
      <w:pPr>
        <w:pStyle w:val="a3"/>
        <w:widowControl/>
        <w:ind w:left="0"/>
      </w:pPr>
      <w:r w:rsidRPr="00330234">
        <w:t>Avtozma is een biosimilar. Gedetailleerde informatie is beschikbaar op de website van het Europees Geneesmiddelenbureau (</w:t>
      </w:r>
      <w:hyperlink r:id="rId20" w:history="1">
        <w:r w:rsidRPr="00330234">
          <w:rPr>
            <w:rStyle w:val="ab"/>
          </w:rPr>
          <w:t>https://www.ema.europa.eu</w:t>
        </w:r>
      </w:hyperlink>
      <w:r w:rsidRPr="00330234">
        <w:t>).</w:t>
      </w:r>
    </w:p>
    <w:p w14:paraId="7860EE3F" w14:textId="77777777" w:rsidR="009C3F98" w:rsidRPr="00330234" w:rsidRDefault="009C3F98" w:rsidP="00BD109B">
      <w:pPr>
        <w:pStyle w:val="a3"/>
        <w:widowControl/>
        <w:ind w:left="0"/>
      </w:pPr>
    </w:p>
    <w:p w14:paraId="26C5E848" w14:textId="5321B099" w:rsidR="00436DAA" w:rsidRPr="00330234" w:rsidRDefault="009B4B8E" w:rsidP="00BD109B">
      <w:pPr>
        <w:pStyle w:val="a3"/>
        <w:widowControl/>
        <w:ind w:left="0"/>
      </w:pPr>
      <w:r w:rsidRPr="00330234">
        <w:rPr>
          <w:u w:val="single"/>
        </w:rPr>
        <w:t>Werkingsmechanisme</w:t>
      </w:r>
    </w:p>
    <w:p w14:paraId="16B294D6" w14:textId="0B45D3CF" w:rsidR="00436DAA" w:rsidRPr="00330234" w:rsidRDefault="009C3F98" w:rsidP="00772B43">
      <w:pPr>
        <w:pStyle w:val="a3"/>
        <w:widowControl/>
        <w:ind w:left="0"/>
      </w:pPr>
      <w:r w:rsidRPr="00330234">
        <w:t>Tocilizumab</w:t>
      </w:r>
      <w:r w:rsidR="009B4B8E" w:rsidRPr="00330234">
        <w:t xml:space="preserve"> bindt specifiek aan zowel oplosbare als membraangebonden IL-6 receptoren (sIL-6R en</w:t>
      </w:r>
      <w:r w:rsidR="00772B43" w:rsidRPr="00330234">
        <w:t xml:space="preserve"> </w:t>
      </w:r>
      <w:r w:rsidR="009B4B8E" w:rsidRPr="00330234">
        <w:t xml:space="preserve">mIL-6R). Voor </w:t>
      </w:r>
      <w:r w:rsidRPr="00330234">
        <w:t>tocilizumab</w:t>
      </w:r>
      <w:r w:rsidR="009B4B8E" w:rsidRPr="00330234">
        <w:t xml:space="preserve"> is aangetoond dat het de sIL-6R- en de mIL-6R-gemedieerde signalering </w:t>
      </w:r>
      <w:r w:rsidR="009B4B8E" w:rsidRPr="00330234">
        <w:lastRenderedPageBreak/>
        <w:t>remt. IL-6 is een pleiotroop pro-inflammatoir cytokine geproduceerd door verschillende typen cellen waaronder T- en B-cellen, monocyten en fibroblasten. IL-6 is betrokken bij verschillende fysiologische processen zoals T-cel-activatie, inductie van immunoglobuline secretie, inductie van hepatische acutefase-eiwitsynthese en stimulering van hemopoëse. IL-6 is betrokken bij de pathogenese van ziekten waaronder inflammatoire ziekten, osteoporose en neoplasie.</w:t>
      </w:r>
    </w:p>
    <w:p w14:paraId="6A8F7F1D" w14:textId="77777777" w:rsidR="00772B43" w:rsidRPr="00330234" w:rsidRDefault="00772B43" w:rsidP="00772B43">
      <w:pPr>
        <w:pStyle w:val="a3"/>
        <w:widowControl/>
        <w:ind w:left="0"/>
      </w:pPr>
    </w:p>
    <w:p w14:paraId="5C048193" w14:textId="77777777" w:rsidR="00436DAA" w:rsidRPr="00330234" w:rsidRDefault="009B4B8E" w:rsidP="001B3E1E">
      <w:pPr>
        <w:pStyle w:val="a3"/>
        <w:keepNext/>
        <w:keepLines/>
        <w:widowControl/>
        <w:ind w:left="0"/>
      </w:pPr>
      <w:r w:rsidRPr="00330234">
        <w:rPr>
          <w:u w:val="single"/>
        </w:rPr>
        <w:t>Farmacodynamische effecten</w:t>
      </w:r>
    </w:p>
    <w:p w14:paraId="33EBC835" w14:textId="5D63B835" w:rsidR="00436DAA" w:rsidRPr="00330234" w:rsidRDefault="009B4B8E" w:rsidP="001B3E1E">
      <w:pPr>
        <w:pStyle w:val="a3"/>
        <w:keepNext/>
        <w:keepLines/>
        <w:widowControl/>
        <w:ind w:left="0"/>
      </w:pPr>
      <w:r w:rsidRPr="00330234">
        <w:t xml:space="preserve">In klinische RA studies met </w:t>
      </w:r>
      <w:r w:rsidR="00FA591D" w:rsidRPr="00330234">
        <w:t>tocilizumab</w:t>
      </w:r>
      <w:r w:rsidRPr="00330234">
        <w:t xml:space="preserve">, zijn snelle afnames van C-reactieve proteïne (CRP), erytrocytensedimentatiesnelheid (ESR), serum amyloïde A (SAA) en fibrinogeen waargenomen. Analoog aan de effecten op de acutefase-reactiecomponenten, is behandeling met </w:t>
      </w:r>
      <w:r w:rsidR="00FA591D" w:rsidRPr="00330234">
        <w:t>tocilizumab</w:t>
      </w:r>
      <w:r w:rsidRPr="00330234">
        <w:t xml:space="preserve"> geassocieerd met reductie van het gehalte aan trombocyten tot binnen de normaalwaarden. Een stijging van de hemoglobinespiegels is geconstateerd, doordat </w:t>
      </w:r>
      <w:r w:rsidR="00FA591D" w:rsidRPr="00330234">
        <w:t>tocilizumab</w:t>
      </w:r>
      <w:r w:rsidRPr="00330234">
        <w:t xml:space="preserve"> de IL-6-gestuurde effecten op de hepcidineproductie verlaagt en daarmee de beschikbaarheid van ijzer verhoogt. Bij patiënten die behandeld zijn met </w:t>
      </w:r>
      <w:r w:rsidR="00FA591D" w:rsidRPr="00330234">
        <w:t>tocilizumab</w:t>
      </w:r>
      <w:r w:rsidRPr="00330234">
        <w:t xml:space="preserve"> zijn al in de tweede week dalingen van de CRP-spiegels gezien tot binnen het normale bereik en deze dalingen hielden tijdens de behandeling aan.</w:t>
      </w:r>
    </w:p>
    <w:p w14:paraId="776C70FE" w14:textId="77777777" w:rsidR="00436DAA" w:rsidRPr="00330234" w:rsidRDefault="00436DAA" w:rsidP="00BD109B">
      <w:pPr>
        <w:pStyle w:val="a3"/>
        <w:widowControl/>
        <w:ind w:left="0"/>
      </w:pPr>
    </w:p>
    <w:p w14:paraId="05AB3523" w14:textId="4502BD70" w:rsidR="00436DAA" w:rsidRPr="00330234" w:rsidRDefault="009B4B8E" w:rsidP="00772B43">
      <w:pPr>
        <w:pStyle w:val="a3"/>
        <w:widowControl/>
        <w:ind w:left="0"/>
      </w:pPr>
      <w:r w:rsidRPr="00330234">
        <w:t>In het klinische GCA-onderzoek WA28119 werd een vergelijkbare snelle afname van CRP en ESR waargenomen, tezamen met lichte verhogingen van de gemiddelde concentratie van hemoglobine per rode bloedcel (</w:t>
      </w:r>
      <w:r w:rsidRPr="00330234">
        <w:rPr>
          <w:i/>
        </w:rPr>
        <w:t>mean corpuscular haemoglobin concentration</w:t>
      </w:r>
      <w:r w:rsidRPr="00330234">
        <w:t>, MCHC). Bij gezonde vrijwilligers aan</w:t>
      </w:r>
      <w:r w:rsidR="00772B43" w:rsidRPr="00330234">
        <w:t xml:space="preserve"> </w:t>
      </w:r>
      <w:r w:rsidRPr="00330234">
        <w:t xml:space="preserve">wie doses </w:t>
      </w:r>
      <w:r w:rsidR="00FA591D" w:rsidRPr="00330234">
        <w:t>tocilizumab</w:t>
      </w:r>
      <w:r w:rsidRPr="00330234">
        <w:t xml:space="preserve"> van 2 tot 28 mg/kg intraveneus en 81 tot 162 mg subcutaan werden toegediend, bereikte het absolute aantal neutrofielen het laagste niveau op dag 2 tot 5 na toediening. Daarna herstelden de neutrofielen zich tot de baselinewaarde; dit was dosisafhankelijk. RA- en GCA-patiënten met reumatoïde artritis lieten na toediening van </w:t>
      </w:r>
      <w:r w:rsidR="00FA591D" w:rsidRPr="00330234">
        <w:t>tocilizumab</w:t>
      </w:r>
      <w:r w:rsidRPr="00330234">
        <w:t xml:space="preserve"> een vergelijkbare verlaging van het absolute aantal neutrofielen zien, ten opzichte van gezonde vrijwilligers (zie rubriek 4.8).</w:t>
      </w:r>
    </w:p>
    <w:p w14:paraId="142232E5" w14:textId="77777777" w:rsidR="00436DAA" w:rsidRPr="00330234" w:rsidRDefault="00436DAA" w:rsidP="00BD109B">
      <w:pPr>
        <w:pStyle w:val="a3"/>
        <w:widowControl/>
        <w:ind w:left="0"/>
      </w:pPr>
    </w:p>
    <w:p w14:paraId="7F0730FD" w14:textId="77777777" w:rsidR="00436DAA" w:rsidRPr="00330234" w:rsidRDefault="009B4B8E" w:rsidP="00BD109B">
      <w:pPr>
        <w:pStyle w:val="a3"/>
        <w:widowControl/>
        <w:ind w:left="0"/>
      </w:pPr>
      <w:r w:rsidRPr="00330234">
        <w:rPr>
          <w:u w:val="single"/>
        </w:rPr>
        <w:t>Subcutaan-gebruik</w:t>
      </w:r>
    </w:p>
    <w:p w14:paraId="51EF43C8" w14:textId="77777777" w:rsidR="00436DAA" w:rsidRPr="00330234" w:rsidRDefault="009B4B8E" w:rsidP="00BD109B">
      <w:pPr>
        <w:widowControl/>
        <w:rPr>
          <w:b/>
        </w:rPr>
      </w:pPr>
      <w:r w:rsidRPr="00330234">
        <w:rPr>
          <w:b/>
          <w:u w:val="single"/>
        </w:rPr>
        <w:t>RA</w:t>
      </w:r>
    </w:p>
    <w:p w14:paraId="630842D2" w14:textId="77777777" w:rsidR="00436DAA" w:rsidRPr="00330234" w:rsidRDefault="009B4B8E" w:rsidP="00BD109B">
      <w:pPr>
        <w:pStyle w:val="a3"/>
        <w:widowControl/>
        <w:ind w:left="0"/>
      </w:pPr>
      <w:r w:rsidRPr="00330234">
        <w:rPr>
          <w:u w:val="single"/>
        </w:rPr>
        <w:t>Klinische werkzaamheid</w:t>
      </w:r>
    </w:p>
    <w:p w14:paraId="4EF85319" w14:textId="152A5053" w:rsidR="00436DAA" w:rsidRPr="00330234" w:rsidRDefault="009B4B8E" w:rsidP="00BD109B">
      <w:pPr>
        <w:pStyle w:val="a3"/>
        <w:widowControl/>
        <w:ind w:left="0"/>
      </w:pPr>
      <w:r w:rsidRPr="00330234">
        <w:t xml:space="preserve">De werkzaamheid van subcutaan toegediende </w:t>
      </w:r>
      <w:r w:rsidR="00FA591D" w:rsidRPr="00330234">
        <w:t>tocilizumab</w:t>
      </w:r>
      <w:r w:rsidRPr="00330234">
        <w:t xml:space="preserve"> in het verlichten van de klachten en symptomen van RA en de radiografische respons is onderzocht in 2 gerandomiseerde, dubbelblinde, gecontroleerde, multicenter studies. Voor studie I (SC-I) moesten de patiënten </w:t>
      </w:r>
      <w:r w:rsidR="00CC2DE7" w:rsidRPr="00330234">
        <w:t>≥</w:t>
      </w:r>
      <w:r w:rsidRPr="00330234">
        <w:t xml:space="preserve"> 18 jaar zijn met een matige tot ernstig actieve RA, die volgens de ACR-criteria gediagnosticeerd was en die op baseline ten minste 4 gevoelige en 4 gezwollen gewrichten hadden. Alle patiënten kregen als achtergrondbehandeling </w:t>
      </w:r>
      <w:r w:rsidRPr="00330234">
        <w:rPr>
          <w:i/>
        </w:rPr>
        <w:t xml:space="preserve">non-biologic </w:t>
      </w:r>
      <w:r w:rsidRPr="00330234">
        <w:t xml:space="preserve">DMARD(’s). Voor studie II (SC-II) moesten de patiënten </w:t>
      </w:r>
      <w:r w:rsidR="00772B43" w:rsidRPr="00330234">
        <w:t>≥</w:t>
      </w:r>
      <w:r w:rsidR="00CC2DE7" w:rsidRPr="00330234">
        <w:t> </w:t>
      </w:r>
      <w:r w:rsidRPr="00330234">
        <w:t>18</w:t>
      </w:r>
      <w:r w:rsidR="00CC2DE7" w:rsidRPr="00330234">
        <w:t> </w:t>
      </w:r>
      <w:r w:rsidRPr="00330234">
        <w:t>jaar zijn met een matige tot ernstige actieve RA die volgens de ACR-criteria gediagnosticeerd was en die op baseline ten minste 8 gevoelige en 6 gezwollen gewrichten hadden.</w:t>
      </w:r>
    </w:p>
    <w:p w14:paraId="2798B3A2" w14:textId="77777777" w:rsidR="00436DAA" w:rsidRPr="00330234" w:rsidRDefault="00436DAA" w:rsidP="00BD109B">
      <w:pPr>
        <w:pStyle w:val="a3"/>
        <w:widowControl/>
        <w:ind w:left="0"/>
      </w:pPr>
    </w:p>
    <w:p w14:paraId="2830279E" w14:textId="77777777" w:rsidR="00436DAA" w:rsidRPr="00330234" w:rsidRDefault="009B4B8E" w:rsidP="00BD109B">
      <w:pPr>
        <w:pStyle w:val="a3"/>
        <w:widowControl/>
        <w:ind w:left="0"/>
      </w:pPr>
      <w:r w:rsidRPr="00330234">
        <w:t>Overschakelen van 8 mg/kg intraveneus eenmaal per 4 weken naar 162 mg subcutaan eenmaal per week zal de blootstelling bij de patiënt veranderen. De mate van verandering is afhankelijk van het lichaamsgewicht van de patiënt (meer bij lichte patiënten en minder bij zware patiënten) maar het klinische resultaat komt overeen met het resultaat dat werd waargenomen bij intraveneus behandelde patiënten.</w:t>
      </w:r>
    </w:p>
    <w:p w14:paraId="13FB2B12" w14:textId="77777777" w:rsidR="00CC2DE7" w:rsidRPr="00330234" w:rsidRDefault="00CC2DE7" w:rsidP="00BD109B">
      <w:pPr>
        <w:pStyle w:val="a3"/>
        <w:widowControl/>
        <w:ind w:left="0"/>
      </w:pPr>
    </w:p>
    <w:p w14:paraId="5A6CA31A" w14:textId="77777777" w:rsidR="00436DAA" w:rsidRPr="00330234" w:rsidRDefault="009B4B8E" w:rsidP="00BD109B">
      <w:pPr>
        <w:pStyle w:val="a3"/>
        <w:widowControl/>
        <w:ind w:left="0"/>
      </w:pPr>
      <w:r w:rsidRPr="00330234">
        <w:rPr>
          <w:u w:val="single"/>
        </w:rPr>
        <w:t>Klinische respons</w:t>
      </w:r>
    </w:p>
    <w:p w14:paraId="38138D8B" w14:textId="3C1FFDDF" w:rsidR="00FA591D" w:rsidRPr="00330234" w:rsidRDefault="009B4B8E" w:rsidP="00BD109B">
      <w:pPr>
        <w:pStyle w:val="a3"/>
        <w:widowControl/>
        <w:ind w:left="0"/>
      </w:pPr>
      <w:r w:rsidRPr="00330234">
        <w:t>Tijdens studie SC-I werden patiënten met een matige tot ernstige actieve RA geëvalueerd die een onvoldoende klinische respons hadden op hun bestaande anti-reumatische behandeling, waaronder één of meerdere DMARD(’s). Van deze patiënten had ongeveer 20% een voorgeschiedenis van onvoldoende respons op ten minste één TNF-remmer. In SC-I werden 1262 patiënten 1:1</w:t>
      </w:r>
      <w:r w:rsidR="00CC2DE7" w:rsidRPr="00330234">
        <w:t> </w:t>
      </w:r>
      <w:r w:rsidRPr="00330234">
        <w:t xml:space="preserve">gerandomiseerd naar </w:t>
      </w:r>
      <w:r w:rsidR="00FA591D" w:rsidRPr="00330234">
        <w:t>tocilizumab</w:t>
      </w:r>
      <w:r w:rsidRPr="00330234">
        <w:t xml:space="preserve"> subcutaan 162 mg per week of </w:t>
      </w:r>
      <w:r w:rsidR="00FA591D" w:rsidRPr="00330234">
        <w:t>tocilizumab</w:t>
      </w:r>
      <w:r w:rsidRPr="00330234">
        <w:t xml:space="preserve"> intraveneus 8 mg/kg een maal per 4 weken, in combinatie met </w:t>
      </w:r>
      <w:r w:rsidRPr="00330234">
        <w:rPr>
          <w:i/>
        </w:rPr>
        <w:t xml:space="preserve">non-biologic </w:t>
      </w:r>
      <w:r w:rsidRPr="00330234">
        <w:t xml:space="preserve">DMARD(’s). Het primaire eindpunt van de studie was het verschil in het percentage patiënten dat een ACR20-respons bereikte op week 24. </w:t>
      </w:r>
    </w:p>
    <w:p w14:paraId="1DF34A0F" w14:textId="77777777" w:rsidR="00FA591D" w:rsidRPr="00330234" w:rsidRDefault="00FA591D" w:rsidP="00BD109B">
      <w:pPr>
        <w:pStyle w:val="a3"/>
        <w:widowControl/>
        <w:ind w:left="0"/>
      </w:pPr>
    </w:p>
    <w:p w14:paraId="14B9F9F5" w14:textId="6129DC3F" w:rsidR="00436DAA" w:rsidRPr="00330234" w:rsidRDefault="009B4B8E" w:rsidP="00BD109B">
      <w:pPr>
        <w:pStyle w:val="a3"/>
        <w:widowControl/>
        <w:ind w:left="0"/>
      </w:pPr>
      <w:r w:rsidRPr="00330234">
        <w:t>De resultaten van studie SC-I zijn weergegeven in tabel 2.</w:t>
      </w:r>
    </w:p>
    <w:p w14:paraId="3DB6F9DB" w14:textId="77777777" w:rsidR="00436DAA" w:rsidRPr="00330234" w:rsidRDefault="00436DAA" w:rsidP="00BD109B">
      <w:pPr>
        <w:pStyle w:val="a3"/>
        <w:widowControl/>
        <w:ind w:left="0"/>
      </w:pPr>
    </w:p>
    <w:p w14:paraId="2F9C15D6" w14:textId="1C9401AC" w:rsidR="00436DAA" w:rsidRPr="00330234" w:rsidRDefault="009B4B8E" w:rsidP="001B3E1E">
      <w:pPr>
        <w:keepNext/>
        <w:keepLines/>
        <w:widowControl/>
        <w:ind w:left="1134" w:hanging="1134"/>
        <w:rPr>
          <w:i/>
        </w:rPr>
      </w:pPr>
      <w:r w:rsidRPr="00330234">
        <w:rPr>
          <w:i/>
        </w:rPr>
        <w:lastRenderedPageBreak/>
        <w:t>Tabel 2.</w:t>
      </w:r>
      <w:r w:rsidR="004C0949" w:rsidRPr="00330234">
        <w:rPr>
          <w:i/>
        </w:rPr>
        <w:tab/>
      </w:r>
      <w:r w:rsidRPr="00330234">
        <w:rPr>
          <w:i/>
        </w:rPr>
        <w:t>ACR-respons in studie SC-I (% patiënten) op week 24</w:t>
      </w:r>
    </w:p>
    <w:p w14:paraId="11FE6CF7" w14:textId="77777777" w:rsidR="00436DAA" w:rsidRPr="00330234" w:rsidRDefault="00436DAA" w:rsidP="001B3E1E">
      <w:pPr>
        <w:pStyle w:val="a3"/>
        <w:keepNext/>
        <w:keepLines/>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3"/>
        <w:gridCol w:w="2869"/>
        <w:gridCol w:w="3024"/>
      </w:tblGrid>
      <w:tr w:rsidR="00436DAA" w:rsidRPr="00330234" w14:paraId="78FD2CF1" w14:textId="77777777" w:rsidTr="00CC2DE7">
        <w:trPr>
          <w:trHeight w:val="20"/>
          <w:tblHeader/>
        </w:trPr>
        <w:tc>
          <w:tcPr>
            <w:tcW w:w="3173" w:type="dxa"/>
          </w:tcPr>
          <w:p w14:paraId="68A6F860" w14:textId="77777777" w:rsidR="00436DAA" w:rsidRPr="00330234" w:rsidRDefault="00436DAA" w:rsidP="001B3E1E">
            <w:pPr>
              <w:pStyle w:val="TableParagraph"/>
              <w:keepNext/>
              <w:keepLines/>
              <w:widowControl/>
            </w:pPr>
          </w:p>
        </w:tc>
        <w:tc>
          <w:tcPr>
            <w:tcW w:w="5893" w:type="dxa"/>
            <w:gridSpan w:val="2"/>
          </w:tcPr>
          <w:p w14:paraId="68936100" w14:textId="77777777" w:rsidR="00436DAA" w:rsidRPr="00330234" w:rsidRDefault="009B4B8E" w:rsidP="001B3E1E">
            <w:pPr>
              <w:pStyle w:val="TableParagraph"/>
              <w:keepNext/>
              <w:keepLines/>
              <w:widowControl/>
              <w:jc w:val="center"/>
            </w:pPr>
            <w:r w:rsidRPr="00330234">
              <w:t>SC-I</w:t>
            </w:r>
            <w:r w:rsidRPr="00330234">
              <w:rPr>
                <w:vertAlign w:val="superscript"/>
              </w:rPr>
              <w:t>a</w:t>
            </w:r>
          </w:p>
        </w:tc>
      </w:tr>
      <w:tr w:rsidR="00436DAA" w:rsidRPr="00330234" w14:paraId="2C56382D" w14:textId="77777777" w:rsidTr="00CC2DE7">
        <w:trPr>
          <w:trHeight w:val="20"/>
          <w:tblHeader/>
        </w:trPr>
        <w:tc>
          <w:tcPr>
            <w:tcW w:w="3173" w:type="dxa"/>
          </w:tcPr>
          <w:p w14:paraId="23B201A1" w14:textId="77777777" w:rsidR="00436DAA" w:rsidRPr="00330234" w:rsidRDefault="00436DAA" w:rsidP="001B3E1E">
            <w:pPr>
              <w:pStyle w:val="TableParagraph"/>
              <w:keepNext/>
              <w:keepLines/>
              <w:widowControl/>
            </w:pPr>
          </w:p>
        </w:tc>
        <w:tc>
          <w:tcPr>
            <w:tcW w:w="2869" w:type="dxa"/>
          </w:tcPr>
          <w:p w14:paraId="7EF53C80" w14:textId="77777777" w:rsidR="00436DAA" w:rsidRPr="00330234" w:rsidRDefault="009B4B8E" w:rsidP="001B3E1E">
            <w:pPr>
              <w:pStyle w:val="TableParagraph"/>
              <w:keepNext/>
              <w:keepLines/>
              <w:widowControl/>
              <w:jc w:val="center"/>
            </w:pPr>
            <w:r w:rsidRPr="00330234">
              <w:t>TCZ s.c. 162 mg elke week</w:t>
            </w:r>
          </w:p>
          <w:p w14:paraId="45D6BA6C" w14:textId="77777777" w:rsidR="004C0949" w:rsidRPr="00330234" w:rsidRDefault="009B4B8E" w:rsidP="001B3E1E">
            <w:pPr>
              <w:pStyle w:val="TableParagraph"/>
              <w:keepNext/>
              <w:keepLines/>
              <w:widowControl/>
              <w:jc w:val="center"/>
            </w:pPr>
            <w:r w:rsidRPr="00330234">
              <w:t>+ DMARD</w:t>
            </w:r>
          </w:p>
          <w:p w14:paraId="211EF17D" w14:textId="5981062C" w:rsidR="00436DAA" w:rsidRPr="00330234" w:rsidRDefault="009B4B8E" w:rsidP="001B3E1E">
            <w:pPr>
              <w:pStyle w:val="TableParagraph"/>
              <w:keepNext/>
              <w:keepLines/>
              <w:widowControl/>
              <w:jc w:val="center"/>
            </w:pPr>
            <w:r w:rsidRPr="00330234">
              <w:t>N = 558</w:t>
            </w:r>
          </w:p>
        </w:tc>
        <w:tc>
          <w:tcPr>
            <w:tcW w:w="3024" w:type="dxa"/>
          </w:tcPr>
          <w:p w14:paraId="3B230CF8" w14:textId="77777777" w:rsidR="00436DAA" w:rsidRPr="00330234" w:rsidRDefault="009B4B8E" w:rsidP="001B3E1E">
            <w:pPr>
              <w:pStyle w:val="TableParagraph"/>
              <w:keepNext/>
              <w:keepLines/>
              <w:widowControl/>
              <w:jc w:val="center"/>
            </w:pPr>
            <w:r w:rsidRPr="00330234">
              <w:t>TCZ i.v. 8 mg/kg</w:t>
            </w:r>
          </w:p>
          <w:p w14:paraId="11F76AB5" w14:textId="77777777" w:rsidR="004C0949" w:rsidRPr="00330234" w:rsidRDefault="009B4B8E" w:rsidP="001B3E1E">
            <w:pPr>
              <w:pStyle w:val="TableParagraph"/>
              <w:keepNext/>
              <w:keepLines/>
              <w:widowControl/>
              <w:jc w:val="center"/>
            </w:pPr>
            <w:r w:rsidRPr="00330234">
              <w:t>+ DMARD</w:t>
            </w:r>
          </w:p>
          <w:p w14:paraId="4AB567A6" w14:textId="6868A7BA" w:rsidR="00436DAA" w:rsidRPr="00330234" w:rsidRDefault="009B4B8E" w:rsidP="001B3E1E">
            <w:pPr>
              <w:pStyle w:val="TableParagraph"/>
              <w:keepNext/>
              <w:keepLines/>
              <w:widowControl/>
              <w:jc w:val="center"/>
            </w:pPr>
            <w:r w:rsidRPr="00330234">
              <w:t>N = 537</w:t>
            </w:r>
          </w:p>
        </w:tc>
      </w:tr>
      <w:tr w:rsidR="00436DAA" w:rsidRPr="00330234" w14:paraId="3E504BA2" w14:textId="77777777" w:rsidTr="00CC2DE7">
        <w:trPr>
          <w:trHeight w:val="20"/>
        </w:trPr>
        <w:tc>
          <w:tcPr>
            <w:tcW w:w="3173" w:type="dxa"/>
          </w:tcPr>
          <w:p w14:paraId="02B5ED45" w14:textId="77777777" w:rsidR="00436DAA" w:rsidRPr="00330234" w:rsidRDefault="009B4B8E" w:rsidP="00CC2DE7">
            <w:pPr>
              <w:pStyle w:val="TableParagraph"/>
              <w:widowControl/>
              <w:jc w:val="right"/>
            </w:pPr>
            <w:r w:rsidRPr="00330234">
              <w:t>ACR20 – week 24</w:t>
            </w:r>
          </w:p>
        </w:tc>
        <w:tc>
          <w:tcPr>
            <w:tcW w:w="2869" w:type="dxa"/>
          </w:tcPr>
          <w:p w14:paraId="185C1828" w14:textId="77777777" w:rsidR="00436DAA" w:rsidRPr="00330234" w:rsidRDefault="009B4B8E" w:rsidP="00CC2DE7">
            <w:pPr>
              <w:pStyle w:val="TableParagraph"/>
              <w:widowControl/>
              <w:jc w:val="center"/>
            </w:pPr>
            <w:r w:rsidRPr="00330234">
              <w:t>69,4%</w:t>
            </w:r>
          </w:p>
        </w:tc>
        <w:tc>
          <w:tcPr>
            <w:tcW w:w="3024" w:type="dxa"/>
          </w:tcPr>
          <w:p w14:paraId="201770D5" w14:textId="77777777" w:rsidR="00436DAA" w:rsidRPr="00330234" w:rsidRDefault="009B4B8E" w:rsidP="00CC2DE7">
            <w:pPr>
              <w:pStyle w:val="TableParagraph"/>
              <w:widowControl/>
              <w:jc w:val="center"/>
            </w:pPr>
            <w:r w:rsidRPr="00330234">
              <w:t>73,4%</w:t>
            </w:r>
          </w:p>
        </w:tc>
      </w:tr>
      <w:tr w:rsidR="00436DAA" w:rsidRPr="00330234" w14:paraId="0009652A" w14:textId="77777777" w:rsidTr="00CC2DE7">
        <w:trPr>
          <w:trHeight w:val="20"/>
        </w:trPr>
        <w:tc>
          <w:tcPr>
            <w:tcW w:w="3173" w:type="dxa"/>
          </w:tcPr>
          <w:p w14:paraId="29725ECB" w14:textId="77777777" w:rsidR="00436DAA" w:rsidRPr="00330234" w:rsidRDefault="009B4B8E" w:rsidP="00CC2DE7">
            <w:pPr>
              <w:pStyle w:val="TableParagraph"/>
              <w:widowControl/>
              <w:jc w:val="right"/>
            </w:pPr>
            <w:r w:rsidRPr="00330234">
              <w:t>Gewogen verschil (95%-BI)</w:t>
            </w:r>
          </w:p>
        </w:tc>
        <w:tc>
          <w:tcPr>
            <w:tcW w:w="5893" w:type="dxa"/>
            <w:gridSpan w:val="2"/>
          </w:tcPr>
          <w:p w14:paraId="23AB5C87" w14:textId="77777777" w:rsidR="00436DAA" w:rsidRPr="00330234" w:rsidRDefault="009B4B8E" w:rsidP="00CC2DE7">
            <w:pPr>
              <w:pStyle w:val="TableParagraph"/>
              <w:widowControl/>
              <w:jc w:val="center"/>
            </w:pPr>
            <w:r w:rsidRPr="00330234">
              <w:t>-4,0 (-9,2 - 1,2)</w:t>
            </w:r>
          </w:p>
        </w:tc>
      </w:tr>
      <w:tr w:rsidR="00436DAA" w:rsidRPr="00330234" w14:paraId="25C60F1C" w14:textId="77777777" w:rsidTr="00CC2DE7">
        <w:trPr>
          <w:trHeight w:val="20"/>
        </w:trPr>
        <w:tc>
          <w:tcPr>
            <w:tcW w:w="3173" w:type="dxa"/>
          </w:tcPr>
          <w:p w14:paraId="037A9FA1" w14:textId="77777777" w:rsidR="00436DAA" w:rsidRPr="00330234" w:rsidRDefault="009B4B8E" w:rsidP="00CC2DE7">
            <w:pPr>
              <w:pStyle w:val="TableParagraph"/>
              <w:widowControl/>
              <w:jc w:val="right"/>
            </w:pPr>
            <w:r w:rsidRPr="00330234">
              <w:t>ACR50 – week 24</w:t>
            </w:r>
          </w:p>
        </w:tc>
        <w:tc>
          <w:tcPr>
            <w:tcW w:w="2869" w:type="dxa"/>
          </w:tcPr>
          <w:p w14:paraId="124A8CC7" w14:textId="77777777" w:rsidR="00436DAA" w:rsidRPr="00330234" w:rsidRDefault="009B4B8E" w:rsidP="00CC2DE7">
            <w:pPr>
              <w:pStyle w:val="TableParagraph"/>
              <w:widowControl/>
              <w:jc w:val="center"/>
            </w:pPr>
            <w:r w:rsidRPr="00330234">
              <w:t>47,0%</w:t>
            </w:r>
          </w:p>
        </w:tc>
        <w:tc>
          <w:tcPr>
            <w:tcW w:w="3024" w:type="dxa"/>
          </w:tcPr>
          <w:p w14:paraId="510772A5" w14:textId="77777777" w:rsidR="00436DAA" w:rsidRPr="00330234" w:rsidRDefault="009B4B8E" w:rsidP="00CC2DE7">
            <w:pPr>
              <w:pStyle w:val="TableParagraph"/>
              <w:widowControl/>
              <w:jc w:val="center"/>
            </w:pPr>
            <w:r w:rsidRPr="00330234">
              <w:t>48,6%</w:t>
            </w:r>
          </w:p>
        </w:tc>
      </w:tr>
      <w:tr w:rsidR="00436DAA" w:rsidRPr="00330234" w14:paraId="4C4548EC" w14:textId="77777777" w:rsidTr="00CC2DE7">
        <w:trPr>
          <w:trHeight w:val="20"/>
        </w:trPr>
        <w:tc>
          <w:tcPr>
            <w:tcW w:w="3173" w:type="dxa"/>
          </w:tcPr>
          <w:p w14:paraId="3A3E6D67" w14:textId="77777777" w:rsidR="00436DAA" w:rsidRPr="00330234" w:rsidRDefault="009B4B8E" w:rsidP="00CC2DE7">
            <w:pPr>
              <w:pStyle w:val="TableParagraph"/>
              <w:widowControl/>
              <w:jc w:val="right"/>
            </w:pPr>
            <w:r w:rsidRPr="00330234">
              <w:t>Gewogen verschil (95%-BI)</w:t>
            </w:r>
          </w:p>
        </w:tc>
        <w:tc>
          <w:tcPr>
            <w:tcW w:w="5893" w:type="dxa"/>
            <w:gridSpan w:val="2"/>
          </w:tcPr>
          <w:p w14:paraId="07F7E628" w14:textId="77777777" w:rsidR="00436DAA" w:rsidRPr="00330234" w:rsidRDefault="009B4B8E" w:rsidP="00CC2DE7">
            <w:pPr>
              <w:pStyle w:val="TableParagraph"/>
              <w:widowControl/>
              <w:jc w:val="center"/>
            </w:pPr>
            <w:r w:rsidRPr="00330234">
              <w:t>-1,8 (-7,5 - 4,0)</w:t>
            </w:r>
          </w:p>
        </w:tc>
      </w:tr>
      <w:tr w:rsidR="00436DAA" w:rsidRPr="00330234" w14:paraId="07A27B3F" w14:textId="77777777" w:rsidTr="00CC2DE7">
        <w:trPr>
          <w:trHeight w:val="20"/>
        </w:trPr>
        <w:tc>
          <w:tcPr>
            <w:tcW w:w="3173" w:type="dxa"/>
          </w:tcPr>
          <w:p w14:paraId="190B6F03" w14:textId="77777777" w:rsidR="00436DAA" w:rsidRPr="00330234" w:rsidRDefault="009B4B8E" w:rsidP="00CC2DE7">
            <w:pPr>
              <w:pStyle w:val="TableParagraph"/>
              <w:widowControl/>
              <w:jc w:val="right"/>
            </w:pPr>
            <w:r w:rsidRPr="00330234">
              <w:t>ACR70- week 24</w:t>
            </w:r>
          </w:p>
        </w:tc>
        <w:tc>
          <w:tcPr>
            <w:tcW w:w="2869" w:type="dxa"/>
          </w:tcPr>
          <w:p w14:paraId="66AE816E" w14:textId="77777777" w:rsidR="00436DAA" w:rsidRPr="00330234" w:rsidRDefault="009B4B8E" w:rsidP="00CC2DE7">
            <w:pPr>
              <w:pStyle w:val="TableParagraph"/>
              <w:widowControl/>
              <w:jc w:val="center"/>
            </w:pPr>
            <w:r w:rsidRPr="00330234">
              <w:t>24,0%</w:t>
            </w:r>
          </w:p>
        </w:tc>
        <w:tc>
          <w:tcPr>
            <w:tcW w:w="3024" w:type="dxa"/>
          </w:tcPr>
          <w:p w14:paraId="4FA853C5" w14:textId="77777777" w:rsidR="00436DAA" w:rsidRPr="00330234" w:rsidRDefault="009B4B8E" w:rsidP="00CC2DE7">
            <w:pPr>
              <w:pStyle w:val="TableParagraph"/>
              <w:widowControl/>
              <w:jc w:val="center"/>
            </w:pPr>
            <w:r w:rsidRPr="00330234">
              <w:t>27,9%</w:t>
            </w:r>
          </w:p>
        </w:tc>
      </w:tr>
      <w:tr w:rsidR="00436DAA" w:rsidRPr="00330234" w14:paraId="31A86D6C" w14:textId="77777777" w:rsidTr="00CC2DE7">
        <w:trPr>
          <w:trHeight w:val="20"/>
        </w:trPr>
        <w:tc>
          <w:tcPr>
            <w:tcW w:w="3173" w:type="dxa"/>
          </w:tcPr>
          <w:p w14:paraId="7F5EC8B8" w14:textId="77777777" w:rsidR="00436DAA" w:rsidRPr="00330234" w:rsidRDefault="009B4B8E" w:rsidP="00CC2DE7">
            <w:pPr>
              <w:pStyle w:val="TableParagraph"/>
              <w:widowControl/>
              <w:jc w:val="right"/>
            </w:pPr>
            <w:r w:rsidRPr="00330234">
              <w:t>Gewogen verschil (95%-BI)</w:t>
            </w:r>
          </w:p>
        </w:tc>
        <w:tc>
          <w:tcPr>
            <w:tcW w:w="5893" w:type="dxa"/>
            <w:gridSpan w:val="2"/>
          </w:tcPr>
          <w:p w14:paraId="72473AD2" w14:textId="77777777" w:rsidR="00436DAA" w:rsidRPr="00330234" w:rsidRDefault="009B4B8E" w:rsidP="00CC2DE7">
            <w:pPr>
              <w:pStyle w:val="TableParagraph"/>
              <w:widowControl/>
              <w:jc w:val="center"/>
            </w:pPr>
            <w:r w:rsidRPr="00330234">
              <w:t>-3,8 (-9,0 - 1,3)</w:t>
            </w:r>
          </w:p>
        </w:tc>
      </w:tr>
    </w:tbl>
    <w:p w14:paraId="257A87B3" w14:textId="77777777" w:rsidR="00436DAA" w:rsidRPr="00330234" w:rsidRDefault="009B4B8E" w:rsidP="00BD109B">
      <w:pPr>
        <w:widowControl/>
        <w:rPr>
          <w:sz w:val="20"/>
          <w:szCs w:val="20"/>
        </w:rPr>
      </w:pPr>
      <w:r w:rsidRPr="00330234">
        <w:rPr>
          <w:sz w:val="20"/>
          <w:szCs w:val="20"/>
        </w:rPr>
        <w:t>TCZ = tocilizumab</w:t>
      </w:r>
    </w:p>
    <w:p w14:paraId="68B4B218" w14:textId="77777777" w:rsidR="00436DAA" w:rsidRPr="00330234" w:rsidRDefault="009B4B8E" w:rsidP="00BD109B">
      <w:pPr>
        <w:widowControl/>
        <w:rPr>
          <w:sz w:val="20"/>
          <w:szCs w:val="20"/>
        </w:rPr>
      </w:pPr>
      <w:r w:rsidRPr="00330234">
        <w:rPr>
          <w:sz w:val="20"/>
          <w:szCs w:val="20"/>
          <w:vertAlign w:val="superscript"/>
        </w:rPr>
        <w:t>a</w:t>
      </w:r>
      <w:r w:rsidRPr="00330234">
        <w:rPr>
          <w:sz w:val="20"/>
          <w:szCs w:val="20"/>
        </w:rPr>
        <w:t xml:space="preserve"> = per protocol populatie</w:t>
      </w:r>
    </w:p>
    <w:p w14:paraId="77213B46" w14:textId="77777777" w:rsidR="00436DAA" w:rsidRPr="00330234" w:rsidRDefault="00436DAA" w:rsidP="00BD109B">
      <w:pPr>
        <w:pStyle w:val="a3"/>
        <w:widowControl/>
        <w:ind w:left="0"/>
      </w:pPr>
    </w:p>
    <w:p w14:paraId="50EBF699" w14:textId="77777777" w:rsidR="00436DAA" w:rsidRPr="00330234" w:rsidRDefault="009B4B8E" w:rsidP="00BD109B">
      <w:pPr>
        <w:pStyle w:val="a3"/>
        <w:widowControl/>
        <w:ind w:left="0"/>
      </w:pPr>
      <w:r w:rsidRPr="00330234">
        <w:t xml:space="preserve">Patiënten in studie SC-I hadden een gemiddelde </w:t>
      </w:r>
      <w:r w:rsidRPr="00330234">
        <w:rPr>
          <w:i/>
        </w:rPr>
        <w:t xml:space="preserve">Disease Activity Score </w:t>
      </w:r>
      <w:r w:rsidRPr="00330234">
        <w:t>(DAS28) op baseline van respectievelijk 6,6 en 6,7 in de subcutane en intraveneuze arm. Op week 24 werd een significante vermindering van de DAS28 (gemiddelde verbetering) van 3,5 ten opzichte van baseline waargenomen in beide behandelingsgroepen. Een vergelijkbaar percentage patiënten bereikte een DAS28 klinische remissie (DAS28 &lt; 2,6) in de subcutane (38,4%) en intraveneuze (36,9%) armen.</w:t>
      </w:r>
    </w:p>
    <w:p w14:paraId="789FA885" w14:textId="77777777" w:rsidR="00CC2DE7" w:rsidRPr="00330234" w:rsidRDefault="00CC2DE7" w:rsidP="00BD109B">
      <w:pPr>
        <w:pStyle w:val="a3"/>
        <w:widowControl/>
        <w:ind w:left="0"/>
      </w:pPr>
    </w:p>
    <w:p w14:paraId="0E37F588" w14:textId="77777777" w:rsidR="00436DAA" w:rsidRPr="00330234" w:rsidRDefault="009B4B8E" w:rsidP="00BD109B">
      <w:pPr>
        <w:widowControl/>
        <w:rPr>
          <w:i/>
        </w:rPr>
      </w:pPr>
      <w:r w:rsidRPr="00330234">
        <w:rPr>
          <w:i/>
        </w:rPr>
        <w:t>Radiografische respons</w:t>
      </w:r>
    </w:p>
    <w:p w14:paraId="23F59109" w14:textId="70D52087" w:rsidR="00436DAA" w:rsidRPr="00330234" w:rsidRDefault="009B4B8E" w:rsidP="00CC2DE7">
      <w:pPr>
        <w:pStyle w:val="a3"/>
        <w:widowControl/>
        <w:ind w:left="0"/>
      </w:pPr>
      <w:r w:rsidRPr="00330234">
        <w:t xml:space="preserve">De radiografische respons van subcutaan toegediend </w:t>
      </w:r>
      <w:r w:rsidR="00FA591D" w:rsidRPr="00330234">
        <w:t>tocilizumab</w:t>
      </w:r>
      <w:r w:rsidRPr="00330234">
        <w:t xml:space="preserve"> werd beoordeeld in een dubbelblinde, gecontroleerde, multicenter studie bij patiënten met actieve RA (SC-II). Tijdens studie SC-II werden patiënten geëvalueerd met matige tot ernstige actieve RA die een onvoldoende klinische respons hadden op hun bestaande anti-reumatische therapie, inclusief één of meerdere DMARD(’s). Van deze patiënten had ongeveer 20% een voorgeschiedenis van onvoldoende respons op ten minste één TNF- remmer. De patiënten moesten &gt; 18 jaar zijn, met actieve RA gediagnosticeerd volgens de ACR- criteria en met ten minste 8 gevoelige en 6 gezwollen gewrichten op baseline. In SC-II werden</w:t>
      </w:r>
      <w:r w:rsidR="00CC2DE7" w:rsidRPr="00330234">
        <w:t xml:space="preserve"> </w:t>
      </w:r>
      <w:r w:rsidRPr="00330234">
        <w:t>656</w:t>
      </w:r>
      <w:r w:rsidR="00CC2DE7" w:rsidRPr="00330234">
        <w:t> </w:t>
      </w:r>
      <w:r w:rsidRPr="00330234">
        <w:t xml:space="preserve">patiënten 2:1 gerandomiseerd naar het krijgen van </w:t>
      </w:r>
      <w:r w:rsidR="00FA591D" w:rsidRPr="00330234">
        <w:t>tocilizumab</w:t>
      </w:r>
      <w:r w:rsidRPr="00330234">
        <w:t xml:space="preserve"> subcutaan 162 mg om de week of placebo, in combinatie met </w:t>
      </w:r>
      <w:r w:rsidRPr="00330234">
        <w:rPr>
          <w:i/>
        </w:rPr>
        <w:t xml:space="preserve">non-biologic </w:t>
      </w:r>
      <w:r w:rsidRPr="00330234">
        <w:t>DMARD(’s).</w:t>
      </w:r>
    </w:p>
    <w:p w14:paraId="54F949D8" w14:textId="77777777" w:rsidR="00CC2DE7" w:rsidRPr="00330234" w:rsidRDefault="00CC2DE7" w:rsidP="00CC2DE7">
      <w:pPr>
        <w:pStyle w:val="a3"/>
        <w:widowControl/>
        <w:ind w:left="0"/>
      </w:pPr>
    </w:p>
    <w:p w14:paraId="1EC9C18A" w14:textId="30A52277" w:rsidR="00436DAA" w:rsidRPr="00330234" w:rsidRDefault="009B4B8E" w:rsidP="00BD109B">
      <w:pPr>
        <w:pStyle w:val="a3"/>
        <w:widowControl/>
        <w:ind w:left="0"/>
      </w:pPr>
      <w:r w:rsidRPr="00330234">
        <w:t xml:space="preserve">Tijdens studie SC-II werd de remming van de structurele gewrichtsschade radiografisch bepaald en uitgedrukt als een verandering in de van der Heijde </w:t>
      </w:r>
      <w:r w:rsidRPr="00330234">
        <w:rPr>
          <w:i/>
        </w:rPr>
        <w:t>modified mean total Sharp-</w:t>
      </w:r>
      <w:r w:rsidRPr="00330234">
        <w:t xml:space="preserve">score (mTSS) ten opzichte van baseline. Op week 24 werd de remming van structurele schade aangetoond, met significant minder radiografische progressie bij patiënten die met subcutane </w:t>
      </w:r>
      <w:r w:rsidR="00FA591D" w:rsidRPr="00330234">
        <w:t>tocilizumab</w:t>
      </w:r>
      <w:r w:rsidRPr="00330234">
        <w:t xml:space="preserve"> werden behandeld, vergeleken met placebo (gemiddelde mTSS van 0,62 versus 1,23; p = 0,0149 (van Elteren)). Deze resultaten zijn consistent met die waargenomen bij patiënten die werden behandeld met intraveneuze </w:t>
      </w:r>
      <w:r w:rsidR="00FA591D" w:rsidRPr="00330234">
        <w:t>tocilizumab</w:t>
      </w:r>
      <w:r w:rsidRPr="00330234">
        <w:t>.</w:t>
      </w:r>
    </w:p>
    <w:p w14:paraId="692220A1" w14:textId="77777777" w:rsidR="00CC2DE7" w:rsidRPr="00330234" w:rsidRDefault="00CC2DE7" w:rsidP="00BD109B">
      <w:pPr>
        <w:pStyle w:val="a3"/>
        <w:widowControl/>
        <w:ind w:left="0"/>
      </w:pPr>
    </w:p>
    <w:p w14:paraId="0D756B79" w14:textId="4A28034D" w:rsidR="00436DAA" w:rsidRPr="00330234" w:rsidRDefault="009B4B8E" w:rsidP="00CC2DE7">
      <w:pPr>
        <w:pStyle w:val="a3"/>
        <w:widowControl/>
        <w:ind w:left="0"/>
      </w:pPr>
      <w:r w:rsidRPr="00330234">
        <w:t xml:space="preserve">Tijdens studie SC-II was er op week 24 een ACR20 van 60,9%, ACR50 van 39,8% en ACR70 van 19,7% voor patiënten behandeld met om de week </w:t>
      </w:r>
      <w:r w:rsidR="00FA591D" w:rsidRPr="00330234">
        <w:t>tocilizumab</w:t>
      </w:r>
      <w:r w:rsidRPr="00330234">
        <w:t xml:space="preserve"> subcutaan. Voor de placebo-arm was dit een ACR20 van 31,5%, ACR50 van 12,3% en ACR70 van 5,0%. Patiënten hadden een gemiddelde DAS28 op baseline van 6,7 in de subcutaan-arm en 6,6 in de placebo-arm. Er werd op week 24 een significante vermindering waargenomen in DAS28, ten opzichte van baseline, van 3,1 in de</w:t>
      </w:r>
      <w:r w:rsidR="00CC2DE7" w:rsidRPr="00330234">
        <w:t xml:space="preserve"> </w:t>
      </w:r>
      <w:r w:rsidRPr="00330234">
        <w:t>subcutaan-arm en 1,7 in de placebo-arm, en een DAS28 &lt; 2,6 werd waargenomen bij 32,0% in de subcutaan-arm en 4,0% in de placebo-arm.</w:t>
      </w:r>
    </w:p>
    <w:p w14:paraId="6CA8A96A" w14:textId="77777777" w:rsidR="00436DAA" w:rsidRPr="00330234" w:rsidRDefault="00436DAA" w:rsidP="00BD109B">
      <w:pPr>
        <w:pStyle w:val="a3"/>
        <w:widowControl/>
        <w:ind w:left="0"/>
      </w:pPr>
    </w:p>
    <w:p w14:paraId="1D784B02" w14:textId="77777777" w:rsidR="00436DAA" w:rsidRPr="00330234" w:rsidRDefault="009B4B8E" w:rsidP="00BD109B">
      <w:pPr>
        <w:widowControl/>
        <w:rPr>
          <w:i/>
        </w:rPr>
      </w:pPr>
      <w:r w:rsidRPr="00330234">
        <w:rPr>
          <w:i/>
        </w:rPr>
        <w:t>Resultaten gerelateerd aan gezondheid en kwaliteit van leven</w:t>
      </w:r>
    </w:p>
    <w:p w14:paraId="2AE25D2D" w14:textId="65AB6108" w:rsidR="00436DAA" w:rsidRPr="00330234" w:rsidRDefault="009B4B8E" w:rsidP="00BD109B">
      <w:pPr>
        <w:pStyle w:val="a3"/>
        <w:widowControl/>
        <w:ind w:left="0"/>
      </w:pPr>
      <w:r w:rsidRPr="00330234">
        <w:t>Tijdens studie SC-I was de gemiddelde daling van de HAQ-DI, van baseline tot week 24, 0,6 in zowel de subcutane als de intraveneuze arm. Het percentage patiënten met een klinisch relevante verbetering in HAQ-DI op week 24 (verandering ten opzichte van baseline van ≥ 0,3 eenheden) was ook vergelijkbaar tussen de subcutane (65,2%) en intraveneuze (67,4%) armen, met een gewogen verschil in percentages van 2,3% (95%-BI, -8,1-3,4). Voor de SF-36 was de gemiddelde verandering in de mentale componentscore ten opzichte van baseline op week 24, 6,22 voor de subcutane arm en 6,54</w:t>
      </w:r>
      <w:r w:rsidR="00CC2DE7" w:rsidRPr="00330234">
        <w:t> </w:t>
      </w:r>
      <w:r w:rsidRPr="00330234">
        <w:t>voor de intraveneuze arm, en was ook vergelijkbaar in de fysieke componentscores, met 9,49</w:t>
      </w:r>
      <w:r w:rsidR="00CC2DE7" w:rsidRPr="00330234">
        <w:t> </w:t>
      </w:r>
      <w:r w:rsidRPr="00330234">
        <w:t>voor de subcutane arm en 9,65 voor de intraveneuze arm.</w:t>
      </w:r>
    </w:p>
    <w:p w14:paraId="491D4BD5" w14:textId="77777777" w:rsidR="00436DAA" w:rsidRPr="00330234" w:rsidRDefault="00436DAA" w:rsidP="00BD109B">
      <w:pPr>
        <w:pStyle w:val="a3"/>
        <w:widowControl/>
        <w:ind w:left="0"/>
      </w:pPr>
    </w:p>
    <w:p w14:paraId="03F304F9" w14:textId="63ED5956" w:rsidR="00436DAA" w:rsidRPr="00330234" w:rsidRDefault="009B4B8E" w:rsidP="00BD109B">
      <w:pPr>
        <w:pStyle w:val="a3"/>
        <w:widowControl/>
        <w:ind w:left="0"/>
      </w:pPr>
      <w:r w:rsidRPr="00330234">
        <w:t xml:space="preserve">Tijdens studie SC-II was de gemiddelde daling in HAQ-DI van baseline tot week 24 significant hoger bij patiënten die werden behandeld met om de week </w:t>
      </w:r>
      <w:r w:rsidR="00FA591D" w:rsidRPr="00330234">
        <w:t>tocilizumab</w:t>
      </w:r>
      <w:r w:rsidRPr="00330234">
        <w:t xml:space="preserve"> subcutaan (0,4) versus placebo (0,3). Het percentage patiënten met een klinisch relevante verbetering in HAQ-DI op week 24 (verandering ten opzichte van baseline van ≥ 0,3 eenheden) was hoger voor om de week </w:t>
      </w:r>
      <w:r w:rsidR="00FA591D" w:rsidRPr="00330234">
        <w:t>tocilizumab</w:t>
      </w:r>
      <w:r w:rsidRPr="00330234">
        <w:t xml:space="preserve"> subcutaan (58%) versus placebo (46,8%). SF-36 (gemiddelde verandering in de mentale en fysieke componentscores) was significant hoger in de </w:t>
      </w:r>
      <w:r w:rsidR="00FA591D" w:rsidRPr="00330234">
        <w:t>tocilizumab</w:t>
      </w:r>
      <w:r w:rsidRPr="00330234">
        <w:t xml:space="preserve"> subcutaan-arm (6,5 en 5,3) versus placebo (3,8 en 2,9).</w:t>
      </w:r>
    </w:p>
    <w:p w14:paraId="1D1268BA" w14:textId="77777777" w:rsidR="00436DAA" w:rsidRPr="00330234" w:rsidRDefault="00436DAA" w:rsidP="00BD109B">
      <w:pPr>
        <w:pStyle w:val="a3"/>
        <w:widowControl/>
        <w:ind w:left="0"/>
      </w:pPr>
    </w:p>
    <w:p w14:paraId="664857BF" w14:textId="77777777" w:rsidR="00436DAA" w:rsidRPr="00330234" w:rsidRDefault="009B4B8E" w:rsidP="00BD109B">
      <w:pPr>
        <w:pStyle w:val="a3"/>
        <w:widowControl/>
        <w:ind w:left="0"/>
      </w:pPr>
      <w:r w:rsidRPr="00330234">
        <w:rPr>
          <w:u w:val="single"/>
        </w:rPr>
        <w:t>Subcutaan gebruik</w:t>
      </w:r>
    </w:p>
    <w:p w14:paraId="005B32BA" w14:textId="77777777" w:rsidR="00436DAA" w:rsidRPr="00330234" w:rsidRDefault="009B4B8E" w:rsidP="00BD109B">
      <w:pPr>
        <w:widowControl/>
        <w:rPr>
          <w:b/>
        </w:rPr>
      </w:pPr>
      <w:r w:rsidRPr="00330234">
        <w:rPr>
          <w:b/>
          <w:u w:val="single"/>
        </w:rPr>
        <w:t>sJIA</w:t>
      </w:r>
    </w:p>
    <w:p w14:paraId="45B5B21B" w14:textId="77777777" w:rsidR="00436DAA" w:rsidRPr="00330234" w:rsidRDefault="009B4B8E" w:rsidP="00BD109B">
      <w:pPr>
        <w:pStyle w:val="a3"/>
        <w:widowControl/>
        <w:ind w:left="0"/>
      </w:pPr>
      <w:r w:rsidRPr="00330234">
        <w:rPr>
          <w:u w:val="single"/>
        </w:rPr>
        <w:t>Klinische werkzaamheid</w:t>
      </w:r>
    </w:p>
    <w:p w14:paraId="667E99EA" w14:textId="23892CFC" w:rsidR="00436DAA" w:rsidRPr="00330234" w:rsidRDefault="009B4B8E" w:rsidP="00BD109B">
      <w:pPr>
        <w:pStyle w:val="a3"/>
        <w:widowControl/>
        <w:ind w:left="0"/>
      </w:pPr>
      <w:r w:rsidRPr="00330234">
        <w:t xml:space="preserve">Een 52 weken durend, open-label, multicenter, PK/PD- en veiligheidsonderzoek (WA28118) werd uitgevoerd bij pediatrische patiënten met sJIA in de leeftijd van 1 - 17 jaar, om de juiste subcutane dosering van </w:t>
      </w:r>
      <w:r w:rsidR="00FA591D" w:rsidRPr="00330234">
        <w:t>tocilizumab</w:t>
      </w:r>
      <w:r w:rsidRPr="00330234">
        <w:t xml:space="preserve"> te bepalen waarbij een vergelijkbaar PK/PD- en veiligheidsprofiel werd behaald als bij het intraveneuze regime.</w:t>
      </w:r>
    </w:p>
    <w:p w14:paraId="43C9B5EA" w14:textId="77777777" w:rsidR="00CC2DE7" w:rsidRPr="00330234" w:rsidRDefault="00CC2DE7" w:rsidP="00BD109B">
      <w:pPr>
        <w:pStyle w:val="a3"/>
        <w:widowControl/>
        <w:ind w:left="0"/>
      </w:pPr>
    </w:p>
    <w:p w14:paraId="1682C7B5" w14:textId="2C2FBDA3" w:rsidR="00436DAA" w:rsidRPr="00330234" w:rsidRDefault="009B4B8E" w:rsidP="004C0949">
      <w:pPr>
        <w:pStyle w:val="a3"/>
        <w:widowControl/>
        <w:ind w:left="0"/>
      </w:pPr>
      <w:r w:rsidRPr="00330234">
        <w:t xml:space="preserve">Patiënten die in aanmerking kwamen kregen </w:t>
      </w:r>
      <w:r w:rsidR="00FA591D" w:rsidRPr="00330234">
        <w:t>tocilizumab</w:t>
      </w:r>
      <w:r w:rsidRPr="00330234">
        <w:t xml:space="preserve"> gedoseerd op basis van het lichaamsgewicht, waarbij patiënten die 30 kg of meer wogen (n = 26) 162 mg </w:t>
      </w:r>
      <w:r w:rsidR="00FA591D" w:rsidRPr="00330234">
        <w:t>tocilizumab</w:t>
      </w:r>
      <w:r w:rsidRPr="00330234">
        <w:t xml:space="preserve"> kregen eenmaal per week (QW) en patiënten die minder dan 30 kg wogen (n = 25) 162 mg </w:t>
      </w:r>
      <w:r w:rsidR="00FA591D" w:rsidRPr="00330234">
        <w:t>tocilizumab</w:t>
      </w:r>
      <w:r w:rsidRPr="00330234">
        <w:t xml:space="preserve"> kregen eenmaal per</w:t>
      </w:r>
      <w:r w:rsidR="004C0949" w:rsidRPr="00330234">
        <w:t xml:space="preserve"> </w:t>
      </w:r>
      <w:r w:rsidRPr="00330234">
        <w:t>10</w:t>
      </w:r>
      <w:r w:rsidR="004C0949" w:rsidRPr="00330234">
        <w:t> </w:t>
      </w:r>
      <w:r w:rsidRPr="00330234">
        <w:t>dagen (Q10D, n = 8) of eenmaal per 2 weken (Q2W, n = 17) gedurende 52 weken. Van deze</w:t>
      </w:r>
      <w:r w:rsidR="00CC2DE7" w:rsidRPr="00330234">
        <w:t xml:space="preserve"> </w:t>
      </w:r>
      <w:r w:rsidRPr="00330234">
        <w:t>51</w:t>
      </w:r>
      <w:r w:rsidR="00CC2DE7" w:rsidRPr="00330234">
        <w:t> </w:t>
      </w:r>
      <w:r w:rsidRPr="00330234">
        <w:t xml:space="preserve">patiënten waren 26 (51%) niet eerder behandeld met </w:t>
      </w:r>
      <w:r w:rsidR="00FA591D" w:rsidRPr="00330234">
        <w:t>tocilizumab</w:t>
      </w:r>
      <w:r w:rsidRPr="00330234">
        <w:t xml:space="preserve"> en 25 (49%) waren behandeld met intraveneus </w:t>
      </w:r>
      <w:r w:rsidR="00FA591D" w:rsidRPr="00330234">
        <w:t>tocilizumab</w:t>
      </w:r>
      <w:r w:rsidRPr="00330234">
        <w:t xml:space="preserve"> en werden op baseline overgezet op </w:t>
      </w:r>
      <w:r w:rsidR="00FA591D" w:rsidRPr="00330234">
        <w:t>tocilizumab</w:t>
      </w:r>
      <w:r w:rsidRPr="00330234">
        <w:t xml:space="preserve"> subcutaan.</w:t>
      </w:r>
    </w:p>
    <w:p w14:paraId="32342EB7" w14:textId="77777777" w:rsidR="00436DAA" w:rsidRPr="00330234" w:rsidRDefault="00436DAA" w:rsidP="00BD109B">
      <w:pPr>
        <w:pStyle w:val="a3"/>
        <w:widowControl/>
        <w:ind w:left="0"/>
      </w:pPr>
    </w:p>
    <w:p w14:paraId="16F0F2A8" w14:textId="73B4F46B" w:rsidR="00436DAA" w:rsidRPr="00330234" w:rsidRDefault="009B4B8E" w:rsidP="00BD109B">
      <w:pPr>
        <w:pStyle w:val="a3"/>
        <w:widowControl/>
        <w:ind w:left="0"/>
      </w:pPr>
      <w:r w:rsidRPr="00330234">
        <w:t xml:space="preserve">Exploratieve werkzaamheidsresultaten toonden aan dat </w:t>
      </w:r>
      <w:r w:rsidR="00FA591D" w:rsidRPr="00330234">
        <w:t>tocilizumab</w:t>
      </w:r>
      <w:r w:rsidRPr="00330234">
        <w:t xml:space="preserve"> subcutaan alle exploratieve werkzaamheidsparameters, waaronder de juveniele artritis activiteitsscore (JADAS)-71, verbeterde bij patiënten die niet eerder waren behandeld met tocilizumab en alle exploratieve werkzaamheidsparameters handhaafde bij patiënten die van intraveneus overgezet waren op behandeling met </w:t>
      </w:r>
      <w:r w:rsidR="00FA591D" w:rsidRPr="00330234">
        <w:t>tocilizumab</w:t>
      </w:r>
      <w:r w:rsidRPr="00330234">
        <w:t xml:space="preserve"> subcutaan. Dit was gedurende het gehele onderzoek bij patiënten in beide gewichtsgroepen (minder dan 30 kg en 30 kg of meer).</w:t>
      </w:r>
    </w:p>
    <w:p w14:paraId="3499D825" w14:textId="77777777" w:rsidR="00436DAA" w:rsidRPr="00330234" w:rsidRDefault="00436DAA" w:rsidP="00BD109B">
      <w:pPr>
        <w:pStyle w:val="a3"/>
        <w:widowControl/>
        <w:ind w:left="0"/>
      </w:pPr>
    </w:p>
    <w:p w14:paraId="0D05D75D" w14:textId="77777777" w:rsidR="00436DAA" w:rsidRPr="00330234" w:rsidRDefault="009B4B8E" w:rsidP="00BD109B">
      <w:pPr>
        <w:pStyle w:val="a3"/>
        <w:widowControl/>
        <w:ind w:left="0"/>
      </w:pPr>
      <w:r w:rsidRPr="00330234">
        <w:rPr>
          <w:u w:val="single"/>
        </w:rPr>
        <w:t>Subcutaan gebruik</w:t>
      </w:r>
    </w:p>
    <w:p w14:paraId="3423CF0C" w14:textId="77777777" w:rsidR="00436DAA" w:rsidRPr="00330234" w:rsidRDefault="009B4B8E" w:rsidP="00BD109B">
      <w:pPr>
        <w:widowControl/>
        <w:rPr>
          <w:b/>
        </w:rPr>
      </w:pPr>
      <w:r w:rsidRPr="00330234">
        <w:rPr>
          <w:b/>
          <w:u w:val="single"/>
        </w:rPr>
        <w:t>pJIA</w:t>
      </w:r>
    </w:p>
    <w:p w14:paraId="334F149D" w14:textId="0DC1FC63" w:rsidR="00B344FD" w:rsidRPr="001B3E1E" w:rsidRDefault="00B344FD" w:rsidP="00BD109B">
      <w:pPr>
        <w:pStyle w:val="a3"/>
        <w:widowControl/>
        <w:ind w:left="0"/>
        <w:rPr>
          <w:rFonts w:eastAsia="맑은 고딕"/>
          <w:u w:val="single"/>
          <w:lang w:eastAsia="ko-KR"/>
        </w:rPr>
      </w:pPr>
      <w:r w:rsidRPr="001B3E1E">
        <w:rPr>
          <w:rFonts w:eastAsia="맑은 고딕"/>
          <w:u w:val="single"/>
          <w:lang w:eastAsia="ko-KR"/>
        </w:rPr>
        <w:t>Klinische werkzaamheid</w:t>
      </w:r>
    </w:p>
    <w:p w14:paraId="5CCAC50B" w14:textId="0011A283" w:rsidR="00436DAA" w:rsidRPr="00330234" w:rsidRDefault="009B4B8E" w:rsidP="00BD109B">
      <w:pPr>
        <w:pStyle w:val="a3"/>
        <w:widowControl/>
        <w:ind w:left="0"/>
      </w:pPr>
      <w:r w:rsidRPr="00330234">
        <w:t xml:space="preserve">Een 52 weken durend, open-label, multicenter, PK/PD- en veiligheidsonderzoek werd uitgevoerd bij pediatrische patiënten met pJIA in de leeftijd van 1 tot 17 jaar, om de juiste subcutane dosering van </w:t>
      </w:r>
      <w:r w:rsidR="00FA591D" w:rsidRPr="00330234">
        <w:t>tocilizumab</w:t>
      </w:r>
      <w:r w:rsidRPr="00330234">
        <w:t xml:space="preserve"> te bepalen waarbij een vergelijkbaar PK/PD- en veiligheidsprofiel werd behaald als bij het intraveneuze regime.</w:t>
      </w:r>
    </w:p>
    <w:p w14:paraId="2151BAC0" w14:textId="77777777" w:rsidR="00CC2DE7" w:rsidRPr="00330234" w:rsidRDefault="00CC2DE7" w:rsidP="00BD109B">
      <w:pPr>
        <w:pStyle w:val="a3"/>
        <w:widowControl/>
        <w:ind w:left="0"/>
      </w:pPr>
    </w:p>
    <w:p w14:paraId="1F837855" w14:textId="392C9C46" w:rsidR="00436DAA" w:rsidRPr="00330234" w:rsidRDefault="009B4B8E" w:rsidP="00FF3CA3">
      <w:pPr>
        <w:pStyle w:val="a3"/>
        <w:widowControl/>
        <w:ind w:left="0"/>
      </w:pPr>
      <w:r w:rsidRPr="00330234">
        <w:t xml:space="preserve">Patiënten die in aanmerking kwamen kregen tocilizumab gedoseerd op basis van het lichaamsgewicht, waarbij patiënten die 30 kg of meer wogen (n = 25) 162 mg </w:t>
      </w:r>
      <w:r w:rsidR="00FA591D" w:rsidRPr="00330234">
        <w:t>tocilizumab</w:t>
      </w:r>
      <w:r w:rsidRPr="00330234">
        <w:t xml:space="preserve"> kregen eenmaal per 2 weken (Q2W) en patiënten die minder dan 30 kg wogen (n = 27) 162 mg </w:t>
      </w:r>
      <w:r w:rsidR="00FA591D" w:rsidRPr="00330234">
        <w:t>tocilizumab</w:t>
      </w:r>
      <w:r w:rsidRPr="00330234">
        <w:t xml:space="preserve"> kregen eenmaal per</w:t>
      </w:r>
      <w:r w:rsidR="00B07007" w:rsidRPr="00330234">
        <w:t xml:space="preserve"> 3 </w:t>
      </w:r>
      <w:r w:rsidRPr="00330234">
        <w:t xml:space="preserve">weken (Q3W) gedurende 52 weken. Van deze 52 patiënten waren 37 (71%) niet eerder behandeld met </w:t>
      </w:r>
      <w:r w:rsidR="00FA591D" w:rsidRPr="00330234">
        <w:t>tocilizumab</w:t>
      </w:r>
      <w:r w:rsidRPr="00330234">
        <w:t xml:space="preserve"> en 15 (29%) waren behandeld met intraveneus </w:t>
      </w:r>
      <w:r w:rsidR="00FA591D" w:rsidRPr="00330234">
        <w:t>tocilizumab</w:t>
      </w:r>
      <w:r w:rsidRPr="00330234">
        <w:t xml:space="preserve"> en werden op baseline overgezet op </w:t>
      </w:r>
      <w:r w:rsidR="00FA591D" w:rsidRPr="00330234">
        <w:t>tocilizumab</w:t>
      </w:r>
      <w:r w:rsidRPr="00330234">
        <w:t xml:space="preserve"> subcutaan.</w:t>
      </w:r>
    </w:p>
    <w:p w14:paraId="665A4496" w14:textId="77777777" w:rsidR="00CC2DE7" w:rsidRPr="00330234" w:rsidRDefault="00CC2DE7" w:rsidP="00BD109B">
      <w:pPr>
        <w:pStyle w:val="a3"/>
        <w:widowControl/>
        <w:ind w:left="0"/>
      </w:pPr>
    </w:p>
    <w:p w14:paraId="11AC0B0E" w14:textId="1FFEE7A1" w:rsidR="00436DAA" w:rsidRPr="00330234" w:rsidRDefault="009B4B8E" w:rsidP="00BD109B">
      <w:pPr>
        <w:pStyle w:val="a3"/>
        <w:widowControl/>
        <w:ind w:left="0"/>
      </w:pPr>
      <w:r w:rsidRPr="00330234">
        <w:t xml:space="preserve">De </w:t>
      </w:r>
      <w:r w:rsidR="00FA591D" w:rsidRPr="00330234">
        <w:t>tocilizumab</w:t>
      </w:r>
      <w:r w:rsidRPr="00330234">
        <w:t xml:space="preserve"> subcutane regimes van respectievelijk 162 mg Q3W bij patiënten die minder dan 30 kg wegen en 162 mg Q2W bij patiënten die 30 kg of meer wegen resulteren in PK-blootstelling en PD- responsen die werkzaamheids- en veiligheidsuitkomsten ondersteunen, die vergelijkbaar zijn met die van de goedgekeurde intraveneuze </w:t>
      </w:r>
      <w:r w:rsidR="00FA591D" w:rsidRPr="00330234">
        <w:t>tocilizumab</w:t>
      </w:r>
      <w:r w:rsidRPr="00330234">
        <w:t xml:space="preserve"> regimes bij pJIA.</w:t>
      </w:r>
    </w:p>
    <w:p w14:paraId="1030D814" w14:textId="77777777" w:rsidR="00436DAA" w:rsidRPr="00330234" w:rsidRDefault="00436DAA" w:rsidP="00BD109B">
      <w:pPr>
        <w:pStyle w:val="a3"/>
        <w:widowControl/>
        <w:ind w:left="0"/>
      </w:pPr>
    </w:p>
    <w:p w14:paraId="3CDE2F63" w14:textId="386ED56A" w:rsidR="00436DAA" w:rsidRPr="00330234" w:rsidRDefault="009B4B8E" w:rsidP="00BD109B">
      <w:pPr>
        <w:pStyle w:val="a3"/>
        <w:widowControl/>
        <w:ind w:left="0"/>
      </w:pPr>
      <w:r w:rsidRPr="00330234">
        <w:t xml:space="preserve">Exploratieve werkzaamheidsresultaten toonden aan dat </w:t>
      </w:r>
      <w:r w:rsidR="00FA591D" w:rsidRPr="00330234">
        <w:t>tocilizumab</w:t>
      </w:r>
      <w:r w:rsidRPr="00330234">
        <w:t xml:space="preserve"> subcutaan de mediane juveniele artritis activiteitsscore (JADAS)-71 verbeterde bij patiënten die niet eerder waren behandeld met </w:t>
      </w:r>
      <w:r w:rsidR="00FA591D" w:rsidRPr="00330234">
        <w:t>tocilizumab</w:t>
      </w:r>
      <w:r w:rsidRPr="00330234">
        <w:t xml:space="preserve"> en de mediane JADAS-71 handhaafde bij patiënten die van intraveneus overgezet waren op behandeling met </w:t>
      </w:r>
      <w:r w:rsidR="00FA591D" w:rsidRPr="00330234">
        <w:t>tocilizumab</w:t>
      </w:r>
      <w:r w:rsidRPr="00330234">
        <w:t xml:space="preserve"> subcutaan. Dit was gedurende het gehele onderzoek bij patiënten in beide gewichtsgroepen (minder dan 30 kg en 30 kg of meer).</w:t>
      </w:r>
    </w:p>
    <w:p w14:paraId="32CCC4AE" w14:textId="77777777" w:rsidR="00436DAA" w:rsidRPr="00330234" w:rsidRDefault="00436DAA" w:rsidP="00BD109B">
      <w:pPr>
        <w:pStyle w:val="a3"/>
        <w:widowControl/>
        <w:ind w:left="0"/>
      </w:pPr>
    </w:p>
    <w:p w14:paraId="74A20746" w14:textId="77777777" w:rsidR="00436DAA" w:rsidRPr="00330234" w:rsidRDefault="009B4B8E" w:rsidP="001B3E1E">
      <w:pPr>
        <w:pStyle w:val="a3"/>
        <w:keepNext/>
        <w:keepLines/>
        <w:widowControl/>
        <w:ind w:left="0"/>
      </w:pPr>
      <w:r w:rsidRPr="00330234">
        <w:rPr>
          <w:u w:val="single"/>
        </w:rPr>
        <w:lastRenderedPageBreak/>
        <w:t>Subcutaan gebruik</w:t>
      </w:r>
    </w:p>
    <w:p w14:paraId="06FDEDE3" w14:textId="77777777" w:rsidR="00436DAA" w:rsidRPr="00330234" w:rsidRDefault="009B4B8E" w:rsidP="001B3E1E">
      <w:pPr>
        <w:keepNext/>
        <w:keepLines/>
        <w:widowControl/>
        <w:rPr>
          <w:b/>
        </w:rPr>
      </w:pPr>
      <w:r w:rsidRPr="00330234">
        <w:rPr>
          <w:b/>
          <w:u w:val="single"/>
        </w:rPr>
        <w:t>GCA</w:t>
      </w:r>
    </w:p>
    <w:p w14:paraId="569BCED7" w14:textId="77777777" w:rsidR="00436DAA" w:rsidRPr="00330234" w:rsidRDefault="009B4B8E" w:rsidP="001B3E1E">
      <w:pPr>
        <w:pStyle w:val="a3"/>
        <w:keepNext/>
        <w:keepLines/>
        <w:widowControl/>
        <w:ind w:left="0"/>
      </w:pPr>
      <w:r w:rsidRPr="00330234">
        <w:rPr>
          <w:u w:val="single"/>
        </w:rPr>
        <w:t>Klinische werkzaamheid</w:t>
      </w:r>
    </w:p>
    <w:p w14:paraId="325B02D8" w14:textId="0EFE06CC" w:rsidR="00436DAA" w:rsidRPr="00330234" w:rsidRDefault="009B4B8E" w:rsidP="00BD109B">
      <w:pPr>
        <w:pStyle w:val="a3"/>
        <w:widowControl/>
        <w:ind w:left="0"/>
      </w:pPr>
      <w:r w:rsidRPr="00330234">
        <w:t xml:space="preserve">Onderzoek WA28119 was een gerandomiseerd, multicenter, dubbelblind placebogecontroleerd fase III-superioriteitsonderzoek dat uitgevoerd werd om de werkzaamheid en veiligheid van </w:t>
      </w:r>
      <w:r w:rsidR="00FA591D" w:rsidRPr="00330234">
        <w:t>tocilizumab</w:t>
      </w:r>
      <w:r w:rsidRPr="00330234">
        <w:t xml:space="preserve"> bij patiënten met GCA te onderzoeken.</w:t>
      </w:r>
    </w:p>
    <w:p w14:paraId="6888F228" w14:textId="77777777" w:rsidR="00436DAA" w:rsidRPr="00330234" w:rsidRDefault="00436DAA" w:rsidP="00BD109B">
      <w:pPr>
        <w:pStyle w:val="a3"/>
        <w:widowControl/>
        <w:ind w:left="0"/>
      </w:pPr>
    </w:p>
    <w:p w14:paraId="68BED2A1" w14:textId="23B2094F" w:rsidR="00436DAA" w:rsidRPr="00330234" w:rsidRDefault="009B4B8E" w:rsidP="00BD109B">
      <w:pPr>
        <w:pStyle w:val="a3"/>
        <w:widowControl/>
        <w:ind w:left="0"/>
      </w:pPr>
      <w:r w:rsidRPr="00330234">
        <w:t xml:space="preserve">Er werden 251 patiënten met beginnende of recidiverende GCA geïncludeerd en ingedeeld bij één van vier behandelarmen. Het onderzoek bestond uit een 52 weken durende geblindeerde periode (deel 1), gevolgd door een open-label extensie van 104 weken (deel 2). Het doel van deel 2 was om de veiligheid op lange termijn en om het voortduren van de werkzaamheid na 52 weken </w:t>
      </w:r>
      <w:r w:rsidR="00FA591D" w:rsidRPr="00330234">
        <w:t>tocilizumab</w:t>
      </w:r>
      <w:r w:rsidRPr="00330234">
        <w:t xml:space="preserve">- behandeling te beschrijven, om de tijd tot relapse en benodigde </w:t>
      </w:r>
      <w:r w:rsidR="00FA591D" w:rsidRPr="00330234">
        <w:t>tocilizumab</w:t>
      </w:r>
      <w:r w:rsidRPr="00330234">
        <w:t xml:space="preserve">-behandeling na 52 weken te onderzoeken en om inzicht te krijgen in het mogelijke steroïdebesparende effect van </w:t>
      </w:r>
      <w:r w:rsidR="00FA591D" w:rsidRPr="00330234">
        <w:t>tocilizumab</w:t>
      </w:r>
      <w:r w:rsidRPr="00330234">
        <w:t xml:space="preserve"> op de lange termijn.</w:t>
      </w:r>
    </w:p>
    <w:p w14:paraId="747FDF45" w14:textId="77777777" w:rsidR="00CC2DE7" w:rsidRPr="00330234" w:rsidRDefault="00CC2DE7" w:rsidP="00BD109B">
      <w:pPr>
        <w:pStyle w:val="a3"/>
        <w:widowControl/>
        <w:ind w:left="0"/>
      </w:pPr>
    </w:p>
    <w:p w14:paraId="7BA34C1E" w14:textId="001BD94B" w:rsidR="00436DAA" w:rsidRPr="00330234" w:rsidRDefault="009B4B8E" w:rsidP="00BD109B">
      <w:pPr>
        <w:pStyle w:val="a3"/>
        <w:widowControl/>
        <w:ind w:left="0"/>
      </w:pPr>
      <w:r w:rsidRPr="00330234">
        <w:t xml:space="preserve">Twee subcutane doses van </w:t>
      </w:r>
      <w:r w:rsidR="00FA591D" w:rsidRPr="00330234">
        <w:t>tocilizumab</w:t>
      </w:r>
      <w:r w:rsidRPr="00330234">
        <w:t xml:space="preserve"> (elke week 162 mg en om de week 162 mg) werden vergeleken met twee verschillende placebogecontroleerde groepen, gerandomiseerd in een verhouding van 2:1:1:1.</w:t>
      </w:r>
    </w:p>
    <w:p w14:paraId="42AC0EBD" w14:textId="77777777" w:rsidR="00436DAA" w:rsidRPr="00330234" w:rsidRDefault="00436DAA" w:rsidP="00BD109B">
      <w:pPr>
        <w:pStyle w:val="a3"/>
        <w:widowControl/>
        <w:ind w:left="0"/>
      </w:pPr>
    </w:p>
    <w:p w14:paraId="6381356E" w14:textId="476BD18F" w:rsidR="00436DAA" w:rsidRPr="00330234" w:rsidRDefault="009B4B8E" w:rsidP="00CC2DE7">
      <w:pPr>
        <w:pStyle w:val="a3"/>
        <w:widowControl/>
        <w:ind w:left="0"/>
      </w:pPr>
      <w:r w:rsidRPr="00330234">
        <w:t xml:space="preserve">Alle patiënten kregen een glucocorticoïden (prednison)-behandeling. Elke </w:t>
      </w:r>
      <w:r w:rsidR="00FA591D" w:rsidRPr="00330234">
        <w:t>tocilizumab</w:t>
      </w:r>
      <w:r w:rsidRPr="00330234">
        <w:t>-behandelgroep en één van de placebogroepen kregen een vooraf vastgestelde afbouwende prednisonbehandeling gedurende 26 weken, terwijl de tweede placebogroep een vooraf vastgestelde afbouwende</w:t>
      </w:r>
      <w:r w:rsidR="00CC2DE7" w:rsidRPr="00330234">
        <w:t xml:space="preserve"> </w:t>
      </w:r>
      <w:r w:rsidRPr="00330234">
        <w:t>prednisonbehandeling gedurende 52 weken kreeg, opgezet als meer in lijn met de standaardbehandeling.</w:t>
      </w:r>
    </w:p>
    <w:p w14:paraId="6EEBB571" w14:textId="77777777" w:rsidR="00436DAA" w:rsidRPr="00330234" w:rsidRDefault="00436DAA" w:rsidP="00BD109B">
      <w:pPr>
        <w:pStyle w:val="a3"/>
        <w:widowControl/>
        <w:ind w:left="0"/>
      </w:pPr>
    </w:p>
    <w:p w14:paraId="639CB340" w14:textId="0E534773" w:rsidR="00436DAA" w:rsidRPr="00330234" w:rsidRDefault="009B4B8E" w:rsidP="00BD109B">
      <w:pPr>
        <w:pStyle w:val="a3"/>
        <w:widowControl/>
        <w:ind w:left="0"/>
      </w:pPr>
      <w:r w:rsidRPr="00330234">
        <w:t xml:space="preserve">De duur van de glucocorticoïdenbehandeling gedurende screening en voordat </w:t>
      </w:r>
      <w:r w:rsidR="00FA591D" w:rsidRPr="00330234">
        <w:t>tocilizumab</w:t>
      </w:r>
      <w:r w:rsidRPr="00330234">
        <w:t xml:space="preserve"> (of placebo) werd gestart, was vergelijkbaar voor alle 4 de behandelgroepen (zie tabel 3).</w:t>
      </w:r>
    </w:p>
    <w:p w14:paraId="56038CBF" w14:textId="77777777" w:rsidR="00CC2DE7" w:rsidRPr="00330234" w:rsidRDefault="00CC2DE7" w:rsidP="00BD109B">
      <w:pPr>
        <w:pStyle w:val="a3"/>
        <w:widowControl/>
        <w:ind w:left="0"/>
      </w:pPr>
    </w:p>
    <w:p w14:paraId="0D957A31" w14:textId="179C3DA6" w:rsidR="00436DAA" w:rsidRPr="00330234" w:rsidRDefault="009B4B8E" w:rsidP="004C0949">
      <w:pPr>
        <w:widowControl/>
        <w:ind w:left="1134" w:hanging="1134"/>
        <w:rPr>
          <w:i/>
        </w:rPr>
      </w:pPr>
      <w:r w:rsidRPr="00330234">
        <w:rPr>
          <w:i/>
        </w:rPr>
        <w:t>Tabel 3.</w:t>
      </w:r>
      <w:r w:rsidR="004C0949" w:rsidRPr="00330234">
        <w:rPr>
          <w:i/>
        </w:rPr>
        <w:tab/>
      </w:r>
      <w:r w:rsidRPr="00330234">
        <w:rPr>
          <w:i/>
        </w:rPr>
        <w:t>Duur van corticosteroïdebehandeling gedurende screening in onderzoek WA28119</w:t>
      </w:r>
    </w:p>
    <w:p w14:paraId="3A7D5868" w14:textId="77777777" w:rsidR="00436DAA" w:rsidRPr="00330234" w:rsidRDefault="00436DAA" w:rsidP="00BD109B">
      <w:pPr>
        <w:pStyle w:val="a3"/>
        <w:widowControl/>
        <w:ind w:left="0"/>
        <w:rPr>
          <w:i/>
        </w:rPr>
      </w:pPr>
    </w:p>
    <w:tbl>
      <w:tblPr>
        <w:tblW w:w="9066" w:type="dxa"/>
        <w:tblLayout w:type="fixed"/>
        <w:tblLook w:val="01E0" w:firstRow="1" w:lastRow="1" w:firstColumn="1" w:lastColumn="1" w:noHBand="0" w:noVBand="0"/>
      </w:tblPr>
      <w:tblGrid>
        <w:gridCol w:w="1927"/>
        <w:gridCol w:w="1722"/>
        <w:gridCol w:w="1372"/>
        <w:gridCol w:w="2015"/>
        <w:gridCol w:w="2030"/>
      </w:tblGrid>
      <w:tr w:rsidR="00CC2DE7" w:rsidRPr="00330234" w14:paraId="68CFFD28" w14:textId="77777777" w:rsidTr="004C0949">
        <w:trPr>
          <w:trHeight w:val="20"/>
        </w:trPr>
        <w:tc>
          <w:tcPr>
            <w:tcW w:w="1927" w:type="dxa"/>
            <w:tcBorders>
              <w:top w:val="single" w:sz="4" w:space="0" w:color="000000"/>
              <w:left w:val="single" w:sz="4" w:space="0" w:color="000000"/>
              <w:bottom w:val="single" w:sz="4" w:space="0" w:color="auto"/>
            </w:tcBorders>
          </w:tcPr>
          <w:p w14:paraId="76C2DA1F" w14:textId="30B56B26" w:rsidR="00CC2DE7" w:rsidRPr="00330234" w:rsidRDefault="00CC2DE7" w:rsidP="00CC2DE7">
            <w:pPr>
              <w:pStyle w:val="TableParagraph"/>
              <w:widowControl/>
              <w:jc w:val="center"/>
              <w:rPr>
                <w:b/>
                <w:sz w:val="20"/>
                <w:szCs w:val="20"/>
              </w:rPr>
            </w:pPr>
          </w:p>
        </w:tc>
        <w:tc>
          <w:tcPr>
            <w:tcW w:w="1722" w:type="dxa"/>
            <w:tcBorders>
              <w:top w:val="single" w:sz="4" w:space="0" w:color="000000"/>
              <w:left w:val="nil"/>
              <w:bottom w:val="single" w:sz="4" w:space="0" w:color="auto"/>
            </w:tcBorders>
          </w:tcPr>
          <w:p w14:paraId="3200C09A" w14:textId="0649F389" w:rsidR="00CC2DE7" w:rsidRPr="00330234" w:rsidRDefault="00CC2DE7" w:rsidP="00CC2DE7">
            <w:pPr>
              <w:pStyle w:val="TableParagraph"/>
              <w:widowControl/>
              <w:jc w:val="center"/>
              <w:rPr>
                <w:b/>
                <w:sz w:val="20"/>
                <w:szCs w:val="20"/>
              </w:rPr>
            </w:pPr>
            <w:r w:rsidRPr="00330234">
              <w:rPr>
                <w:b/>
                <w:sz w:val="20"/>
                <w:szCs w:val="20"/>
              </w:rPr>
              <w:t>Placebo + 26 weken afbouwend prednison</w:t>
            </w:r>
          </w:p>
          <w:p w14:paraId="4B3851BA" w14:textId="3FEE3F57" w:rsidR="00CC2DE7" w:rsidRPr="00330234" w:rsidRDefault="00CC2DE7" w:rsidP="00CC2DE7">
            <w:pPr>
              <w:pStyle w:val="TableParagraph"/>
              <w:widowControl/>
              <w:jc w:val="center"/>
              <w:rPr>
                <w:b/>
                <w:sz w:val="20"/>
                <w:szCs w:val="20"/>
              </w:rPr>
            </w:pPr>
            <w:r w:rsidRPr="00330234">
              <w:rPr>
                <w:b/>
                <w:sz w:val="20"/>
                <w:szCs w:val="20"/>
              </w:rPr>
              <w:t>N = 50</w:t>
            </w:r>
          </w:p>
        </w:tc>
        <w:tc>
          <w:tcPr>
            <w:tcW w:w="1372" w:type="dxa"/>
            <w:tcBorders>
              <w:top w:val="single" w:sz="4" w:space="0" w:color="000000"/>
              <w:bottom w:val="single" w:sz="4" w:space="0" w:color="auto"/>
            </w:tcBorders>
          </w:tcPr>
          <w:p w14:paraId="4AA428CF" w14:textId="42BE7580" w:rsidR="00CC2DE7" w:rsidRPr="00330234" w:rsidRDefault="00CC2DE7" w:rsidP="00CC2DE7">
            <w:pPr>
              <w:pStyle w:val="TableParagraph"/>
              <w:widowControl/>
              <w:jc w:val="center"/>
              <w:rPr>
                <w:b/>
                <w:sz w:val="20"/>
                <w:szCs w:val="20"/>
              </w:rPr>
            </w:pPr>
            <w:r w:rsidRPr="00330234">
              <w:rPr>
                <w:b/>
                <w:sz w:val="20"/>
                <w:szCs w:val="20"/>
              </w:rPr>
              <w:t>Placebo + 52 weken afbouwend prednison</w:t>
            </w:r>
          </w:p>
          <w:p w14:paraId="16BE57AE" w14:textId="77777777" w:rsidR="00CC2DE7" w:rsidRPr="00330234" w:rsidRDefault="00CC2DE7" w:rsidP="00CC2DE7">
            <w:pPr>
              <w:pStyle w:val="TableParagraph"/>
              <w:widowControl/>
              <w:jc w:val="center"/>
              <w:rPr>
                <w:b/>
                <w:sz w:val="20"/>
                <w:szCs w:val="20"/>
              </w:rPr>
            </w:pPr>
            <w:r w:rsidRPr="00330234">
              <w:rPr>
                <w:b/>
                <w:sz w:val="20"/>
                <w:szCs w:val="20"/>
              </w:rPr>
              <w:t>N = 51</w:t>
            </w:r>
          </w:p>
        </w:tc>
        <w:tc>
          <w:tcPr>
            <w:tcW w:w="2015" w:type="dxa"/>
            <w:tcBorders>
              <w:top w:val="single" w:sz="4" w:space="0" w:color="000000"/>
              <w:bottom w:val="single" w:sz="4" w:space="0" w:color="auto"/>
            </w:tcBorders>
          </w:tcPr>
          <w:p w14:paraId="4986D53A" w14:textId="2BE8C93E" w:rsidR="00CC2DE7" w:rsidRPr="00330234" w:rsidRDefault="00FA591D" w:rsidP="00CC2DE7">
            <w:pPr>
              <w:pStyle w:val="TableParagraph"/>
              <w:widowControl/>
              <w:jc w:val="center"/>
              <w:rPr>
                <w:b/>
                <w:sz w:val="20"/>
                <w:szCs w:val="20"/>
              </w:rPr>
            </w:pPr>
            <w:r w:rsidRPr="00330234">
              <w:rPr>
                <w:b/>
                <w:sz w:val="20"/>
                <w:szCs w:val="20"/>
              </w:rPr>
              <w:t>Tocilizumab</w:t>
            </w:r>
            <w:r w:rsidR="00CC2DE7" w:rsidRPr="00330234">
              <w:rPr>
                <w:b/>
                <w:sz w:val="20"/>
                <w:szCs w:val="20"/>
              </w:rPr>
              <w:t xml:space="preserve"> 162</w:t>
            </w:r>
            <w:r w:rsidR="004C0949" w:rsidRPr="00330234">
              <w:rPr>
                <w:b/>
                <w:sz w:val="20"/>
                <w:szCs w:val="20"/>
              </w:rPr>
              <w:t> </w:t>
            </w:r>
            <w:r w:rsidR="00CC2DE7" w:rsidRPr="00330234">
              <w:rPr>
                <w:b/>
                <w:sz w:val="20"/>
                <w:szCs w:val="20"/>
              </w:rPr>
              <w:t>mg s.c. wekelijks + 26 weken afbouwend prednison</w:t>
            </w:r>
          </w:p>
          <w:p w14:paraId="54AEFD38" w14:textId="77777777" w:rsidR="00CC2DE7" w:rsidRPr="00330234" w:rsidRDefault="00CC2DE7" w:rsidP="00CC2DE7">
            <w:pPr>
              <w:pStyle w:val="TableParagraph"/>
              <w:widowControl/>
              <w:jc w:val="center"/>
              <w:rPr>
                <w:b/>
                <w:sz w:val="20"/>
                <w:szCs w:val="20"/>
              </w:rPr>
            </w:pPr>
            <w:r w:rsidRPr="00330234">
              <w:rPr>
                <w:b/>
                <w:sz w:val="20"/>
                <w:szCs w:val="20"/>
              </w:rPr>
              <w:t>N = 100</w:t>
            </w:r>
          </w:p>
        </w:tc>
        <w:tc>
          <w:tcPr>
            <w:tcW w:w="2030" w:type="dxa"/>
            <w:tcBorders>
              <w:top w:val="single" w:sz="4" w:space="0" w:color="000000"/>
              <w:bottom w:val="single" w:sz="4" w:space="0" w:color="auto"/>
              <w:right w:val="single" w:sz="4" w:space="0" w:color="000000"/>
            </w:tcBorders>
          </w:tcPr>
          <w:p w14:paraId="59220A8E" w14:textId="1C7D076C" w:rsidR="00CC2DE7" w:rsidRPr="00330234" w:rsidRDefault="00FA591D" w:rsidP="00CC2DE7">
            <w:pPr>
              <w:pStyle w:val="TableParagraph"/>
              <w:widowControl/>
              <w:jc w:val="center"/>
              <w:rPr>
                <w:b/>
                <w:sz w:val="20"/>
                <w:szCs w:val="20"/>
              </w:rPr>
            </w:pPr>
            <w:r w:rsidRPr="00330234">
              <w:rPr>
                <w:b/>
                <w:sz w:val="20"/>
                <w:szCs w:val="20"/>
              </w:rPr>
              <w:t>Tocilizumab</w:t>
            </w:r>
            <w:r w:rsidR="00CC2DE7" w:rsidRPr="00330234">
              <w:rPr>
                <w:b/>
                <w:sz w:val="20"/>
                <w:szCs w:val="20"/>
              </w:rPr>
              <w:t xml:space="preserve"> 162</w:t>
            </w:r>
            <w:r w:rsidR="004C0949" w:rsidRPr="00330234">
              <w:rPr>
                <w:b/>
                <w:sz w:val="20"/>
                <w:szCs w:val="20"/>
              </w:rPr>
              <w:t> </w:t>
            </w:r>
            <w:r w:rsidR="00CC2DE7" w:rsidRPr="00330234">
              <w:rPr>
                <w:b/>
                <w:sz w:val="20"/>
                <w:szCs w:val="20"/>
              </w:rPr>
              <w:t>mg s.c om de week + 26 weken afbouwend Prednison</w:t>
            </w:r>
          </w:p>
          <w:p w14:paraId="7CCD3DFD" w14:textId="4E3EC540" w:rsidR="00CC2DE7" w:rsidRPr="00330234" w:rsidRDefault="00CC2DE7" w:rsidP="00CC2DE7">
            <w:pPr>
              <w:pStyle w:val="TableParagraph"/>
              <w:widowControl/>
              <w:jc w:val="center"/>
              <w:rPr>
                <w:b/>
                <w:sz w:val="20"/>
                <w:szCs w:val="20"/>
              </w:rPr>
            </w:pPr>
            <w:r w:rsidRPr="00330234">
              <w:rPr>
                <w:b/>
                <w:sz w:val="20"/>
                <w:szCs w:val="20"/>
              </w:rPr>
              <w:t>N = 49</w:t>
            </w:r>
          </w:p>
        </w:tc>
      </w:tr>
      <w:tr w:rsidR="00FF3CA3" w:rsidRPr="00330234" w14:paraId="33CA0EA3" w14:textId="77777777" w:rsidTr="00B4304B">
        <w:trPr>
          <w:trHeight w:val="20"/>
        </w:trPr>
        <w:tc>
          <w:tcPr>
            <w:tcW w:w="9066" w:type="dxa"/>
            <w:gridSpan w:val="5"/>
            <w:tcBorders>
              <w:top w:val="single" w:sz="4" w:space="0" w:color="auto"/>
              <w:left w:val="single" w:sz="4" w:space="0" w:color="auto"/>
              <w:bottom w:val="single" w:sz="4" w:space="0" w:color="auto"/>
              <w:right w:val="single" w:sz="4" w:space="0" w:color="auto"/>
            </w:tcBorders>
          </w:tcPr>
          <w:p w14:paraId="3EF40E01" w14:textId="2021BCA7" w:rsidR="00FF3CA3" w:rsidRPr="00330234" w:rsidRDefault="00FF3CA3" w:rsidP="001B3E1E">
            <w:pPr>
              <w:pStyle w:val="TableParagraph"/>
              <w:widowControl/>
              <w:rPr>
                <w:b/>
                <w:bCs/>
                <w:sz w:val="20"/>
                <w:szCs w:val="20"/>
              </w:rPr>
            </w:pPr>
            <w:r w:rsidRPr="00330234">
              <w:rPr>
                <w:b/>
                <w:bCs/>
                <w:sz w:val="20"/>
                <w:szCs w:val="20"/>
              </w:rPr>
              <w:t>Duur (dagen)</w:t>
            </w:r>
          </w:p>
        </w:tc>
      </w:tr>
      <w:tr w:rsidR="00436DAA" w:rsidRPr="00330234" w14:paraId="566DA3B9" w14:textId="77777777" w:rsidTr="004C0949">
        <w:trPr>
          <w:trHeight w:val="20"/>
        </w:trPr>
        <w:tc>
          <w:tcPr>
            <w:tcW w:w="1927" w:type="dxa"/>
            <w:tcBorders>
              <w:top w:val="single" w:sz="4" w:space="0" w:color="auto"/>
              <w:left w:val="single" w:sz="4" w:space="0" w:color="auto"/>
              <w:bottom w:val="single" w:sz="4" w:space="0" w:color="auto"/>
              <w:right w:val="single" w:sz="4" w:space="0" w:color="auto"/>
            </w:tcBorders>
          </w:tcPr>
          <w:p w14:paraId="69A0479F" w14:textId="77777777" w:rsidR="00436DAA" w:rsidRPr="00330234" w:rsidRDefault="009B4B8E" w:rsidP="00CC2DE7">
            <w:pPr>
              <w:pStyle w:val="TableParagraph"/>
              <w:widowControl/>
              <w:ind w:left="284"/>
              <w:rPr>
                <w:sz w:val="20"/>
                <w:szCs w:val="20"/>
              </w:rPr>
            </w:pPr>
            <w:r w:rsidRPr="00330234">
              <w:rPr>
                <w:sz w:val="20"/>
                <w:szCs w:val="20"/>
              </w:rPr>
              <w:t>Gemiddelde (SD)</w:t>
            </w:r>
          </w:p>
        </w:tc>
        <w:tc>
          <w:tcPr>
            <w:tcW w:w="1722" w:type="dxa"/>
            <w:tcBorders>
              <w:top w:val="single" w:sz="4" w:space="0" w:color="auto"/>
              <w:left w:val="single" w:sz="4" w:space="0" w:color="auto"/>
              <w:bottom w:val="single" w:sz="4" w:space="0" w:color="auto"/>
              <w:right w:val="single" w:sz="4" w:space="0" w:color="auto"/>
            </w:tcBorders>
          </w:tcPr>
          <w:p w14:paraId="44E898BF" w14:textId="77777777" w:rsidR="00436DAA" w:rsidRPr="00330234" w:rsidRDefault="009B4B8E" w:rsidP="00CC2DE7">
            <w:pPr>
              <w:pStyle w:val="TableParagraph"/>
              <w:widowControl/>
              <w:jc w:val="center"/>
              <w:rPr>
                <w:sz w:val="20"/>
                <w:szCs w:val="20"/>
              </w:rPr>
            </w:pPr>
            <w:r w:rsidRPr="00330234">
              <w:rPr>
                <w:sz w:val="20"/>
                <w:szCs w:val="20"/>
              </w:rPr>
              <w:t>35,7 (11,5)</w:t>
            </w:r>
          </w:p>
        </w:tc>
        <w:tc>
          <w:tcPr>
            <w:tcW w:w="1372" w:type="dxa"/>
            <w:tcBorders>
              <w:top w:val="single" w:sz="4" w:space="0" w:color="auto"/>
              <w:left w:val="single" w:sz="4" w:space="0" w:color="auto"/>
              <w:bottom w:val="single" w:sz="4" w:space="0" w:color="auto"/>
              <w:right w:val="single" w:sz="4" w:space="0" w:color="auto"/>
            </w:tcBorders>
          </w:tcPr>
          <w:p w14:paraId="2A38A623" w14:textId="77777777" w:rsidR="00436DAA" w:rsidRPr="00330234" w:rsidRDefault="009B4B8E" w:rsidP="00CC2DE7">
            <w:pPr>
              <w:pStyle w:val="TableParagraph"/>
              <w:widowControl/>
              <w:jc w:val="center"/>
              <w:rPr>
                <w:sz w:val="20"/>
                <w:szCs w:val="20"/>
              </w:rPr>
            </w:pPr>
            <w:r w:rsidRPr="00330234">
              <w:rPr>
                <w:sz w:val="20"/>
                <w:szCs w:val="20"/>
              </w:rPr>
              <w:t>36,3 (12,5)</w:t>
            </w:r>
          </w:p>
        </w:tc>
        <w:tc>
          <w:tcPr>
            <w:tcW w:w="2015" w:type="dxa"/>
            <w:tcBorders>
              <w:top w:val="single" w:sz="4" w:space="0" w:color="auto"/>
              <w:left w:val="single" w:sz="4" w:space="0" w:color="auto"/>
              <w:bottom w:val="single" w:sz="4" w:space="0" w:color="auto"/>
              <w:right w:val="single" w:sz="4" w:space="0" w:color="auto"/>
            </w:tcBorders>
          </w:tcPr>
          <w:p w14:paraId="5A4A62E2" w14:textId="77777777" w:rsidR="00436DAA" w:rsidRPr="00330234" w:rsidRDefault="009B4B8E" w:rsidP="00CC2DE7">
            <w:pPr>
              <w:pStyle w:val="TableParagraph"/>
              <w:widowControl/>
              <w:jc w:val="center"/>
              <w:rPr>
                <w:sz w:val="20"/>
                <w:szCs w:val="20"/>
              </w:rPr>
            </w:pPr>
            <w:r w:rsidRPr="00330234">
              <w:rPr>
                <w:sz w:val="20"/>
                <w:szCs w:val="20"/>
              </w:rPr>
              <w:t>35,6 (13,2)</w:t>
            </w:r>
          </w:p>
        </w:tc>
        <w:tc>
          <w:tcPr>
            <w:tcW w:w="2030" w:type="dxa"/>
            <w:tcBorders>
              <w:top w:val="single" w:sz="4" w:space="0" w:color="auto"/>
              <w:left w:val="single" w:sz="4" w:space="0" w:color="auto"/>
              <w:bottom w:val="single" w:sz="4" w:space="0" w:color="auto"/>
              <w:right w:val="single" w:sz="4" w:space="0" w:color="auto"/>
            </w:tcBorders>
          </w:tcPr>
          <w:p w14:paraId="72C04D98" w14:textId="77777777" w:rsidR="00436DAA" w:rsidRPr="00330234" w:rsidRDefault="009B4B8E" w:rsidP="00CC2DE7">
            <w:pPr>
              <w:pStyle w:val="TableParagraph"/>
              <w:widowControl/>
              <w:jc w:val="center"/>
              <w:rPr>
                <w:sz w:val="20"/>
                <w:szCs w:val="20"/>
              </w:rPr>
            </w:pPr>
            <w:r w:rsidRPr="00330234">
              <w:rPr>
                <w:sz w:val="20"/>
                <w:szCs w:val="20"/>
              </w:rPr>
              <w:t>37,4 (14,4)</w:t>
            </w:r>
          </w:p>
        </w:tc>
      </w:tr>
      <w:tr w:rsidR="00436DAA" w:rsidRPr="00330234" w14:paraId="2CF317A3" w14:textId="77777777" w:rsidTr="004C0949">
        <w:trPr>
          <w:trHeight w:val="20"/>
        </w:trPr>
        <w:tc>
          <w:tcPr>
            <w:tcW w:w="1927" w:type="dxa"/>
            <w:tcBorders>
              <w:top w:val="single" w:sz="4" w:space="0" w:color="auto"/>
              <w:left w:val="single" w:sz="4" w:space="0" w:color="auto"/>
              <w:bottom w:val="single" w:sz="4" w:space="0" w:color="auto"/>
              <w:right w:val="single" w:sz="4" w:space="0" w:color="auto"/>
            </w:tcBorders>
          </w:tcPr>
          <w:p w14:paraId="472ED270" w14:textId="77777777" w:rsidR="00436DAA" w:rsidRPr="00330234" w:rsidRDefault="009B4B8E" w:rsidP="00CC2DE7">
            <w:pPr>
              <w:pStyle w:val="TableParagraph"/>
              <w:widowControl/>
              <w:ind w:left="284"/>
              <w:rPr>
                <w:sz w:val="20"/>
                <w:szCs w:val="20"/>
              </w:rPr>
            </w:pPr>
            <w:r w:rsidRPr="00330234">
              <w:rPr>
                <w:sz w:val="20"/>
                <w:szCs w:val="20"/>
              </w:rPr>
              <w:t>Mediaan</w:t>
            </w:r>
          </w:p>
        </w:tc>
        <w:tc>
          <w:tcPr>
            <w:tcW w:w="1722" w:type="dxa"/>
            <w:tcBorders>
              <w:top w:val="single" w:sz="4" w:space="0" w:color="auto"/>
              <w:left w:val="single" w:sz="4" w:space="0" w:color="auto"/>
              <w:bottom w:val="single" w:sz="4" w:space="0" w:color="auto"/>
              <w:right w:val="single" w:sz="4" w:space="0" w:color="auto"/>
            </w:tcBorders>
          </w:tcPr>
          <w:p w14:paraId="6A4BF18B" w14:textId="77777777" w:rsidR="00436DAA" w:rsidRPr="00330234" w:rsidRDefault="009B4B8E" w:rsidP="00CC2DE7">
            <w:pPr>
              <w:pStyle w:val="TableParagraph"/>
              <w:widowControl/>
              <w:jc w:val="center"/>
              <w:rPr>
                <w:sz w:val="20"/>
                <w:szCs w:val="20"/>
              </w:rPr>
            </w:pPr>
            <w:r w:rsidRPr="00330234">
              <w:rPr>
                <w:sz w:val="20"/>
                <w:szCs w:val="20"/>
              </w:rPr>
              <w:t>42,0</w:t>
            </w:r>
          </w:p>
        </w:tc>
        <w:tc>
          <w:tcPr>
            <w:tcW w:w="1372" w:type="dxa"/>
            <w:tcBorders>
              <w:top w:val="single" w:sz="4" w:space="0" w:color="auto"/>
              <w:left w:val="single" w:sz="4" w:space="0" w:color="auto"/>
              <w:bottom w:val="single" w:sz="4" w:space="0" w:color="auto"/>
              <w:right w:val="single" w:sz="4" w:space="0" w:color="auto"/>
            </w:tcBorders>
          </w:tcPr>
          <w:p w14:paraId="7E7E600C" w14:textId="77777777" w:rsidR="00436DAA" w:rsidRPr="00330234" w:rsidRDefault="009B4B8E" w:rsidP="00CC2DE7">
            <w:pPr>
              <w:pStyle w:val="TableParagraph"/>
              <w:widowControl/>
              <w:jc w:val="center"/>
              <w:rPr>
                <w:sz w:val="20"/>
                <w:szCs w:val="20"/>
              </w:rPr>
            </w:pPr>
            <w:r w:rsidRPr="00330234">
              <w:rPr>
                <w:sz w:val="20"/>
                <w:szCs w:val="20"/>
              </w:rPr>
              <w:t>41,0</w:t>
            </w:r>
          </w:p>
        </w:tc>
        <w:tc>
          <w:tcPr>
            <w:tcW w:w="2015" w:type="dxa"/>
            <w:tcBorders>
              <w:top w:val="single" w:sz="4" w:space="0" w:color="auto"/>
              <w:left w:val="single" w:sz="4" w:space="0" w:color="auto"/>
              <w:bottom w:val="single" w:sz="4" w:space="0" w:color="auto"/>
              <w:right w:val="single" w:sz="4" w:space="0" w:color="auto"/>
            </w:tcBorders>
          </w:tcPr>
          <w:p w14:paraId="5137A48B" w14:textId="77777777" w:rsidR="00436DAA" w:rsidRPr="00330234" w:rsidRDefault="009B4B8E" w:rsidP="00CC2DE7">
            <w:pPr>
              <w:pStyle w:val="TableParagraph"/>
              <w:widowControl/>
              <w:jc w:val="center"/>
              <w:rPr>
                <w:sz w:val="20"/>
                <w:szCs w:val="20"/>
              </w:rPr>
            </w:pPr>
            <w:r w:rsidRPr="00330234">
              <w:rPr>
                <w:sz w:val="20"/>
                <w:szCs w:val="20"/>
              </w:rPr>
              <w:t>41,0</w:t>
            </w:r>
          </w:p>
        </w:tc>
        <w:tc>
          <w:tcPr>
            <w:tcW w:w="2030" w:type="dxa"/>
            <w:tcBorders>
              <w:top w:val="single" w:sz="4" w:space="0" w:color="auto"/>
              <w:left w:val="single" w:sz="4" w:space="0" w:color="auto"/>
              <w:bottom w:val="single" w:sz="4" w:space="0" w:color="auto"/>
              <w:right w:val="single" w:sz="4" w:space="0" w:color="auto"/>
            </w:tcBorders>
          </w:tcPr>
          <w:p w14:paraId="5EB04FD2" w14:textId="77777777" w:rsidR="00436DAA" w:rsidRPr="00330234" w:rsidRDefault="009B4B8E" w:rsidP="00CC2DE7">
            <w:pPr>
              <w:pStyle w:val="TableParagraph"/>
              <w:widowControl/>
              <w:jc w:val="center"/>
              <w:rPr>
                <w:sz w:val="20"/>
                <w:szCs w:val="20"/>
              </w:rPr>
            </w:pPr>
            <w:r w:rsidRPr="00330234">
              <w:rPr>
                <w:sz w:val="20"/>
                <w:szCs w:val="20"/>
              </w:rPr>
              <w:t>42,0</w:t>
            </w:r>
          </w:p>
        </w:tc>
      </w:tr>
      <w:tr w:rsidR="00436DAA" w:rsidRPr="00330234" w14:paraId="3AE3BE9F" w14:textId="77777777" w:rsidTr="004C0949">
        <w:trPr>
          <w:trHeight w:val="20"/>
        </w:trPr>
        <w:tc>
          <w:tcPr>
            <w:tcW w:w="1927" w:type="dxa"/>
            <w:tcBorders>
              <w:top w:val="single" w:sz="4" w:space="0" w:color="auto"/>
              <w:left w:val="single" w:sz="4" w:space="0" w:color="auto"/>
              <w:bottom w:val="single" w:sz="4" w:space="0" w:color="auto"/>
              <w:right w:val="single" w:sz="4" w:space="0" w:color="auto"/>
            </w:tcBorders>
          </w:tcPr>
          <w:p w14:paraId="04DE94B8" w14:textId="77777777" w:rsidR="00436DAA" w:rsidRPr="00330234" w:rsidRDefault="009B4B8E" w:rsidP="00CC2DE7">
            <w:pPr>
              <w:pStyle w:val="TableParagraph"/>
              <w:widowControl/>
              <w:ind w:left="284"/>
              <w:rPr>
                <w:sz w:val="20"/>
                <w:szCs w:val="20"/>
              </w:rPr>
            </w:pPr>
            <w:r w:rsidRPr="00330234">
              <w:rPr>
                <w:sz w:val="20"/>
                <w:szCs w:val="20"/>
              </w:rPr>
              <w:t>Min - Max</w:t>
            </w:r>
          </w:p>
        </w:tc>
        <w:tc>
          <w:tcPr>
            <w:tcW w:w="1722" w:type="dxa"/>
            <w:tcBorders>
              <w:top w:val="single" w:sz="4" w:space="0" w:color="auto"/>
              <w:left w:val="single" w:sz="4" w:space="0" w:color="auto"/>
              <w:bottom w:val="single" w:sz="4" w:space="0" w:color="auto"/>
              <w:right w:val="single" w:sz="4" w:space="0" w:color="auto"/>
            </w:tcBorders>
          </w:tcPr>
          <w:p w14:paraId="69FC1BC7" w14:textId="77777777" w:rsidR="00436DAA" w:rsidRPr="00330234" w:rsidRDefault="009B4B8E" w:rsidP="00CC2DE7">
            <w:pPr>
              <w:pStyle w:val="TableParagraph"/>
              <w:widowControl/>
              <w:jc w:val="center"/>
              <w:rPr>
                <w:sz w:val="20"/>
                <w:szCs w:val="20"/>
              </w:rPr>
            </w:pPr>
            <w:r w:rsidRPr="00330234">
              <w:rPr>
                <w:sz w:val="20"/>
                <w:szCs w:val="20"/>
              </w:rPr>
              <w:t>6 - 63</w:t>
            </w:r>
          </w:p>
        </w:tc>
        <w:tc>
          <w:tcPr>
            <w:tcW w:w="1372" w:type="dxa"/>
            <w:tcBorders>
              <w:top w:val="single" w:sz="4" w:space="0" w:color="auto"/>
              <w:left w:val="single" w:sz="4" w:space="0" w:color="auto"/>
              <w:bottom w:val="single" w:sz="4" w:space="0" w:color="auto"/>
              <w:right w:val="single" w:sz="4" w:space="0" w:color="auto"/>
            </w:tcBorders>
          </w:tcPr>
          <w:p w14:paraId="07C27F55" w14:textId="77777777" w:rsidR="00436DAA" w:rsidRPr="00330234" w:rsidRDefault="009B4B8E" w:rsidP="00CC2DE7">
            <w:pPr>
              <w:pStyle w:val="TableParagraph"/>
              <w:widowControl/>
              <w:jc w:val="center"/>
              <w:rPr>
                <w:sz w:val="20"/>
                <w:szCs w:val="20"/>
              </w:rPr>
            </w:pPr>
            <w:r w:rsidRPr="00330234">
              <w:rPr>
                <w:sz w:val="20"/>
                <w:szCs w:val="20"/>
              </w:rPr>
              <w:t>12 – 82</w:t>
            </w:r>
          </w:p>
        </w:tc>
        <w:tc>
          <w:tcPr>
            <w:tcW w:w="2015" w:type="dxa"/>
            <w:tcBorders>
              <w:top w:val="single" w:sz="4" w:space="0" w:color="auto"/>
              <w:left w:val="single" w:sz="4" w:space="0" w:color="auto"/>
              <w:bottom w:val="single" w:sz="4" w:space="0" w:color="auto"/>
              <w:right w:val="single" w:sz="4" w:space="0" w:color="auto"/>
            </w:tcBorders>
          </w:tcPr>
          <w:p w14:paraId="4B9B91C8" w14:textId="77777777" w:rsidR="00436DAA" w:rsidRPr="00330234" w:rsidRDefault="009B4B8E" w:rsidP="00CC2DE7">
            <w:pPr>
              <w:pStyle w:val="TableParagraph"/>
              <w:widowControl/>
              <w:jc w:val="center"/>
              <w:rPr>
                <w:sz w:val="20"/>
                <w:szCs w:val="20"/>
              </w:rPr>
            </w:pPr>
            <w:r w:rsidRPr="00330234">
              <w:rPr>
                <w:sz w:val="20"/>
                <w:szCs w:val="20"/>
              </w:rPr>
              <w:t>1 - 87</w:t>
            </w:r>
          </w:p>
        </w:tc>
        <w:tc>
          <w:tcPr>
            <w:tcW w:w="2030" w:type="dxa"/>
            <w:tcBorders>
              <w:top w:val="single" w:sz="4" w:space="0" w:color="auto"/>
              <w:left w:val="single" w:sz="4" w:space="0" w:color="auto"/>
              <w:bottom w:val="single" w:sz="4" w:space="0" w:color="auto"/>
              <w:right w:val="single" w:sz="4" w:space="0" w:color="auto"/>
            </w:tcBorders>
          </w:tcPr>
          <w:p w14:paraId="2A347E73" w14:textId="77777777" w:rsidR="00436DAA" w:rsidRPr="00330234" w:rsidRDefault="009B4B8E" w:rsidP="00CC2DE7">
            <w:pPr>
              <w:pStyle w:val="TableParagraph"/>
              <w:widowControl/>
              <w:jc w:val="center"/>
              <w:rPr>
                <w:sz w:val="20"/>
                <w:szCs w:val="20"/>
              </w:rPr>
            </w:pPr>
            <w:r w:rsidRPr="00330234">
              <w:rPr>
                <w:sz w:val="20"/>
                <w:szCs w:val="20"/>
              </w:rPr>
              <w:t>9 - 87</w:t>
            </w:r>
          </w:p>
        </w:tc>
      </w:tr>
    </w:tbl>
    <w:p w14:paraId="3C2784E8" w14:textId="77777777" w:rsidR="00CC2DE7" w:rsidRPr="00330234" w:rsidRDefault="00CC2DE7" w:rsidP="00BD109B">
      <w:pPr>
        <w:pStyle w:val="a3"/>
        <w:widowControl/>
        <w:ind w:left="0"/>
      </w:pPr>
    </w:p>
    <w:p w14:paraId="4E14A01E" w14:textId="4A8CC690" w:rsidR="00436DAA" w:rsidRPr="00330234" w:rsidRDefault="009B4B8E" w:rsidP="00BD109B">
      <w:pPr>
        <w:pStyle w:val="a3"/>
        <w:widowControl/>
        <w:ind w:left="0"/>
      </w:pPr>
      <w:r w:rsidRPr="00330234">
        <w:t xml:space="preserve">Het primaire werkzaamheidseindpunt beoordeeld aan de hand van het deel van de patiënten dat een blijvende remissie zonder steroïden in week 52 bereikte met </w:t>
      </w:r>
      <w:r w:rsidR="00E37B81" w:rsidRPr="00330234">
        <w:t>tocilizumab</w:t>
      </w:r>
      <w:r w:rsidRPr="00330234">
        <w:t xml:space="preserve"> plus in 26 weken afbouwende prednisonbehandeling vergeleken met placebo plus in 52 weken afbouwende prednisonbehandeling, werd behaald (zie tabel 4).</w:t>
      </w:r>
    </w:p>
    <w:p w14:paraId="5AEC3A7E" w14:textId="77777777" w:rsidR="00CC2DE7" w:rsidRPr="00330234" w:rsidRDefault="00CC2DE7" w:rsidP="00BD109B">
      <w:pPr>
        <w:pStyle w:val="a3"/>
        <w:widowControl/>
        <w:ind w:left="0"/>
      </w:pPr>
    </w:p>
    <w:p w14:paraId="084F8E3F" w14:textId="77777777" w:rsidR="00436DAA" w:rsidRPr="00330234" w:rsidRDefault="009B4B8E" w:rsidP="00BD109B">
      <w:pPr>
        <w:pStyle w:val="a3"/>
        <w:widowControl/>
        <w:ind w:left="0"/>
      </w:pPr>
      <w:r w:rsidRPr="00330234">
        <w:t>Het belangrijke secundaire werkzaamheidseindpunt, ook gebaseerd op het deel van de patiënten dat een blijvende remissie in week 52 bereikte, waarbij tocilizumab plus in 26 weken afbouwende prednisonbehandeling werd vergeleken met placebo plus in 52 weken afbouwende prednisonbehandeling, werd ook behaald (zie tabel 4).</w:t>
      </w:r>
    </w:p>
    <w:p w14:paraId="6F10B737" w14:textId="77777777" w:rsidR="00436DAA" w:rsidRPr="00330234" w:rsidRDefault="00436DAA" w:rsidP="00BD109B">
      <w:pPr>
        <w:pStyle w:val="a3"/>
        <w:widowControl/>
        <w:ind w:left="0"/>
      </w:pPr>
    </w:p>
    <w:p w14:paraId="6F5198E3" w14:textId="44DD277C" w:rsidR="00436DAA" w:rsidRPr="00330234" w:rsidRDefault="009B4B8E" w:rsidP="00BD109B">
      <w:pPr>
        <w:pStyle w:val="a3"/>
        <w:widowControl/>
        <w:ind w:left="0"/>
      </w:pPr>
      <w:r w:rsidRPr="00330234">
        <w:t xml:space="preserve">Een statistisch significant superioriteitseffect werd waargenomen voor </w:t>
      </w:r>
      <w:r w:rsidR="00FA591D" w:rsidRPr="00330234">
        <w:t>tocilizumab</w:t>
      </w:r>
      <w:r w:rsidRPr="00330234">
        <w:t xml:space="preserve"> ten opzichte van placebo door het bereiken van blijvende remissie zonder steroïden in week 52 met </w:t>
      </w:r>
      <w:r w:rsidR="00FA591D" w:rsidRPr="00330234">
        <w:t>tocilizumab</w:t>
      </w:r>
      <w:r w:rsidRPr="00330234">
        <w:t xml:space="preserve"> plus in 26 weken afbouwende prednisonbehandeling vergeleken met placebo plus in 26 weken afbouwende prednisonbehandeling en placebo plus in 52 weken afbouwende prednisonbehandeling.</w:t>
      </w:r>
    </w:p>
    <w:p w14:paraId="3CD564E7" w14:textId="77777777" w:rsidR="00CC2DE7" w:rsidRPr="00330234" w:rsidRDefault="00CC2DE7" w:rsidP="00BD109B">
      <w:pPr>
        <w:pStyle w:val="a3"/>
        <w:widowControl/>
        <w:ind w:left="0"/>
      </w:pPr>
    </w:p>
    <w:p w14:paraId="2863297D" w14:textId="77777777" w:rsidR="00436DAA" w:rsidRPr="00330234" w:rsidRDefault="009B4B8E" w:rsidP="00BD109B">
      <w:pPr>
        <w:pStyle w:val="a3"/>
        <w:widowControl/>
        <w:ind w:left="0"/>
      </w:pPr>
      <w:r w:rsidRPr="00330234">
        <w:t>Het percentage van de patiënten dat blijvende remissie in week 52 bereikte, is weergegeven in tabel 4.</w:t>
      </w:r>
    </w:p>
    <w:p w14:paraId="7F3B5EF9" w14:textId="77777777" w:rsidR="00436DAA" w:rsidRPr="00330234" w:rsidRDefault="00436DAA" w:rsidP="00BD109B">
      <w:pPr>
        <w:pStyle w:val="a3"/>
        <w:widowControl/>
        <w:ind w:left="0"/>
      </w:pPr>
    </w:p>
    <w:p w14:paraId="23B76A00" w14:textId="77777777" w:rsidR="00436DAA" w:rsidRPr="00330234" w:rsidRDefault="009B4B8E" w:rsidP="001B3E1E">
      <w:pPr>
        <w:keepNext/>
        <w:keepLines/>
        <w:widowControl/>
        <w:rPr>
          <w:i/>
        </w:rPr>
      </w:pPr>
      <w:r w:rsidRPr="00330234">
        <w:rPr>
          <w:i/>
        </w:rPr>
        <w:lastRenderedPageBreak/>
        <w:t>Secundaire eindpunten</w:t>
      </w:r>
    </w:p>
    <w:p w14:paraId="4E6A3912" w14:textId="7B9A9D91" w:rsidR="00436DAA" w:rsidRPr="00330234" w:rsidRDefault="009B4B8E" w:rsidP="00BD109B">
      <w:pPr>
        <w:pStyle w:val="a3"/>
        <w:widowControl/>
        <w:ind w:left="0"/>
      </w:pPr>
      <w:r w:rsidRPr="00330234">
        <w:t xml:space="preserve">De beoordeling van tijd tot eerste GCA ‘flare’ liet een significant lager risico op een ‘flare’ zien voor de wekelijks met </w:t>
      </w:r>
      <w:r w:rsidR="00FA591D" w:rsidRPr="00330234">
        <w:t>tocilizumab</w:t>
      </w:r>
      <w:r w:rsidRPr="00330234">
        <w:t xml:space="preserve"> subcutaan behandelde groep vergeleken met de groepen met placebo plus in 26 of 52 weken afbouwende prednisonbehandeling, en voor de om de week met </w:t>
      </w:r>
      <w:r w:rsidR="00FA591D" w:rsidRPr="00330234">
        <w:t>tocilizumab</w:t>
      </w:r>
      <w:r w:rsidRPr="00330234">
        <w:t xml:space="preserve"> subcutaan behandelde groep vergeleken met de placebo plus in 26 weken afbouwende prednisonbehandelgroep (bij vergelijking met 0,01 significantieniveau). Bij patiënten die het onderzoek begonnen met terugkerende GCA alsmede bij patiënten met beginnende ziekte liet de groep met wekelijks </w:t>
      </w:r>
      <w:r w:rsidR="00FA591D" w:rsidRPr="00330234">
        <w:t>tocilizumab</w:t>
      </w:r>
      <w:r w:rsidRPr="00330234">
        <w:t xml:space="preserve"> subcutane behandeling ook een klinisch relevante daling van het risico op ‘flares’ zien vergeleken met placebo plus in 26 weken afbouwende prednisonbehandeling (zie tabel 4).</w:t>
      </w:r>
    </w:p>
    <w:p w14:paraId="7379EBBD" w14:textId="77777777" w:rsidR="00CC2DE7" w:rsidRPr="00330234" w:rsidRDefault="00CC2DE7" w:rsidP="00BD109B">
      <w:pPr>
        <w:pStyle w:val="a3"/>
        <w:widowControl/>
        <w:ind w:left="0"/>
      </w:pPr>
    </w:p>
    <w:p w14:paraId="5C1C54C8" w14:textId="77777777" w:rsidR="00436DAA" w:rsidRPr="00330234" w:rsidRDefault="009B4B8E" w:rsidP="00BD109B">
      <w:pPr>
        <w:widowControl/>
        <w:rPr>
          <w:i/>
        </w:rPr>
      </w:pPr>
      <w:r w:rsidRPr="00330234">
        <w:rPr>
          <w:i/>
        </w:rPr>
        <w:t>Cumulatieve glucocorticoïdendosis</w:t>
      </w:r>
    </w:p>
    <w:p w14:paraId="45ED766A" w14:textId="74DE733D" w:rsidR="00436DAA" w:rsidRPr="00330234" w:rsidRDefault="009B4B8E" w:rsidP="00BD109B">
      <w:pPr>
        <w:pStyle w:val="a3"/>
        <w:widowControl/>
        <w:ind w:left="0"/>
      </w:pPr>
      <w:r w:rsidRPr="00330234">
        <w:t xml:space="preserve">De cumulatieve prednisondosis op week 52 was significant lager in de twee </w:t>
      </w:r>
      <w:r w:rsidR="00FA591D" w:rsidRPr="00330234">
        <w:t>tocilizumab</w:t>
      </w:r>
      <w:r w:rsidRPr="00330234">
        <w:t xml:space="preserve">-dosisgroepen vergeleken met de twee placebogroepen (zie tabel 4). In een losstaande analyse bij patiënten die ‘escape’ prednison ontvingen om GCA ‘flares’ te behandelen gedurende de eerste 52 weken, varieerde de cumulatieve prednisondosis sterk. De mediane doses voor ‘escape’ patiënten in de groep met wekelijks en om de week </w:t>
      </w:r>
      <w:r w:rsidR="00FA591D" w:rsidRPr="00330234">
        <w:t>tocilizumab</w:t>
      </w:r>
      <w:r w:rsidRPr="00330234">
        <w:t xml:space="preserve"> waren respectievelijk 3129,75 mg en 3847 mg. Beide aanzienlijk lager dan in de placebogroep plus in 26 weken en de placebogroep plus in 52 weken afbouwende prednisonbehandeling, respectievelijk 4023,5 mg en 5389,5 mg.</w:t>
      </w:r>
    </w:p>
    <w:p w14:paraId="1AF77B3E" w14:textId="77777777" w:rsidR="00436DAA" w:rsidRPr="00330234" w:rsidRDefault="00436DAA" w:rsidP="00BD109B">
      <w:pPr>
        <w:widowControl/>
      </w:pPr>
    </w:p>
    <w:p w14:paraId="7AF66F02" w14:textId="58264DA2" w:rsidR="00436DAA" w:rsidRPr="00330234" w:rsidRDefault="009B4B8E" w:rsidP="00156935">
      <w:pPr>
        <w:keepNext/>
        <w:widowControl/>
        <w:ind w:left="1134" w:hanging="1134"/>
        <w:rPr>
          <w:i/>
        </w:rPr>
      </w:pPr>
      <w:r w:rsidRPr="00330234">
        <w:rPr>
          <w:i/>
        </w:rPr>
        <w:t>Tabel 4.</w:t>
      </w:r>
      <w:r w:rsidR="004C0949" w:rsidRPr="00330234">
        <w:rPr>
          <w:i/>
        </w:rPr>
        <w:tab/>
      </w:r>
      <w:r w:rsidRPr="00330234">
        <w:rPr>
          <w:i/>
        </w:rPr>
        <w:t>Werkzaamheidsresultaten van onderzoek WA28119</w:t>
      </w:r>
    </w:p>
    <w:p w14:paraId="5B0D9A75" w14:textId="77777777" w:rsidR="00436DAA" w:rsidRPr="00330234" w:rsidRDefault="00436DAA" w:rsidP="00156935">
      <w:pPr>
        <w:pStyle w:val="a3"/>
        <w:keepNext/>
        <w:widowControl/>
        <w:ind w:left="0"/>
        <w:rPr>
          <w:i/>
        </w:rPr>
      </w:pPr>
    </w:p>
    <w:tbl>
      <w:tblPr>
        <w:tblW w:w="9066" w:type="dxa"/>
        <w:tblLayout w:type="fixed"/>
        <w:tblLook w:val="01E0" w:firstRow="1" w:lastRow="1" w:firstColumn="1" w:lastColumn="1" w:noHBand="0" w:noVBand="0"/>
      </w:tblPr>
      <w:tblGrid>
        <w:gridCol w:w="3492"/>
        <w:gridCol w:w="1188"/>
        <w:gridCol w:w="1188"/>
        <w:gridCol w:w="1599"/>
        <w:gridCol w:w="1599"/>
      </w:tblGrid>
      <w:tr w:rsidR="006E5B37" w:rsidRPr="00330234" w14:paraId="018138C8" w14:textId="77777777" w:rsidTr="001B3E1E">
        <w:trPr>
          <w:trHeight w:val="20"/>
          <w:tblHeader/>
        </w:trPr>
        <w:tc>
          <w:tcPr>
            <w:tcW w:w="3492" w:type="dxa"/>
            <w:tcBorders>
              <w:top w:val="single" w:sz="4" w:space="0" w:color="000000"/>
              <w:left w:val="single" w:sz="4" w:space="0" w:color="000000"/>
              <w:bottom w:val="single" w:sz="4" w:space="0" w:color="000000"/>
            </w:tcBorders>
          </w:tcPr>
          <w:p w14:paraId="33EB68B9" w14:textId="77777777" w:rsidR="00436DAA" w:rsidRPr="00330234" w:rsidRDefault="00436DAA" w:rsidP="00BD109B">
            <w:pPr>
              <w:pStyle w:val="TableParagraph"/>
              <w:widowControl/>
              <w:rPr>
                <w:sz w:val="20"/>
                <w:szCs w:val="20"/>
              </w:rPr>
            </w:pPr>
          </w:p>
        </w:tc>
        <w:tc>
          <w:tcPr>
            <w:tcW w:w="1188" w:type="dxa"/>
            <w:tcBorders>
              <w:top w:val="single" w:sz="4" w:space="0" w:color="000000"/>
              <w:bottom w:val="single" w:sz="4" w:space="0" w:color="000000"/>
            </w:tcBorders>
          </w:tcPr>
          <w:p w14:paraId="691D6276" w14:textId="5A214C1B" w:rsidR="00436DAA" w:rsidRPr="00330234" w:rsidRDefault="009B4B8E" w:rsidP="00A16C61">
            <w:pPr>
              <w:pStyle w:val="TableParagraph"/>
              <w:widowControl/>
              <w:jc w:val="center"/>
              <w:rPr>
                <w:b/>
                <w:sz w:val="20"/>
                <w:szCs w:val="20"/>
              </w:rPr>
            </w:pPr>
            <w:r w:rsidRPr="00330234">
              <w:rPr>
                <w:b/>
                <w:sz w:val="20"/>
                <w:szCs w:val="20"/>
              </w:rPr>
              <w:t>Placebo + 26</w:t>
            </w:r>
            <w:r w:rsidR="00CC2DE7" w:rsidRPr="00330234">
              <w:rPr>
                <w:b/>
                <w:sz w:val="20"/>
                <w:szCs w:val="20"/>
              </w:rPr>
              <w:t> </w:t>
            </w:r>
            <w:r w:rsidRPr="00330234">
              <w:rPr>
                <w:b/>
                <w:sz w:val="20"/>
                <w:szCs w:val="20"/>
              </w:rPr>
              <w:t>weken afbouwend prednison</w:t>
            </w:r>
          </w:p>
          <w:p w14:paraId="2757403B" w14:textId="77777777" w:rsidR="00436DAA" w:rsidRPr="00330234" w:rsidRDefault="009B4B8E" w:rsidP="00A16C61">
            <w:pPr>
              <w:pStyle w:val="TableParagraph"/>
              <w:widowControl/>
              <w:jc w:val="center"/>
              <w:rPr>
                <w:b/>
                <w:sz w:val="20"/>
                <w:szCs w:val="20"/>
              </w:rPr>
            </w:pPr>
            <w:r w:rsidRPr="00330234">
              <w:rPr>
                <w:b/>
                <w:sz w:val="20"/>
                <w:szCs w:val="20"/>
              </w:rPr>
              <w:t>N = 50</w:t>
            </w:r>
          </w:p>
        </w:tc>
        <w:tc>
          <w:tcPr>
            <w:tcW w:w="1188" w:type="dxa"/>
            <w:tcBorders>
              <w:top w:val="single" w:sz="4" w:space="0" w:color="000000"/>
              <w:bottom w:val="single" w:sz="4" w:space="0" w:color="000000"/>
            </w:tcBorders>
          </w:tcPr>
          <w:p w14:paraId="5947D878" w14:textId="7EB89849" w:rsidR="00436DAA" w:rsidRPr="00330234" w:rsidRDefault="009B4B8E" w:rsidP="00A16C61">
            <w:pPr>
              <w:pStyle w:val="TableParagraph"/>
              <w:widowControl/>
              <w:jc w:val="center"/>
              <w:rPr>
                <w:b/>
                <w:sz w:val="20"/>
                <w:szCs w:val="20"/>
              </w:rPr>
            </w:pPr>
            <w:r w:rsidRPr="00330234">
              <w:rPr>
                <w:b/>
                <w:sz w:val="20"/>
                <w:szCs w:val="20"/>
              </w:rPr>
              <w:t>Placebo + 52</w:t>
            </w:r>
            <w:r w:rsidR="00CC2DE7" w:rsidRPr="00330234">
              <w:rPr>
                <w:b/>
                <w:sz w:val="20"/>
                <w:szCs w:val="20"/>
              </w:rPr>
              <w:t> </w:t>
            </w:r>
            <w:r w:rsidRPr="00330234">
              <w:rPr>
                <w:b/>
                <w:sz w:val="20"/>
                <w:szCs w:val="20"/>
              </w:rPr>
              <w:t>weken afbouwend prednison</w:t>
            </w:r>
          </w:p>
          <w:p w14:paraId="344866E9" w14:textId="77777777" w:rsidR="00436DAA" w:rsidRPr="00330234" w:rsidRDefault="009B4B8E" w:rsidP="00A16C61">
            <w:pPr>
              <w:pStyle w:val="TableParagraph"/>
              <w:widowControl/>
              <w:jc w:val="center"/>
              <w:rPr>
                <w:b/>
                <w:sz w:val="20"/>
                <w:szCs w:val="20"/>
              </w:rPr>
            </w:pPr>
            <w:r w:rsidRPr="00330234">
              <w:rPr>
                <w:b/>
                <w:sz w:val="20"/>
                <w:szCs w:val="20"/>
              </w:rPr>
              <w:t>N = 51</w:t>
            </w:r>
          </w:p>
        </w:tc>
        <w:tc>
          <w:tcPr>
            <w:tcW w:w="1599" w:type="dxa"/>
            <w:tcBorders>
              <w:top w:val="single" w:sz="4" w:space="0" w:color="000000"/>
              <w:bottom w:val="single" w:sz="4" w:space="0" w:color="000000"/>
            </w:tcBorders>
          </w:tcPr>
          <w:p w14:paraId="06D7A9BA" w14:textId="14F7D017" w:rsidR="00CC2DE7" w:rsidRPr="00330234" w:rsidRDefault="00FA591D" w:rsidP="00A16C61">
            <w:pPr>
              <w:pStyle w:val="TableParagraph"/>
              <w:widowControl/>
              <w:jc w:val="center"/>
              <w:rPr>
                <w:b/>
                <w:sz w:val="20"/>
                <w:szCs w:val="20"/>
              </w:rPr>
            </w:pPr>
            <w:r w:rsidRPr="00330234">
              <w:rPr>
                <w:b/>
                <w:sz w:val="20"/>
                <w:szCs w:val="20"/>
              </w:rPr>
              <w:t>Tocilizumab</w:t>
            </w:r>
            <w:r w:rsidR="009B4B8E" w:rsidRPr="00330234">
              <w:rPr>
                <w:b/>
                <w:sz w:val="20"/>
                <w:szCs w:val="20"/>
              </w:rPr>
              <w:t xml:space="preserve"> wekelijks 162</w:t>
            </w:r>
            <w:r w:rsidR="00A16C61" w:rsidRPr="00330234">
              <w:rPr>
                <w:b/>
                <w:sz w:val="20"/>
                <w:szCs w:val="20"/>
              </w:rPr>
              <w:t> </w:t>
            </w:r>
            <w:r w:rsidR="009B4B8E" w:rsidRPr="00330234">
              <w:rPr>
                <w:b/>
                <w:sz w:val="20"/>
                <w:szCs w:val="20"/>
              </w:rPr>
              <w:t>mg s.c. + 26</w:t>
            </w:r>
            <w:r w:rsidR="00A16C61" w:rsidRPr="00330234">
              <w:rPr>
                <w:b/>
                <w:sz w:val="20"/>
                <w:szCs w:val="20"/>
              </w:rPr>
              <w:t> </w:t>
            </w:r>
            <w:r w:rsidR="009B4B8E" w:rsidRPr="00330234">
              <w:rPr>
                <w:b/>
                <w:sz w:val="20"/>
                <w:szCs w:val="20"/>
              </w:rPr>
              <w:t>weken afbouwend prednison</w:t>
            </w:r>
          </w:p>
          <w:p w14:paraId="58A0C106" w14:textId="01F749D2" w:rsidR="00436DAA" w:rsidRPr="00330234" w:rsidRDefault="009B4B8E" w:rsidP="00A16C61">
            <w:pPr>
              <w:pStyle w:val="TableParagraph"/>
              <w:widowControl/>
              <w:jc w:val="center"/>
              <w:rPr>
                <w:b/>
                <w:sz w:val="20"/>
                <w:szCs w:val="20"/>
              </w:rPr>
            </w:pPr>
            <w:r w:rsidRPr="00330234">
              <w:rPr>
                <w:b/>
                <w:sz w:val="20"/>
                <w:szCs w:val="20"/>
              </w:rPr>
              <w:t>N = 100</w:t>
            </w:r>
          </w:p>
        </w:tc>
        <w:tc>
          <w:tcPr>
            <w:tcW w:w="1599" w:type="dxa"/>
            <w:tcBorders>
              <w:top w:val="single" w:sz="4" w:space="0" w:color="000000"/>
              <w:bottom w:val="single" w:sz="4" w:space="0" w:color="000000"/>
              <w:right w:val="single" w:sz="4" w:space="0" w:color="000000"/>
            </w:tcBorders>
          </w:tcPr>
          <w:p w14:paraId="2A19EEDA" w14:textId="01F6CF9C" w:rsidR="00436DAA" w:rsidRPr="00330234" w:rsidRDefault="00FA591D" w:rsidP="00A16C61">
            <w:pPr>
              <w:pStyle w:val="TableParagraph"/>
              <w:widowControl/>
              <w:jc w:val="center"/>
              <w:rPr>
                <w:b/>
                <w:sz w:val="20"/>
                <w:szCs w:val="20"/>
              </w:rPr>
            </w:pPr>
            <w:r w:rsidRPr="00330234">
              <w:rPr>
                <w:b/>
                <w:sz w:val="20"/>
                <w:szCs w:val="20"/>
              </w:rPr>
              <w:t>Tocilizumab</w:t>
            </w:r>
            <w:r w:rsidR="009B4B8E" w:rsidRPr="00330234">
              <w:rPr>
                <w:b/>
                <w:sz w:val="20"/>
                <w:szCs w:val="20"/>
              </w:rPr>
              <w:t xml:space="preserve"> om de week 162</w:t>
            </w:r>
            <w:r w:rsidR="00A16C61" w:rsidRPr="00330234">
              <w:rPr>
                <w:b/>
                <w:sz w:val="20"/>
                <w:szCs w:val="20"/>
              </w:rPr>
              <w:t> </w:t>
            </w:r>
            <w:r w:rsidR="009B4B8E" w:rsidRPr="00330234">
              <w:rPr>
                <w:b/>
                <w:sz w:val="20"/>
                <w:szCs w:val="20"/>
              </w:rPr>
              <w:t>mg s.c. + 26</w:t>
            </w:r>
            <w:r w:rsidR="00A16C61" w:rsidRPr="00330234">
              <w:rPr>
                <w:b/>
                <w:sz w:val="20"/>
                <w:szCs w:val="20"/>
              </w:rPr>
              <w:t> </w:t>
            </w:r>
            <w:r w:rsidR="009B4B8E" w:rsidRPr="00330234">
              <w:rPr>
                <w:b/>
                <w:sz w:val="20"/>
                <w:szCs w:val="20"/>
              </w:rPr>
              <w:t>weken afbouwend prednison</w:t>
            </w:r>
          </w:p>
          <w:p w14:paraId="3FECFBB6" w14:textId="77777777" w:rsidR="00436DAA" w:rsidRPr="00330234" w:rsidRDefault="009B4B8E" w:rsidP="00A16C61">
            <w:pPr>
              <w:pStyle w:val="TableParagraph"/>
              <w:widowControl/>
              <w:jc w:val="center"/>
              <w:rPr>
                <w:b/>
                <w:sz w:val="20"/>
                <w:szCs w:val="20"/>
              </w:rPr>
            </w:pPr>
            <w:r w:rsidRPr="00330234">
              <w:rPr>
                <w:b/>
                <w:sz w:val="20"/>
                <w:szCs w:val="20"/>
              </w:rPr>
              <w:t>N = 49</w:t>
            </w:r>
          </w:p>
        </w:tc>
      </w:tr>
      <w:tr w:rsidR="00436DAA" w:rsidRPr="00330234" w14:paraId="2C06FC9B" w14:textId="77777777" w:rsidTr="006E5B37">
        <w:trPr>
          <w:trHeight w:val="20"/>
        </w:trPr>
        <w:tc>
          <w:tcPr>
            <w:tcW w:w="9066" w:type="dxa"/>
            <w:gridSpan w:val="5"/>
            <w:tcBorders>
              <w:top w:val="single" w:sz="4" w:space="0" w:color="000000"/>
              <w:left w:val="single" w:sz="4" w:space="0" w:color="000000"/>
              <w:bottom w:val="single" w:sz="4" w:space="0" w:color="auto"/>
              <w:right w:val="single" w:sz="4" w:space="0" w:color="000000"/>
            </w:tcBorders>
          </w:tcPr>
          <w:p w14:paraId="556C04F5" w14:textId="77777777" w:rsidR="00436DAA" w:rsidRPr="00330234" w:rsidRDefault="009B4B8E" w:rsidP="00BD109B">
            <w:pPr>
              <w:pStyle w:val="TableParagraph"/>
              <w:widowControl/>
              <w:rPr>
                <w:b/>
                <w:sz w:val="20"/>
                <w:szCs w:val="20"/>
              </w:rPr>
            </w:pPr>
            <w:r w:rsidRPr="00330234">
              <w:rPr>
                <w:b/>
                <w:sz w:val="20"/>
                <w:szCs w:val="20"/>
              </w:rPr>
              <w:t>Primair eindpunt</w:t>
            </w:r>
          </w:p>
        </w:tc>
      </w:tr>
      <w:tr w:rsidR="006E5B37" w:rsidRPr="00330234" w14:paraId="73ACC536" w14:textId="77777777" w:rsidTr="006E5B37">
        <w:trPr>
          <w:trHeight w:val="20"/>
        </w:trPr>
        <w:tc>
          <w:tcPr>
            <w:tcW w:w="9066" w:type="dxa"/>
            <w:gridSpan w:val="5"/>
            <w:tcBorders>
              <w:top w:val="single" w:sz="4" w:space="0" w:color="auto"/>
              <w:left w:val="single" w:sz="4" w:space="0" w:color="auto"/>
              <w:bottom w:val="single" w:sz="4" w:space="0" w:color="auto"/>
              <w:right w:val="single" w:sz="4" w:space="0" w:color="auto"/>
            </w:tcBorders>
          </w:tcPr>
          <w:p w14:paraId="32DD6D09" w14:textId="18D9944F" w:rsidR="006E5B37" w:rsidRPr="00330234" w:rsidRDefault="006E5B37" w:rsidP="006E5B37">
            <w:pPr>
              <w:pStyle w:val="TableParagraph"/>
              <w:widowControl/>
              <w:rPr>
                <w:sz w:val="20"/>
                <w:szCs w:val="20"/>
              </w:rPr>
            </w:pPr>
            <w:r w:rsidRPr="00330234">
              <w:rPr>
                <w:sz w:val="20"/>
                <w:szCs w:val="20"/>
              </w:rPr>
              <w:t>****Blijvende remissie (tocilizumabgroepen versus placebo+26)</w:t>
            </w:r>
          </w:p>
        </w:tc>
      </w:tr>
      <w:tr w:rsidR="006E5B37" w:rsidRPr="00330234" w14:paraId="66720B28" w14:textId="77777777" w:rsidTr="001B3E1E">
        <w:trPr>
          <w:trHeight w:val="20"/>
        </w:trPr>
        <w:tc>
          <w:tcPr>
            <w:tcW w:w="3492" w:type="dxa"/>
            <w:tcBorders>
              <w:top w:val="single" w:sz="4" w:space="0" w:color="auto"/>
              <w:left w:val="single" w:sz="4" w:space="0" w:color="auto"/>
              <w:bottom w:val="single" w:sz="4" w:space="0" w:color="auto"/>
              <w:right w:val="single" w:sz="4" w:space="0" w:color="auto"/>
            </w:tcBorders>
          </w:tcPr>
          <w:p w14:paraId="4616ABBE" w14:textId="77777777" w:rsidR="00436DAA" w:rsidRPr="00330234" w:rsidRDefault="009B4B8E" w:rsidP="001B3E1E">
            <w:pPr>
              <w:pStyle w:val="TableParagraph"/>
              <w:widowControl/>
              <w:ind w:left="284"/>
              <w:rPr>
                <w:sz w:val="20"/>
                <w:szCs w:val="20"/>
              </w:rPr>
            </w:pPr>
            <w:r w:rsidRPr="00330234">
              <w:rPr>
                <w:sz w:val="20"/>
                <w:szCs w:val="20"/>
              </w:rPr>
              <w:t>Responders in week 52, n (%)</w:t>
            </w:r>
          </w:p>
        </w:tc>
        <w:tc>
          <w:tcPr>
            <w:tcW w:w="1188" w:type="dxa"/>
            <w:tcBorders>
              <w:top w:val="single" w:sz="4" w:space="0" w:color="auto"/>
              <w:left w:val="single" w:sz="4" w:space="0" w:color="auto"/>
              <w:bottom w:val="single" w:sz="4" w:space="0" w:color="auto"/>
              <w:right w:val="single" w:sz="4" w:space="0" w:color="auto"/>
            </w:tcBorders>
          </w:tcPr>
          <w:p w14:paraId="6EC76D11" w14:textId="77777777" w:rsidR="00436DAA" w:rsidRPr="00330234" w:rsidRDefault="009B4B8E" w:rsidP="00A16C61">
            <w:pPr>
              <w:pStyle w:val="TableParagraph"/>
              <w:widowControl/>
              <w:jc w:val="center"/>
              <w:rPr>
                <w:sz w:val="20"/>
                <w:szCs w:val="20"/>
              </w:rPr>
            </w:pPr>
            <w:r w:rsidRPr="00330234">
              <w:rPr>
                <w:sz w:val="20"/>
                <w:szCs w:val="20"/>
              </w:rPr>
              <w:t>7 (14%)</w:t>
            </w:r>
          </w:p>
        </w:tc>
        <w:tc>
          <w:tcPr>
            <w:tcW w:w="1188" w:type="dxa"/>
            <w:tcBorders>
              <w:top w:val="single" w:sz="4" w:space="0" w:color="auto"/>
              <w:left w:val="single" w:sz="4" w:space="0" w:color="auto"/>
              <w:bottom w:val="single" w:sz="4" w:space="0" w:color="auto"/>
              <w:right w:val="single" w:sz="4" w:space="0" w:color="auto"/>
            </w:tcBorders>
          </w:tcPr>
          <w:p w14:paraId="73B0053B" w14:textId="77777777" w:rsidR="00436DAA" w:rsidRPr="00330234" w:rsidRDefault="009B4B8E" w:rsidP="00A16C61">
            <w:pPr>
              <w:pStyle w:val="TableParagraph"/>
              <w:widowControl/>
              <w:jc w:val="center"/>
              <w:rPr>
                <w:sz w:val="20"/>
                <w:szCs w:val="20"/>
              </w:rPr>
            </w:pPr>
            <w:r w:rsidRPr="00330234">
              <w:rPr>
                <w:sz w:val="20"/>
                <w:szCs w:val="20"/>
              </w:rPr>
              <w:t>9 (17,6%)</w:t>
            </w:r>
          </w:p>
        </w:tc>
        <w:tc>
          <w:tcPr>
            <w:tcW w:w="1599" w:type="dxa"/>
            <w:tcBorders>
              <w:top w:val="single" w:sz="4" w:space="0" w:color="auto"/>
              <w:left w:val="single" w:sz="4" w:space="0" w:color="auto"/>
              <w:bottom w:val="single" w:sz="4" w:space="0" w:color="auto"/>
              <w:right w:val="single" w:sz="4" w:space="0" w:color="auto"/>
            </w:tcBorders>
          </w:tcPr>
          <w:p w14:paraId="42C5A38A" w14:textId="77777777" w:rsidR="00436DAA" w:rsidRPr="00330234" w:rsidRDefault="009B4B8E" w:rsidP="00A16C61">
            <w:pPr>
              <w:pStyle w:val="TableParagraph"/>
              <w:widowControl/>
              <w:jc w:val="center"/>
              <w:rPr>
                <w:sz w:val="20"/>
                <w:szCs w:val="20"/>
              </w:rPr>
            </w:pPr>
            <w:r w:rsidRPr="00330234">
              <w:rPr>
                <w:sz w:val="20"/>
                <w:szCs w:val="20"/>
              </w:rPr>
              <w:t>56 (56%)</w:t>
            </w:r>
          </w:p>
        </w:tc>
        <w:tc>
          <w:tcPr>
            <w:tcW w:w="1599" w:type="dxa"/>
            <w:tcBorders>
              <w:top w:val="single" w:sz="4" w:space="0" w:color="auto"/>
              <w:left w:val="single" w:sz="4" w:space="0" w:color="auto"/>
              <w:bottom w:val="single" w:sz="4" w:space="0" w:color="auto"/>
              <w:right w:val="single" w:sz="4" w:space="0" w:color="auto"/>
            </w:tcBorders>
          </w:tcPr>
          <w:p w14:paraId="331FCFC2" w14:textId="77777777" w:rsidR="00436DAA" w:rsidRPr="00330234" w:rsidRDefault="009B4B8E" w:rsidP="00A16C61">
            <w:pPr>
              <w:pStyle w:val="TableParagraph"/>
              <w:widowControl/>
              <w:jc w:val="center"/>
              <w:rPr>
                <w:sz w:val="20"/>
                <w:szCs w:val="20"/>
              </w:rPr>
            </w:pPr>
            <w:r w:rsidRPr="00330234">
              <w:rPr>
                <w:sz w:val="20"/>
                <w:szCs w:val="20"/>
              </w:rPr>
              <w:t>26 (53,1%)</w:t>
            </w:r>
          </w:p>
        </w:tc>
      </w:tr>
      <w:tr w:rsidR="006E5B37" w:rsidRPr="00330234" w14:paraId="62B0FD9B" w14:textId="77777777" w:rsidTr="001B3E1E">
        <w:trPr>
          <w:trHeight w:val="20"/>
        </w:trPr>
        <w:tc>
          <w:tcPr>
            <w:tcW w:w="3492" w:type="dxa"/>
            <w:tcBorders>
              <w:top w:val="single" w:sz="4" w:space="0" w:color="auto"/>
              <w:left w:val="single" w:sz="4" w:space="0" w:color="auto"/>
              <w:bottom w:val="single" w:sz="4" w:space="0" w:color="auto"/>
              <w:right w:val="single" w:sz="4" w:space="0" w:color="auto"/>
            </w:tcBorders>
          </w:tcPr>
          <w:p w14:paraId="4022FAE3" w14:textId="77777777" w:rsidR="00436DAA" w:rsidRPr="00330234" w:rsidRDefault="009B4B8E" w:rsidP="001B3E1E">
            <w:pPr>
              <w:pStyle w:val="TableParagraph"/>
              <w:widowControl/>
              <w:ind w:left="284"/>
              <w:rPr>
                <w:sz w:val="20"/>
                <w:szCs w:val="20"/>
              </w:rPr>
            </w:pPr>
            <w:r w:rsidRPr="00330234">
              <w:rPr>
                <w:sz w:val="20"/>
                <w:szCs w:val="20"/>
              </w:rPr>
              <w:t>Ongecorrigeerd verschil in proporties (99,5%-BI)</w:t>
            </w:r>
          </w:p>
        </w:tc>
        <w:tc>
          <w:tcPr>
            <w:tcW w:w="1188" w:type="dxa"/>
            <w:tcBorders>
              <w:top w:val="single" w:sz="4" w:space="0" w:color="auto"/>
              <w:left w:val="single" w:sz="4" w:space="0" w:color="auto"/>
              <w:bottom w:val="single" w:sz="4" w:space="0" w:color="auto"/>
              <w:right w:val="single" w:sz="4" w:space="0" w:color="auto"/>
            </w:tcBorders>
          </w:tcPr>
          <w:p w14:paraId="18FFABE3" w14:textId="77777777" w:rsidR="00436DAA" w:rsidRPr="00330234" w:rsidRDefault="009B4B8E" w:rsidP="00A16C61">
            <w:pPr>
              <w:pStyle w:val="TableParagraph"/>
              <w:widowControl/>
              <w:jc w:val="center"/>
              <w:rPr>
                <w:sz w:val="20"/>
                <w:szCs w:val="20"/>
              </w:rPr>
            </w:pPr>
            <w:r w:rsidRPr="00330234">
              <w:rPr>
                <w:sz w:val="20"/>
                <w:szCs w:val="20"/>
              </w:rPr>
              <w:t>N/A</w:t>
            </w:r>
          </w:p>
        </w:tc>
        <w:tc>
          <w:tcPr>
            <w:tcW w:w="1188" w:type="dxa"/>
            <w:tcBorders>
              <w:top w:val="single" w:sz="4" w:space="0" w:color="auto"/>
              <w:left w:val="single" w:sz="4" w:space="0" w:color="auto"/>
              <w:bottom w:val="single" w:sz="4" w:space="0" w:color="auto"/>
              <w:right w:val="single" w:sz="4" w:space="0" w:color="auto"/>
            </w:tcBorders>
          </w:tcPr>
          <w:p w14:paraId="2371D9A4" w14:textId="77777777" w:rsidR="00436DAA" w:rsidRPr="00330234" w:rsidRDefault="009B4B8E" w:rsidP="00A16C61">
            <w:pPr>
              <w:pStyle w:val="TableParagraph"/>
              <w:widowControl/>
              <w:jc w:val="center"/>
              <w:rPr>
                <w:sz w:val="20"/>
                <w:szCs w:val="20"/>
              </w:rPr>
            </w:pPr>
            <w:r w:rsidRPr="00330234">
              <w:rPr>
                <w:sz w:val="20"/>
                <w:szCs w:val="20"/>
              </w:rPr>
              <w:t>N/A</w:t>
            </w:r>
          </w:p>
        </w:tc>
        <w:tc>
          <w:tcPr>
            <w:tcW w:w="1599" w:type="dxa"/>
            <w:tcBorders>
              <w:top w:val="single" w:sz="4" w:space="0" w:color="auto"/>
              <w:left w:val="single" w:sz="4" w:space="0" w:color="auto"/>
              <w:bottom w:val="single" w:sz="4" w:space="0" w:color="auto"/>
              <w:right w:val="single" w:sz="4" w:space="0" w:color="auto"/>
            </w:tcBorders>
          </w:tcPr>
          <w:p w14:paraId="61B72891" w14:textId="2CE3AA88" w:rsidR="00436DAA" w:rsidRPr="00330234" w:rsidRDefault="009B4B8E" w:rsidP="00A16C61">
            <w:pPr>
              <w:pStyle w:val="TableParagraph"/>
              <w:widowControl/>
              <w:jc w:val="center"/>
              <w:rPr>
                <w:sz w:val="20"/>
                <w:szCs w:val="20"/>
              </w:rPr>
            </w:pPr>
            <w:r w:rsidRPr="00330234">
              <w:rPr>
                <w:sz w:val="20"/>
                <w:szCs w:val="20"/>
              </w:rPr>
              <w:t>42%* (18,00</w:t>
            </w:r>
            <w:r w:rsidR="00A16C61" w:rsidRPr="00330234">
              <w:rPr>
                <w:sz w:val="20"/>
                <w:szCs w:val="20"/>
              </w:rPr>
              <w:t> </w:t>
            </w:r>
            <w:r w:rsidRPr="00330234">
              <w:rPr>
                <w:sz w:val="20"/>
                <w:szCs w:val="20"/>
              </w:rPr>
              <w:t>;</w:t>
            </w:r>
            <w:r w:rsidR="00A16C61" w:rsidRPr="00330234">
              <w:rPr>
                <w:sz w:val="20"/>
                <w:szCs w:val="20"/>
              </w:rPr>
              <w:t> </w:t>
            </w:r>
            <w:r w:rsidRPr="00330234">
              <w:rPr>
                <w:sz w:val="20"/>
                <w:szCs w:val="20"/>
              </w:rPr>
              <w:t>66,00)</w:t>
            </w:r>
          </w:p>
        </w:tc>
        <w:tc>
          <w:tcPr>
            <w:tcW w:w="1599" w:type="dxa"/>
            <w:tcBorders>
              <w:top w:val="single" w:sz="4" w:space="0" w:color="auto"/>
              <w:left w:val="single" w:sz="4" w:space="0" w:color="auto"/>
              <w:bottom w:val="single" w:sz="4" w:space="0" w:color="auto"/>
              <w:right w:val="single" w:sz="4" w:space="0" w:color="auto"/>
            </w:tcBorders>
          </w:tcPr>
          <w:p w14:paraId="4A9C2129" w14:textId="1D8BA58D" w:rsidR="00436DAA" w:rsidRPr="00330234" w:rsidRDefault="009B4B8E" w:rsidP="00A16C61">
            <w:pPr>
              <w:pStyle w:val="TableParagraph"/>
              <w:widowControl/>
              <w:jc w:val="center"/>
              <w:rPr>
                <w:sz w:val="20"/>
                <w:szCs w:val="20"/>
              </w:rPr>
            </w:pPr>
            <w:r w:rsidRPr="00330234">
              <w:rPr>
                <w:sz w:val="20"/>
                <w:szCs w:val="20"/>
              </w:rPr>
              <w:t>39,06%* (12,46</w:t>
            </w:r>
            <w:r w:rsidR="00A16C61" w:rsidRPr="00330234">
              <w:rPr>
                <w:sz w:val="20"/>
                <w:szCs w:val="20"/>
              </w:rPr>
              <w:t> </w:t>
            </w:r>
            <w:r w:rsidRPr="00330234">
              <w:rPr>
                <w:sz w:val="20"/>
                <w:szCs w:val="20"/>
              </w:rPr>
              <w:t>;</w:t>
            </w:r>
            <w:r w:rsidR="00A16C61" w:rsidRPr="00330234">
              <w:rPr>
                <w:sz w:val="20"/>
                <w:szCs w:val="20"/>
              </w:rPr>
              <w:t> </w:t>
            </w:r>
            <w:r w:rsidRPr="00330234">
              <w:rPr>
                <w:sz w:val="20"/>
                <w:szCs w:val="20"/>
              </w:rPr>
              <w:t>65,66)</w:t>
            </w:r>
          </w:p>
        </w:tc>
      </w:tr>
      <w:tr w:rsidR="00436DAA" w:rsidRPr="00330234" w14:paraId="3EC856C0" w14:textId="77777777" w:rsidTr="006E5B37">
        <w:trPr>
          <w:trHeight w:val="20"/>
        </w:trPr>
        <w:tc>
          <w:tcPr>
            <w:tcW w:w="9066" w:type="dxa"/>
            <w:gridSpan w:val="5"/>
            <w:tcBorders>
              <w:top w:val="single" w:sz="4" w:space="0" w:color="auto"/>
              <w:left w:val="single" w:sz="4" w:space="0" w:color="000000"/>
              <w:bottom w:val="single" w:sz="4" w:space="0" w:color="auto"/>
              <w:right w:val="single" w:sz="4" w:space="0" w:color="000000"/>
            </w:tcBorders>
          </w:tcPr>
          <w:p w14:paraId="3AFE09BC" w14:textId="77777777" w:rsidR="00436DAA" w:rsidRPr="00330234" w:rsidRDefault="009B4B8E" w:rsidP="00BD109B">
            <w:pPr>
              <w:pStyle w:val="TableParagraph"/>
              <w:widowControl/>
              <w:rPr>
                <w:b/>
                <w:sz w:val="20"/>
                <w:szCs w:val="20"/>
              </w:rPr>
            </w:pPr>
            <w:r w:rsidRPr="00330234">
              <w:rPr>
                <w:b/>
                <w:sz w:val="20"/>
                <w:szCs w:val="20"/>
              </w:rPr>
              <w:t>Belangrijk secundair eindpunt</w:t>
            </w:r>
          </w:p>
        </w:tc>
      </w:tr>
      <w:tr w:rsidR="006E5B37" w:rsidRPr="00330234" w14:paraId="2CFCD3CB" w14:textId="77777777" w:rsidTr="006E5B37">
        <w:trPr>
          <w:trHeight w:val="20"/>
        </w:trPr>
        <w:tc>
          <w:tcPr>
            <w:tcW w:w="9066" w:type="dxa"/>
            <w:gridSpan w:val="5"/>
            <w:tcBorders>
              <w:top w:val="single" w:sz="4" w:space="0" w:color="auto"/>
              <w:left w:val="single" w:sz="4" w:space="0" w:color="auto"/>
              <w:bottom w:val="single" w:sz="4" w:space="0" w:color="auto"/>
              <w:right w:val="single" w:sz="4" w:space="0" w:color="auto"/>
            </w:tcBorders>
          </w:tcPr>
          <w:p w14:paraId="00A09EE8" w14:textId="61588777" w:rsidR="006E5B37" w:rsidRPr="00330234" w:rsidRDefault="006E5B37" w:rsidP="006E5B37">
            <w:pPr>
              <w:pStyle w:val="TableParagraph"/>
              <w:widowControl/>
              <w:rPr>
                <w:sz w:val="20"/>
                <w:szCs w:val="20"/>
              </w:rPr>
            </w:pPr>
            <w:r w:rsidRPr="00330234">
              <w:rPr>
                <w:sz w:val="20"/>
                <w:szCs w:val="20"/>
              </w:rPr>
              <w:t>Blijvende remissie (tocilizumabgroepen versus placebo+52)</w:t>
            </w:r>
          </w:p>
        </w:tc>
      </w:tr>
      <w:tr w:rsidR="006E5B37" w:rsidRPr="00330234" w14:paraId="1BD186A2" w14:textId="77777777" w:rsidTr="001B3E1E">
        <w:trPr>
          <w:trHeight w:val="20"/>
        </w:trPr>
        <w:tc>
          <w:tcPr>
            <w:tcW w:w="3492" w:type="dxa"/>
            <w:tcBorders>
              <w:top w:val="single" w:sz="4" w:space="0" w:color="auto"/>
              <w:left w:val="single" w:sz="4" w:space="0" w:color="auto"/>
              <w:bottom w:val="single" w:sz="4" w:space="0" w:color="auto"/>
              <w:right w:val="single" w:sz="4" w:space="0" w:color="auto"/>
            </w:tcBorders>
          </w:tcPr>
          <w:p w14:paraId="7A55DE59" w14:textId="77777777" w:rsidR="00436DAA" w:rsidRPr="00330234" w:rsidRDefault="009B4B8E" w:rsidP="001B3E1E">
            <w:pPr>
              <w:pStyle w:val="TableParagraph"/>
              <w:widowControl/>
              <w:ind w:left="284"/>
              <w:rPr>
                <w:sz w:val="20"/>
                <w:szCs w:val="20"/>
              </w:rPr>
            </w:pPr>
            <w:r w:rsidRPr="00330234">
              <w:rPr>
                <w:sz w:val="20"/>
                <w:szCs w:val="20"/>
              </w:rPr>
              <w:t>Responders in week 52, n (%)</w:t>
            </w:r>
          </w:p>
        </w:tc>
        <w:tc>
          <w:tcPr>
            <w:tcW w:w="1188" w:type="dxa"/>
            <w:tcBorders>
              <w:top w:val="single" w:sz="4" w:space="0" w:color="auto"/>
              <w:left w:val="single" w:sz="4" w:space="0" w:color="auto"/>
              <w:bottom w:val="single" w:sz="4" w:space="0" w:color="auto"/>
              <w:right w:val="single" w:sz="4" w:space="0" w:color="auto"/>
            </w:tcBorders>
          </w:tcPr>
          <w:p w14:paraId="4B3FEC3D" w14:textId="77777777" w:rsidR="00436DAA" w:rsidRPr="00330234" w:rsidRDefault="009B4B8E" w:rsidP="00A16C61">
            <w:pPr>
              <w:pStyle w:val="TableParagraph"/>
              <w:widowControl/>
              <w:jc w:val="center"/>
              <w:rPr>
                <w:sz w:val="20"/>
                <w:szCs w:val="20"/>
              </w:rPr>
            </w:pPr>
            <w:r w:rsidRPr="00330234">
              <w:rPr>
                <w:sz w:val="20"/>
                <w:szCs w:val="20"/>
              </w:rPr>
              <w:t>7 (14%)</w:t>
            </w:r>
          </w:p>
        </w:tc>
        <w:tc>
          <w:tcPr>
            <w:tcW w:w="1188" w:type="dxa"/>
            <w:tcBorders>
              <w:top w:val="single" w:sz="4" w:space="0" w:color="auto"/>
              <w:left w:val="single" w:sz="4" w:space="0" w:color="auto"/>
              <w:bottom w:val="single" w:sz="4" w:space="0" w:color="auto"/>
              <w:right w:val="single" w:sz="4" w:space="0" w:color="auto"/>
            </w:tcBorders>
          </w:tcPr>
          <w:p w14:paraId="6E56B19B" w14:textId="77777777" w:rsidR="00436DAA" w:rsidRPr="00330234" w:rsidRDefault="009B4B8E" w:rsidP="00A16C61">
            <w:pPr>
              <w:pStyle w:val="TableParagraph"/>
              <w:widowControl/>
              <w:jc w:val="center"/>
              <w:rPr>
                <w:sz w:val="20"/>
                <w:szCs w:val="20"/>
              </w:rPr>
            </w:pPr>
            <w:r w:rsidRPr="00330234">
              <w:rPr>
                <w:sz w:val="20"/>
                <w:szCs w:val="20"/>
              </w:rPr>
              <w:t>9 (17,6%)</w:t>
            </w:r>
          </w:p>
        </w:tc>
        <w:tc>
          <w:tcPr>
            <w:tcW w:w="1599" w:type="dxa"/>
            <w:tcBorders>
              <w:top w:val="single" w:sz="4" w:space="0" w:color="auto"/>
              <w:left w:val="single" w:sz="4" w:space="0" w:color="auto"/>
              <w:bottom w:val="single" w:sz="4" w:space="0" w:color="auto"/>
              <w:right w:val="single" w:sz="4" w:space="0" w:color="auto"/>
            </w:tcBorders>
          </w:tcPr>
          <w:p w14:paraId="0EE87229" w14:textId="77777777" w:rsidR="00436DAA" w:rsidRPr="00330234" w:rsidRDefault="009B4B8E" w:rsidP="00A16C61">
            <w:pPr>
              <w:pStyle w:val="TableParagraph"/>
              <w:widowControl/>
              <w:jc w:val="center"/>
              <w:rPr>
                <w:sz w:val="20"/>
                <w:szCs w:val="20"/>
              </w:rPr>
            </w:pPr>
            <w:r w:rsidRPr="00330234">
              <w:rPr>
                <w:sz w:val="20"/>
                <w:szCs w:val="20"/>
              </w:rPr>
              <w:t>56 (56%)</w:t>
            </w:r>
          </w:p>
        </w:tc>
        <w:tc>
          <w:tcPr>
            <w:tcW w:w="1599" w:type="dxa"/>
            <w:tcBorders>
              <w:top w:val="single" w:sz="4" w:space="0" w:color="auto"/>
              <w:left w:val="single" w:sz="4" w:space="0" w:color="auto"/>
              <w:bottom w:val="single" w:sz="4" w:space="0" w:color="auto"/>
              <w:right w:val="single" w:sz="4" w:space="0" w:color="auto"/>
            </w:tcBorders>
          </w:tcPr>
          <w:p w14:paraId="06704346" w14:textId="77777777" w:rsidR="00436DAA" w:rsidRPr="00330234" w:rsidRDefault="009B4B8E" w:rsidP="00A16C61">
            <w:pPr>
              <w:pStyle w:val="TableParagraph"/>
              <w:widowControl/>
              <w:jc w:val="center"/>
              <w:rPr>
                <w:sz w:val="20"/>
                <w:szCs w:val="20"/>
              </w:rPr>
            </w:pPr>
            <w:r w:rsidRPr="00330234">
              <w:rPr>
                <w:sz w:val="20"/>
                <w:szCs w:val="20"/>
              </w:rPr>
              <w:t>26 (53,1%)</w:t>
            </w:r>
          </w:p>
        </w:tc>
      </w:tr>
      <w:tr w:rsidR="006E5B37" w:rsidRPr="00330234" w14:paraId="5F23752A" w14:textId="77777777" w:rsidTr="001B3E1E">
        <w:trPr>
          <w:trHeight w:val="20"/>
        </w:trPr>
        <w:tc>
          <w:tcPr>
            <w:tcW w:w="3492" w:type="dxa"/>
            <w:tcBorders>
              <w:top w:val="single" w:sz="4" w:space="0" w:color="auto"/>
              <w:left w:val="single" w:sz="4" w:space="0" w:color="auto"/>
              <w:bottom w:val="single" w:sz="4" w:space="0" w:color="auto"/>
              <w:right w:val="single" w:sz="4" w:space="0" w:color="auto"/>
            </w:tcBorders>
          </w:tcPr>
          <w:p w14:paraId="5026C327" w14:textId="77777777" w:rsidR="00436DAA" w:rsidRPr="00330234" w:rsidRDefault="009B4B8E" w:rsidP="001B3E1E">
            <w:pPr>
              <w:pStyle w:val="TableParagraph"/>
              <w:widowControl/>
              <w:ind w:left="284"/>
              <w:rPr>
                <w:sz w:val="20"/>
                <w:szCs w:val="20"/>
              </w:rPr>
            </w:pPr>
            <w:r w:rsidRPr="00330234">
              <w:rPr>
                <w:sz w:val="20"/>
                <w:szCs w:val="20"/>
              </w:rPr>
              <w:t>Ongecorrigeerd verschil in proporties (99,5%-BI)</w:t>
            </w:r>
          </w:p>
        </w:tc>
        <w:tc>
          <w:tcPr>
            <w:tcW w:w="1188" w:type="dxa"/>
            <w:tcBorders>
              <w:top w:val="single" w:sz="4" w:space="0" w:color="auto"/>
              <w:left w:val="single" w:sz="4" w:space="0" w:color="auto"/>
              <w:bottom w:val="single" w:sz="4" w:space="0" w:color="auto"/>
              <w:right w:val="single" w:sz="4" w:space="0" w:color="auto"/>
            </w:tcBorders>
          </w:tcPr>
          <w:p w14:paraId="7A1981E3" w14:textId="77777777" w:rsidR="00436DAA" w:rsidRPr="00330234" w:rsidRDefault="009B4B8E" w:rsidP="00A16C61">
            <w:pPr>
              <w:pStyle w:val="TableParagraph"/>
              <w:widowControl/>
              <w:jc w:val="center"/>
              <w:rPr>
                <w:sz w:val="20"/>
                <w:szCs w:val="20"/>
              </w:rPr>
            </w:pPr>
            <w:r w:rsidRPr="00330234">
              <w:rPr>
                <w:sz w:val="20"/>
                <w:szCs w:val="20"/>
              </w:rPr>
              <w:t>N/A</w:t>
            </w:r>
          </w:p>
        </w:tc>
        <w:tc>
          <w:tcPr>
            <w:tcW w:w="1188" w:type="dxa"/>
            <w:tcBorders>
              <w:top w:val="single" w:sz="4" w:space="0" w:color="auto"/>
              <w:left w:val="single" w:sz="4" w:space="0" w:color="auto"/>
              <w:bottom w:val="single" w:sz="4" w:space="0" w:color="auto"/>
              <w:right w:val="single" w:sz="4" w:space="0" w:color="auto"/>
            </w:tcBorders>
          </w:tcPr>
          <w:p w14:paraId="3F98CFAF" w14:textId="77777777" w:rsidR="00436DAA" w:rsidRPr="00330234" w:rsidRDefault="009B4B8E" w:rsidP="00A16C61">
            <w:pPr>
              <w:pStyle w:val="TableParagraph"/>
              <w:widowControl/>
              <w:jc w:val="center"/>
              <w:rPr>
                <w:sz w:val="20"/>
                <w:szCs w:val="20"/>
              </w:rPr>
            </w:pPr>
            <w:r w:rsidRPr="00330234">
              <w:rPr>
                <w:sz w:val="20"/>
                <w:szCs w:val="20"/>
              </w:rPr>
              <w:t>N/A</w:t>
            </w:r>
          </w:p>
        </w:tc>
        <w:tc>
          <w:tcPr>
            <w:tcW w:w="1599" w:type="dxa"/>
            <w:tcBorders>
              <w:top w:val="single" w:sz="4" w:space="0" w:color="auto"/>
              <w:left w:val="single" w:sz="4" w:space="0" w:color="auto"/>
              <w:bottom w:val="single" w:sz="4" w:space="0" w:color="auto"/>
              <w:right w:val="single" w:sz="4" w:space="0" w:color="auto"/>
            </w:tcBorders>
          </w:tcPr>
          <w:p w14:paraId="64644DE7" w14:textId="6E031660" w:rsidR="00436DAA" w:rsidRPr="00330234" w:rsidRDefault="009B4B8E" w:rsidP="00A16C61">
            <w:pPr>
              <w:pStyle w:val="TableParagraph"/>
              <w:widowControl/>
              <w:jc w:val="center"/>
              <w:rPr>
                <w:sz w:val="20"/>
                <w:szCs w:val="20"/>
              </w:rPr>
            </w:pPr>
            <w:r w:rsidRPr="00330234">
              <w:rPr>
                <w:sz w:val="20"/>
                <w:szCs w:val="20"/>
              </w:rPr>
              <w:t>38,35%* (17,89</w:t>
            </w:r>
            <w:r w:rsidR="00A16C61" w:rsidRPr="00330234">
              <w:rPr>
                <w:sz w:val="20"/>
                <w:szCs w:val="20"/>
              </w:rPr>
              <w:t> </w:t>
            </w:r>
            <w:r w:rsidRPr="00330234">
              <w:rPr>
                <w:sz w:val="20"/>
                <w:szCs w:val="20"/>
              </w:rPr>
              <w:t>;</w:t>
            </w:r>
            <w:r w:rsidR="00A16C61" w:rsidRPr="00330234">
              <w:rPr>
                <w:sz w:val="20"/>
                <w:szCs w:val="20"/>
              </w:rPr>
              <w:t> </w:t>
            </w:r>
            <w:r w:rsidRPr="00330234">
              <w:rPr>
                <w:sz w:val="20"/>
                <w:szCs w:val="20"/>
              </w:rPr>
              <w:t>58,81)</w:t>
            </w:r>
          </w:p>
        </w:tc>
        <w:tc>
          <w:tcPr>
            <w:tcW w:w="1599" w:type="dxa"/>
            <w:tcBorders>
              <w:top w:val="single" w:sz="4" w:space="0" w:color="auto"/>
              <w:left w:val="single" w:sz="4" w:space="0" w:color="auto"/>
              <w:bottom w:val="single" w:sz="4" w:space="0" w:color="auto"/>
              <w:right w:val="single" w:sz="4" w:space="0" w:color="auto"/>
            </w:tcBorders>
          </w:tcPr>
          <w:p w14:paraId="770D953E" w14:textId="485CDF19" w:rsidR="00436DAA" w:rsidRPr="00330234" w:rsidRDefault="009B4B8E" w:rsidP="00A16C61">
            <w:pPr>
              <w:pStyle w:val="TableParagraph"/>
              <w:widowControl/>
              <w:jc w:val="center"/>
              <w:rPr>
                <w:sz w:val="20"/>
                <w:szCs w:val="20"/>
              </w:rPr>
            </w:pPr>
            <w:r w:rsidRPr="00330234">
              <w:rPr>
                <w:sz w:val="20"/>
                <w:szCs w:val="20"/>
              </w:rPr>
              <w:t>35,41%** (10,41</w:t>
            </w:r>
            <w:r w:rsidR="00A16C61" w:rsidRPr="00330234">
              <w:rPr>
                <w:sz w:val="20"/>
                <w:szCs w:val="20"/>
              </w:rPr>
              <w:t> </w:t>
            </w:r>
            <w:r w:rsidRPr="00330234">
              <w:rPr>
                <w:sz w:val="20"/>
                <w:szCs w:val="20"/>
              </w:rPr>
              <w:t>;</w:t>
            </w:r>
            <w:r w:rsidR="00A16C61" w:rsidRPr="00330234">
              <w:rPr>
                <w:sz w:val="20"/>
                <w:szCs w:val="20"/>
              </w:rPr>
              <w:t> </w:t>
            </w:r>
            <w:r w:rsidRPr="00330234">
              <w:rPr>
                <w:sz w:val="20"/>
                <w:szCs w:val="20"/>
              </w:rPr>
              <w:t>60,41)</w:t>
            </w:r>
          </w:p>
        </w:tc>
      </w:tr>
      <w:tr w:rsidR="00436DAA" w:rsidRPr="00330234" w14:paraId="779D7201" w14:textId="77777777" w:rsidTr="006E5B37">
        <w:trPr>
          <w:trHeight w:val="20"/>
        </w:trPr>
        <w:tc>
          <w:tcPr>
            <w:tcW w:w="9066" w:type="dxa"/>
            <w:gridSpan w:val="5"/>
            <w:tcBorders>
              <w:top w:val="single" w:sz="4" w:space="0" w:color="auto"/>
              <w:left w:val="single" w:sz="4" w:space="0" w:color="000000"/>
              <w:bottom w:val="single" w:sz="4" w:space="0" w:color="000000"/>
              <w:right w:val="single" w:sz="4" w:space="0" w:color="000000"/>
            </w:tcBorders>
          </w:tcPr>
          <w:p w14:paraId="6E52C005" w14:textId="77777777" w:rsidR="00436DAA" w:rsidRPr="00330234" w:rsidRDefault="009B4B8E" w:rsidP="006E5B37">
            <w:pPr>
              <w:pStyle w:val="TableParagraph"/>
              <w:keepNext/>
              <w:keepLines/>
              <w:widowControl/>
              <w:rPr>
                <w:b/>
                <w:sz w:val="20"/>
                <w:szCs w:val="20"/>
              </w:rPr>
            </w:pPr>
            <w:r w:rsidRPr="00330234">
              <w:rPr>
                <w:b/>
                <w:sz w:val="20"/>
                <w:szCs w:val="20"/>
              </w:rPr>
              <w:t>Overige secundaire eindpunten</w:t>
            </w:r>
          </w:p>
        </w:tc>
      </w:tr>
      <w:tr w:rsidR="006E5B37" w:rsidRPr="00330234" w14:paraId="7296636B" w14:textId="77777777" w:rsidTr="001B3E1E">
        <w:trPr>
          <w:trHeight w:val="20"/>
        </w:trPr>
        <w:tc>
          <w:tcPr>
            <w:tcW w:w="3492" w:type="dxa"/>
            <w:tcBorders>
              <w:top w:val="single" w:sz="4" w:space="0" w:color="000000"/>
              <w:left w:val="single" w:sz="4" w:space="0" w:color="000000"/>
              <w:right w:val="single" w:sz="4" w:space="0" w:color="auto"/>
            </w:tcBorders>
          </w:tcPr>
          <w:p w14:paraId="6E2B89AB" w14:textId="77777777" w:rsidR="00436DAA" w:rsidRPr="00330234" w:rsidRDefault="009B4B8E" w:rsidP="006E5B37">
            <w:pPr>
              <w:pStyle w:val="TableParagraph"/>
              <w:keepNext/>
              <w:keepLines/>
              <w:widowControl/>
              <w:rPr>
                <w:sz w:val="20"/>
                <w:szCs w:val="20"/>
              </w:rPr>
            </w:pPr>
            <w:r w:rsidRPr="00330234">
              <w:rPr>
                <w:sz w:val="20"/>
                <w:szCs w:val="20"/>
              </w:rPr>
              <w:t>Tijd tot eerste GCA ‘flare¹’ (tocilizumabgroepen versus placebo+26) HR (99%-BI)</w:t>
            </w:r>
          </w:p>
        </w:tc>
        <w:tc>
          <w:tcPr>
            <w:tcW w:w="1188" w:type="dxa"/>
            <w:tcBorders>
              <w:top w:val="single" w:sz="4" w:space="0" w:color="000000"/>
              <w:left w:val="single" w:sz="4" w:space="0" w:color="auto"/>
              <w:right w:val="single" w:sz="4" w:space="0" w:color="auto"/>
            </w:tcBorders>
          </w:tcPr>
          <w:p w14:paraId="174D6853" w14:textId="77777777" w:rsidR="00436DAA" w:rsidRPr="00330234" w:rsidRDefault="009B4B8E" w:rsidP="006E5B37">
            <w:pPr>
              <w:pStyle w:val="TableParagraph"/>
              <w:keepNext/>
              <w:keepLines/>
              <w:widowControl/>
              <w:jc w:val="center"/>
              <w:rPr>
                <w:sz w:val="20"/>
                <w:szCs w:val="20"/>
              </w:rPr>
            </w:pPr>
            <w:r w:rsidRPr="00330234">
              <w:rPr>
                <w:sz w:val="20"/>
                <w:szCs w:val="20"/>
              </w:rPr>
              <w:t>N/A</w:t>
            </w:r>
          </w:p>
        </w:tc>
        <w:tc>
          <w:tcPr>
            <w:tcW w:w="1188" w:type="dxa"/>
            <w:tcBorders>
              <w:top w:val="single" w:sz="4" w:space="0" w:color="000000"/>
              <w:left w:val="single" w:sz="4" w:space="0" w:color="auto"/>
              <w:right w:val="single" w:sz="4" w:space="0" w:color="auto"/>
            </w:tcBorders>
          </w:tcPr>
          <w:p w14:paraId="0FA7EDBB" w14:textId="77777777" w:rsidR="00436DAA" w:rsidRPr="00330234" w:rsidRDefault="009B4B8E" w:rsidP="006E5B37">
            <w:pPr>
              <w:pStyle w:val="TableParagraph"/>
              <w:keepNext/>
              <w:keepLines/>
              <w:widowControl/>
              <w:jc w:val="center"/>
              <w:rPr>
                <w:sz w:val="20"/>
                <w:szCs w:val="20"/>
              </w:rPr>
            </w:pPr>
            <w:r w:rsidRPr="00330234">
              <w:rPr>
                <w:sz w:val="20"/>
                <w:szCs w:val="20"/>
              </w:rPr>
              <w:t>N/A</w:t>
            </w:r>
          </w:p>
        </w:tc>
        <w:tc>
          <w:tcPr>
            <w:tcW w:w="1599" w:type="dxa"/>
            <w:tcBorders>
              <w:top w:val="single" w:sz="4" w:space="0" w:color="000000"/>
              <w:left w:val="single" w:sz="4" w:space="0" w:color="auto"/>
              <w:right w:val="single" w:sz="4" w:space="0" w:color="auto"/>
            </w:tcBorders>
          </w:tcPr>
          <w:p w14:paraId="3857CD8A" w14:textId="77777777" w:rsidR="00436DAA" w:rsidRPr="00330234" w:rsidRDefault="009B4B8E" w:rsidP="006E5B37">
            <w:pPr>
              <w:pStyle w:val="TableParagraph"/>
              <w:keepNext/>
              <w:keepLines/>
              <w:widowControl/>
              <w:jc w:val="center"/>
              <w:rPr>
                <w:sz w:val="20"/>
                <w:szCs w:val="20"/>
              </w:rPr>
            </w:pPr>
            <w:r w:rsidRPr="00330234">
              <w:rPr>
                <w:sz w:val="20"/>
                <w:szCs w:val="20"/>
              </w:rPr>
              <w:t>0.23* (0,11 ; 0,46)</w:t>
            </w:r>
          </w:p>
        </w:tc>
        <w:tc>
          <w:tcPr>
            <w:tcW w:w="1599" w:type="dxa"/>
            <w:tcBorders>
              <w:top w:val="single" w:sz="4" w:space="0" w:color="000000"/>
              <w:left w:val="single" w:sz="4" w:space="0" w:color="auto"/>
              <w:right w:val="single" w:sz="4" w:space="0" w:color="000000"/>
            </w:tcBorders>
          </w:tcPr>
          <w:p w14:paraId="1B75003A" w14:textId="77777777" w:rsidR="00436DAA" w:rsidRPr="00330234" w:rsidRDefault="009B4B8E" w:rsidP="006E5B37">
            <w:pPr>
              <w:pStyle w:val="TableParagraph"/>
              <w:keepNext/>
              <w:keepLines/>
              <w:widowControl/>
              <w:jc w:val="center"/>
              <w:rPr>
                <w:sz w:val="20"/>
                <w:szCs w:val="20"/>
              </w:rPr>
            </w:pPr>
            <w:r w:rsidRPr="00330234">
              <w:rPr>
                <w:sz w:val="20"/>
                <w:szCs w:val="20"/>
              </w:rPr>
              <w:t>0.28** (0.12,;0.66)</w:t>
            </w:r>
          </w:p>
        </w:tc>
      </w:tr>
      <w:tr w:rsidR="006E5B37" w:rsidRPr="00330234" w14:paraId="05733ED5" w14:textId="77777777" w:rsidTr="001B3E1E">
        <w:trPr>
          <w:trHeight w:val="20"/>
        </w:trPr>
        <w:tc>
          <w:tcPr>
            <w:tcW w:w="3492" w:type="dxa"/>
            <w:tcBorders>
              <w:left w:val="single" w:sz="4" w:space="0" w:color="000000"/>
              <w:right w:val="single" w:sz="4" w:space="0" w:color="auto"/>
            </w:tcBorders>
          </w:tcPr>
          <w:p w14:paraId="2078A683" w14:textId="01968767" w:rsidR="00436DAA" w:rsidRPr="00330234" w:rsidRDefault="009B4B8E" w:rsidP="006E5B37">
            <w:pPr>
              <w:pStyle w:val="TableParagraph"/>
              <w:keepNext/>
              <w:keepLines/>
              <w:widowControl/>
              <w:rPr>
                <w:sz w:val="20"/>
                <w:szCs w:val="20"/>
              </w:rPr>
            </w:pPr>
            <w:r w:rsidRPr="00330234">
              <w:rPr>
                <w:sz w:val="20"/>
                <w:szCs w:val="20"/>
              </w:rPr>
              <w:t>Tijd tot eerste GCA ‘flare¹’ (tocilizumabgroepen</w:t>
            </w:r>
            <w:r w:rsidR="00A16C61" w:rsidRPr="00330234">
              <w:rPr>
                <w:sz w:val="20"/>
                <w:szCs w:val="20"/>
              </w:rPr>
              <w:t xml:space="preserve"> </w:t>
            </w:r>
            <w:r w:rsidRPr="00330234">
              <w:rPr>
                <w:sz w:val="20"/>
                <w:szCs w:val="20"/>
              </w:rPr>
              <w:t>versus placebo +52) HR (99%-BI)</w:t>
            </w:r>
          </w:p>
        </w:tc>
        <w:tc>
          <w:tcPr>
            <w:tcW w:w="1188" w:type="dxa"/>
            <w:tcBorders>
              <w:left w:val="single" w:sz="4" w:space="0" w:color="auto"/>
              <w:right w:val="single" w:sz="4" w:space="0" w:color="auto"/>
            </w:tcBorders>
          </w:tcPr>
          <w:p w14:paraId="4F98BF2A" w14:textId="77777777" w:rsidR="00436DAA" w:rsidRPr="00330234" w:rsidRDefault="009B4B8E" w:rsidP="006E5B37">
            <w:pPr>
              <w:pStyle w:val="TableParagraph"/>
              <w:keepNext/>
              <w:keepLines/>
              <w:widowControl/>
              <w:jc w:val="center"/>
              <w:rPr>
                <w:sz w:val="20"/>
                <w:szCs w:val="20"/>
              </w:rPr>
            </w:pPr>
            <w:r w:rsidRPr="00330234">
              <w:rPr>
                <w:sz w:val="20"/>
                <w:szCs w:val="20"/>
              </w:rPr>
              <w:t>N/A</w:t>
            </w:r>
          </w:p>
        </w:tc>
        <w:tc>
          <w:tcPr>
            <w:tcW w:w="1188" w:type="dxa"/>
            <w:tcBorders>
              <w:left w:val="single" w:sz="4" w:space="0" w:color="auto"/>
              <w:right w:val="single" w:sz="4" w:space="0" w:color="auto"/>
            </w:tcBorders>
          </w:tcPr>
          <w:p w14:paraId="31EA845A" w14:textId="77777777" w:rsidR="00436DAA" w:rsidRPr="00330234" w:rsidRDefault="009B4B8E" w:rsidP="006E5B37">
            <w:pPr>
              <w:pStyle w:val="TableParagraph"/>
              <w:keepNext/>
              <w:keepLines/>
              <w:widowControl/>
              <w:jc w:val="center"/>
              <w:rPr>
                <w:sz w:val="20"/>
                <w:szCs w:val="20"/>
              </w:rPr>
            </w:pPr>
            <w:r w:rsidRPr="00330234">
              <w:rPr>
                <w:sz w:val="20"/>
                <w:szCs w:val="20"/>
              </w:rPr>
              <w:t>N/A</w:t>
            </w:r>
          </w:p>
        </w:tc>
        <w:tc>
          <w:tcPr>
            <w:tcW w:w="1599" w:type="dxa"/>
            <w:tcBorders>
              <w:left w:val="single" w:sz="4" w:space="0" w:color="auto"/>
              <w:right w:val="single" w:sz="4" w:space="0" w:color="auto"/>
            </w:tcBorders>
          </w:tcPr>
          <w:p w14:paraId="0CE43F39" w14:textId="77777777" w:rsidR="00436DAA" w:rsidRPr="00330234" w:rsidRDefault="009B4B8E" w:rsidP="006E5B37">
            <w:pPr>
              <w:pStyle w:val="TableParagraph"/>
              <w:keepNext/>
              <w:keepLines/>
              <w:widowControl/>
              <w:jc w:val="center"/>
              <w:rPr>
                <w:sz w:val="20"/>
                <w:szCs w:val="20"/>
              </w:rPr>
            </w:pPr>
            <w:r w:rsidRPr="00330234">
              <w:rPr>
                <w:sz w:val="20"/>
                <w:szCs w:val="20"/>
              </w:rPr>
              <w:t>0,39**</w:t>
            </w:r>
          </w:p>
          <w:p w14:paraId="2B5A2EF9" w14:textId="77777777" w:rsidR="00436DAA" w:rsidRPr="00330234" w:rsidRDefault="009B4B8E" w:rsidP="006E5B37">
            <w:pPr>
              <w:pStyle w:val="TableParagraph"/>
              <w:keepNext/>
              <w:keepLines/>
              <w:widowControl/>
              <w:jc w:val="center"/>
              <w:rPr>
                <w:sz w:val="20"/>
                <w:szCs w:val="20"/>
              </w:rPr>
            </w:pPr>
            <w:r w:rsidRPr="00330234">
              <w:rPr>
                <w:sz w:val="20"/>
                <w:szCs w:val="20"/>
              </w:rPr>
              <w:t>(0,18 ; 0,82)</w:t>
            </w:r>
          </w:p>
        </w:tc>
        <w:tc>
          <w:tcPr>
            <w:tcW w:w="1599" w:type="dxa"/>
            <w:tcBorders>
              <w:left w:val="single" w:sz="4" w:space="0" w:color="auto"/>
              <w:right w:val="single" w:sz="4" w:space="0" w:color="000000"/>
            </w:tcBorders>
          </w:tcPr>
          <w:p w14:paraId="3DC8C1F3" w14:textId="77777777" w:rsidR="00436DAA" w:rsidRPr="00330234" w:rsidRDefault="009B4B8E" w:rsidP="006E5B37">
            <w:pPr>
              <w:pStyle w:val="TableParagraph"/>
              <w:keepNext/>
              <w:keepLines/>
              <w:widowControl/>
              <w:jc w:val="center"/>
              <w:rPr>
                <w:sz w:val="20"/>
                <w:szCs w:val="20"/>
              </w:rPr>
            </w:pPr>
            <w:r w:rsidRPr="00330234">
              <w:rPr>
                <w:sz w:val="20"/>
                <w:szCs w:val="20"/>
              </w:rPr>
              <w:t>0,48</w:t>
            </w:r>
          </w:p>
          <w:p w14:paraId="59C569A8" w14:textId="77777777" w:rsidR="00436DAA" w:rsidRPr="00330234" w:rsidRDefault="009B4B8E" w:rsidP="006E5B37">
            <w:pPr>
              <w:pStyle w:val="TableParagraph"/>
              <w:keepNext/>
              <w:keepLines/>
              <w:widowControl/>
              <w:jc w:val="center"/>
              <w:rPr>
                <w:sz w:val="20"/>
                <w:szCs w:val="20"/>
              </w:rPr>
            </w:pPr>
            <w:r w:rsidRPr="00330234">
              <w:rPr>
                <w:sz w:val="20"/>
                <w:szCs w:val="20"/>
              </w:rPr>
              <w:t>(0,20 ; 1,16)</w:t>
            </w:r>
          </w:p>
        </w:tc>
      </w:tr>
      <w:tr w:rsidR="006E5B37" w:rsidRPr="00330234" w14:paraId="5DD95E43" w14:textId="77777777" w:rsidTr="001B3E1E">
        <w:trPr>
          <w:trHeight w:val="20"/>
        </w:trPr>
        <w:tc>
          <w:tcPr>
            <w:tcW w:w="3492" w:type="dxa"/>
            <w:tcBorders>
              <w:left w:val="single" w:sz="4" w:space="0" w:color="000000"/>
              <w:right w:val="single" w:sz="4" w:space="0" w:color="auto"/>
            </w:tcBorders>
          </w:tcPr>
          <w:p w14:paraId="369D484D" w14:textId="3CD28A68" w:rsidR="00436DAA" w:rsidRPr="00330234" w:rsidRDefault="009B4B8E" w:rsidP="006E5B37">
            <w:pPr>
              <w:pStyle w:val="TableParagraph"/>
              <w:keepNext/>
              <w:keepLines/>
              <w:widowControl/>
              <w:rPr>
                <w:sz w:val="20"/>
                <w:szCs w:val="20"/>
              </w:rPr>
            </w:pPr>
            <w:r w:rsidRPr="00330234">
              <w:rPr>
                <w:sz w:val="20"/>
                <w:szCs w:val="20"/>
              </w:rPr>
              <w:t>Tijd tot eerste GCA ‘flare¹’ (recidiverende patiënten; tocilizumabgroepen versus placebo</w:t>
            </w:r>
            <w:r w:rsidR="00A16C61" w:rsidRPr="00330234">
              <w:rPr>
                <w:sz w:val="20"/>
                <w:szCs w:val="20"/>
              </w:rPr>
              <w:t xml:space="preserve"> </w:t>
            </w:r>
            <w:r w:rsidRPr="00330234">
              <w:rPr>
                <w:sz w:val="20"/>
                <w:szCs w:val="20"/>
              </w:rPr>
              <w:t>+26) HR (99%-BI)</w:t>
            </w:r>
          </w:p>
        </w:tc>
        <w:tc>
          <w:tcPr>
            <w:tcW w:w="1188" w:type="dxa"/>
            <w:tcBorders>
              <w:left w:val="single" w:sz="4" w:space="0" w:color="auto"/>
              <w:right w:val="single" w:sz="4" w:space="0" w:color="auto"/>
            </w:tcBorders>
          </w:tcPr>
          <w:p w14:paraId="4AEB9241" w14:textId="77777777" w:rsidR="00436DAA" w:rsidRPr="00330234" w:rsidRDefault="009B4B8E" w:rsidP="006E5B37">
            <w:pPr>
              <w:pStyle w:val="TableParagraph"/>
              <w:keepNext/>
              <w:keepLines/>
              <w:widowControl/>
              <w:jc w:val="center"/>
              <w:rPr>
                <w:sz w:val="20"/>
                <w:szCs w:val="20"/>
              </w:rPr>
            </w:pPr>
            <w:r w:rsidRPr="00330234">
              <w:rPr>
                <w:sz w:val="20"/>
                <w:szCs w:val="20"/>
              </w:rPr>
              <w:t>N/A</w:t>
            </w:r>
          </w:p>
        </w:tc>
        <w:tc>
          <w:tcPr>
            <w:tcW w:w="1188" w:type="dxa"/>
            <w:tcBorders>
              <w:left w:val="single" w:sz="4" w:space="0" w:color="auto"/>
              <w:right w:val="single" w:sz="4" w:space="0" w:color="auto"/>
            </w:tcBorders>
          </w:tcPr>
          <w:p w14:paraId="4A56B11D" w14:textId="77777777" w:rsidR="00436DAA" w:rsidRPr="00330234" w:rsidRDefault="009B4B8E" w:rsidP="006E5B37">
            <w:pPr>
              <w:pStyle w:val="TableParagraph"/>
              <w:keepNext/>
              <w:keepLines/>
              <w:widowControl/>
              <w:jc w:val="center"/>
              <w:rPr>
                <w:sz w:val="20"/>
                <w:szCs w:val="20"/>
              </w:rPr>
            </w:pPr>
            <w:r w:rsidRPr="00330234">
              <w:rPr>
                <w:sz w:val="20"/>
                <w:szCs w:val="20"/>
              </w:rPr>
              <w:t>N/A</w:t>
            </w:r>
          </w:p>
        </w:tc>
        <w:tc>
          <w:tcPr>
            <w:tcW w:w="1599" w:type="dxa"/>
            <w:tcBorders>
              <w:left w:val="single" w:sz="4" w:space="0" w:color="auto"/>
              <w:right w:val="single" w:sz="4" w:space="0" w:color="auto"/>
            </w:tcBorders>
          </w:tcPr>
          <w:p w14:paraId="7AD575C8" w14:textId="1333E5CC" w:rsidR="00436DAA" w:rsidRPr="00330234" w:rsidRDefault="009B4B8E" w:rsidP="006E5B37">
            <w:pPr>
              <w:pStyle w:val="TableParagraph"/>
              <w:keepNext/>
              <w:keepLines/>
              <w:widowControl/>
              <w:jc w:val="center"/>
              <w:rPr>
                <w:sz w:val="20"/>
                <w:szCs w:val="20"/>
              </w:rPr>
            </w:pPr>
            <w:r w:rsidRPr="00330234">
              <w:rPr>
                <w:sz w:val="20"/>
                <w:szCs w:val="20"/>
              </w:rPr>
              <w:t>0.23*** (0,09</w:t>
            </w:r>
            <w:r w:rsidR="00A16C61" w:rsidRPr="00330234">
              <w:rPr>
                <w:sz w:val="20"/>
                <w:szCs w:val="20"/>
              </w:rPr>
              <w:t> </w:t>
            </w:r>
            <w:r w:rsidRPr="00330234">
              <w:rPr>
                <w:sz w:val="20"/>
                <w:szCs w:val="20"/>
              </w:rPr>
              <w:t>;</w:t>
            </w:r>
            <w:r w:rsidR="00A16C61" w:rsidRPr="00330234">
              <w:rPr>
                <w:sz w:val="20"/>
                <w:szCs w:val="20"/>
              </w:rPr>
              <w:t> </w:t>
            </w:r>
            <w:r w:rsidRPr="00330234">
              <w:rPr>
                <w:sz w:val="20"/>
                <w:szCs w:val="20"/>
              </w:rPr>
              <w:t>0,61)</w:t>
            </w:r>
          </w:p>
        </w:tc>
        <w:tc>
          <w:tcPr>
            <w:tcW w:w="1599" w:type="dxa"/>
            <w:tcBorders>
              <w:left w:val="single" w:sz="4" w:space="0" w:color="auto"/>
              <w:right w:val="single" w:sz="4" w:space="0" w:color="000000"/>
            </w:tcBorders>
          </w:tcPr>
          <w:p w14:paraId="6A146819" w14:textId="77777777" w:rsidR="00436DAA" w:rsidRPr="00330234" w:rsidRDefault="009B4B8E" w:rsidP="006E5B37">
            <w:pPr>
              <w:pStyle w:val="TableParagraph"/>
              <w:keepNext/>
              <w:keepLines/>
              <w:widowControl/>
              <w:jc w:val="center"/>
              <w:rPr>
                <w:sz w:val="20"/>
                <w:szCs w:val="20"/>
              </w:rPr>
            </w:pPr>
            <w:r w:rsidRPr="00330234">
              <w:rPr>
                <w:sz w:val="20"/>
                <w:szCs w:val="20"/>
              </w:rPr>
              <w:t>0,42</w:t>
            </w:r>
          </w:p>
          <w:p w14:paraId="2BEA7D65" w14:textId="77777777" w:rsidR="00436DAA" w:rsidRPr="00330234" w:rsidRDefault="009B4B8E" w:rsidP="006E5B37">
            <w:pPr>
              <w:pStyle w:val="TableParagraph"/>
              <w:keepNext/>
              <w:keepLines/>
              <w:widowControl/>
              <w:jc w:val="center"/>
              <w:rPr>
                <w:sz w:val="20"/>
                <w:szCs w:val="20"/>
              </w:rPr>
            </w:pPr>
            <w:r w:rsidRPr="00330234">
              <w:rPr>
                <w:sz w:val="20"/>
                <w:szCs w:val="20"/>
              </w:rPr>
              <w:t>(0,14 ; 1,28)</w:t>
            </w:r>
          </w:p>
        </w:tc>
      </w:tr>
      <w:tr w:rsidR="006E5B37" w:rsidRPr="00330234" w14:paraId="4D8FA644" w14:textId="77777777" w:rsidTr="001B3E1E">
        <w:trPr>
          <w:trHeight w:val="20"/>
        </w:trPr>
        <w:tc>
          <w:tcPr>
            <w:tcW w:w="3492" w:type="dxa"/>
            <w:tcBorders>
              <w:left w:val="single" w:sz="4" w:space="0" w:color="000000"/>
              <w:right w:val="single" w:sz="4" w:space="0" w:color="auto"/>
            </w:tcBorders>
          </w:tcPr>
          <w:p w14:paraId="25448D43" w14:textId="52E8908E" w:rsidR="00436DAA" w:rsidRPr="00330234" w:rsidRDefault="009B4B8E" w:rsidP="006E5B37">
            <w:pPr>
              <w:pStyle w:val="TableParagraph"/>
              <w:keepNext/>
              <w:keepLines/>
              <w:widowControl/>
              <w:rPr>
                <w:sz w:val="20"/>
                <w:szCs w:val="20"/>
              </w:rPr>
            </w:pPr>
            <w:r w:rsidRPr="00330234">
              <w:rPr>
                <w:sz w:val="20"/>
                <w:szCs w:val="20"/>
              </w:rPr>
              <w:t>Tijd tot eerste GCA ‘flare¹’ (recidiverende patiënten; tocilizumabgroepen versus placebo</w:t>
            </w:r>
            <w:r w:rsidR="00A16C61" w:rsidRPr="00330234">
              <w:rPr>
                <w:sz w:val="20"/>
                <w:szCs w:val="20"/>
              </w:rPr>
              <w:t xml:space="preserve"> </w:t>
            </w:r>
            <w:r w:rsidRPr="00330234">
              <w:rPr>
                <w:sz w:val="20"/>
                <w:szCs w:val="20"/>
              </w:rPr>
              <w:t>+52) HR (99%-BI)</w:t>
            </w:r>
          </w:p>
        </w:tc>
        <w:tc>
          <w:tcPr>
            <w:tcW w:w="1188" w:type="dxa"/>
            <w:tcBorders>
              <w:left w:val="single" w:sz="4" w:space="0" w:color="auto"/>
              <w:right w:val="single" w:sz="4" w:space="0" w:color="auto"/>
            </w:tcBorders>
          </w:tcPr>
          <w:p w14:paraId="51EC1396" w14:textId="77777777" w:rsidR="00436DAA" w:rsidRPr="00330234" w:rsidRDefault="009B4B8E" w:rsidP="006E5B37">
            <w:pPr>
              <w:pStyle w:val="TableParagraph"/>
              <w:keepNext/>
              <w:keepLines/>
              <w:widowControl/>
              <w:jc w:val="center"/>
              <w:rPr>
                <w:sz w:val="20"/>
                <w:szCs w:val="20"/>
              </w:rPr>
            </w:pPr>
            <w:r w:rsidRPr="00330234">
              <w:rPr>
                <w:sz w:val="20"/>
                <w:szCs w:val="20"/>
              </w:rPr>
              <w:t>N/A</w:t>
            </w:r>
          </w:p>
        </w:tc>
        <w:tc>
          <w:tcPr>
            <w:tcW w:w="1188" w:type="dxa"/>
            <w:tcBorders>
              <w:left w:val="single" w:sz="4" w:space="0" w:color="auto"/>
              <w:right w:val="single" w:sz="4" w:space="0" w:color="auto"/>
            </w:tcBorders>
          </w:tcPr>
          <w:p w14:paraId="68B84FEF" w14:textId="77777777" w:rsidR="00436DAA" w:rsidRPr="00330234" w:rsidRDefault="009B4B8E" w:rsidP="006E5B37">
            <w:pPr>
              <w:pStyle w:val="TableParagraph"/>
              <w:keepNext/>
              <w:keepLines/>
              <w:widowControl/>
              <w:jc w:val="center"/>
              <w:rPr>
                <w:sz w:val="20"/>
                <w:szCs w:val="20"/>
              </w:rPr>
            </w:pPr>
            <w:r w:rsidRPr="00330234">
              <w:rPr>
                <w:sz w:val="20"/>
                <w:szCs w:val="20"/>
              </w:rPr>
              <w:t>N/A</w:t>
            </w:r>
          </w:p>
        </w:tc>
        <w:tc>
          <w:tcPr>
            <w:tcW w:w="1599" w:type="dxa"/>
            <w:tcBorders>
              <w:left w:val="single" w:sz="4" w:space="0" w:color="auto"/>
              <w:right w:val="single" w:sz="4" w:space="0" w:color="auto"/>
            </w:tcBorders>
          </w:tcPr>
          <w:p w14:paraId="01DF79FE" w14:textId="77777777" w:rsidR="00436DAA" w:rsidRPr="00330234" w:rsidRDefault="009B4B8E" w:rsidP="006E5B37">
            <w:pPr>
              <w:pStyle w:val="TableParagraph"/>
              <w:keepNext/>
              <w:keepLines/>
              <w:widowControl/>
              <w:jc w:val="center"/>
              <w:rPr>
                <w:sz w:val="20"/>
                <w:szCs w:val="20"/>
              </w:rPr>
            </w:pPr>
            <w:r w:rsidRPr="00330234">
              <w:rPr>
                <w:sz w:val="20"/>
                <w:szCs w:val="20"/>
              </w:rPr>
              <w:t>0.36</w:t>
            </w:r>
          </w:p>
          <w:p w14:paraId="7557A38B" w14:textId="77777777" w:rsidR="00436DAA" w:rsidRPr="00330234" w:rsidRDefault="009B4B8E" w:rsidP="006E5B37">
            <w:pPr>
              <w:pStyle w:val="TableParagraph"/>
              <w:keepNext/>
              <w:keepLines/>
              <w:widowControl/>
              <w:jc w:val="center"/>
              <w:rPr>
                <w:sz w:val="20"/>
                <w:szCs w:val="20"/>
              </w:rPr>
            </w:pPr>
            <w:r w:rsidRPr="00330234">
              <w:rPr>
                <w:sz w:val="20"/>
                <w:szCs w:val="20"/>
              </w:rPr>
              <w:t>(0,13 ; 1.00)</w:t>
            </w:r>
          </w:p>
        </w:tc>
        <w:tc>
          <w:tcPr>
            <w:tcW w:w="1599" w:type="dxa"/>
            <w:tcBorders>
              <w:left w:val="single" w:sz="4" w:space="0" w:color="auto"/>
              <w:right w:val="single" w:sz="4" w:space="0" w:color="000000"/>
            </w:tcBorders>
          </w:tcPr>
          <w:p w14:paraId="3E29F406" w14:textId="77777777" w:rsidR="00436DAA" w:rsidRPr="00330234" w:rsidRDefault="009B4B8E" w:rsidP="006E5B37">
            <w:pPr>
              <w:pStyle w:val="TableParagraph"/>
              <w:keepNext/>
              <w:keepLines/>
              <w:widowControl/>
              <w:jc w:val="center"/>
              <w:rPr>
                <w:sz w:val="20"/>
                <w:szCs w:val="20"/>
              </w:rPr>
            </w:pPr>
            <w:r w:rsidRPr="00330234">
              <w:rPr>
                <w:sz w:val="20"/>
                <w:szCs w:val="20"/>
              </w:rPr>
              <w:t>0,67</w:t>
            </w:r>
          </w:p>
          <w:p w14:paraId="6A836391" w14:textId="77777777" w:rsidR="00436DAA" w:rsidRPr="00330234" w:rsidRDefault="009B4B8E" w:rsidP="006E5B37">
            <w:pPr>
              <w:pStyle w:val="TableParagraph"/>
              <w:keepNext/>
              <w:keepLines/>
              <w:widowControl/>
              <w:jc w:val="center"/>
              <w:rPr>
                <w:sz w:val="20"/>
                <w:szCs w:val="20"/>
              </w:rPr>
            </w:pPr>
            <w:r w:rsidRPr="00330234">
              <w:rPr>
                <w:sz w:val="20"/>
                <w:szCs w:val="20"/>
              </w:rPr>
              <w:t>(0,21 ; 2,10)</w:t>
            </w:r>
          </w:p>
        </w:tc>
      </w:tr>
      <w:tr w:rsidR="006E5B37" w:rsidRPr="00330234" w14:paraId="15A080C9" w14:textId="77777777" w:rsidTr="001B3E1E">
        <w:trPr>
          <w:trHeight w:val="20"/>
        </w:trPr>
        <w:tc>
          <w:tcPr>
            <w:tcW w:w="3492" w:type="dxa"/>
            <w:tcBorders>
              <w:left w:val="single" w:sz="4" w:space="0" w:color="000000"/>
              <w:right w:val="single" w:sz="4" w:space="0" w:color="auto"/>
            </w:tcBorders>
          </w:tcPr>
          <w:p w14:paraId="1AEA4A75" w14:textId="77777777" w:rsidR="00436DAA" w:rsidRPr="00330234" w:rsidRDefault="009B4B8E" w:rsidP="006E5B37">
            <w:pPr>
              <w:pStyle w:val="TableParagraph"/>
              <w:keepNext/>
              <w:keepLines/>
              <w:widowControl/>
              <w:rPr>
                <w:sz w:val="20"/>
                <w:szCs w:val="20"/>
              </w:rPr>
            </w:pPr>
            <w:r w:rsidRPr="00330234">
              <w:rPr>
                <w:sz w:val="20"/>
                <w:szCs w:val="20"/>
              </w:rPr>
              <w:t>Tijd tot eerste GCA ‘flare¹’ (beginnende patiënten; tocilizumabgroepen versus</w:t>
            </w:r>
          </w:p>
          <w:p w14:paraId="2937367C" w14:textId="77777777" w:rsidR="00436DAA" w:rsidRPr="00330234" w:rsidRDefault="009B4B8E" w:rsidP="006E5B37">
            <w:pPr>
              <w:pStyle w:val="TableParagraph"/>
              <w:keepNext/>
              <w:keepLines/>
              <w:widowControl/>
              <w:rPr>
                <w:sz w:val="20"/>
                <w:szCs w:val="20"/>
              </w:rPr>
            </w:pPr>
            <w:r w:rsidRPr="00330234">
              <w:rPr>
                <w:sz w:val="20"/>
                <w:szCs w:val="20"/>
              </w:rPr>
              <w:t>placebo+26) HR (99%-BI)</w:t>
            </w:r>
          </w:p>
        </w:tc>
        <w:tc>
          <w:tcPr>
            <w:tcW w:w="1188" w:type="dxa"/>
            <w:tcBorders>
              <w:left w:val="single" w:sz="4" w:space="0" w:color="auto"/>
              <w:right w:val="single" w:sz="4" w:space="0" w:color="auto"/>
            </w:tcBorders>
          </w:tcPr>
          <w:p w14:paraId="4631ED91" w14:textId="77777777" w:rsidR="00436DAA" w:rsidRPr="00330234" w:rsidRDefault="009B4B8E" w:rsidP="006E5B37">
            <w:pPr>
              <w:pStyle w:val="TableParagraph"/>
              <w:keepNext/>
              <w:keepLines/>
              <w:widowControl/>
              <w:jc w:val="center"/>
              <w:rPr>
                <w:sz w:val="20"/>
                <w:szCs w:val="20"/>
              </w:rPr>
            </w:pPr>
            <w:r w:rsidRPr="00330234">
              <w:rPr>
                <w:sz w:val="20"/>
                <w:szCs w:val="20"/>
              </w:rPr>
              <w:t>N/A</w:t>
            </w:r>
          </w:p>
        </w:tc>
        <w:tc>
          <w:tcPr>
            <w:tcW w:w="1188" w:type="dxa"/>
            <w:tcBorders>
              <w:left w:val="single" w:sz="4" w:space="0" w:color="auto"/>
              <w:right w:val="single" w:sz="4" w:space="0" w:color="auto"/>
            </w:tcBorders>
          </w:tcPr>
          <w:p w14:paraId="0473A833" w14:textId="77777777" w:rsidR="00436DAA" w:rsidRPr="00330234" w:rsidRDefault="009B4B8E" w:rsidP="006E5B37">
            <w:pPr>
              <w:pStyle w:val="TableParagraph"/>
              <w:keepNext/>
              <w:keepLines/>
              <w:widowControl/>
              <w:jc w:val="center"/>
              <w:rPr>
                <w:sz w:val="20"/>
                <w:szCs w:val="20"/>
              </w:rPr>
            </w:pPr>
            <w:r w:rsidRPr="00330234">
              <w:rPr>
                <w:sz w:val="20"/>
                <w:szCs w:val="20"/>
              </w:rPr>
              <w:t>N/A</w:t>
            </w:r>
          </w:p>
        </w:tc>
        <w:tc>
          <w:tcPr>
            <w:tcW w:w="1599" w:type="dxa"/>
            <w:tcBorders>
              <w:left w:val="single" w:sz="4" w:space="0" w:color="auto"/>
              <w:right w:val="single" w:sz="4" w:space="0" w:color="auto"/>
            </w:tcBorders>
          </w:tcPr>
          <w:p w14:paraId="64085BCE" w14:textId="2463AABA" w:rsidR="00436DAA" w:rsidRPr="00330234" w:rsidRDefault="009B4B8E" w:rsidP="006E5B37">
            <w:pPr>
              <w:pStyle w:val="TableParagraph"/>
              <w:keepNext/>
              <w:keepLines/>
              <w:widowControl/>
              <w:jc w:val="center"/>
              <w:rPr>
                <w:sz w:val="20"/>
                <w:szCs w:val="20"/>
              </w:rPr>
            </w:pPr>
            <w:r w:rsidRPr="00330234">
              <w:rPr>
                <w:sz w:val="20"/>
                <w:szCs w:val="20"/>
              </w:rPr>
              <w:t>0,25*** (0,09</w:t>
            </w:r>
            <w:r w:rsidR="00A16C61" w:rsidRPr="00330234">
              <w:rPr>
                <w:sz w:val="20"/>
                <w:szCs w:val="20"/>
              </w:rPr>
              <w:t> </w:t>
            </w:r>
            <w:r w:rsidRPr="00330234">
              <w:rPr>
                <w:sz w:val="20"/>
                <w:szCs w:val="20"/>
              </w:rPr>
              <w:t>;</w:t>
            </w:r>
            <w:r w:rsidR="00A16C61" w:rsidRPr="00330234">
              <w:rPr>
                <w:sz w:val="20"/>
                <w:szCs w:val="20"/>
              </w:rPr>
              <w:t> </w:t>
            </w:r>
            <w:r w:rsidRPr="00330234">
              <w:rPr>
                <w:sz w:val="20"/>
                <w:szCs w:val="20"/>
              </w:rPr>
              <w:t>0,70)</w:t>
            </w:r>
          </w:p>
        </w:tc>
        <w:tc>
          <w:tcPr>
            <w:tcW w:w="1599" w:type="dxa"/>
            <w:tcBorders>
              <w:left w:val="single" w:sz="4" w:space="0" w:color="auto"/>
              <w:right w:val="single" w:sz="4" w:space="0" w:color="000000"/>
            </w:tcBorders>
          </w:tcPr>
          <w:p w14:paraId="2FB6DF47" w14:textId="401A7A67" w:rsidR="00436DAA" w:rsidRPr="00330234" w:rsidRDefault="009B4B8E" w:rsidP="006E5B37">
            <w:pPr>
              <w:pStyle w:val="TableParagraph"/>
              <w:keepNext/>
              <w:keepLines/>
              <w:widowControl/>
              <w:jc w:val="center"/>
              <w:rPr>
                <w:sz w:val="20"/>
                <w:szCs w:val="20"/>
              </w:rPr>
            </w:pPr>
            <w:r w:rsidRPr="00330234">
              <w:rPr>
                <w:sz w:val="20"/>
                <w:szCs w:val="20"/>
              </w:rPr>
              <w:t>0,20*** (0,05</w:t>
            </w:r>
            <w:r w:rsidR="00A16C61" w:rsidRPr="00330234">
              <w:rPr>
                <w:sz w:val="20"/>
                <w:szCs w:val="20"/>
              </w:rPr>
              <w:t> </w:t>
            </w:r>
            <w:r w:rsidRPr="00330234">
              <w:rPr>
                <w:sz w:val="20"/>
                <w:szCs w:val="20"/>
              </w:rPr>
              <w:t>;</w:t>
            </w:r>
            <w:r w:rsidR="00A16C61" w:rsidRPr="00330234">
              <w:rPr>
                <w:sz w:val="20"/>
                <w:szCs w:val="20"/>
              </w:rPr>
              <w:t> </w:t>
            </w:r>
            <w:r w:rsidRPr="00330234">
              <w:rPr>
                <w:sz w:val="20"/>
                <w:szCs w:val="20"/>
              </w:rPr>
              <w:t>0,76)</w:t>
            </w:r>
          </w:p>
        </w:tc>
      </w:tr>
      <w:tr w:rsidR="006E5B37" w:rsidRPr="00330234" w14:paraId="640AECBA" w14:textId="77777777" w:rsidTr="001B3E1E">
        <w:trPr>
          <w:trHeight w:val="20"/>
        </w:trPr>
        <w:tc>
          <w:tcPr>
            <w:tcW w:w="3492" w:type="dxa"/>
            <w:tcBorders>
              <w:left w:val="single" w:sz="4" w:space="0" w:color="000000"/>
              <w:bottom w:val="single" w:sz="4" w:space="0" w:color="auto"/>
              <w:right w:val="single" w:sz="4" w:space="0" w:color="auto"/>
            </w:tcBorders>
          </w:tcPr>
          <w:p w14:paraId="4F3BF9DA" w14:textId="4623884C" w:rsidR="00436DAA" w:rsidRPr="00330234" w:rsidRDefault="009B4B8E" w:rsidP="001B3E1E">
            <w:pPr>
              <w:pStyle w:val="TableParagraph"/>
              <w:keepLines/>
              <w:widowControl/>
              <w:rPr>
                <w:sz w:val="20"/>
                <w:szCs w:val="20"/>
              </w:rPr>
            </w:pPr>
            <w:r w:rsidRPr="00330234">
              <w:rPr>
                <w:sz w:val="20"/>
                <w:szCs w:val="20"/>
              </w:rPr>
              <w:t>Tijd tot eerste GCA ‘flare¹’ (beginnende patiënten; tocilizumabgroepen versus placebo</w:t>
            </w:r>
            <w:r w:rsidR="00A16C61" w:rsidRPr="00330234">
              <w:rPr>
                <w:sz w:val="20"/>
                <w:szCs w:val="20"/>
              </w:rPr>
              <w:t xml:space="preserve"> </w:t>
            </w:r>
            <w:r w:rsidRPr="00330234">
              <w:rPr>
                <w:sz w:val="20"/>
                <w:szCs w:val="20"/>
              </w:rPr>
              <w:t>+52) HR (99%-BI)</w:t>
            </w:r>
          </w:p>
        </w:tc>
        <w:tc>
          <w:tcPr>
            <w:tcW w:w="1188" w:type="dxa"/>
            <w:tcBorders>
              <w:left w:val="single" w:sz="4" w:space="0" w:color="auto"/>
              <w:bottom w:val="single" w:sz="4" w:space="0" w:color="auto"/>
              <w:right w:val="single" w:sz="4" w:space="0" w:color="auto"/>
            </w:tcBorders>
          </w:tcPr>
          <w:p w14:paraId="4AECEF2B" w14:textId="77777777" w:rsidR="00436DAA" w:rsidRPr="00330234" w:rsidRDefault="009B4B8E" w:rsidP="006E5B37">
            <w:pPr>
              <w:pStyle w:val="TableParagraph"/>
              <w:keepNext/>
              <w:keepLines/>
              <w:widowControl/>
              <w:jc w:val="center"/>
              <w:rPr>
                <w:sz w:val="20"/>
                <w:szCs w:val="20"/>
              </w:rPr>
            </w:pPr>
            <w:r w:rsidRPr="00330234">
              <w:rPr>
                <w:sz w:val="20"/>
                <w:szCs w:val="20"/>
              </w:rPr>
              <w:t>N/A</w:t>
            </w:r>
          </w:p>
        </w:tc>
        <w:tc>
          <w:tcPr>
            <w:tcW w:w="1188" w:type="dxa"/>
            <w:tcBorders>
              <w:left w:val="single" w:sz="4" w:space="0" w:color="auto"/>
              <w:bottom w:val="single" w:sz="4" w:space="0" w:color="auto"/>
              <w:right w:val="single" w:sz="4" w:space="0" w:color="auto"/>
            </w:tcBorders>
          </w:tcPr>
          <w:p w14:paraId="7EA02FB1" w14:textId="77777777" w:rsidR="00436DAA" w:rsidRPr="00330234" w:rsidRDefault="009B4B8E" w:rsidP="006E5B37">
            <w:pPr>
              <w:pStyle w:val="TableParagraph"/>
              <w:keepNext/>
              <w:keepLines/>
              <w:widowControl/>
              <w:jc w:val="center"/>
              <w:rPr>
                <w:sz w:val="20"/>
                <w:szCs w:val="20"/>
              </w:rPr>
            </w:pPr>
            <w:r w:rsidRPr="00330234">
              <w:rPr>
                <w:sz w:val="20"/>
                <w:szCs w:val="20"/>
              </w:rPr>
              <w:t>N/A</w:t>
            </w:r>
          </w:p>
        </w:tc>
        <w:tc>
          <w:tcPr>
            <w:tcW w:w="1599" w:type="dxa"/>
            <w:tcBorders>
              <w:left w:val="single" w:sz="4" w:space="0" w:color="auto"/>
              <w:bottom w:val="single" w:sz="4" w:space="0" w:color="auto"/>
              <w:right w:val="single" w:sz="4" w:space="0" w:color="auto"/>
            </w:tcBorders>
          </w:tcPr>
          <w:p w14:paraId="625288CB" w14:textId="77777777" w:rsidR="00436DAA" w:rsidRPr="00330234" w:rsidRDefault="009B4B8E" w:rsidP="006E5B37">
            <w:pPr>
              <w:pStyle w:val="TableParagraph"/>
              <w:keepNext/>
              <w:keepLines/>
              <w:widowControl/>
              <w:jc w:val="center"/>
              <w:rPr>
                <w:sz w:val="20"/>
                <w:szCs w:val="20"/>
              </w:rPr>
            </w:pPr>
            <w:r w:rsidRPr="00330234">
              <w:rPr>
                <w:sz w:val="20"/>
                <w:szCs w:val="20"/>
              </w:rPr>
              <w:t>0,44</w:t>
            </w:r>
          </w:p>
          <w:p w14:paraId="1356B861" w14:textId="77777777" w:rsidR="00436DAA" w:rsidRPr="00330234" w:rsidRDefault="009B4B8E" w:rsidP="006E5B37">
            <w:pPr>
              <w:pStyle w:val="TableParagraph"/>
              <w:keepNext/>
              <w:keepLines/>
              <w:widowControl/>
              <w:jc w:val="center"/>
              <w:rPr>
                <w:sz w:val="20"/>
                <w:szCs w:val="20"/>
              </w:rPr>
            </w:pPr>
            <w:r w:rsidRPr="00330234">
              <w:rPr>
                <w:sz w:val="20"/>
                <w:szCs w:val="20"/>
              </w:rPr>
              <w:t>(0,14 ; 1,32)</w:t>
            </w:r>
          </w:p>
        </w:tc>
        <w:tc>
          <w:tcPr>
            <w:tcW w:w="1599" w:type="dxa"/>
            <w:tcBorders>
              <w:left w:val="single" w:sz="4" w:space="0" w:color="auto"/>
              <w:bottom w:val="single" w:sz="4" w:space="0" w:color="auto"/>
              <w:right w:val="single" w:sz="4" w:space="0" w:color="000000"/>
            </w:tcBorders>
          </w:tcPr>
          <w:p w14:paraId="00EC128C" w14:textId="77777777" w:rsidR="00436DAA" w:rsidRPr="00330234" w:rsidRDefault="009B4B8E" w:rsidP="006E5B37">
            <w:pPr>
              <w:pStyle w:val="TableParagraph"/>
              <w:keepNext/>
              <w:keepLines/>
              <w:widowControl/>
              <w:jc w:val="center"/>
              <w:rPr>
                <w:sz w:val="20"/>
                <w:szCs w:val="20"/>
              </w:rPr>
            </w:pPr>
            <w:r w:rsidRPr="00330234">
              <w:rPr>
                <w:sz w:val="20"/>
                <w:szCs w:val="20"/>
              </w:rPr>
              <w:t>0,35</w:t>
            </w:r>
          </w:p>
          <w:p w14:paraId="7B9025E6" w14:textId="77777777" w:rsidR="00436DAA" w:rsidRPr="00330234" w:rsidRDefault="009B4B8E" w:rsidP="006E5B37">
            <w:pPr>
              <w:pStyle w:val="TableParagraph"/>
              <w:keepNext/>
              <w:keepLines/>
              <w:widowControl/>
              <w:jc w:val="center"/>
              <w:rPr>
                <w:sz w:val="20"/>
                <w:szCs w:val="20"/>
              </w:rPr>
            </w:pPr>
            <w:r w:rsidRPr="00330234">
              <w:rPr>
                <w:sz w:val="20"/>
                <w:szCs w:val="20"/>
              </w:rPr>
              <w:t>(0,09 ; 1,42)</w:t>
            </w:r>
          </w:p>
        </w:tc>
      </w:tr>
      <w:tr w:rsidR="006E5B37" w:rsidRPr="00330234" w14:paraId="4D291A22" w14:textId="77777777" w:rsidTr="001B3E1E">
        <w:trPr>
          <w:trHeight w:val="20"/>
        </w:trPr>
        <w:tc>
          <w:tcPr>
            <w:tcW w:w="3492" w:type="dxa"/>
            <w:tcBorders>
              <w:top w:val="single" w:sz="4" w:space="0" w:color="auto"/>
              <w:left w:val="single" w:sz="4" w:space="0" w:color="000000"/>
              <w:bottom w:val="single" w:sz="4" w:space="0" w:color="000000"/>
              <w:right w:val="single" w:sz="4" w:space="0" w:color="auto"/>
            </w:tcBorders>
          </w:tcPr>
          <w:p w14:paraId="122890D6" w14:textId="77777777" w:rsidR="00436DAA" w:rsidRPr="00330234" w:rsidRDefault="009B4B8E" w:rsidP="001B3E1E">
            <w:pPr>
              <w:pStyle w:val="TableParagraph"/>
              <w:keepNext/>
              <w:keepLines/>
              <w:widowControl/>
              <w:rPr>
                <w:sz w:val="20"/>
                <w:szCs w:val="20"/>
              </w:rPr>
            </w:pPr>
            <w:r w:rsidRPr="00330234">
              <w:rPr>
                <w:sz w:val="20"/>
                <w:szCs w:val="20"/>
              </w:rPr>
              <w:lastRenderedPageBreak/>
              <w:t>Cumulatieve glucocorticoïdedosis (mg)</w:t>
            </w:r>
          </w:p>
          <w:p w14:paraId="39491F7C" w14:textId="77777777" w:rsidR="00436DAA" w:rsidRPr="00330234" w:rsidRDefault="009B4B8E" w:rsidP="006E5B37">
            <w:pPr>
              <w:pStyle w:val="TableParagraph"/>
              <w:widowControl/>
              <w:ind w:left="284"/>
              <w:rPr>
                <w:sz w:val="20"/>
                <w:szCs w:val="20"/>
              </w:rPr>
            </w:pPr>
            <w:r w:rsidRPr="00330234">
              <w:rPr>
                <w:sz w:val="20"/>
                <w:szCs w:val="20"/>
              </w:rPr>
              <w:t>mediaan in week 52 (tocilizumabgroepen versus placebo+26</w:t>
            </w:r>
            <w:r w:rsidRPr="00330234">
              <w:rPr>
                <w:sz w:val="20"/>
                <w:szCs w:val="20"/>
                <w:vertAlign w:val="superscript"/>
              </w:rPr>
              <w:t>2</w:t>
            </w:r>
            <w:r w:rsidRPr="00330234">
              <w:rPr>
                <w:sz w:val="20"/>
                <w:szCs w:val="20"/>
              </w:rPr>
              <w:t>)</w:t>
            </w:r>
          </w:p>
          <w:p w14:paraId="355738DD" w14:textId="771DDF1A" w:rsidR="00436DAA" w:rsidRPr="00330234" w:rsidRDefault="009B4B8E" w:rsidP="006E5B37">
            <w:pPr>
              <w:pStyle w:val="TableParagraph"/>
              <w:widowControl/>
              <w:ind w:left="284"/>
              <w:rPr>
                <w:sz w:val="20"/>
                <w:szCs w:val="20"/>
              </w:rPr>
            </w:pPr>
            <w:r w:rsidRPr="00330234">
              <w:rPr>
                <w:sz w:val="20"/>
                <w:szCs w:val="20"/>
              </w:rPr>
              <w:t>mediaan in week 52 (tocilizumabgroepen</w:t>
            </w:r>
            <w:r w:rsidR="00A16C61" w:rsidRPr="00330234">
              <w:rPr>
                <w:sz w:val="20"/>
                <w:szCs w:val="20"/>
              </w:rPr>
              <w:t xml:space="preserve"> </w:t>
            </w:r>
            <w:r w:rsidRPr="00330234">
              <w:rPr>
                <w:sz w:val="20"/>
                <w:szCs w:val="20"/>
              </w:rPr>
              <w:t>versus placebo</w:t>
            </w:r>
            <w:r w:rsidR="00A16C61" w:rsidRPr="00330234">
              <w:rPr>
                <w:sz w:val="20"/>
                <w:szCs w:val="20"/>
              </w:rPr>
              <w:t> </w:t>
            </w:r>
            <w:r w:rsidRPr="00330234">
              <w:rPr>
                <w:sz w:val="20"/>
                <w:szCs w:val="20"/>
              </w:rPr>
              <w:t>+52</w:t>
            </w:r>
            <w:r w:rsidRPr="00330234">
              <w:rPr>
                <w:sz w:val="20"/>
                <w:szCs w:val="20"/>
                <w:vertAlign w:val="superscript"/>
              </w:rPr>
              <w:t>2</w:t>
            </w:r>
            <w:r w:rsidRPr="00330234">
              <w:rPr>
                <w:sz w:val="20"/>
                <w:szCs w:val="20"/>
              </w:rPr>
              <w:t>)</w:t>
            </w:r>
          </w:p>
        </w:tc>
        <w:tc>
          <w:tcPr>
            <w:tcW w:w="1188" w:type="dxa"/>
            <w:tcBorders>
              <w:top w:val="single" w:sz="4" w:space="0" w:color="auto"/>
              <w:left w:val="single" w:sz="4" w:space="0" w:color="auto"/>
              <w:bottom w:val="single" w:sz="4" w:space="0" w:color="000000"/>
              <w:right w:val="single" w:sz="4" w:space="0" w:color="auto"/>
            </w:tcBorders>
          </w:tcPr>
          <w:p w14:paraId="6E2D5178" w14:textId="77777777" w:rsidR="00436DAA" w:rsidRPr="00330234" w:rsidRDefault="00436DAA" w:rsidP="00A16C61">
            <w:pPr>
              <w:pStyle w:val="TableParagraph"/>
              <w:widowControl/>
              <w:jc w:val="center"/>
              <w:rPr>
                <w:iCs/>
                <w:sz w:val="20"/>
                <w:szCs w:val="20"/>
              </w:rPr>
            </w:pPr>
          </w:p>
          <w:p w14:paraId="23D9CFBF" w14:textId="77777777" w:rsidR="006E5B37" w:rsidRPr="00330234" w:rsidRDefault="006E5B37" w:rsidP="00A16C61">
            <w:pPr>
              <w:pStyle w:val="TableParagraph"/>
              <w:widowControl/>
              <w:jc w:val="center"/>
              <w:rPr>
                <w:iCs/>
                <w:sz w:val="20"/>
                <w:szCs w:val="20"/>
              </w:rPr>
            </w:pPr>
          </w:p>
          <w:p w14:paraId="5B9B6AF8" w14:textId="77777777" w:rsidR="00436DAA" w:rsidRPr="00330234" w:rsidRDefault="009B4B8E" w:rsidP="00A16C61">
            <w:pPr>
              <w:pStyle w:val="TableParagraph"/>
              <w:widowControl/>
              <w:jc w:val="center"/>
              <w:rPr>
                <w:sz w:val="20"/>
                <w:szCs w:val="20"/>
              </w:rPr>
            </w:pPr>
            <w:r w:rsidRPr="00330234">
              <w:rPr>
                <w:sz w:val="20"/>
                <w:szCs w:val="20"/>
              </w:rPr>
              <w:t>3296,00</w:t>
            </w:r>
          </w:p>
          <w:p w14:paraId="74638807" w14:textId="77777777" w:rsidR="00436DAA" w:rsidRPr="00330234" w:rsidRDefault="00436DAA" w:rsidP="00A16C61">
            <w:pPr>
              <w:pStyle w:val="TableParagraph"/>
              <w:widowControl/>
              <w:jc w:val="center"/>
              <w:rPr>
                <w:iCs/>
                <w:sz w:val="20"/>
                <w:szCs w:val="20"/>
              </w:rPr>
            </w:pPr>
          </w:p>
          <w:p w14:paraId="0DDCB92A" w14:textId="77777777" w:rsidR="006E5B37" w:rsidRPr="00330234" w:rsidRDefault="006E5B37" w:rsidP="00A16C61">
            <w:pPr>
              <w:pStyle w:val="TableParagraph"/>
              <w:widowControl/>
              <w:jc w:val="center"/>
              <w:rPr>
                <w:iCs/>
                <w:sz w:val="20"/>
                <w:szCs w:val="20"/>
              </w:rPr>
            </w:pPr>
          </w:p>
          <w:p w14:paraId="29666FE0" w14:textId="77777777" w:rsidR="00436DAA" w:rsidRPr="00330234" w:rsidRDefault="009B4B8E" w:rsidP="00A16C61">
            <w:pPr>
              <w:pStyle w:val="TableParagraph"/>
              <w:widowControl/>
              <w:jc w:val="center"/>
              <w:rPr>
                <w:sz w:val="20"/>
                <w:szCs w:val="20"/>
              </w:rPr>
            </w:pPr>
            <w:r w:rsidRPr="00330234">
              <w:rPr>
                <w:sz w:val="20"/>
                <w:szCs w:val="20"/>
              </w:rPr>
              <w:t>N/A</w:t>
            </w:r>
          </w:p>
        </w:tc>
        <w:tc>
          <w:tcPr>
            <w:tcW w:w="1188" w:type="dxa"/>
            <w:tcBorders>
              <w:top w:val="single" w:sz="4" w:space="0" w:color="auto"/>
              <w:left w:val="single" w:sz="4" w:space="0" w:color="auto"/>
              <w:bottom w:val="single" w:sz="4" w:space="0" w:color="000000"/>
              <w:right w:val="single" w:sz="4" w:space="0" w:color="auto"/>
            </w:tcBorders>
          </w:tcPr>
          <w:p w14:paraId="31DBEB1C" w14:textId="77777777" w:rsidR="00A16C61" w:rsidRPr="00330234" w:rsidRDefault="00A16C61" w:rsidP="00A16C61">
            <w:pPr>
              <w:pStyle w:val="TableParagraph"/>
              <w:widowControl/>
              <w:jc w:val="center"/>
              <w:rPr>
                <w:sz w:val="20"/>
                <w:szCs w:val="20"/>
              </w:rPr>
            </w:pPr>
          </w:p>
          <w:p w14:paraId="014454AD" w14:textId="77777777" w:rsidR="006E5B37" w:rsidRPr="00330234" w:rsidRDefault="006E5B37" w:rsidP="00A16C61">
            <w:pPr>
              <w:pStyle w:val="TableParagraph"/>
              <w:widowControl/>
              <w:jc w:val="center"/>
              <w:rPr>
                <w:sz w:val="20"/>
                <w:szCs w:val="20"/>
              </w:rPr>
            </w:pPr>
          </w:p>
          <w:p w14:paraId="45076406" w14:textId="77777777" w:rsidR="00A16C61" w:rsidRPr="00330234" w:rsidRDefault="009B4B8E" w:rsidP="00A16C61">
            <w:pPr>
              <w:pStyle w:val="TableParagraph"/>
              <w:widowControl/>
              <w:jc w:val="center"/>
              <w:rPr>
                <w:sz w:val="20"/>
                <w:szCs w:val="20"/>
              </w:rPr>
            </w:pPr>
            <w:r w:rsidRPr="00330234">
              <w:rPr>
                <w:sz w:val="20"/>
                <w:szCs w:val="20"/>
              </w:rPr>
              <w:t>N/A</w:t>
            </w:r>
          </w:p>
          <w:p w14:paraId="3A9E72FA" w14:textId="77777777" w:rsidR="00A16C61" w:rsidRPr="00330234" w:rsidRDefault="00A16C61" w:rsidP="00A16C61">
            <w:pPr>
              <w:pStyle w:val="TableParagraph"/>
              <w:widowControl/>
              <w:jc w:val="center"/>
              <w:rPr>
                <w:sz w:val="20"/>
                <w:szCs w:val="20"/>
              </w:rPr>
            </w:pPr>
          </w:p>
          <w:p w14:paraId="1F4F745C" w14:textId="77777777" w:rsidR="006E5B37" w:rsidRPr="00330234" w:rsidRDefault="006E5B37" w:rsidP="00A16C61">
            <w:pPr>
              <w:pStyle w:val="TableParagraph"/>
              <w:widowControl/>
              <w:jc w:val="center"/>
              <w:rPr>
                <w:sz w:val="20"/>
                <w:szCs w:val="20"/>
              </w:rPr>
            </w:pPr>
          </w:p>
          <w:p w14:paraId="59DEBD9D" w14:textId="479502EF" w:rsidR="00436DAA" w:rsidRPr="00330234" w:rsidRDefault="009B4B8E" w:rsidP="00A16C61">
            <w:pPr>
              <w:pStyle w:val="TableParagraph"/>
              <w:widowControl/>
              <w:jc w:val="center"/>
              <w:rPr>
                <w:sz w:val="20"/>
                <w:szCs w:val="20"/>
              </w:rPr>
            </w:pPr>
            <w:r w:rsidRPr="00330234">
              <w:rPr>
                <w:sz w:val="20"/>
                <w:szCs w:val="20"/>
              </w:rPr>
              <w:t>3817,50</w:t>
            </w:r>
          </w:p>
        </w:tc>
        <w:tc>
          <w:tcPr>
            <w:tcW w:w="1599" w:type="dxa"/>
            <w:tcBorders>
              <w:top w:val="single" w:sz="4" w:space="0" w:color="auto"/>
              <w:left w:val="single" w:sz="4" w:space="0" w:color="auto"/>
              <w:bottom w:val="single" w:sz="4" w:space="0" w:color="000000"/>
              <w:right w:val="single" w:sz="4" w:space="0" w:color="auto"/>
            </w:tcBorders>
          </w:tcPr>
          <w:p w14:paraId="511D16B0" w14:textId="77777777" w:rsidR="00436DAA" w:rsidRPr="00330234" w:rsidRDefault="00436DAA" w:rsidP="00A16C61">
            <w:pPr>
              <w:pStyle w:val="TableParagraph"/>
              <w:widowControl/>
              <w:jc w:val="center"/>
              <w:rPr>
                <w:iCs/>
                <w:sz w:val="20"/>
                <w:szCs w:val="20"/>
              </w:rPr>
            </w:pPr>
          </w:p>
          <w:p w14:paraId="4F4F240D" w14:textId="77777777" w:rsidR="006E5B37" w:rsidRPr="00330234" w:rsidRDefault="006E5B37" w:rsidP="00A16C61">
            <w:pPr>
              <w:pStyle w:val="TableParagraph"/>
              <w:widowControl/>
              <w:jc w:val="center"/>
              <w:rPr>
                <w:iCs/>
                <w:sz w:val="20"/>
                <w:szCs w:val="20"/>
              </w:rPr>
            </w:pPr>
          </w:p>
          <w:p w14:paraId="63FC31EE" w14:textId="77777777" w:rsidR="00436DAA" w:rsidRPr="00330234" w:rsidRDefault="009B4B8E" w:rsidP="00A16C61">
            <w:pPr>
              <w:pStyle w:val="TableParagraph"/>
              <w:widowControl/>
              <w:jc w:val="center"/>
              <w:rPr>
                <w:sz w:val="20"/>
                <w:szCs w:val="20"/>
              </w:rPr>
            </w:pPr>
            <w:r w:rsidRPr="00330234">
              <w:rPr>
                <w:sz w:val="20"/>
                <w:szCs w:val="20"/>
              </w:rPr>
              <w:t>1862,00*</w:t>
            </w:r>
          </w:p>
          <w:p w14:paraId="5D14690D" w14:textId="77777777" w:rsidR="00436DAA" w:rsidRPr="00330234" w:rsidRDefault="00436DAA" w:rsidP="00A16C61">
            <w:pPr>
              <w:pStyle w:val="TableParagraph"/>
              <w:widowControl/>
              <w:jc w:val="center"/>
              <w:rPr>
                <w:iCs/>
                <w:sz w:val="20"/>
                <w:szCs w:val="20"/>
              </w:rPr>
            </w:pPr>
          </w:p>
          <w:p w14:paraId="30ABD625" w14:textId="77777777" w:rsidR="006E5B37" w:rsidRPr="00330234" w:rsidRDefault="006E5B37" w:rsidP="00A16C61">
            <w:pPr>
              <w:pStyle w:val="TableParagraph"/>
              <w:widowControl/>
              <w:jc w:val="center"/>
              <w:rPr>
                <w:iCs/>
                <w:sz w:val="20"/>
                <w:szCs w:val="20"/>
              </w:rPr>
            </w:pPr>
          </w:p>
          <w:p w14:paraId="730EFFA5" w14:textId="77777777" w:rsidR="00436DAA" w:rsidRPr="00330234" w:rsidRDefault="009B4B8E" w:rsidP="00A16C61">
            <w:pPr>
              <w:pStyle w:val="TableParagraph"/>
              <w:widowControl/>
              <w:jc w:val="center"/>
              <w:rPr>
                <w:sz w:val="20"/>
                <w:szCs w:val="20"/>
              </w:rPr>
            </w:pPr>
            <w:r w:rsidRPr="00330234">
              <w:rPr>
                <w:sz w:val="20"/>
                <w:szCs w:val="20"/>
              </w:rPr>
              <w:t>1862,00*</w:t>
            </w:r>
          </w:p>
        </w:tc>
        <w:tc>
          <w:tcPr>
            <w:tcW w:w="1599" w:type="dxa"/>
            <w:tcBorders>
              <w:top w:val="single" w:sz="4" w:space="0" w:color="auto"/>
              <w:left w:val="single" w:sz="4" w:space="0" w:color="auto"/>
              <w:bottom w:val="single" w:sz="4" w:space="0" w:color="000000"/>
              <w:right w:val="single" w:sz="4" w:space="0" w:color="000000"/>
            </w:tcBorders>
          </w:tcPr>
          <w:p w14:paraId="21725AAC" w14:textId="77777777" w:rsidR="00436DAA" w:rsidRPr="00330234" w:rsidRDefault="00436DAA" w:rsidP="00A16C61">
            <w:pPr>
              <w:pStyle w:val="TableParagraph"/>
              <w:widowControl/>
              <w:jc w:val="center"/>
              <w:rPr>
                <w:iCs/>
                <w:sz w:val="20"/>
                <w:szCs w:val="20"/>
              </w:rPr>
            </w:pPr>
          </w:p>
          <w:p w14:paraId="311A1F22" w14:textId="77777777" w:rsidR="006E5B37" w:rsidRPr="00330234" w:rsidRDefault="006E5B37" w:rsidP="00A16C61">
            <w:pPr>
              <w:pStyle w:val="TableParagraph"/>
              <w:widowControl/>
              <w:jc w:val="center"/>
              <w:rPr>
                <w:iCs/>
                <w:sz w:val="20"/>
                <w:szCs w:val="20"/>
              </w:rPr>
            </w:pPr>
          </w:p>
          <w:p w14:paraId="3B0D4A88" w14:textId="77777777" w:rsidR="00436DAA" w:rsidRPr="00330234" w:rsidRDefault="009B4B8E" w:rsidP="00A16C61">
            <w:pPr>
              <w:pStyle w:val="TableParagraph"/>
              <w:widowControl/>
              <w:jc w:val="center"/>
              <w:rPr>
                <w:sz w:val="20"/>
                <w:szCs w:val="20"/>
              </w:rPr>
            </w:pPr>
            <w:r w:rsidRPr="00330234">
              <w:rPr>
                <w:sz w:val="20"/>
                <w:szCs w:val="20"/>
              </w:rPr>
              <w:t>1862,00*</w:t>
            </w:r>
          </w:p>
          <w:p w14:paraId="07F11947" w14:textId="77777777" w:rsidR="00436DAA" w:rsidRPr="00330234" w:rsidRDefault="00436DAA" w:rsidP="00A16C61">
            <w:pPr>
              <w:pStyle w:val="TableParagraph"/>
              <w:widowControl/>
              <w:jc w:val="center"/>
              <w:rPr>
                <w:iCs/>
                <w:sz w:val="20"/>
                <w:szCs w:val="20"/>
              </w:rPr>
            </w:pPr>
          </w:p>
          <w:p w14:paraId="6720D02F" w14:textId="77777777" w:rsidR="006E5B37" w:rsidRPr="00330234" w:rsidRDefault="006E5B37" w:rsidP="00A16C61">
            <w:pPr>
              <w:pStyle w:val="TableParagraph"/>
              <w:widowControl/>
              <w:jc w:val="center"/>
              <w:rPr>
                <w:iCs/>
                <w:sz w:val="20"/>
                <w:szCs w:val="20"/>
              </w:rPr>
            </w:pPr>
          </w:p>
          <w:p w14:paraId="4763726A" w14:textId="77777777" w:rsidR="00436DAA" w:rsidRPr="00330234" w:rsidRDefault="009B4B8E" w:rsidP="00A16C61">
            <w:pPr>
              <w:pStyle w:val="TableParagraph"/>
              <w:widowControl/>
              <w:jc w:val="center"/>
              <w:rPr>
                <w:sz w:val="20"/>
                <w:szCs w:val="20"/>
              </w:rPr>
            </w:pPr>
            <w:r w:rsidRPr="00330234">
              <w:rPr>
                <w:sz w:val="20"/>
                <w:szCs w:val="20"/>
              </w:rPr>
              <w:t>1862,00*</w:t>
            </w:r>
          </w:p>
        </w:tc>
      </w:tr>
      <w:tr w:rsidR="00436DAA" w:rsidRPr="00330234" w14:paraId="6F04F192" w14:textId="77777777" w:rsidTr="00856751">
        <w:trPr>
          <w:trHeight w:val="20"/>
        </w:trPr>
        <w:tc>
          <w:tcPr>
            <w:tcW w:w="9066" w:type="dxa"/>
            <w:gridSpan w:val="5"/>
            <w:tcBorders>
              <w:top w:val="single" w:sz="4" w:space="0" w:color="000000"/>
              <w:left w:val="single" w:sz="4" w:space="0" w:color="000000"/>
              <w:bottom w:val="single" w:sz="4" w:space="0" w:color="auto"/>
              <w:right w:val="single" w:sz="4" w:space="0" w:color="000000"/>
            </w:tcBorders>
          </w:tcPr>
          <w:p w14:paraId="3CDC6B16" w14:textId="77777777" w:rsidR="00436DAA" w:rsidRPr="00330234" w:rsidRDefault="009B4B8E" w:rsidP="00A16C61">
            <w:pPr>
              <w:pStyle w:val="TableParagraph"/>
              <w:keepNext/>
              <w:keepLines/>
              <w:widowControl/>
              <w:rPr>
                <w:b/>
                <w:sz w:val="20"/>
                <w:szCs w:val="20"/>
              </w:rPr>
            </w:pPr>
            <w:r w:rsidRPr="00330234">
              <w:rPr>
                <w:b/>
                <w:sz w:val="20"/>
                <w:szCs w:val="20"/>
              </w:rPr>
              <w:t>Verkennende eindpunten</w:t>
            </w:r>
          </w:p>
        </w:tc>
      </w:tr>
      <w:tr w:rsidR="006E5B37" w:rsidRPr="00330234" w14:paraId="0893E05E" w14:textId="77777777" w:rsidTr="001B3E1E">
        <w:trPr>
          <w:trHeight w:val="20"/>
        </w:trPr>
        <w:tc>
          <w:tcPr>
            <w:tcW w:w="3492" w:type="dxa"/>
            <w:tcBorders>
              <w:top w:val="single" w:sz="4" w:space="0" w:color="auto"/>
              <w:left w:val="single" w:sz="4" w:space="0" w:color="auto"/>
              <w:bottom w:val="single" w:sz="4" w:space="0" w:color="auto"/>
              <w:right w:val="single" w:sz="4" w:space="0" w:color="auto"/>
            </w:tcBorders>
          </w:tcPr>
          <w:p w14:paraId="2BB4724A" w14:textId="77777777" w:rsidR="00436DAA" w:rsidRPr="00330234" w:rsidRDefault="009B4B8E" w:rsidP="00A16C61">
            <w:pPr>
              <w:pStyle w:val="TableParagraph"/>
              <w:keepNext/>
              <w:keepLines/>
              <w:widowControl/>
              <w:rPr>
                <w:sz w:val="20"/>
                <w:szCs w:val="20"/>
              </w:rPr>
            </w:pPr>
            <w:r w:rsidRPr="00330234">
              <w:rPr>
                <w:sz w:val="20"/>
                <w:szCs w:val="20"/>
              </w:rPr>
              <w:t>Jaarlijkse voorkomen relapse, week 52</w:t>
            </w:r>
            <w:r w:rsidRPr="00330234">
              <w:rPr>
                <w:sz w:val="20"/>
                <w:szCs w:val="20"/>
                <w:vertAlign w:val="superscript"/>
              </w:rPr>
              <w:t>§</w:t>
            </w:r>
            <w:r w:rsidRPr="00330234">
              <w:rPr>
                <w:sz w:val="20"/>
                <w:szCs w:val="20"/>
              </w:rPr>
              <w:t xml:space="preserve"> Gemiddelde (SD)</w:t>
            </w:r>
          </w:p>
        </w:tc>
        <w:tc>
          <w:tcPr>
            <w:tcW w:w="1188" w:type="dxa"/>
            <w:tcBorders>
              <w:top w:val="single" w:sz="4" w:space="0" w:color="auto"/>
              <w:left w:val="single" w:sz="4" w:space="0" w:color="auto"/>
              <w:bottom w:val="single" w:sz="4" w:space="0" w:color="auto"/>
              <w:right w:val="single" w:sz="4" w:space="0" w:color="auto"/>
            </w:tcBorders>
          </w:tcPr>
          <w:p w14:paraId="44914B49" w14:textId="77777777" w:rsidR="00436DAA" w:rsidRPr="00330234" w:rsidRDefault="00436DAA" w:rsidP="00A16C61">
            <w:pPr>
              <w:pStyle w:val="TableParagraph"/>
              <w:keepNext/>
              <w:keepLines/>
              <w:widowControl/>
              <w:jc w:val="center"/>
              <w:rPr>
                <w:i/>
                <w:sz w:val="20"/>
                <w:szCs w:val="20"/>
              </w:rPr>
            </w:pPr>
          </w:p>
          <w:p w14:paraId="15021786" w14:textId="77777777" w:rsidR="00436DAA" w:rsidRPr="00330234" w:rsidRDefault="009B4B8E" w:rsidP="00A16C61">
            <w:pPr>
              <w:pStyle w:val="TableParagraph"/>
              <w:keepNext/>
              <w:keepLines/>
              <w:widowControl/>
              <w:jc w:val="center"/>
              <w:rPr>
                <w:sz w:val="20"/>
                <w:szCs w:val="20"/>
              </w:rPr>
            </w:pPr>
            <w:r w:rsidRPr="00330234">
              <w:rPr>
                <w:sz w:val="20"/>
                <w:szCs w:val="20"/>
              </w:rPr>
              <w:t>1,74 (2,18)</w:t>
            </w:r>
          </w:p>
        </w:tc>
        <w:tc>
          <w:tcPr>
            <w:tcW w:w="1188" w:type="dxa"/>
            <w:tcBorders>
              <w:top w:val="single" w:sz="4" w:space="0" w:color="auto"/>
              <w:left w:val="single" w:sz="4" w:space="0" w:color="auto"/>
              <w:bottom w:val="single" w:sz="4" w:space="0" w:color="auto"/>
              <w:right w:val="single" w:sz="4" w:space="0" w:color="auto"/>
            </w:tcBorders>
          </w:tcPr>
          <w:p w14:paraId="0C4D27A8" w14:textId="77777777" w:rsidR="00436DAA" w:rsidRPr="00330234" w:rsidRDefault="00436DAA" w:rsidP="00A16C61">
            <w:pPr>
              <w:pStyle w:val="TableParagraph"/>
              <w:keepNext/>
              <w:keepLines/>
              <w:widowControl/>
              <w:jc w:val="center"/>
              <w:rPr>
                <w:i/>
                <w:sz w:val="20"/>
                <w:szCs w:val="20"/>
              </w:rPr>
            </w:pPr>
          </w:p>
          <w:p w14:paraId="06F6FF73" w14:textId="77777777" w:rsidR="00436DAA" w:rsidRPr="00330234" w:rsidRDefault="009B4B8E" w:rsidP="00A16C61">
            <w:pPr>
              <w:pStyle w:val="TableParagraph"/>
              <w:keepNext/>
              <w:keepLines/>
              <w:widowControl/>
              <w:jc w:val="center"/>
              <w:rPr>
                <w:sz w:val="20"/>
                <w:szCs w:val="20"/>
              </w:rPr>
            </w:pPr>
            <w:r w:rsidRPr="00330234">
              <w:rPr>
                <w:sz w:val="20"/>
                <w:szCs w:val="20"/>
              </w:rPr>
              <w:t>1,30 (1,84)</w:t>
            </w:r>
          </w:p>
        </w:tc>
        <w:tc>
          <w:tcPr>
            <w:tcW w:w="1599" w:type="dxa"/>
            <w:tcBorders>
              <w:top w:val="single" w:sz="4" w:space="0" w:color="auto"/>
              <w:left w:val="single" w:sz="4" w:space="0" w:color="auto"/>
              <w:bottom w:val="single" w:sz="4" w:space="0" w:color="auto"/>
              <w:right w:val="single" w:sz="4" w:space="0" w:color="auto"/>
            </w:tcBorders>
          </w:tcPr>
          <w:p w14:paraId="4CB280B8" w14:textId="77777777" w:rsidR="00436DAA" w:rsidRPr="00330234" w:rsidRDefault="00436DAA" w:rsidP="00A16C61">
            <w:pPr>
              <w:pStyle w:val="TableParagraph"/>
              <w:keepNext/>
              <w:keepLines/>
              <w:widowControl/>
              <w:jc w:val="center"/>
              <w:rPr>
                <w:i/>
                <w:sz w:val="20"/>
                <w:szCs w:val="20"/>
              </w:rPr>
            </w:pPr>
          </w:p>
          <w:p w14:paraId="7700F78B" w14:textId="77777777" w:rsidR="00436DAA" w:rsidRPr="00330234" w:rsidRDefault="009B4B8E" w:rsidP="00A16C61">
            <w:pPr>
              <w:pStyle w:val="TableParagraph"/>
              <w:keepNext/>
              <w:keepLines/>
              <w:widowControl/>
              <w:jc w:val="center"/>
              <w:rPr>
                <w:sz w:val="20"/>
                <w:szCs w:val="20"/>
              </w:rPr>
            </w:pPr>
            <w:r w:rsidRPr="00330234">
              <w:rPr>
                <w:sz w:val="20"/>
                <w:szCs w:val="20"/>
              </w:rPr>
              <w:t>0,41 (0,78)</w:t>
            </w:r>
          </w:p>
        </w:tc>
        <w:tc>
          <w:tcPr>
            <w:tcW w:w="1599" w:type="dxa"/>
            <w:tcBorders>
              <w:top w:val="single" w:sz="4" w:space="0" w:color="auto"/>
              <w:left w:val="single" w:sz="4" w:space="0" w:color="auto"/>
              <w:bottom w:val="single" w:sz="4" w:space="0" w:color="auto"/>
              <w:right w:val="single" w:sz="4" w:space="0" w:color="auto"/>
            </w:tcBorders>
          </w:tcPr>
          <w:p w14:paraId="7B25947E" w14:textId="77777777" w:rsidR="00436DAA" w:rsidRPr="00330234" w:rsidRDefault="00436DAA" w:rsidP="00A16C61">
            <w:pPr>
              <w:pStyle w:val="TableParagraph"/>
              <w:keepNext/>
              <w:keepLines/>
              <w:widowControl/>
              <w:jc w:val="center"/>
              <w:rPr>
                <w:i/>
                <w:sz w:val="20"/>
                <w:szCs w:val="20"/>
              </w:rPr>
            </w:pPr>
          </w:p>
          <w:p w14:paraId="6BBE8F7F" w14:textId="77777777" w:rsidR="00436DAA" w:rsidRPr="00330234" w:rsidRDefault="009B4B8E" w:rsidP="00A16C61">
            <w:pPr>
              <w:pStyle w:val="TableParagraph"/>
              <w:keepNext/>
              <w:keepLines/>
              <w:widowControl/>
              <w:jc w:val="center"/>
              <w:rPr>
                <w:sz w:val="20"/>
                <w:szCs w:val="20"/>
              </w:rPr>
            </w:pPr>
            <w:r w:rsidRPr="00330234">
              <w:rPr>
                <w:sz w:val="20"/>
                <w:szCs w:val="20"/>
              </w:rPr>
              <w:t>0,67 (1,10)</w:t>
            </w:r>
          </w:p>
        </w:tc>
      </w:tr>
    </w:tbl>
    <w:p w14:paraId="2C1338E9" w14:textId="0425AD55" w:rsidR="00436DAA" w:rsidRPr="00330234" w:rsidRDefault="009B4B8E" w:rsidP="006E5B37">
      <w:pPr>
        <w:keepNext/>
        <w:keepLines/>
        <w:widowControl/>
        <w:ind w:left="284" w:hanging="284"/>
        <w:rPr>
          <w:sz w:val="18"/>
          <w:szCs w:val="18"/>
        </w:rPr>
      </w:pPr>
      <w:r w:rsidRPr="00330234">
        <w:rPr>
          <w:sz w:val="18"/>
          <w:szCs w:val="18"/>
        </w:rPr>
        <w:t>*</w:t>
      </w:r>
      <w:r w:rsidR="006E5B37" w:rsidRPr="00330234">
        <w:rPr>
          <w:sz w:val="18"/>
          <w:szCs w:val="18"/>
        </w:rPr>
        <w:tab/>
      </w:r>
      <w:r w:rsidRPr="00330234">
        <w:rPr>
          <w:sz w:val="18"/>
          <w:szCs w:val="18"/>
        </w:rPr>
        <w:t>p&lt; 0,0001</w:t>
      </w:r>
    </w:p>
    <w:p w14:paraId="787B1669" w14:textId="423C4D32" w:rsidR="00436DAA" w:rsidRPr="00330234" w:rsidRDefault="009B4B8E" w:rsidP="006E5B37">
      <w:pPr>
        <w:keepNext/>
        <w:keepLines/>
        <w:widowControl/>
        <w:ind w:left="284" w:hanging="284"/>
        <w:rPr>
          <w:sz w:val="18"/>
          <w:szCs w:val="18"/>
        </w:rPr>
      </w:pPr>
      <w:r w:rsidRPr="00330234">
        <w:rPr>
          <w:sz w:val="18"/>
          <w:szCs w:val="18"/>
        </w:rPr>
        <w:t>**</w:t>
      </w:r>
      <w:r w:rsidR="006E5B37" w:rsidRPr="00330234">
        <w:rPr>
          <w:sz w:val="18"/>
          <w:szCs w:val="18"/>
        </w:rPr>
        <w:tab/>
      </w:r>
      <w:r w:rsidRPr="00330234">
        <w:rPr>
          <w:sz w:val="18"/>
          <w:szCs w:val="18"/>
        </w:rPr>
        <w:t>p&lt; 0,005 (drempelwaarde voor significantie van primaire en belangrijke secundaire testen van superioriteit)</w:t>
      </w:r>
    </w:p>
    <w:p w14:paraId="2517BD32" w14:textId="77777777" w:rsidR="00436DAA" w:rsidRPr="00330234" w:rsidRDefault="009B4B8E" w:rsidP="006E5B37">
      <w:pPr>
        <w:keepNext/>
        <w:keepLines/>
        <w:widowControl/>
        <w:ind w:left="284" w:hanging="284"/>
        <w:rPr>
          <w:sz w:val="18"/>
          <w:szCs w:val="18"/>
        </w:rPr>
      </w:pPr>
      <w:r w:rsidRPr="00330234">
        <w:rPr>
          <w:sz w:val="18"/>
          <w:szCs w:val="18"/>
        </w:rPr>
        <w:t>*** Beschrijvende p-waarde &lt; 0,005</w:t>
      </w:r>
    </w:p>
    <w:p w14:paraId="1AC1F52B" w14:textId="590020D7" w:rsidR="00436DAA" w:rsidRPr="00330234" w:rsidRDefault="009B4B8E" w:rsidP="006E5B37">
      <w:pPr>
        <w:keepNext/>
        <w:keepLines/>
        <w:widowControl/>
        <w:rPr>
          <w:sz w:val="18"/>
          <w:szCs w:val="18"/>
        </w:rPr>
      </w:pPr>
      <w:r w:rsidRPr="00330234">
        <w:rPr>
          <w:sz w:val="18"/>
          <w:szCs w:val="18"/>
        </w:rPr>
        <w:t>****</w:t>
      </w:r>
      <w:r w:rsidR="006E5B37" w:rsidRPr="00330234">
        <w:rPr>
          <w:sz w:val="18"/>
          <w:szCs w:val="18"/>
        </w:rPr>
        <w:t xml:space="preserve"> </w:t>
      </w:r>
      <w:r w:rsidRPr="00330234">
        <w:rPr>
          <w:sz w:val="18"/>
          <w:szCs w:val="18"/>
        </w:rPr>
        <w:t>‘Flare’: terugkeren van GCA-klachten of verschijnselen en/of ESR &gt;30 mm/uur - Verhoging van prednisondosis benodigd. Remissie: afwezigheid van ‘flare’ en normalisering van CRP. Aanhoudende remissie: remissie van week 12 tot week 52 - Patiënten moeten zich houden aan de in het protocol gedefinieerde afbouwende prednisonbehandeling</w:t>
      </w:r>
    </w:p>
    <w:p w14:paraId="1DE72979" w14:textId="737F4640" w:rsidR="00436DAA" w:rsidRPr="00330234" w:rsidRDefault="009B4B8E" w:rsidP="006E5B37">
      <w:pPr>
        <w:keepNext/>
        <w:keepLines/>
        <w:widowControl/>
        <w:ind w:left="284" w:hanging="284"/>
        <w:rPr>
          <w:sz w:val="18"/>
          <w:szCs w:val="18"/>
        </w:rPr>
      </w:pPr>
      <w:r w:rsidRPr="00330234">
        <w:rPr>
          <w:sz w:val="18"/>
          <w:szCs w:val="18"/>
          <w:vertAlign w:val="superscript"/>
        </w:rPr>
        <w:t>1</w:t>
      </w:r>
      <w:r w:rsidR="006E5B37" w:rsidRPr="00330234">
        <w:rPr>
          <w:sz w:val="18"/>
          <w:szCs w:val="18"/>
        </w:rPr>
        <w:tab/>
      </w:r>
      <w:r w:rsidRPr="00330234">
        <w:rPr>
          <w:sz w:val="18"/>
          <w:szCs w:val="18"/>
        </w:rPr>
        <w:t>analyse van de tijd (in dagen) tussen klinische remissie en eerste ‘flare’ van de ziekte</w:t>
      </w:r>
    </w:p>
    <w:p w14:paraId="482EB8EF" w14:textId="2C44E5B8" w:rsidR="00436DAA" w:rsidRPr="00330234" w:rsidRDefault="009B4B8E" w:rsidP="006E5B37">
      <w:pPr>
        <w:keepNext/>
        <w:keepLines/>
        <w:widowControl/>
        <w:ind w:left="284" w:hanging="284"/>
        <w:rPr>
          <w:sz w:val="18"/>
          <w:szCs w:val="18"/>
        </w:rPr>
      </w:pPr>
      <w:r w:rsidRPr="00330234">
        <w:rPr>
          <w:sz w:val="18"/>
          <w:szCs w:val="18"/>
          <w:vertAlign w:val="superscript"/>
        </w:rPr>
        <w:t>2</w:t>
      </w:r>
      <w:r w:rsidR="006E5B37" w:rsidRPr="00330234">
        <w:rPr>
          <w:sz w:val="18"/>
          <w:szCs w:val="18"/>
        </w:rPr>
        <w:tab/>
      </w:r>
      <w:r w:rsidRPr="00330234">
        <w:rPr>
          <w:sz w:val="18"/>
          <w:szCs w:val="18"/>
        </w:rPr>
        <w:t>p-waarden zijn vastgesteld met behulp van een Van Elteren-analyse voor non-parametrische gegevens</w:t>
      </w:r>
    </w:p>
    <w:p w14:paraId="43798895" w14:textId="718BA550" w:rsidR="00436DAA" w:rsidRPr="00330234" w:rsidRDefault="009B4B8E" w:rsidP="006E5B37">
      <w:pPr>
        <w:keepNext/>
        <w:keepLines/>
        <w:widowControl/>
        <w:ind w:left="284" w:hanging="284"/>
        <w:rPr>
          <w:sz w:val="18"/>
          <w:szCs w:val="18"/>
        </w:rPr>
      </w:pPr>
      <w:r w:rsidRPr="00330234">
        <w:rPr>
          <w:sz w:val="18"/>
          <w:szCs w:val="18"/>
          <w:vertAlign w:val="superscript"/>
        </w:rPr>
        <w:t>§</w:t>
      </w:r>
      <w:r w:rsidR="006E5B37" w:rsidRPr="00330234">
        <w:rPr>
          <w:sz w:val="18"/>
          <w:szCs w:val="18"/>
        </w:rPr>
        <w:tab/>
      </w:r>
      <w:r w:rsidRPr="00330234">
        <w:rPr>
          <w:sz w:val="18"/>
          <w:szCs w:val="18"/>
        </w:rPr>
        <w:t>statistische analysen niet uitgevoerd</w:t>
      </w:r>
    </w:p>
    <w:p w14:paraId="28799B37" w14:textId="77777777" w:rsidR="00436DAA" w:rsidRPr="00330234" w:rsidRDefault="009B4B8E" w:rsidP="006E5B37">
      <w:pPr>
        <w:keepNext/>
        <w:keepLines/>
        <w:widowControl/>
        <w:ind w:left="284" w:hanging="284"/>
        <w:rPr>
          <w:sz w:val="18"/>
          <w:szCs w:val="18"/>
        </w:rPr>
      </w:pPr>
      <w:r w:rsidRPr="00330234">
        <w:rPr>
          <w:sz w:val="18"/>
          <w:szCs w:val="18"/>
        </w:rPr>
        <w:t>N/A = Niet van toepassing (‘not applicable’) HR = Hazard Ratio</w:t>
      </w:r>
    </w:p>
    <w:p w14:paraId="5C4453B6" w14:textId="77777777" w:rsidR="00436DAA" w:rsidRPr="00330234" w:rsidRDefault="009B4B8E" w:rsidP="006E5B37">
      <w:pPr>
        <w:keepNext/>
        <w:keepLines/>
        <w:widowControl/>
        <w:ind w:left="284" w:hanging="284"/>
        <w:rPr>
          <w:sz w:val="18"/>
          <w:szCs w:val="18"/>
        </w:rPr>
      </w:pPr>
      <w:r w:rsidRPr="00330234">
        <w:rPr>
          <w:sz w:val="18"/>
          <w:szCs w:val="18"/>
        </w:rPr>
        <w:t>BI = Betrouwbaarheidsinterval</w:t>
      </w:r>
    </w:p>
    <w:p w14:paraId="0CD3127F" w14:textId="77777777" w:rsidR="00436DAA" w:rsidRPr="00330234" w:rsidRDefault="00436DAA" w:rsidP="00BD109B">
      <w:pPr>
        <w:widowControl/>
      </w:pPr>
    </w:p>
    <w:p w14:paraId="3FFCD7A3" w14:textId="77777777" w:rsidR="00436DAA" w:rsidRPr="00330234" w:rsidRDefault="009B4B8E" w:rsidP="00BD109B">
      <w:pPr>
        <w:widowControl/>
        <w:rPr>
          <w:i/>
        </w:rPr>
      </w:pPr>
      <w:r w:rsidRPr="00330234">
        <w:rPr>
          <w:i/>
        </w:rPr>
        <w:t>Resultaten gerelateerd aan kwaliteit van leven</w:t>
      </w:r>
    </w:p>
    <w:p w14:paraId="61E969FF" w14:textId="77777777" w:rsidR="00436DAA" w:rsidRPr="00330234" w:rsidRDefault="00436DAA" w:rsidP="00BD109B">
      <w:pPr>
        <w:pStyle w:val="a3"/>
        <w:widowControl/>
        <w:ind w:left="0"/>
        <w:rPr>
          <w:i/>
        </w:rPr>
      </w:pPr>
    </w:p>
    <w:p w14:paraId="1B10B847" w14:textId="67280D83" w:rsidR="00436DAA" w:rsidRPr="00330234" w:rsidRDefault="009B4B8E" w:rsidP="00A16C61">
      <w:pPr>
        <w:pStyle w:val="a3"/>
        <w:widowControl/>
        <w:ind w:left="0"/>
      </w:pPr>
      <w:r w:rsidRPr="00330234">
        <w:t xml:space="preserve">In onderzoek WA28119 waren de SF-36 resultaten verdeeld in fysieke en mentale component samenvattende scores (respectievelijk PCS en MCS). De gemiddelde verandering in PCS vanaf baseline tot week 52 was hoger (liet meer verbetering zien) in de groepen met wekelijkse en om de week behandeling met </w:t>
      </w:r>
      <w:r w:rsidR="00FA591D" w:rsidRPr="00330234">
        <w:t>tocilizumab</w:t>
      </w:r>
      <w:r w:rsidRPr="00330234">
        <w:t xml:space="preserve"> subcutaan [respectievelijk 4,10 en 2,76] dan in de twee placebogroepen [placebo plus in 26 weken afbouwend: -0,28; placebo plus in 52 weken afbouwend: -1,49], hoewel alleen de vergelijking tussen de groep met wekelijks </w:t>
      </w:r>
      <w:r w:rsidR="00FA591D" w:rsidRPr="00330234">
        <w:t>tocilizumab</w:t>
      </w:r>
      <w:r w:rsidRPr="00330234">
        <w:t xml:space="preserve"> plus in 26 weken afbouwende prednisonbehandeling en de placebogroep plus in 52 weken afbouwende prednisonbehandeling (5,59; 99%-BI: 8,6; 10,32) een statistisch significant verschil liet zien (p=0,0024). Voor MCS was de gemiddelde verandering vanaf baseline tot week 52 voor de groepen</w:t>
      </w:r>
      <w:r w:rsidR="00A16C61" w:rsidRPr="00330234">
        <w:t xml:space="preserve"> </w:t>
      </w:r>
      <w:r w:rsidRPr="00330234">
        <w:t xml:space="preserve">met wekelijkse en om de week behandeling met </w:t>
      </w:r>
      <w:r w:rsidR="00FA591D" w:rsidRPr="00330234">
        <w:t>tocilizumab</w:t>
      </w:r>
      <w:r w:rsidRPr="00330234">
        <w:t xml:space="preserve"> [respectievelijk 7,28 en 6,12] hoger dan in de placebogroep plus in 52 weken afbouwende prednisonbehandeling [2,84] (hoewel de verschillen niet statistisch significant waren [wekelijks p=0,0252; om de week p=0,1465]) en was vergelijkbaar met de placebogroep plus in 26 weken afbouwende prednisonbehandeling [6,67].</w:t>
      </w:r>
    </w:p>
    <w:p w14:paraId="6B7A4B5D" w14:textId="77777777" w:rsidR="00436DAA" w:rsidRPr="00330234" w:rsidRDefault="00436DAA" w:rsidP="00BD109B">
      <w:pPr>
        <w:pStyle w:val="a3"/>
        <w:widowControl/>
        <w:ind w:left="0"/>
      </w:pPr>
    </w:p>
    <w:p w14:paraId="4DAA2B3E" w14:textId="0FEB9B73" w:rsidR="00436DAA" w:rsidRPr="00330234" w:rsidRDefault="009B4B8E" w:rsidP="00BD109B">
      <w:pPr>
        <w:pStyle w:val="a3"/>
        <w:widowControl/>
        <w:ind w:left="0"/>
      </w:pPr>
      <w:r w:rsidRPr="00330234">
        <w:t xml:space="preserve">De algemene waardering door de patiënt van de ziekteactiviteit werd beoordeeld op een 0-100 mm ‘Visual Analogue Scale’ (VAS). De gemiddelde verandering in algemene patiënten-VAS-waardering vanaf baseline tot week 52 was lager (liet meer verbetering zien) in de groepen met wekelijkse en om de week behandeling met </w:t>
      </w:r>
      <w:r w:rsidR="00FA591D" w:rsidRPr="00330234">
        <w:t>tocilizumab</w:t>
      </w:r>
      <w:r w:rsidRPr="00330234">
        <w:t xml:space="preserve"> [respectievelijk -19,0 en -25,3] dan in beide placebogroepen [placebo plus in 26 weken afbouwend -3,4; placebo plus in 52 weken afbouwend -7,2], hoewel alleen de groep met om de week </w:t>
      </w:r>
      <w:r w:rsidR="00FA591D" w:rsidRPr="00330234">
        <w:t>tocilizumab</w:t>
      </w:r>
      <w:r w:rsidRPr="00330234">
        <w:t xml:space="preserve"> plus in 26 weken afbouwende prednisonbehandeling vergeleken met placebo [placebo plus in 26 weken afbouwende prednisonbehandeling p=0,0059; placebo plus in 52 weken afbouwende prednisonbehandeling p=0,0081] een statistisch significant verschil liet zien.</w:t>
      </w:r>
    </w:p>
    <w:p w14:paraId="1449B820" w14:textId="77777777" w:rsidR="00436DAA" w:rsidRPr="00330234" w:rsidRDefault="00436DAA" w:rsidP="00BD109B">
      <w:pPr>
        <w:pStyle w:val="a3"/>
        <w:widowControl/>
        <w:ind w:left="0"/>
      </w:pPr>
    </w:p>
    <w:p w14:paraId="2F1B8E4C" w14:textId="7CBC76B4" w:rsidR="00436DAA" w:rsidRPr="00330234" w:rsidRDefault="009B4B8E" w:rsidP="00A16C61">
      <w:pPr>
        <w:pStyle w:val="a3"/>
        <w:widowControl/>
        <w:ind w:left="0"/>
      </w:pPr>
      <w:r w:rsidRPr="00330234">
        <w:t xml:space="preserve">De verandering in de waarden voor de FACIT-Fatigue-schaal van baseline tot week 52 werd berekend voor alle groepen. De gemiddelde [SD] veranderingswaarden waren als volgt: wekelijks </w:t>
      </w:r>
      <w:r w:rsidR="00FA591D" w:rsidRPr="00330234">
        <w:t>tocilizumab</w:t>
      </w:r>
      <w:r w:rsidRPr="00330234">
        <w:t xml:space="preserve"> plus 26 weken 5,61 [10,115], om de week </w:t>
      </w:r>
      <w:r w:rsidR="00FA591D" w:rsidRPr="00330234">
        <w:t>tocilizumab</w:t>
      </w:r>
      <w:r w:rsidRPr="00330234">
        <w:t xml:space="preserve"> plus 26 weken 1,18 [8,836], placebo plus</w:t>
      </w:r>
      <w:r w:rsidR="00A16C61" w:rsidRPr="00330234">
        <w:t xml:space="preserve"> </w:t>
      </w:r>
      <w:r w:rsidRPr="00330234">
        <w:t>26</w:t>
      </w:r>
      <w:r w:rsidR="00A16C61" w:rsidRPr="00330234">
        <w:t> </w:t>
      </w:r>
      <w:r w:rsidRPr="00330234">
        <w:t>weken 0,26 [10,702], en placebo plus 52 weken -1,63 [6,753].</w:t>
      </w:r>
    </w:p>
    <w:p w14:paraId="4F2EB613" w14:textId="77777777" w:rsidR="00436DAA" w:rsidRPr="00330234" w:rsidRDefault="00436DAA" w:rsidP="00BD109B">
      <w:pPr>
        <w:pStyle w:val="a3"/>
        <w:widowControl/>
        <w:ind w:left="0"/>
      </w:pPr>
    </w:p>
    <w:p w14:paraId="1637655D" w14:textId="05AFC8CB" w:rsidR="00436DAA" w:rsidRPr="00330234" w:rsidRDefault="009B4B8E" w:rsidP="00A16C61">
      <w:pPr>
        <w:pStyle w:val="a3"/>
        <w:widowControl/>
        <w:ind w:left="0"/>
      </w:pPr>
      <w:r w:rsidRPr="00330234">
        <w:lastRenderedPageBreak/>
        <w:t xml:space="preserve">Verandering in EQ5D-waarden vanaf baseline tot week 52 waren: wekelijks </w:t>
      </w:r>
      <w:r w:rsidR="00FA591D" w:rsidRPr="00330234">
        <w:t>tocilizumab</w:t>
      </w:r>
      <w:r w:rsidRPr="00330234">
        <w:t xml:space="preserve"> plus</w:t>
      </w:r>
      <w:r w:rsidR="00A16C61" w:rsidRPr="00330234">
        <w:t xml:space="preserve"> </w:t>
      </w:r>
      <w:r w:rsidRPr="00330234">
        <w:t>26</w:t>
      </w:r>
      <w:r w:rsidR="00A16C61" w:rsidRPr="00330234">
        <w:t> </w:t>
      </w:r>
      <w:r w:rsidRPr="00330234">
        <w:t xml:space="preserve">weken 0,10 [0,198], om de week </w:t>
      </w:r>
      <w:r w:rsidR="00FA591D" w:rsidRPr="00330234">
        <w:t>tocilizumab</w:t>
      </w:r>
      <w:r w:rsidRPr="00330234">
        <w:t xml:space="preserve"> plus 26 weken 0,05 [0,215], placebo plus 26 weken</w:t>
      </w:r>
      <w:r w:rsidR="00A16C61" w:rsidRPr="00330234">
        <w:t xml:space="preserve"> </w:t>
      </w:r>
      <w:r w:rsidRPr="00330234">
        <w:t>0,07 [0,293], en placebo plus 52 weken -0,02 [0,159].</w:t>
      </w:r>
    </w:p>
    <w:p w14:paraId="37510E4E" w14:textId="77777777" w:rsidR="00A16C61" w:rsidRPr="00330234" w:rsidRDefault="00A16C61" w:rsidP="00A16C61">
      <w:pPr>
        <w:pStyle w:val="a3"/>
        <w:widowControl/>
        <w:ind w:left="0"/>
      </w:pPr>
    </w:p>
    <w:p w14:paraId="278929D0" w14:textId="77777777" w:rsidR="00A16C61" w:rsidRPr="00330234" w:rsidRDefault="009B4B8E" w:rsidP="00BD109B">
      <w:pPr>
        <w:pStyle w:val="a3"/>
        <w:widowControl/>
        <w:ind w:left="0"/>
      </w:pPr>
      <w:r w:rsidRPr="00330234">
        <w:t>Hogere waarden betekenen verbetering voor zowel FACIT-Fatigue als EQ5D.</w:t>
      </w:r>
    </w:p>
    <w:p w14:paraId="486A5D0A" w14:textId="77777777" w:rsidR="00A16C61" w:rsidRPr="00330234" w:rsidRDefault="00A16C61" w:rsidP="00BD109B">
      <w:pPr>
        <w:pStyle w:val="a3"/>
        <w:widowControl/>
        <w:ind w:left="0"/>
      </w:pPr>
    </w:p>
    <w:p w14:paraId="66386BF0" w14:textId="5415C7EF" w:rsidR="00436DAA" w:rsidRPr="00330234" w:rsidRDefault="009B4B8E" w:rsidP="00A16C61">
      <w:pPr>
        <w:pStyle w:val="a3"/>
        <w:keepNext/>
        <w:keepLines/>
        <w:widowControl/>
        <w:ind w:left="0"/>
      </w:pPr>
      <w:r w:rsidRPr="00330234">
        <w:rPr>
          <w:u w:val="single"/>
        </w:rPr>
        <w:t>Intraveneus gebruik</w:t>
      </w:r>
    </w:p>
    <w:p w14:paraId="1D91B726" w14:textId="77777777" w:rsidR="00436DAA" w:rsidRPr="00330234" w:rsidRDefault="009B4B8E" w:rsidP="00A16C61">
      <w:pPr>
        <w:keepNext/>
        <w:keepLines/>
        <w:widowControl/>
        <w:rPr>
          <w:b/>
        </w:rPr>
      </w:pPr>
      <w:r w:rsidRPr="00330234">
        <w:rPr>
          <w:b/>
          <w:u w:val="single"/>
        </w:rPr>
        <w:t>RA</w:t>
      </w:r>
    </w:p>
    <w:p w14:paraId="7A2BE1ED" w14:textId="77777777" w:rsidR="00436DAA" w:rsidRPr="00330234" w:rsidRDefault="009B4B8E" w:rsidP="00A16C61">
      <w:pPr>
        <w:pStyle w:val="a3"/>
        <w:keepNext/>
        <w:keepLines/>
        <w:widowControl/>
        <w:ind w:left="0"/>
      </w:pPr>
      <w:r w:rsidRPr="00330234">
        <w:rPr>
          <w:u w:val="single"/>
        </w:rPr>
        <w:t>Klinische werkzaamheid</w:t>
      </w:r>
    </w:p>
    <w:p w14:paraId="5EA1E700" w14:textId="0660928D" w:rsidR="00436DAA" w:rsidRPr="00330234" w:rsidRDefault="009B4B8E" w:rsidP="00A16C61">
      <w:pPr>
        <w:pStyle w:val="a3"/>
        <w:keepNext/>
        <w:keepLines/>
        <w:widowControl/>
        <w:ind w:left="0"/>
      </w:pPr>
      <w:r w:rsidRPr="00330234">
        <w:t>De werkzaamheid van tocilizumab in het verbeteren van de klachten en symptomen van RA is onderzocht in 5 gerandomiseerde, dubbelblinde, multicenter studies. In de studies I-V zaten patiënten</w:t>
      </w:r>
      <w:r w:rsidR="00A16C61" w:rsidRPr="00330234">
        <w:t xml:space="preserve"> </w:t>
      </w:r>
      <w:r w:rsidR="009A082E" w:rsidRPr="00330234">
        <w:t>≥</w:t>
      </w:r>
      <w:r w:rsidRPr="00330234">
        <w:t xml:space="preserve"> 18 jaar met actieve RA die volgens de </w:t>
      </w:r>
      <w:r w:rsidRPr="00330234">
        <w:rPr>
          <w:i/>
        </w:rPr>
        <w:t xml:space="preserve">American College of Rheumatology </w:t>
      </w:r>
      <w:r w:rsidRPr="00330234">
        <w:t>(ACR)-criteria gediagnosticeerd waren en die op baseline ten minste 8 gevoelige en 6 gezwollen gewrichten hadden.</w:t>
      </w:r>
    </w:p>
    <w:p w14:paraId="4B94A3A4" w14:textId="77777777" w:rsidR="00A16C61" w:rsidRPr="00330234" w:rsidRDefault="00A16C61" w:rsidP="00A16C61">
      <w:pPr>
        <w:pStyle w:val="a3"/>
        <w:keepNext/>
        <w:keepLines/>
        <w:widowControl/>
        <w:ind w:left="0"/>
      </w:pPr>
    </w:p>
    <w:p w14:paraId="0427C179" w14:textId="7CC64B4C" w:rsidR="00436DAA" w:rsidRPr="00330234" w:rsidRDefault="009B4B8E" w:rsidP="00BD109B">
      <w:pPr>
        <w:pStyle w:val="a3"/>
        <w:widowControl/>
        <w:ind w:left="0"/>
      </w:pPr>
      <w:r w:rsidRPr="00330234">
        <w:t xml:space="preserve">In studie I werd </w:t>
      </w:r>
      <w:r w:rsidR="00FA591D" w:rsidRPr="00330234">
        <w:t>tocilizumab</w:t>
      </w:r>
      <w:r w:rsidRPr="00330234">
        <w:t xml:space="preserve"> elke vier weken als monotherapie intraveneus toegediend. Bij studie II, III en V werd </w:t>
      </w:r>
      <w:r w:rsidR="00FA591D" w:rsidRPr="00330234">
        <w:t>tocilizumab</w:t>
      </w:r>
      <w:r w:rsidRPr="00330234">
        <w:t xml:space="preserve"> elke vier weken intraveneus toegediend in combinatie met MTX vs placebo en MTX. In studie IV werd </w:t>
      </w:r>
      <w:r w:rsidR="00FA591D" w:rsidRPr="00330234">
        <w:t>tocilizumab</w:t>
      </w:r>
      <w:r w:rsidRPr="00330234">
        <w:t xml:space="preserve"> elke vier weken intraveneus toegediend in combinatie met andere DMARD’s vs placebo en andere DMARD’s. Het primaire eindpunt van alle vijf studies was het percentage patiënten dat een ACR20-respons bereikte op week 24.</w:t>
      </w:r>
    </w:p>
    <w:p w14:paraId="0435EF11" w14:textId="77777777" w:rsidR="00436DAA" w:rsidRPr="00330234" w:rsidRDefault="00436DAA" w:rsidP="00BD109B">
      <w:pPr>
        <w:pStyle w:val="a3"/>
        <w:widowControl/>
        <w:ind w:left="0"/>
      </w:pPr>
    </w:p>
    <w:p w14:paraId="242103D1" w14:textId="5E439852" w:rsidR="00436DAA" w:rsidRPr="00330234" w:rsidRDefault="009B4B8E" w:rsidP="00BD109B">
      <w:pPr>
        <w:pStyle w:val="a3"/>
        <w:widowControl/>
        <w:ind w:left="0"/>
      </w:pPr>
      <w:r w:rsidRPr="00330234">
        <w:t xml:space="preserve">In studie I werden 673 patiënten geëvalueerd die in de 6 maanden voor randomisatie niet met MTX waren behandeld en bij wie een voorgaande MTX-behandeling niet was gestaakt vanwege klinisch belangrijke toxische effecten of het uitblijven van respons. De meerderheid (67%) van de patiënten was MTX-naïef. Doseringen van 8 mg/kg van </w:t>
      </w:r>
      <w:r w:rsidR="00FA591D" w:rsidRPr="00330234">
        <w:t>tocilizumab</w:t>
      </w:r>
      <w:r w:rsidRPr="00330234">
        <w:t xml:space="preserve"> werden elke 4 weken als monotherapie toegediend. De controlegroep kreeg wekelijks MTX (dosering werd getitreerd vanaf 7,5 mg tot een maximum van 20 mg wekelijks gedurende 8 weken).</w:t>
      </w:r>
    </w:p>
    <w:p w14:paraId="37BA855D" w14:textId="77777777" w:rsidR="00436DAA" w:rsidRPr="00330234" w:rsidRDefault="00436DAA" w:rsidP="00BD109B">
      <w:pPr>
        <w:widowControl/>
      </w:pPr>
    </w:p>
    <w:p w14:paraId="080408B8" w14:textId="16AC772B" w:rsidR="00436DAA" w:rsidRPr="00330234" w:rsidRDefault="009B4B8E" w:rsidP="00A16C61">
      <w:pPr>
        <w:pStyle w:val="a3"/>
        <w:widowControl/>
        <w:ind w:left="0"/>
      </w:pPr>
      <w:r w:rsidRPr="00330234">
        <w:t xml:space="preserve">In studie II, een twee jaar durende studie met geplande analyses op week 24, week 52 en week 104, werden 1196 patiënten met onvoldoende klinische respons op MTX geëvalueerd. Doseringen van 4 of 8 mg/kg van </w:t>
      </w:r>
      <w:r w:rsidR="00FA591D" w:rsidRPr="00330234">
        <w:t>tocilizumab</w:t>
      </w:r>
      <w:r w:rsidRPr="00330234">
        <w:t xml:space="preserve"> of placebo werden elke vier weken geblindeerd toegediend gedurende</w:t>
      </w:r>
      <w:r w:rsidR="00A16C61" w:rsidRPr="00330234">
        <w:t xml:space="preserve"> </w:t>
      </w:r>
      <w:r w:rsidRPr="00330234">
        <w:t>52</w:t>
      </w:r>
      <w:r w:rsidR="00A16C61" w:rsidRPr="00330234">
        <w:t> </w:t>
      </w:r>
      <w:r w:rsidRPr="00330234">
        <w:t xml:space="preserve">weken in combinatie met een vaste dosis MTX (10 -25 mg wekelijks). Na week 52 konden alle patiënten een open-label-behandeling krijgen met </w:t>
      </w:r>
      <w:r w:rsidR="00FA591D" w:rsidRPr="00330234">
        <w:t>tocilizumab</w:t>
      </w:r>
      <w:r w:rsidRPr="00330234">
        <w:t xml:space="preserve"> 8 mg/kg. Van de patiënten die de studie afmaakten en die oorspronkelijk gerandomiseerd waren naar placebo + MTX, kreeg 86% open-label </w:t>
      </w:r>
      <w:r w:rsidR="00FA591D" w:rsidRPr="00330234">
        <w:t>tocilizumab</w:t>
      </w:r>
      <w:r w:rsidRPr="00330234">
        <w:t xml:space="preserve"> 8 mg/kg in het 2</w:t>
      </w:r>
      <w:r w:rsidRPr="00330234">
        <w:rPr>
          <w:vertAlign w:val="superscript"/>
        </w:rPr>
        <w:t>e</w:t>
      </w:r>
      <w:r w:rsidRPr="00330234">
        <w:t xml:space="preserve"> jaar. Het primaire eindpunt op week 24 was het percentage patiënten dat een ACR20-respons had bereikt. Co-primaire eindpunten waren preventie van gewrichtsschade en verbetering van lichamelijk functioneren op week 52 en week 104.</w:t>
      </w:r>
    </w:p>
    <w:p w14:paraId="1DCF26FB" w14:textId="77777777" w:rsidR="00436DAA" w:rsidRPr="00330234" w:rsidRDefault="00436DAA" w:rsidP="00BD109B">
      <w:pPr>
        <w:pStyle w:val="a3"/>
        <w:widowControl/>
        <w:ind w:left="0"/>
      </w:pPr>
    </w:p>
    <w:p w14:paraId="2F173521" w14:textId="7164730E" w:rsidR="00436DAA" w:rsidRPr="00330234" w:rsidRDefault="009B4B8E" w:rsidP="00BD109B">
      <w:pPr>
        <w:pStyle w:val="a3"/>
        <w:widowControl/>
        <w:ind w:left="0"/>
      </w:pPr>
      <w:r w:rsidRPr="00330234">
        <w:t xml:space="preserve">In studie III werden 623 patiënten geëvalueerd met onvoldoende klinische respons op MTX. Doseringen van 4 of 8 mg/kg </w:t>
      </w:r>
      <w:r w:rsidR="00FA591D" w:rsidRPr="00330234">
        <w:t>tocilizumab</w:t>
      </w:r>
      <w:r w:rsidRPr="00330234">
        <w:t xml:space="preserve"> of placebo werden elke vier weken gegeven, in combinatie met een vaste dosis MTX (10-25 mg wekelijks).</w:t>
      </w:r>
    </w:p>
    <w:p w14:paraId="67A1A4B9" w14:textId="77777777" w:rsidR="00A16C61" w:rsidRPr="00330234" w:rsidRDefault="00A16C61" w:rsidP="00BD109B">
      <w:pPr>
        <w:pStyle w:val="a3"/>
        <w:widowControl/>
        <w:ind w:left="0"/>
      </w:pPr>
    </w:p>
    <w:p w14:paraId="285E084C" w14:textId="359EC70A" w:rsidR="00436DAA" w:rsidRPr="00330234" w:rsidRDefault="009B4B8E" w:rsidP="00BD109B">
      <w:pPr>
        <w:pStyle w:val="a3"/>
        <w:widowControl/>
        <w:ind w:left="0"/>
      </w:pPr>
      <w:r w:rsidRPr="00330234">
        <w:t xml:space="preserve">In studie IV werden 1220 patiënten geëvalueerd die onvoldoende reageerden op hun bestaande antireumatische therapie, inclusief één of meerdere DMARD’s. </w:t>
      </w:r>
      <w:r w:rsidR="00FA591D" w:rsidRPr="00330234">
        <w:t>tocilizumab</w:t>
      </w:r>
      <w:r w:rsidRPr="00330234">
        <w:t xml:space="preserve"> 8 mg/kg of placebo werd elke vier weken toegediend in combinatie met een vaste dosis DMARD.</w:t>
      </w:r>
    </w:p>
    <w:p w14:paraId="3A710A83" w14:textId="77777777" w:rsidR="00436DAA" w:rsidRPr="00330234" w:rsidRDefault="00436DAA" w:rsidP="00BD109B">
      <w:pPr>
        <w:pStyle w:val="a3"/>
        <w:widowControl/>
        <w:ind w:left="0"/>
      </w:pPr>
    </w:p>
    <w:p w14:paraId="1DAD1CF2" w14:textId="77777777" w:rsidR="00436DAA" w:rsidRPr="00330234" w:rsidRDefault="009B4B8E" w:rsidP="00BD109B">
      <w:pPr>
        <w:pStyle w:val="a3"/>
        <w:widowControl/>
        <w:ind w:left="0"/>
      </w:pPr>
      <w:r w:rsidRPr="00330234">
        <w:t>In studie V werden 499 patiënten geëvalueerd die onvoldoende klinische respons hadden op of intolerant waren voor één of meerdere TNF-antagonisten. De therapie met TNF-antagonisten werd voor randomisatie gestopt. Doseringen van 4 of 8 mg/kg tocilizumab of placebo werden elke vier weken gegeven, in combinatie met een vaste dosis MTX (10-25 mg wekelijks).</w:t>
      </w:r>
    </w:p>
    <w:p w14:paraId="153C2784" w14:textId="77777777" w:rsidR="00436DAA" w:rsidRPr="00330234" w:rsidRDefault="00436DAA" w:rsidP="00BD109B">
      <w:pPr>
        <w:pStyle w:val="a3"/>
        <w:widowControl/>
        <w:ind w:left="0"/>
      </w:pPr>
    </w:p>
    <w:p w14:paraId="3FC49DE3" w14:textId="77777777" w:rsidR="00436DAA" w:rsidRPr="00330234" w:rsidRDefault="009B4B8E" w:rsidP="00BD109B">
      <w:pPr>
        <w:pStyle w:val="a3"/>
        <w:widowControl/>
        <w:ind w:left="0"/>
      </w:pPr>
      <w:r w:rsidRPr="00330234">
        <w:rPr>
          <w:u w:val="single"/>
        </w:rPr>
        <w:t>Klinische respons</w:t>
      </w:r>
    </w:p>
    <w:p w14:paraId="74E9EA5F" w14:textId="59B3A390" w:rsidR="00436DAA" w:rsidRPr="00330234" w:rsidRDefault="009B4B8E" w:rsidP="00BD109B">
      <w:pPr>
        <w:pStyle w:val="a3"/>
        <w:widowControl/>
        <w:ind w:left="0"/>
      </w:pPr>
      <w:r w:rsidRPr="00330234">
        <w:t xml:space="preserve">In alle studies bereikten de patiënten die met </w:t>
      </w:r>
      <w:r w:rsidR="00FA591D" w:rsidRPr="00330234">
        <w:t>tocilizumab</w:t>
      </w:r>
      <w:r w:rsidRPr="00330234">
        <w:t xml:space="preserve"> 8 mg/kg werden behandeld een statistisch significant hoger ACR20, -50 en -70-responspercentage na 6 maanden vergeleken met de controlegroep (tabel 5). In studie I werd superioriteit van </w:t>
      </w:r>
      <w:r w:rsidR="00FA591D" w:rsidRPr="00330234">
        <w:t>tocilizumab</w:t>
      </w:r>
      <w:r w:rsidRPr="00330234">
        <w:t xml:space="preserve"> 8 mg/kg ten opzichte van de actieve vergelijkende behandeling MTX aangetoond.</w:t>
      </w:r>
    </w:p>
    <w:p w14:paraId="0FDADAAE" w14:textId="77777777" w:rsidR="00A16C61" w:rsidRPr="00330234" w:rsidRDefault="00A16C61" w:rsidP="00BD109B">
      <w:pPr>
        <w:pStyle w:val="a3"/>
        <w:widowControl/>
        <w:ind w:left="0"/>
      </w:pPr>
    </w:p>
    <w:p w14:paraId="4CD147B4" w14:textId="77777777" w:rsidR="00436DAA" w:rsidRPr="00330234" w:rsidRDefault="009B4B8E" w:rsidP="00BD109B">
      <w:pPr>
        <w:pStyle w:val="a3"/>
        <w:widowControl/>
        <w:ind w:left="0"/>
      </w:pPr>
      <w:r w:rsidRPr="00330234">
        <w:lastRenderedPageBreak/>
        <w:t>Het behandeleffect bij de patiënten was vergelijkbaar, onafhankelijk van de reumafactorstatus, leeftijd, geslacht, ras, aantal eerdere behandelingen en de ziektestatus. De tijd tot aanslaan van de behandeling was snel (al binnen twee weken) en de respons bleef verbeteren naarmate de periode van de behandeling voortduurde. Gedurende meer dan 3 jaar is een aanhoudende en duurzame respons waargenomen in de lopende open-label-extensiestudies I-V.</w:t>
      </w:r>
    </w:p>
    <w:p w14:paraId="13B8B4B6" w14:textId="77777777" w:rsidR="00436DAA" w:rsidRPr="00330234" w:rsidRDefault="00436DAA" w:rsidP="00BD109B">
      <w:pPr>
        <w:pStyle w:val="a3"/>
        <w:widowControl/>
        <w:ind w:left="0"/>
      </w:pPr>
    </w:p>
    <w:p w14:paraId="2FF9684F" w14:textId="5B96AC7E" w:rsidR="00436DAA" w:rsidRPr="00330234" w:rsidRDefault="009B4B8E" w:rsidP="00BD109B">
      <w:pPr>
        <w:pStyle w:val="a3"/>
        <w:widowControl/>
        <w:ind w:left="0"/>
      </w:pPr>
      <w:r w:rsidRPr="00330234">
        <w:t xml:space="preserve">Bij de patiënten die met </w:t>
      </w:r>
      <w:r w:rsidR="00FA591D" w:rsidRPr="00330234">
        <w:t>tocilizumab</w:t>
      </w:r>
      <w:r w:rsidRPr="00330234">
        <w:t xml:space="preserve"> 8 mg/kg zijn behandeld, zijn significante verbeteringen geconstateerd in alle individuele componenten van de ACR-respons, waaronder het aantal gevoelige en gezwollen gewrichten; globale evaluatie van de patiënt en de arts, </w:t>
      </w:r>
      <w:r w:rsidRPr="00330234">
        <w:rPr>
          <w:i/>
        </w:rPr>
        <w:t>disability index-</w:t>
      </w:r>
      <w:r w:rsidRPr="00330234">
        <w:t>score; pijnscore en CRP vergeleken met patiënten die placebo plus MTX of andere DMARD’s kregen in alle studies.</w:t>
      </w:r>
    </w:p>
    <w:p w14:paraId="0E236F66" w14:textId="77777777" w:rsidR="00436DAA" w:rsidRPr="00330234" w:rsidRDefault="00436DAA" w:rsidP="00BD109B">
      <w:pPr>
        <w:pStyle w:val="a3"/>
        <w:widowControl/>
        <w:ind w:left="0"/>
      </w:pPr>
    </w:p>
    <w:p w14:paraId="33139C91" w14:textId="29178CC8" w:rsidR="00436DAA" w:rsidRPr="00330234" w:rsidRDefault="009B4B8E" w:rsidP="00A16C61">
      <w:pPr>
        <w:pStyle w:val="a3"/>
        <w:widowControl/>
        <w:ind w:left="0"/>
      </w:pPr>
      <w:r w:rsidRPr="00330234">
        <w:t xml:space="preserve">Patiënten in studies I-V hadden een gemiddelde </w:t>
      </w:r>
      <w:r w:rsidRPr="00330234">
        <w:rPr>
          <w:i/>
        </w:rPr>
        <w:t xml:space="preserve">Disease Activity Score </w:t>
      </w:r>
      <w:r w:rsidRPr="00330234">
        <w:t xml:space="preserve">(DAS28) van 6,5-6,8 op baseline. Er is een significante daling in DAS28 ten opzichte van baseline (gemiddelde verbetering) van 3,1-3,4 gezien bij de patiënten behandeld met </w:t>
      </w:r>
      <w:r w:rsidR="00FA591D" w:rsidRPr="00330234">
        <w:t>tocilizumab</w:t>
      </w:r>
      <w:r w:rsidRPr="00330234">
        <w:t xml:space="preserve"> ten opzichte van de controlegroep</w:t>
      </w:r>
      <w:r w:rsidR="00A16C61" w:rsidRPr="00330234">
        <w:t xml:space="preserve"> </w:t>
      </w:r>
      <w:r w:rsidRPr="00330234">
        <w:t xml:space="preserve">(1,3-2,1). Het percentage patiënten met een DAS28 klinische remissie (DAS28 &lt; 2,6) was significant hoger bij de </w:t>
      </w:r>
      <w:r w:rsidR="00FA591D" w:rsidRPr="00330234">
        <w:t>tocilizumab</w:t>
      </w:r>
      <w:r w:rsidRPr="00330234">
        <w:t xml:space="preserve"> patiënten (28-34%) dan bij de controlegroep (1-12%) op week 24. In studie II bereikte 65% van de patiënten een DAS28 van &lt; 2,6 op week 104 vergeleken met 48% op week 52 en 33% op week 24.</w:t>
      </w:r>
    </w:p>
    <w:p w14:paraId="65C72557" w14:textId="77777777" w:rsidR="00A16C61" w:rsidRPr="00330234" w:rsidRDefault="00A16C61" w:rsidP="00BD109B">
      <w:pPr>
        <w:pStyle w:val="a3"/>
        <w:widowControl/>
        <w:ind w:left="0"/>
      </w:pPr>
    </w:p>
    <w:p w14:paraId="126A2D90" w14:textId="02ED6832" w:rsidR="00436DAA" w:rsidRPr="00330234" w:rsidRDefault="009B4B8E" w:rsidP="00BD109B">
      <w:pPr>
        <w:pStyle w:val="a3"/>
        <w:widowControl/>
        <w:ind w:left="0"/>
      </w:pPr>
      <w:r w:rsidRPr="00330234">
        <w:t xml:space="preserve">Bij een gepoolde analyse van de studies II, III en IV was het percentage patiënten dat een ACR20-, - 50- en -70-respons bereikte significant hoger (respectievelijk 59% vs 50%, 37% vs 27%, 18% vs 11%) bij de </w:t>
      </w:r>
      <w:r w:rsidR="00FA591D" w:rsidRPr="00330234">
        <w:t>tocilizumab</w:t>
      </w:r>
      <w:r w:rsidRPr="00330234">
        <w:t xml:space="preserve"> 8 mg/kg plus DMARD vs de </w:t>
      </w:r>
      <w:r w:rsidR="00FA591D" w:rsidRPr="00330234">
        <w:t>tocilizumab</w:t>
      </w:r>
      <w:r w:rsidRPr="00330234">
        <w:t xml:space="preserve"> 4 mg/kg plus DMARD behandelde groep (p&lt; 0,03). Zo ook was het percentage de patiënten dat een DAS28-remissie (DAS28 &lt; 2,6) bereikte significant hoger (respectievelijk 31% vs 16%) bij patiënten die met </w:t>
      </w:r>
      <w:r w:rsidR="00FA591D" w:rsidRPr="00330234">
        <w:t>tocilizumab</w:t>
      </w:r>
      <w:r w:rsidRPr="00330234">
        <w:t xml:space="preserve"> 8 mg/kg plus DMARD waren behandeld ten opzichte van patiënten die met </w:t>
      </w:r>
      <w:r w:rsidR="00FA591D" w:rsidRPr="00330234">
        <w:t>tocilizumab</w:t>
      </w:r>
      <w:r w:rsidRPr="00330234">
        <w:t xml:space="preserve"> 4 mg/kg plus DMARD waren behandeld (p&lt; 0,0001).</w:t>
      </w:r>
    </w:p>
    <w:p w14:paraId="2A790FDB" w14:textId="77777777" w:rsidR="00436DAA" w:rsidRPr="00330234" w:rsidRDefault="00436DAA" w:rsidP="00BD109B">
      <w:pPr>
        <w:widowControl/>
      </w:pPr>
    </w:p>
    <w:p w14:paraId="79813E52" w14:textId="0E924399" w:rsidR="00436DAA" w:rsidRPr="00330234" w:rsidRDefault="009B4B8E" w:rsidP="006E5B37">
      <w:pPr>
        <w:widowControl/>
        <w:ind w:left="1134" w:hanging="1134"/>
        <w:rPr>
          <w:i/>
        </w:rPr>
      </w:pPr>
      <w:r w:rsidRPr="00330234">
        <w:rPr>
          <w:i/>
        </w:rPr>
        <w:t>Tabel 5.</w:t>
      </w:r>
      <w:r w:rsidR="006E5B37" w:rsidRPr="00330234">
        <w:rPr>
          <w:i/>
        </w:rPr>
        <w:tab/>
      </w:r>
      <w:r w:rsidRPr="00330234">
        <w:rPr>
          <w:i/>
        </w:rPr>
        <w:t>ACR-respons bij placebo-/MTX-/DMARD’s-gecontroleerde studies (% patiënten)</w:t>
      </w:r>
    </w:p>
    <w:p w14:paraId="6E40D918" w14:textId="77777777" w:rsidR="00436DAA" w:rsidRPr="00330234" w:rsidRDefault="00436DAA" w:rsidP="00BD109B">
      <w:pPr>
        <w:pStyle w:val="a3"/>
        <w:widowControl/>
        <w:ind w:left="0"/>
        <w:rPr>
          <w:i/>
        </w:rPr>
      </w:pPr>
    </w:p>
    <w:tbl>
      <w:tblPr>
        <w:tblW w:w="9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611"/>
        <w:gridCol w:w="798"/>
        <w:gridCol w:w="798"/>
        <w:gridCol w:w="812"/>
        <w:gridCol w:w="812"/>
        <w:gridCol w:w="812"/>
        <w:gridCol w:w="826"/>
        <w:gridCol w:w="979"/>
        <w:gridCol w:w="882"/>
        <w:gridCol w:w="882"/>
        <w:gridCol w:w="840"/>
      </w:tblGrid>
      <w:tr w:rsidR="00436DAA" w:rsidRPr="00330234" w14:paraId="79B727B1" w14:textId="77777777" w:rsidTr="006E5B37">
        <w:trPr>
          <w:trHeight w:val="20"/>
          <w:tblHeader/>
        </w:trPr>
        <w:tc>
          <w:tcPr>
            <w:tcW w:w="611" w:type="dxa"/>
          </w:tcPr>
          <w:p w14:paraId="48D55558" w14:textId="77777777" w:rsidR="00436DAA" w:rsidRPr="00330234" w:rsidRDefault="00436DAA" w:rsidP="00A16C61">
            <w:pPr>
              <w:pStyle w:val="TableParagraph"/>
              <w:widowControl/>
              <w:jc w:val="center"/>
              <w:rPr>
                <w:sz w:val="20"/>
                <w:szCs w:val="20"/>
              </w:rPr>
            </w:pPr>
          </w:p>
        </w:tc>
        <w:tc>
          <w:tcPr>
            <w:tcW w:w="1596" w:type="dxa"/>
            <w:gridSpan w:val="2"/>
          </w:tcPr>
          <w:p w14:paraId="3B37F2E7" w14:textId="77777777" w:rsidR="00436DAA" w:rsidRPr="00330234" w:rsidRDefault="009B4B8E" w:rsidP="00A16C61">
            <w:pPr>
              <w:pStyle w:val="TableParagraph"/>
              <w:widowControl/>
              <w:jc w:val="center"/>
              <w:rPr>
                <w:b/>
                <w:sz w:val="20"/>
                <w:szCs w:val="20"/>
              </w:rPr>
            </w:pPr>
            <w:r w:rsidRPr="00330234">
              <w:rPr>
                <w:b/>
                <w:sz w:val="20"/>
                <w:szCs w:val="20"/>
              </w:rPr>
              <w:t>Studie I</w:t>
            </w:r>
          </w:p>
          <w:p w14:paraId="6C6E4AE7" w14:textId="77777777" w:rsidR="00436DAA" w:rsidRPr="00330234" w:rsidRDefault="009B4B8E" w:rsidP="00A16C61">
            <w:pPr>
              <w:pStyle w:val="TableParagraph"/>
              <w:widowControl/>
              <w:jc w:val="center"/>
              <w:rPr>
                <w:b/>
                <w:sz w:val="20"/>
                <w:szCs w:val="20"/>
              </w:rPr>
            </w:pPr>
            <w:r w:rsidRPr="00330234">
              <w:rPr>
                <w:b/>
                <w:sz w:val="20"/>
                <w:szCs w:val="20"/>
              </w:rPr>
              <w:t>AMBITION</w:t>
            </w:r>
          </w:p>
        </w:tc>
        <w:tc>
          <w:tcPr>
            <w:tcW w:w="1624" w:type="dxa"/>
            <w:gridSpan w:val="2"/>
          </w:tcPr>
          <w:p w14:paraId="5E3C6897" w14:textId="77777777" w:rsidR="00436DAA" w:rsidRPr="00330234" w:rsidRDefault="009B4B8E" w:rsidP="00A16C61">
            <w:pPr>
              <w:pStyle w:val="TableParagraph"/>
              <w:widowControl/>
              <w:jc w:val="center"/>
              <w:rPr>
                <w:b/>
                <w:sz w:val="20"/>
                <w:szCs w:val="20"/>
              </w:rPr>
            </w:pPr>
            <w:r w:rsidRPr="00330234">
              <w:rPr>
                <w:b/>
                <w:sz w:val="20"/>
                <w:szCs w:val="20"/>
              </w:rPr>
              <w:t>Studie II</w:t>
            </w:r>
          </w:p>
          <w:p w14:paraId="4E855F9E" w14:textId="77777777" w:rsidR="00436DAA" w:rsidRPr="00330234" w:rsidRDefault="009B4B8E" w:rsidP="00A16C61">
            <w:pPr>
              <w:pStyle w:val="TableParagraph"/>
              <w:widowControl/>
              <w:jc w:val="center"/>
              <w:rPr>
                <w:b/>
                <w:sz w:val="20"/>
                <w:szCs w:val="20"/>
              </w:rPr>
            </w:pPr>
            <w:r w:rsidRPr="00330234">
              <w:rPr>
                <w:b/>
                <w:sz w:val="20"/>
                <w:szCs w:val="20"/>
              </w:rPr>
              <w:t>LITHE</w:t>
            </w:r>
          </w:p>
        </w:tc>
        <w:tc>
          <w:tcPr>
            <w:tcW w:w="1638" w:type="dxa"/>
            <w:gridSpan w:val="2"/>
          </w:tcPr>
          <w:p w14:paraId="6DB2066A" w14:textId="77777777" w:rsidR="00436DAA" w:rsidRPr="00330234" w:rsidRDefault="009B4B8E" w:rsidP="00A16C61">
            <w:pPr>
              <w:pStyle w:val="TableParagraph"/>
              <w:widowControl/>
              <w:jc w:val="center"/>
              <w:rPr>
                <w:b/>
                <w:sz w:val="20"/>
                <w:szCs w:val="20"/>
              </w:rPr>
            </w:pPr>
            <w:r w:rsidRPr="00330234">
              <w:rPr>
                <w:b/>
                <w:sz w:val="20"/>
                <w:szCs w:val="20"/>
              </w:rPr>
              <w:t>Studie III</w:t>
            </w:r>
          </w:p>
          <w:p w14:paraId="61ACFE6D" w14:textId="77777777" w:rsidR="00436DAA" w:rsidRPr="00330234" w:rsidRDefault="009B4B8E" w:rsidP="00A16C61">
            <w:pPr>
              <w:pStyle w:val="TableParagraph"/>
              <w:widowControl/>
              <w:jc w:val="center"/>
              <w:rPr>
                <w:b/>
                <w:sz w:val="20"/>
                <w:szCs w:val="20"/>
              </w:rPr>
            </w:pPr>
            <w:r w:rsidRPr="00330234">
              <w:rPr>
                <w:b/>
                <w:sz w:val="20"/>
                <w:szCs w:val="20"/>
              </w:rPr>
              <w:t>OPTION</w:t>
            </w:r>
          </w:p>
        </w:tc>
        <w:tc>
          <w:tcPr>
            <w:tcW w:w="1861" w:type="dxa"/>
            <w:gridSpan w:val="2"/>
          </w:tcPr>
          <w:p w14:paraId="44A9876B" w14:textId="77777777" w:rsidR="00436DAA" w:rsidRPr="00330234" w:rsidRDefault="009B4B8E" w:rsidP="00A16C61">
            <w:pPr>
              <w:pStyle w:val="TableParagraph"/>
              <w:widowControl/>
              <w:jc w:val="center"/>
              <w:rPr>
                <w:b/>
                <w:sz w:val="20"/>
                <w:szCs w:val="20"/>
              </w:rPr>
            </w:pPr>
            <w:r w:rsidRPr="00330234">
              <w:rPr>
                <w:b/>
                <w:sz w:val="20"/>
                <w:szCs w:val="20"/>
              </w:rPr>
              <w:t>Studie IV</w:t>
            </w:r>
          </w:p>
          <w:p w14:paraId="36BCFC52" w14:textId="77777777" w:rsidR="00436DAA" w:rsidRPr="00330234" w:rsidRDefault="009B4B8E" w:rsidP="00A16C61">
            <w:pPr>
              <w:pStyle w:val="TableParagraph"/>
              <w:widowControl/>
              <w:jc w:val="center"/>
              <w:rPr>
                <w:b/>
                <w:sz w:val="20"/>
                <w:szCs w:val="20"/>
              </w:rPr>
            </w:pPr>
            <w:r w:rsidRPr="00330234">
              <w:rPr>
                <w:b/>
                <w:sz w:val="20"/>
                <w:szCs w:val="20"/>
              </w:rPr>
              <w:t>TOWARD</w:t>
            </w:r>
          </w:p>
        </w:tc>
        <w:tc>
          <w:tcPr>
            <w:tcW w:w="1722" w:type="dxa"/>
            <w:gridSpan w:val="2"/>
          </w:tcPr>
          <w:p w14:paraId="0B28B793" w14:textId="77777777" w:rsidR="00436DAA" w:rsidRPr="00330234" w:rsidRDefault="009B4B8E" w:rsidP="00A16C61">
            <w:pPr>
              <w:pStyle w:val="TableParagraph"/>
              <w:widowControl/>
              <w:jc w:val="center"/>
              <w:rPr>
                <w:b/>
                <w:sz w:val="20"/>
                <w:szCs w:val="20"/>
              </w:rPr>
            </w:pPr>
            <w:r w:rsidRPr="00330234">
              <w:rPr>
                <w:b/>
                <w:sz w:val="20"/>
                <w:szCs w:val="20"/>
              </w:rPr>
              <w:t>Studie V</w:t>
            </w:r>
          </w:p>
          <w:p w14:paraId="34173774" w14:textId="77777777" w:rsidR="00436DAA" w:rsidRPr="00330234" w:rsidRDefault="009B4B8E" w:rsidP="00A16C61">
            <w:pPr>
              <w:pStyle w:val="TableParagraph"/>
              <w:widowControl/>
              <w:jc w:val="center"/>
              <w:rPr>
                <w:b/>
                <w:sz w:val="20"/>
                <w:szCs w:val="20"/>
              </w:rPr>
            </w:pPr>
            <w:r w:rsidRPr="00330234">
              <w:rPr>
                <w:b/>
                <w:sz w:val="20"/>
                <w:szCs w:val="20"/>
              </w:rPr>
              <w:t>RADIATE</w:t>
            </w:r>
          </w:p>
        </w:tc>
      </w:tr>
      <w:tr w:rsidR="006E5B37" w:rsidRPr="00330234" w14:paraId="1574EDB8" w14:textId="77777777" w:rsidTr="006E5B37">
        <w:trPr>
          <w:trHeight w:val="20"/>
          <w:tblHeader/>
        </w:trPr>
        <w:tc>
          <w:tcPr>
            <w:tcW w:w="611" w:type="dxa"/>
          </w:tcPr>
          <w:p w14:paraId="027AA73E" w14:textId="77777777" w:rsidR="00436DAA" w:rsidRPr="00330234" w:rsidRDefault="009B4B8E" w:rsidP="00A16C61">
            <w:pPr>
              <w:pStyle w:val="TableParagraph"/>
              <w:widowControl/>
              <w:jc w:val="center"/>
              <w:rPr>
                <w:b/>
                <w:sz w:val="20"/>
                <w:szCs w:val="20"/>
              </w:rPr>
            </w:pPr>
            <w:r w:rsidRPr="00330234">
              <w:rPr>
                <w:b/>
                <w:sz w:val="20"/>
                <w:szCs w:val="20"/>
              </w:rPr>
              <w:t>Week</w:t>
            </w:r>
          </w:p>
        </w:tc>
        <w:tc>
          <w:tcPr>
            <w:tcW w:w="798" w:type="dxa"/>
          </w:tcPr>
          <w:p w14:paraId="366EA567" w14:textId="77777777" w:rsidR="00436DAA" w:rsidRPr="00330234" w:rsidRDefault="009B4B8E" w:rsidP="00A16C61">
            <w:pPr>
              <w:pStyle w:val="TableParagraph"/>
              <w:widowControl/>
              <w:jc w:val="center"/>
              <w:rPr>
                <w:b/>
                <w:sz w:val="20"/>
                <w:szCs w:val="20"/>
              </w:rPr>
            </w:pPr>
            <w:r w:rsidRPr="00330234">
              <w:rPr>
                <w:b/>
                <w:sz w:val="20"/>
                <w:szCs w:val="20"/>
              </w:rPr>
              <w:t>TCZ</w:t>
            </w:r>
          </w:p>
          <w:p w14:paraId="4DCC3CE2" w14:textId="0814C85D" w:rsidR="00436DAA" w:rsidRPr="00330234" w:rsidRDefault="009B4B8E" w:rsidP="00A16C61">
            <w:pPr>
              <w:pStyle w:val="TableParagraph"/>
              <w:widowControl/>
              <w:jc w:val="center"/>
              <w:rPr>
                <w:b/>
                <w:sz w:val="20"/>
                <w:szCs w:val="20"/>
              </w:rPr>
            </w:pPr>
            <w:r w:rsidRPr="00330234">
              <w:rPr>
                <w:b/>
                <w:sz w:val="20"/>
                <w:szCs w:val="20"/>
              </w:rPr>
              <w:t>8</w:t>
            </w:r>
            <w:r w:rsidR="00A16C61" w:rsidRPr="00330234">
              <w:rPr>
                <w:b/>
                <w:sz w:val="20"/>
                <w:szCs w:val="20"/>
              </w:rPr>
              <w:t> </w:t>
            </w:r>
            <w:r w:rsidRPr="00330234">
              <w:rPr>
                <w:b/>
                <w:sz w:val="20"/>
                <w:szCs w:val="20"/>
              </w:rPr>
              <w:t>mg/kg</w:t>
            </w:r>
          </w:p>
        </w:tc>
        <w:tc>
          <w:tcPr>
            <w:tcW w:w="798" w:type="dxa"/>
          </w:tcPr>
          <w:p w14:paraId="2F487A20" w14:textId="77777777" w:rsidR="00436DAA" w:rsidRPr="00330234" w:rsidRDefault="009B4B8E" w:rsidP="00A16C61">
            <w:pPr>
              <w:pStyle w:val="TableParagraph"/>
              <w:widowControl/>
              <w:jc w:val="center"/>
              <w:rPr>
                <w:b/>
                <w:sz w:val="20"/>
                <w:szCs w:val="20"/>
              </w:rPr>
            </w:pPr>
            <w:r w:rsidRPr="00330234">
              <w:rPr>
                <w:b/>
                <w:sz w:val="20"/>
                <w:szCs w:val="20"/>
              </w:rPr>
              <w:t>MTX</w:t>
            </w:r>
          </w:p>
        </w:tc>
        <w:tc>
          <w:tcPr>
            <w:tcW w:w="812" w:type="dxa"/>
          </w:tcPr>
          <w:p w14:paraId="0A81F72B" w14:textId="77777777" w:rsidR="00436DAA" w:rsidRPr="00330234" w:rsidRDefault="009B4B8E" w:rsidP="00A16C61">
            <w:pPr>
              <w:pStyle w:val="TableParagraph"/>
              <w:widowControl/>
              <w:jc w:val="center"/>
              <w:rPr>
                <w:b/>
                <w:sz w:val="20"/>
                <w:szCs w:val="20"/>
              </w:rPr>
            </w:pPr>
            <w:r w:rsidRPr="00330234">
              <w:rPr>
                <w:b/>
                <w:sz w:val="20"/>
                <w:szCs w:val="20"/>
              </w:rPr>
              <w:t>TCZ</w:t>
            </w:r>
          </w:p>
          <w:p w14:paraId="36F3E26C" w14:textId="77777777" w:rsidR="00436DAA" w:rsidRPr="00330234" w:rsidRDefault="009B4B8E" w:rsidP="00A16C61">
            <w:pPr>
              <w:pStyle w:val="TableParagraph"/>
              <w:widowControl/>
              <w:jc w:val="center"/>
              <w:rPr>
                <w:b/>
                <w:sz w:val="20"/>
                <w:szCs w:val="20"/>
              </w:rPr>
            </w:pPr>
            <w:r w:rsidRPr="00330234">
              <w:rPr>
                <w:b/>
                <w:sz w:val="20"/>
                <w:szCs w:val="20"/>
              </w:rPr>
              <w:t>8 mg/kg</w:t>
            </w:r>
          </w:p>
          <w:p w14:paraId="45420CBF" w14:textId="77777777" w:rsidR="00436DAA" w:rsidRPr="00330234" w:rsidRDefault="009B4B8E" w:rsidP="00A16C61">
            <w:pPr>
              <w:pStyle w:val="TableParagraph"/>
              <w:widowControl/>
              <w:jc w:val="center"/>
              <w:rPr>
                <w:b/>
                <w:sz w:val="20"/>
                <w:szCs w:val="20"/>
              </w:rPr>
            </w:pPr>
            <w:r w:rsidRPr="00330234">
              <w:rPr>
                <w:b/>
                <w:sz w:val="20"/>
                <w:szCs w:val="20"/>
              </w:rPr>
              <w:t>+ MTX</w:t>
            </w:r>
          </w:p>
        </w:tc>
        <w:tc>
          <w:tcPr>
            <w:tcW w:w="812" w:type="dxa"/>
          </w:tcPr>
          <w:p w14:paraId="11EFC81E" w14:textId="77777777" w:rsidR="00436DAA" w:rsidRPr="00330234" w:rsidRDefault="009B4B8E" w:rsidP="00A16C61">
            <w:pPr>
              <w:pStyle w:val="TableParagraph"/>
              <w:widowControl/>
              <w:jc w:val="center"/>
              <w:rPr>
                <w:b/>
                <w:sz w:val="20"/>
                <w:szCs w:val="20"/>
              </w:rPr>
            </w:pPr>
            <w:r w:rsidRPr="00330234">
              <w:rPr>
                <w:b/>
                <w:sz w:val="20"/>
                <w:szCs w:val="20"/>
              </w:rPr>
              <w:t>PBO + MTX</w:t>
            </w:r>
          </w:p>
        </w:tc>
        <w:tc>
          <w:tcPr>
            <w:tcW w:w="812" w:type="dxa"/>
          </w:tcPr>
          <w:p w14:paraId="36DCDA60" w14:textId="77777777" w:rsidR="00436DAA" w:rsidRPr="00330234" w:rsidRDefault="009B4B8E" w:rsidP="00A16C61">
            <w:pPr>
              <w:pStyle w:val="TableParagraph"/>
              <w:widowControl/>
              <w:jc w:val="center"/>
              <w:rPr>
                <w:b/>
                <w:sz w:val="20"/>
                <w:szCs w:val="20"/>
              </w:rPr>
            </w:pPr>
            <w:r w:rsidRPr="00330234">
              <w:rPr>
                <w:b/>
                <w:sz w:val="20"/>
                <w:szCs w:val="20"/>
              </w:rPr>
              <w:t>TCZ</w:t>
            </w:r>
          </w:p>
          <w:p w14:paraId="51B2668C" w14:textId="0876AAF5" w:rsidR="00436DAA" w:rsidRPr="00330234" w:rsidRDefault="009B4B8E" w:rsidP="00A16C61">
            <w:pPr>
              <w:pStyle w:val="TableParagraph"/>
              <w:widowControl/>
              <w:jc w:val="center"/>
              <w:rPr>
                <w:b/>
                <w:sz w:val="20"/>
                <w:szCs w:val="20"/>
              </w:rPr>
            </w:pPr>
            <w:r w:rsidRPr="00330234">
              <w:rPr>
                <w:b/>
                <w:sz w:val="20"/>
                <w:szCs w:val="20"/>
              </w:rPr>
              <w:t>8</w:t>
            </w:r>
            <w:r w:rsidR="00A16C61" w:rsidRPr="00330234">
              <w:rPr>
                <w:b/>
                <w:sz w:val="20"/>
                <w:szCs w:val="20"/>
              </w:rPr>
              <w:t> </w:t>
            </w:r>
            <w:r w:rsidRPr="00330234">
              <w:rPr>
                <w:b/>
                <w:sz w:val="20"/>
                <w:szCs w:val="20"/>
              </w:rPr>
              <w:t>mg/kg</w:t>
            </w:r>
          </w:p>
          <w:p w14:paraId="4414E240" w14:textId="77777777" w:rsidR="00436DAA" w:rsidRPr="00330234" w:rsidRDefault="009B4B8E" w:rsidP="00A16C61">
            <w:pPr>
              <w:pStyle w:val="TableParagraph"/>
              <w:widowControl/>
              <w:jc w:val="center"/>
              <w:rPr>
                <w:b/>
                <w:sz w:val="20"/>
                <w:szCs w:val="20"/>
              </w:rPr>
            </w:pPr>
            <w:r w:rsidRPr="00330234">
              <w:rPr>
                <w:b/>
                <w:sz w:val="20"/>
                <w:szCs w:val="20"/>
              </w:rPr>
              <w:t>+ MTX</w:t>
            </w:r>
          </w:p>
        </w:tc>
        <w:tc>
          <w:tcPr>
            <w:tcW w:w="826" w:type="dxa"/>
          </w:tcPr>
          <w:p w14:paraId="427F3713" w14:textId="34F023C9" w:rsidR="00436DAA" w:rsidRPr="00330234" w:rsidRDefault="009B4B8E" w:rsidP="00FF38E0">
            <w:pPr>
              <w:pStyle w:val="TableParagraph"/>
              <w:widowControl/>
              <w:jc w:val="center"/>
              <w:rPr>
                <w:b/>
                <w:sz w:val="20"/>
                <w:szCs w:val="20"/>
              </w:rPr>
            </w:pPr>
            <w:r w:rsidRPr="00330234">
              <w:rPr>
                <w:b/>
                <w:sz w:val="20"/>
                <w:szCs w:val="20"/>
              </w:rPr>
              <w:t>PBO</w:t>
            </w:r>
            <w:r w:rsidR="00FF38E0" w:rsidRPr="00330234">
              <w:rPr>
                <w:b/>
                <w:sz w:val="20"/>
                <w:szCs w:val="20"/>
              </w:rPr>
              <w:t xml:space="preserve"> </w:t>
            </w:r>
            <w:r w:rsidRPr="00330234">
              <w:rPr>
                <w:b/>
                <w:sz w:val="20"/>
                <w:szCs w:val="20"/>
              </w:rPr>
              <w:t>+ MTX</w:t>
            </w:r>
          </w:p>
        </w:tc>
        <w:tc>
          <w:tcPr>
            <w:tcW w:w="979" w:type="dxa"/>
          </w:tcPr>
          <w:p w14:paraId="25709FF5" w14:textId="77777777" w:rsidR="00436DAA" w:rsidRPr="00330234" w:rsidRDefault="009B4B8E" w:rsidP="00A16C61">
            <w:pPr>
              <w:pStyle w:val="TableParagraph"/>
              <w:widowControl/>
              <w:jc w:val="center"/>
              <w:rPr>
                <w:b/>
                <w:sz w:val="20"/>
                <w:szCs w:val="20"/>
              </w:rPr>
            </w:pPr>
            <w:r w:rsidRPr="00330234">
              <w:rPr>
                <w:b/>
                <w:sz w:val="20"/>
                <w:szCs w:val="20"/>
              </w:rPr>
              <w:t>TCZ</w:t>
            </w:r>
          </w:p>
          <w:p w14:paraId="6CB53B7D" w14:textId="77777777" w:rsidR="00436DAA" w:rsidRPr="00330234" w:rsidRDefault="009B4B8E" w:rsidP="00A16C61">
            <w:pPr>
              <w:pStyle w:val="TableParagraph"/>
              <w:widowControl/>
              <w:jc w:val="center"/>
              <w:rPr>
                <w:b/>
                <w:sz w:val="20"/>
                <w:szCs w:val="20"/>
              </w:rPr>
            </w:pPr>
            <w:r w:rsidRPr="00330234">
              <w:rPr>
                <w:b/>
                <w:sz w:val="20"/>
                <w:szCs w:val="20"/>
              </w:rPr>
              <w:t>8 mg/kg + DMARD</w:t>
            </w:r>
          </w:p>
        </w:tc>
        <w:tc>
          <w:tcPr>
            <w:tcW w:w="882" w:type="dxa"/>
          </w:tcPr>
          <w:p w14:paraId="7FB8212B" w14:textId="77777777" w:rsidR="00436DAA" w:rsidRPr="00330234" w:rsidRDefault="009B4B8E" w:rsidP="00A16C61">
            <w:pPr>
              <w:pStyle w:val="TableParagraph"/>
              <w:widowControl/>
              <w:jc w:val="center"/>
              <w:rPr>
                <w:b/>
                <w:sz w:val="20"/>
                <w:szCs w:val="20"/>
              </w:rPr>
            </w:pPr>
            <w:r w:rsidRPr="00330234">
              <w:rPr>
                <w:b/>
                <w:sz w:val="20"/>
                <w:szCs w:val="20"/>
              </w:rPr>
              <w:t>PBO + DMARD</w:t>
            </w:r>
          </w:p>
        </w:tc>
        <w:tc>
          <w:tcPr>
            <w:tcW w:w="882" w:type="dxa"/>
          </w:tcPr>
          <w:p w14:paraId="55DD6B13" w14:textId="77777777" w:rsidR="00436DAA" w:rsidRPr="00330234" w:rsidRDefault="009B4B8E" w:rsidP="00A16C61">
            <w:pPr>
              <w:pStyle w:val="TableParagraph"/>
              <w:widowControl/>
              <w:jc w:val="center"/>
              <w:rPr>
                <w:b/>
                <w:sz w:val="20"/>
                <w:szCs w:val="20"/>
              </w:rPr>
            </w:pPr>
            <w:r w:rsidRPr="00330234">
              <w:rPr>
                <w:b/>
                <w:sz w:val="20"/>
                <w:szCs w:val="20"/>
              </w:rPr>
              <w:t>TCZ</w:t>
            </w:r>
          </w:p>
          <w:p w14:paraId="2A61ACDE" w14:textId="77777777" w:rsidR="00436DAA" w:rsidRPr="00330234" w:rsidRDefault="009B4B8E" w:rsidP="00A16C61">
            <w:pPr>
              <w:pStyle w:val="TableParagraph"/>
              <w:widowControl/>
              <w:jc w:val="center"/>
              <w:rPr>
                <w:b/>
                <w:sz w:val="20"/>
                <w:szCs w:val="20"/>
              </w:rPr>
            </w:pPr>
            <w:r w:rsidRPr="00330234">
              <w:rPr>
                <w:b/>
                <w:sz w:val="20"/>
                <w:szCs w:val="20"/>
              </w:rPr>
              <w:t>8 mg/kg</w:t>
            </w:r>
          </w:p>
          <w:p w14:paraId="003188E2" w14:textId="77777777" w:rsidR="00436DAA" w:rsidRPr="00330234" w:rsidRDefault="009B4B8E" w:rsidP="00A16C61">
            <w:pPr>
              <w:pStyle w:val="TableParagraph"/>
              <w:widowControl/>
              <w:jc w:val="center"/>
              <w:rPr>
                <w:b/>
                <w:sz w:val="20"/>
                <w:szCs w:val="20"/>
              </w:rPr>
            </w:pPr>
            <w:r w:rsidRPr="00330234">
              <w:rPr>
                <w:b/>
                <w:sz w:val="20"/>
                <w:szCs w:val="20"/>
              </w:rPr>
              <w:t>+ MTX</w:t>
            </w:r>
          </w:p>
        </w:tc>
        <w:tc>
          <w:tcPr>
            <w:tcW w:w="840" w:type="dxa"/>
          </w:tcPr>
          <w:p w14:paraId="075CFD7A" w14:textId="77777777" w:rsidR="00436DAA" w:rsidRPr="00330234" w:rsidRDefault="009B4B8E" w:rsidP="00A16C61">
            <w:pPr>
              <w:pStyle w:val="TableParagraph"/>
              <w:widowControl/>
              <w:jc w:val="center"/>
              <w:rPr>
                <w:b/>
                <w:sz w:val="20"/>
                <w:szCs w:val="20"/>
              </w:rPr>
            </w:pPr>
            <w:r w:rsidRPr="00330234">
              <w:rPr>
                <w:b/>
                <w:sz w:val="20"/>
                <w:szCs w:val="20"/>
              </w:rPr>
              <w:t>PBO + MTX</w:t>
            </w:r>
          </w:p>
        </w:tc>
      </w:tr>
      <w:tr w:rsidR="006E5B37" w:rsidRPr="00330234" w14:paraId="7491F88D" w14:textId="77777777" w:rsidTr="006E5B37">
        <w:trPr>
          <w:trHeight w:val="20"/>
        </w:trPr>
        <w:tc>
          <w:tcPr>
            <w:tcW w:w="611" w:type="dxa"/>
          </w:tcPr>
          <w:p w14:paraId="41D056C5" w14:textId="77777777" w:rsidR="00436DAA" w:rsidRPr="00330234" w:rsidRDefault="00436DAA" w:rsidP="00A16C61">
            <w:pPr>
              <w:pStyle w:val="TableParagraph"/>
              <w:widowControl/>
              <w:jc w:val="center"/>
              <w:rPr>
                <w:sz w:val="20"/>
                <w:szCs w:val="20"/>
              </w:rPr>
            </w:pPr>
          </w:p>
        </w:tc>
        <w:tc>
          <w:tcPr>
            <w:tcW w:w="798" w:type="dxa"/>
          </w:tcPr>
          <w:p w14:paraId="709D913A" w14:textId="77777777" w:rsidR="00436DAA" w:rsidRPr="00330234" w:rsidRDefault="009B4B8E" w:rsidP="00A16C61">
            <w:pPr>
              <w:pStyle w:val="TableParagraph"/>
              <w:widowControl/>
              <w:jc w:val="center"/>
              <w:rPr>
                <w:b/>
                <w:sz w:val="20"/>
                <w:szCs w:val="20"/>
              </w:rPr>
            </w:pPr>
            <w:r w:rsidRPr="00330234">
              <w:rPr>
                <w:b/>
                <w:sz w:val="20"/>
                <w:szCs w:val="20"/>
              </w:rPr>
              <w:t>N = 286</w:t>
            </w:r>
          </w:p>
        </w:tc>
        <w:tc>
          <w:tcPr>
            <w:tcW w:w="798" w:type="dxa"/>
          </w:tcPr>
          <w:p w14:paraId="67D95581" w14:textId="77777777" w:rsidR="00436DAA" w:rsidRPr="00330234" w:rsidRDefault="009B4B8E" w:rsidP="00A16C61">
            <w:pPr>
              <w:pStyle w:val="TableParagraph"/>
              <w:widowControl/>
              <w:jc w:val="center"/>
              <w:rPr>
                <w:b/>
                <w:sz w:val="20"/>
                <w:szCs w:val="20"/>
              </w:rPr>
            </w:pPr>
            <w:r w:rsidRPr="00330234">
              <w:rPr>
                <w:b/>
                <w:sz w:val="20"/>
                <w:szCs w:val="20"/>
              </w:rPr>
              <w:t>N = 284</w:t>
            </w:r>
          </w:p>
        </w:tc>
        <w:tc>
          <w:tcPr>
            <w:tcW w:w="812" w:type="dxa"/>
          </w:tcPr>
          <w:p w14:paraId="17B22463" w14:textId="77777777" w:rsidR="00436DAA" w:rsidRPr="00330234" w:rsidRDefault="009B4B8E" w:rsidP="00A16C61">
            <w:pPr>
              <w:pStyle w:val="TableParagraph"/>
              <w:widowControl/>
              <w:jc w:val="center"/>
              <w:rPr>
                <w:b/>
                <w:sz w:val="20"/>
                <w:szCs w:val="20"/>
              </w:rPr>
            </w:pPr>
            <w:r w:rsidRPr="00330234">
              <w:rPr>
                <w:b/>
                <w:sz w:val="20"/>
                <w:szCs w:val="20"/>
              </w:rPr>
              <w:t>N = 398</w:t>
            </w:r>
          </w:p>
        </w:tc>
        <w:tc>
          <w:tcPr>
            <w:tcW w:w="812" w:type="dxa"/>
          </w:tcPr>
          <w:p w14:paraId="282A9A5F" w14:textId="77777777" w:rsidR="00436DAA" w:rsidRPr="00330234" w:rsidRDefault="009B4B8E" w:rsidP="00A16C61">
            <w:pPr>
              <w:pStyle w:val="TableParagraph"/>
              <w:widowControl/>
              <w:jc w:val="center"/>
              <w:rPr>
                <w:b/>
                <w:sz w:val="20"/>
                <w:szCs w:val="20"/>
              </w:rPr>
            </w:pPr>
            <w:r w:rsidRPr="00330234">
              <w:rPr>
                <w:b/>
                <w:sz w:val="20"/>
                <w:szCs w:val="20"/>
              </w:rPr>
              <w:t>N = 393</w:t>
            </w:r>
          </w:p>
        </w:tc>
        <w:tc>
          <w:tcPr>
            <w:tcW w:w="812" w:type="dxa"/>
          </w:tcPr>
          <w:p w14:paraId="0570EF07" w14:textId="77777777" w:rsidR="00436DAA" w:rsidRPr="00330234" w:rsidRDefault="009B4B8E" w:rsidP="00A16C61">
            <w:pPr>
              <w:pStyle w:val="TableParagraph"/>
              <w:widowControl/>
              <w:jc w:val="center"/>
              <w:rPr>
                <w:b/>
                <w:sz w:val="20"/>
                <w:szCs w:val="20"/>
              </w:rPr>
            </w:pPr>
            <w:r w:rsidRPr="00330234">
              <w:rPr>
                <w:b/>
                <w:sz w:val="20"/>
                <w:szCs w:val="20"/>
              </w:rPr>
              <w:t>N = 205</w:t>
            </w:r>
          </w:p>
        </w:tc>
        <w:tc>
          <w:tcPr>
            <w:tcW w:w="826" w:type="dxa"/>
          </w:tcPr>
          <w:p w14:paraId="588EA214" w14:textId="77777777" w:rsidR="00436DAA" w:rsidRPr="00330234" w:rsidRDefault="009B4B8E" w:rsidP="00A16C61">
            <w:pPr>
              <w:pStyle w:val="TableParagraph"/>
              <w:widowControl/>
              <w:jc w:val="center"/>
              <w:rPr>
                <w:b/>
                <w:sz w:val="20"/>
                <w:szCs w:val="20"/>
              </w:rPr>
            </w:pPr>
            <w:r w:rsidRPr="00330234">
              <w:rPr>
                <w:b/>
                <w:sz w:val="20"/>
                <w:szCs w:val="20"/>
              </w:rPr>
              <w:t>N = 204</w:t>
            </w:r>
          </w:p>
        </w:tc>
        <w:tc>
          <w:tcPr>
            <w:tcW w:w="979" w:type="dxa"/>
          </w:tcPr>
          <w:p w14:paraId="72ECBE7E" w14:textId="77777777" w:rsidR="00436DAA" w:rsidRPr="00330234" w:rsidRDefault="009B4B8E" w:rsidP="00A16C61">
            <w:pPr>
              <w:pStyle w:val="TableParagraph"/>
              <w:widowControl/>
              <w:jc w:val="center"/>
              <w:rPr>
                <w:b/>
                <w:sz w:val="20"/>
                <w:szCs w:val="20"/>
              </w:rPr>
            </w:pPr>
            <w:r w:rsidRPr="00330234">
              <w:rPr>
                <w:b/>
                <w:sz w:val="20"/>
                <w:szCs w:val="20"/>
              </w:rPr>
              <w:t>N = 803</w:t>
            </w:r>
          </w:p>
        </w:tc>
        <w:tc>
          <w:tcPr>
            <w:tcW w:w="882" w:type="dxa"/>
          </w:tcPr>
          <w:p w14:paraId="7F54D0D2" w14:textId="77777777" w:rsidR="00436DAA" w:rsidRPr="00330234" w:rsidRDefault="009B4B8E" w:rsidP="00A16C61">
            <w:pPr>
              <w:pStyle w:val="TableParagraph"/>
              <w:widowControl/>
              <w:jc w:val="center"/>
              <w:rPr>
                <w:b/>
                <w:sz w:val="20"/>
                <w:szCs w:val="20"/>
              </w:rPr>
            </w:pPr>
            <w:r w:rsidRPr="00330234">
              <w:rPr>
                <w:b/>
                <w:sz w:val="20"/>
                <w:szCs w:val="20"/>
              </w:rPr>
              <w:t>N = 413</w:t>
            </w:r>
          </w:p>
        </w:tc>
        <w:tc>
          <w:tcPr>
            <w:tcW w:w="882" w:type="dxa"/>
          </w:tcPr>
          <w:p w14:paraId="73DBFB9A" w14:textId="77777777" w:rsidR="00436DAA" w:rsidRPr="00330234" w:rsidRDefault="009B4B8E" w:rsidP="00A16C61">
            <w:pPr>
              <w:pStyle w:val="TableParagraph"/>
              <w:widowControl/>
              <w:jc w:val="center"/>
              <w:rPr>
                <w:b/>
                <w:sz w:val="20"/>
                <w:szCs w:val="20"/>
              </w:rPr>
            </w:pPr>
            <w:r w:rsidRPr="00330234">
              <w:rPr>
                <w:b/>
                <w:sz w:val="20"/>
                <w:szCs w:val="20"/>
              </w:rPr>
              <w:t>N = 170</w:t>
            </w:r>
          </w:p>
        </w:tc>
        <w:tc>
          <w:tcPr>
            <w:tcW w:w="840" w:type="dxa"/>
          </w:tcPr>
          <w:p w14:paraId="595031C3" w14:textId="77777777" w:rsidR="00436DAA" w:rsidRPr="00330234" w:rsidRDefault="009B4B8E" w:rsidP="00A16C61">
            <w:pPr>
              <w:pStyle w:val="TableParagraph"/>
              <w:widowControl/>
              <w:jc w:val="center"/>
              <w:rPr>
                <w:b/>
                <w:sz w:val="20"/>
                <w:szCs w:val="20"/>
              </w:rPr>
            </w:pPr>
            <w:r w:rsidRPr="00330234">
              <w:rPr>
                <w:b/>
                <w:sz w:val="20"/>
                <w:szCs w:val="20"/>
              </w:rPr>
              <w:t>N = 158</w:t>
            </w:r>
          </w:p>
        </w:tc>
      </w:tr>
      <w:tr w:rsidR="00436DAA" w:rsidRPr="00330234" w14:paraId="5AA3F657" w14:textId="77777777" w:rsidTr="006E5B37">
        <w:trPr>
          <w:trHeight w:val="20"/>
        </w:trPr>
        <w:tc>
          <w:tcPr>
            <w:tcW w:w="9052" w:type="dxa"/>
            <w:gridSpan w:val="11"/>
          </w:tcPr>
          <w:p w14:paraId="1EF93CF3" w14:textId="77777777" w:rsidR="00436DAA" w:rsidRPr="00330234" w:rsidRDefault="009B4B8E" w:rsidP="00A16C61">
            <w:pPr>
              <w:pStyle w:val="TableParagraph"/>
              <w:widowControl/>
              <w:jc w:val="center"/>
              <w:rPr>
                <w:b/>
                <w:sz w:val="20"/>
                <w:szCs w:val="20"/>
              </w:rPr>
            </w:pPr>
            <w:r w:rsidRPr="00330234">
              <w:rPr>
                <w:b/>
                <w:sz w:val="20"/>
                <w:szCs w:val="20"/>
              </w:rPr>
              <w:t>ACR20</w:t>
            </w:r>
          </w:p>
        </w:tc>
      </w:tr>
      <w:tr w:rsidR="006E5B37" w:rsidRPr="00330234" w14:paraId="4F9C4E87" w14:textId="77777777" w:rsidTr="006E5B37">
        <w:trPr>
          <w:trHeight w:val="20"/>
        </w:trPr>
        <w:tc>
          <w:tcPr>
            <w:tcW w:w="611" w:type="dxa"/>
          </w:tcPr>
          <w:p w14:paraId="5F2E4D0F" w14:textId="77777777" w:rsidR="00436DAA" w:rsidRPr="00330234" w:rsidRDefault="009B4B8E" w:rsidP="00A16C61">
            <w:pPr>
              <w:pStyle w:val="TableParagraph"/>
              <w:widowControl/>
              <w:jc w:val="center"/>
              <w:rPr>
                <w:sz w:val="20"/>
                <w:szCs w:val="20"/>
              </w:rPr>
            </w:pPr>
            <w:r w:rsidRPr="00330234">
              <w:rPr>
                <w:sz w:val="20"/>
                <w:szCs w:val="20"/>
              </w:rPr>
              <w:t>24</w:t>
            </w:r>
          </w:p>
        </w:tc>
        <w:tc>
          <w:tcPr>
            <w:tcW w:w="798" w:type="dxa"/>
          </w:tcPr>
          <w:p w14:paraId="0A273670" w14:textId="4A62128C" w:rsidR="00436DAA" w:rsidRPr="00330234" w:rsidRDefault="009B4B8E" w:rsidP="00A16C61">
            <w:pPr>
              <w:pStyle w:val="TableParagraph"/>
              <w:widowControl/>
              <w:jc w:val="center"/>
              <w:rPr>
                <w:sz w:val="20"/>
                <w:szCs w:val="20"/>
              </w:rPr>
            </w:pPr>
            <w:r w:rsidRPr="00330234">
              <w:rPr>
                <w:sz w:val="20"/>
                <w:szCs w:val="20"/>
              </w:rPr>
              <w:t>70%***</w:t>
            </w:r>
          </w:p>
        </w:tc>
        <w:tc>
          <w:tcPr>
            <w:tcW w:w="798" w:type="dxa"/>
          </w:tcPr>
          <w:p w14:paraId="1D602242" w14:textId="77777777" w:rsidR="00436DAA" w:rsidRPr="00330234" w:rsidRDefault="009B4B8E" w:rsidP="00A16C61">
            <w:pPr>
              <w:pStyle w:val="TableParagraph"/>
              <w:widowControl/>
              <w:jc w:val="center"/>
              <w:rPr>
                <w:sz w:val="20"/>
                <w:szCs w:val="20"/>
              </w:rPr>
            </w:pPr>
            <w:r w:rsidRPr="00330234">
              <w:rPr>
                <w:sz w:val="20"/>
                <w:szCs w:val="20"/>
              </w:rPr>
              <w:t>52%</w:t>
            </w:r>
          </w:p>
        </w:tc>
        <w:tc>
          <w:tcPr>
            <w:tcW w:w="812" w:type="dxa"/>
          </w:tcPr>
          <w:p w14:paraId="0C0F00F7" w14:textId="77777777" w:rsidR="00436DAA" w:rsidRPr="00330234" w:rsidRDefault="009B4B8E" w:rsidP="00A16C61">
            <w:pPr>
              <w:pStyle w:val="TableParagraph"/>
              <w:widowControl/>
              <w:jc w:val="center"/>
              <w:rPr>
                <w:sz w:val="20"/>
                <w:szCs w:val="20"/>
              </w:rPr>
            </w:pPr>
            <w:r w:rsidRPr="00330234">
              <w:rPr>
                <w:sz w:val="20"/>
                <w:szCs w:val="20"/>
              </w:rPr>
              <w:t>56%***</w:t>
            </w:r>
          </w:p>
        </w:tc>
        <w:tc>
          <w:tcPr>
            <w:tcW w:w="812" w:type="dxa"/>
          </w:tcPr>
          <w:p w14:paraId="36A4C60B" w14:textId="77777777" w:rsidR="00436DAA" w:rsidRPr="00330234" w:rsidRDefault="009B4B8E" w:rsidP="00A16C61">
            <w:pPr>
              <w:pStyle w:val="TableParagraph"/>
              <w:widowControl/>
              <w:jc w:val="center"/>
              <w:rPr>
                <w:sz w:val="20"/>
                <w:szCs w:val="20"/>
              </w:rPr>
            </w:pPr>
            <w:r w:rsidRPr="00330234">
              <w:rPr>
                <w:sz w:val="20"/>
                <w:szCs w:val="20"/>
              </w:rPr>
              <w:t>27%</w:t>
            </w:r>
          </w:p>
        </w:tc>
        <w:tc>
          <w:tcPr>
            <w:tcW w:w="812" w:type="dxa"/>
          </w:tcPr>
          <w:p w14:paraId="6A4E6451" w14:textId="77777777" w:rsidR="00436DAA" w:rsidRPr="00330234" w:rsidRDefault="009B4B8E" w:rsidP="00A16C61">
            <w:pPr>
              <w:pStyle w:val="TableParagraph"/>
              <w:widowControl/>
              <w:jc w:val="center"/>
              <w:rPr>
                <w:sz w:val="20"/>
                <w:szCs w:val="20"/>
              </w:rPr>
            </w:pPr>
            <w:r w:rsidRPr="00330234">
              <w:rPr>
                <w:sz w:val="20"/>
                <w:szCs w:val="20"/>
              </w:rPr>
              <w:t>59%***</w:t>
            </w:r>
          </w:p>
        </w:tc>
        <w:tc>
          <w:tcPr>
            <w:tcW w:w="826" w:type="dxa"/>
          </w:tcPr>
          <w:p w14:paraId="5C6B6CD6" w14:textId="77777777" w:rsidR="00436DAA" w:rsidRPr="00330234" w:rsidRDefault="009B4B8E" w:rsidP="00A16C61">
            <w:pPr>
              <w:pStyle w:val="TableParagraph"/>
              <w:widowControl/>
              <w:jc w:val="center"/>
              <w:rPr>
                <w:sz w:val="20"/>
                <w:szCs w:val="20"/>
              </w:rPr>
            </w:pPr>
            <w:r w:rsidRPr="00330234">
              <w:rPr>
                <w:sz w:val="20"/>
                <w:szCs w:val="20"/>
              </w:rPr>
              <w:t>26%</w:t>
            </w:r>
          </w:p>
        </w:tc>
        <w:tc>
          <w:tcPr>
            <w:tcW w:w="979" w:type="dxa"/>
          </w:tcPr>
          <w:p w14:paraId="203B3FC9" w14:textId="77777777" w:rsidR="00436DAA" w:rsidRPr="00330234" w:rsidRDefault="009B4B8E" w:rsidP="00A16C61">
            <w:pPr>
              <w:pStyle w:val="TableParagraph"/>
              <w:widowControl/>
              <w:jc w:val="center"/>
              <w:rPr>
                <w:sz w:val="20"/>
                <w:szCs w:val="20"/>
              </w:rPr>
            </w:pPr>
            <w:r w:rsidRPr="00330234">
              <w:rPr>
                <w:sz w:val="20"/>
                <w:szCs w:val="20"/>
              </w:rPr>
              <w:t>61%***</w:t>
            </w:r>
          </w:p>
        </w:tc>
        <w:tc>
          <w:tcPr>
            <w:tcW w:w="882" w:type="dxa"/>
          </w:tcPr>
          <w:p w14:paraId="1C0AC708" w14:textId="77777777" w:rsidR="00436DAA" w:rsidRPr="00330234" w:rsidRDefault="009B4B8E" w:rsidP="00A16C61">
            <w:pPr>
              <w:pStyle w:val="TableParagraph"/>
              <w:widowControl/>
              <w:jc w:val="center"/>
              <w:rPr>
                <w:sz w:val="20"/>
                <w:szCs w:val="20"/>
              </w:rPr>
            </w:pPr>
            <w:r w:rsidRPr="00330234">
              <w:rPr>
                <w:sz w:val="20"/>
                <w:szCs w:val="20"/>
              </w:rPr>
              <w:t>24%</w:t>
            </w:r>
          </w:p>
        </w:tc>
        <w:tc>
          <w:tcPr>
            <w:tcW w:w="882" w:type="dxa"/>
          </w:tcPr>
          <w:p w14:paraId="64823C8B" w14:textId="77777777" w:rsidR="00436DAA" w:rsidRPr="00330234" w:rsidRDefault="009B4B8E" w:rsidP="00A16C61">
            <w:pPr>
              <w:pStyle w:val="TableParagraph"/>
              <w:widowControl/>
              <w:jc w:val="center"/>
              <w:rPr>
                <w:sz w:val="20"/>
                <w:szCs w:val="20"/>
              </w:rPr>
            </w:pPr>
            <w:r w:rsidRPr="00330234">
              <w:rPr>
                <w:sz w:val="20"/>
                <w:szCs w:val="20"/>
              </w:rPr>
              <w:t>50%***</w:t>
            </w:r>
          </w:p>
        </w:tc>
        <w:tc>
          <w:tcPr>
            <w:tcW w:w="840" w:type="dxa"/>
          </w:tcPr>
          <w:p w14:paraId="73599B00" w14:textId="77777777" w:rsidR="00436DAA" w:rsidRPr="00330234" w:rsidRDefault="009B4B8E" w:rsidP="00A16C61">
            <w:pPr>
              <w:pStyle w:val="TableParagraph"/>
              <w:widowControl/>
              <w:jc w:val="center"/>
              <w:rPr>
                <w:sz w:val="20"/>
                <w:szCs w:val="20"/>
              </w:rPr>
            </w:pPr>
            <w:r w:rsidRPr="00330234">
              <w:rPr>
                <w:sz w:val="20"/>
                <w:szCs w:val="20"/>
              </w:rPr>
              <w:t>10%</w:t>
            </w:r>
          </w:p>
        </w:tc>
      </w:tr>
      <w:tr w:rsidR="006E5B37" w:rsidRPr="00330234" w14:paraId="1FF331E1" w14:textId="77777777" w:rsidTr="006E5B37">
        <w:trPr>
          <w:trHeight w:val="20"/>
        </w:trPr>
        <w:tc>
          <w:tcPr>
            <w:tcW w:w="611" w:type="dxa"/>
          </w:tcPr>
          <w:p w14:paraId="3A7D70E0" w14:textId="77777777" w:rsidR="00436DAA" w:rsidRPr="00330234" w:rsidRDefault="009B4B8E" w:rsidP="00A16C61">
            <w:pPr>
              <w:pStyle w:val="TableParagraph"/>
              <w:widowControl/>
              <w:jc w:val="center"/>
              <w:rPr>
                <w:sz w:val="20"/>
                <w:szCs w:val="20"/>
              </w:rPr>
            </w:pPr>
            <w:r w:rsidRPr="00330234">
              <w:rPr>
                <w:sz w:val="20"/>
                <w:szCs w:val="20"/>
              </w:rPr>
              <w:t>52</w:t>
            </w:r>
          </w:p>
        </w:tc>
        <w:tc>
          <w:tcPr>
            <w:tcW w:w="798" w:type="dxa"/>
          </w:tcPr>
          <w:p w14:paraId="7960276D" w14:textId="77777777" w:rsidR="00436DAA" w:rsidRPr="00330234" w:rsidRDefault="00436DAA" w:rsidP="00A16C61">
            <w:pPr>
              <w:pStyle w:val="TableParagraph"/>
              <w:widowControl/>
              <w:jc w:val="center"/>
              <w:rPr>
                <w:sz w:val="20"/>
                <w:szCs w:val="20"/>
              </w:rPr>
            </w:pPr>
          </w:p>
        </w:tc>
        <w:tc>
          <w:tcPr>
            <w:tcW w:w="798" w:type="dxa"/>
          </w:tcPr>
          <w:p w14:paraId="78D56992" w14:textId="77777777" w:rsidR="00436DAA" w:rsidRPr="00330234" w:rsidRDefault="00436DAA" w:rsidP="00A16C61">
            <w:pPr>
              <w:pStyle w:val="TableParagraph"/>
              <w:widowControl/>
              <w:jc w:val="center"/>
              <w:rPr>
                <w:sz w:val="20"/>
                <w:szCs w:val="20"/>
              </w:rPr>
            </w:pPr>
          </w:p>
        </w:tc>
        <w:tc>
          <w:tcPr>
            <w:tcW w:w="812" w:type="dxa"/>
          </w:tcPr>
          <w:p w14:paraId="2E3FF250" w14:textId="77777777" w:rsidR="00436DAA" w:rsidRPr="00330234" w:rsidRDefault="009B4B8E" w:rsidP="00A16C61">
            <w:pPr>
              <w:pStyle w:val="TableParagraph"/>
              <w:widowControl/>
              <w:jc w:val="center"/>
              <w:rPr>
                <w:sz w:val="20"/>
                <w:szCs w:val="20"/>
              </w:rPr>
            </w:pPr>
            <w:r w:rsidRPr="00330234">
              <w:rPr>
                <w:sz w:val="20"/>
                <w:szCs w:val="20"/>
              </w:rPr>
              <w:t>56%***</w:t>
            </w:r>
          </w:p>
        </w:tc>
        <w:tc>
          <w:tcPr>
            <w:tcW w:w="812" w:type="dxa"/>
          </w:tcPr>
          <w:p w14:paraId="663FACAB" w14:textId="77777777" w:rsidR="00436DAA" w:rsidRPr="00330234" w:rsidRDefault="009B4B8E" w:rsidP="00A16C61">
            <w:pPr>
              <w:pStyle w:val="TableParagraph"/>
              <w:widowControl/>
              <w:jc w:val="center"/>
              <w:rPr>
                <w:sz w:val="20"/>
                <w:szCs w:val="20"/>
              </w:rPr>
            </w:pPr>
            <w:r w:rsidRPr="00330234">
              <w:rPr>
                <w:sz w:val="20"/>
                <w:szCs w:val="20"/>
              </w:rPr>
              <w:t>25%</w:t>
            </w:r>
          </w:p>
        </w:tc>
        <w:tc>
          <w:tcPr>
            <w:tcW w:w="812" w:type="dxa"/>
          </w:tcPr>
          <w:p w14:paraId="33D01282" w14:textId="77777777" w:rsidR="00436DAA" w:rsidRPr="00330234" w:rsidRDefault="00436DAA" w:rsidP="00A16C61">
            <w:pPr>
              <w:pStyle w:val="TableParagraph"/>
              <w:widowControl/>
              <w:jc w:val="center"/>
              <w:rPr>
                <w:sz w:val="20"/>
                <w:szCs w:val="20"/>
              </w:rPr>
            </w:pPr>
          </w:p>
        </w:tc>
        <w:tc>
          <w:tcPr>
            <w:tcW w:w="826" w:type="dxa"/>
          </w:tcPr>
          <w:p w14:paraId="5062DEC4" w14:textId="77777777" w:rsidR="00436DAA" w:rsidRPr="00330234" w:rsidRDefault="00436DAA" w:rsidP="00A16C61">
            <w:pPr>
              <w:pStyle w:val="TableParagraph"/>
              <w:widowControl/>
              <w:jc w:val="center"/>
              <w:rPr>
                <w:sz w:val="20"/>
                <w:szCs w:val="20"/>
              </w:rPr>
            </w:pPr>
          </w:p>
        </w:tc>
        <w:tc>
          <w:tcPr>
            <w:tcW w:w="979" w:type="dxa"/>
          </w:tcPr>
          <w:p w14:paraId="7C08E15D" w14:textId="77777777" w:rsidR="00436DAA" w:rsidRPr="00330234" w:rsidRDefault="00436DAA" w:rsidP="00A16C61">
            <w:pPr>
              <w:pStyle w:val="TableParagraph"/>
              <w:widowControl/>
              <w:jc w:val="center"/>
              <w:rPr>
                <w:sz w:val="20"/>
                <w:szCs w:val="20"/>
              </w:rPr>
            </w:pPr>
          </w:p>
        </w:tc>
        <w:tc>
          <w:tcPr>
            <w:tcW w:w="882" w:type="dxa"/>
          </w:tcPr>
          <w:p w14:paraId="7BBA96A8" w14:textId="77777777" w:rsidR="00436DAA" w:rsidRPr="00330234" w:rsidRDefault="00436DAA" w:rsidP="00A16C61">
            <w:pPr>
              <w:pStyle w:val="TableParagraph"/>
              <w:widowControl/>
              <w:jc w:val="center"/>
              <w:rPr>
                <w:sz w:val="20"/>
                <w:szCs w:val="20"/>
              </w:rPr>
            </w:pPr>
          </w:p>
        </w:tc>
        <w:tc>
          <w:tcPr>
            <w:tcW w:w="882" w:type="dxa"/>
          </w:tcPr>
          <w:p w14:paraId="40329E32" w14:textId="77777777" w:rsidR="00436DAA" w:rsidRPr="00330234" w:rsidRDefault="00436DAA" w:rsidP="00A16C61">
            <w:pPr>
              <w:pStyle w:val="TableParagraph"/>
              <w:widowControl/>
              <w:jc w:val="center"/>
              <w:rPr>
                <w:sz w:val="20"/>
                <w:szCs w:val="20"/>
              </w:rPr>
            </w:pPr>
          </w:p>
        </w:tc>
        <w:tc>
          <w:tcPr>
            <w:tcW w:w="840" w:type="dxa"/>
          </w:tcPr>
          <w:p w14:paraId="70EBC50B" w14:textId="77777777" w:rsidR="00436DAA" w:rsidRPr="00330234" w:rsidRDefault="00436DAA" w:rsidP="00A16C61">
            <w:pPr>
              <w:pStyle w:val="TableParagraph"/>
              <w:widowControl/>
              <w:jc w:val="center"/>
              <w:rPr>
                <w:sz w:val="20"/>
                <w:szCs w:val="20"/>
              </w:rPr>
            </w:pPr>
          </w:p>
        </w:tc>
      </w:tr>
      <w:tr w:rsidR="00436DAA" w:rsidRPr="00330234" w14:paraId="14112CAF" w14:textId="77777777" w:rsidTr="006E5B37">
        <w:trPr>
          <w:trHeight w:val="20"/>
        </w:trPr>
        <w:tc>
          <w:tcPr>
            <w:tcW w:w="9052" w:type="dxa"/>
            <w:gridSpan w:val="11"/>
          </w:tcPr>
          <w:p w14:paraId="4FCD5A61" w14:textId="77777777" w:rsidR="00436DAA" w:rsidRPr="00330234" w:rsidRDefault="009B4B8E" w:rsidP="003C4B56">
            <w:pPr>
              <w:pStyle w:val="TableParagraph"/>
              <w:keepNext/>
              <w:keepLines/>
              <w:widowControl/>
              <w:jc w:val="center"/>
              <w:rPr>
                <w:b/>
                <w:sz w:val="20"/>
                <w:szCs w:val="20"/>
              </w:rPr>
            </w:pPr>
            <w:r w:rsidRPr="00330234">
              <w:rPr>
                <w:b/>
                <w:sz w:val="20"/>
                <w:szCs w:val="20"/>
              </w:rPr>
              <w:t>ACR50</w:t>
            </w:r>
          </w:p>
        </w:tc>
      </w:tr>
      <w:tr w:rsidR="006E5B37" w:rsidRPr="00330234" w14:paraId="7BEFD840" w14:textId="77777777" w:rsidTr="006E5B37">
        <w:trPr>
          <w:trHeight w:val="20"/>
        </w:trPr>
        <w:tc>
          <w:tcPr>
            <w:tcW w:w="611" w:type="dxa"/>
          </w:tcPr>
          <w:p w14:paraId="71EBE932" w14:textId="77777777" w:rsidR="00436DAA" w:rsidRPr="00330234" w:rsidRDefault="009B4B8E" w:rsidP="003C4B56">
            <w:pPr>
              <w:pStyle w:val="TableParagraph"/>
              <w:keepNext/>
              <w:keepLines/>
              <w:widowControl/>
              <w:jc w:val="center"/>
              <w:rPr>
                <w:sz w:val="20"/>
                <w:szCs w:val="20"/>
              </w:rPr>
            </w:pPr>
            <w:r w:rsidRPr="00330234">
              <w:rPr>
                <w:sz w:val="20"/>
                <w:szCs w:val="20"/>
              </w:rPr>
              <w:t>24</w:t>
            </w:r>
          </w:p>
        </w:tc>
        <w:tc>
          <w:tcPr>
            <w:tcW w:w="798" w:type="dxa"/>
          </w:tcPr>
          <w:p w14:paraId="025E2924" w14:textId="77777777" w:rsidR="00436DAA" w:rsidRPr="00330234" w:rsidRDefault="009B4B8E" w:rsidP="003C4B56">
            <w:pPr>
              <w:pStyle w:val="TableParagraph"/>
              <w:keepNext/>
              <w:keepLines/>
              <w:widowControl/>
              <w:jc w:val="center"/>
              <w:rPr>
                <w:sz w:val="20"/>
                <w:szCs w:val="20"/>
              </w:rPr>
            </w:pPr>
            <w:r w:rsidRPr="00330234">
              <w:rPr>
                <w:sz w:val="20"/>
                <w:szCs w:val="20"/>
              </w:rPr>
              <w:t>44%**</w:t>
            </w:r>
          </w:p>
        </w:tc>
        <w:tc>
          <w:tcPr>
            <w:tcW w:w="798" w:type="dxa"/>
          </w:tcPr>
          <w:p w14:paraId="715CF4DC" w14:textId="77777777" w:rsidR="00436DAA" w:rsidRPr="00330234" w:rsidRDefault="009B4B8E" w:rsidP="003C4B56">
            <w:pPr>
              <w:pStyle w:val="TableParagraph"/>
              <w:keepNext/>
              <w:keepLines/>
              <w:widowControl/>
              <w:jc w:val="center"/>
              <w:rPr>
                <w:sz w:val="20"/>
                <w:szCs w:val="20"/>
              </w:rPr>
            </w:pPr>
            <w:r w:rsidRPr="00330234">
              <w:rPr>
                <w:sz w:val="20"/>
                <w:szCs w:val="20"/>
              </w:rPr>
              <w:t>33%</w:t>
            </w:r>
          </w:p>
        </w:tc>
        <w:tc>
          <w:tcPr>
            <w:tcW w:w="812" w:type="dxa"/>
          </w:tcPr>
          <w:p w14:paraId="162A9144" w14:textId="77777777" w:rsidR="00436DAA" w:rsidRPr="00330234" w:rsidRDefault="009B4B8E" w:rsidP="003C4B56">
            <w:pPr>
              <w:pStyle w:val="TableParagraph"/>
              <w:keepNext/>
              <w:keepLines/>
              <w:widowControl/>
              <w:jc w:val="center"/>
              <w:rPr>
                <w:sz w:val="20"/>
                <w:szCs w:val="20"/>
              </w:rPr>
            </w:pPr>
            <w:r w:rsidRPr="00330234">
              <w:rPr>
                <w:sz w:val="20"/>
                <w:szCs w:val="20"/>
              </w:rPr>
              <w:t>32%***</w:t>
            </w:r>
          </w:p>
        </w:tc>
        <w:tc>
          <w:tcPr>
            <w:tcW w:w="812" w:type="dxa"/>
          </w:tcPr>
          <w:p w14:paraId="7A139320" w14:textId="77777777" w:rsidR="00436DAA" w:rsidRPr="00330234" w:rsidRDefault="009B4B8E" w:rsidP="003C4B56">
            <w:pPr>
              <w:pStyle w:val="TableParagraph"/>
              <w:keepNext/>
              <w:keepLines/>
              <w:widowControl/>
              <w:jc w:val="center"/>
              <w:rPr>
                <w:sz w:val="20"/>
                <w:szCs w:val="20"/>
              </w:rPr>
            </w:pPr>
            <w:r w:rsidRPr="00330234">
              <w:rPr>
                <w:sz w:val="20"/>
                <w:szCs w:val="20"/>
              </w:rPr>
              <w:t>10%</w:t>
            </w:r>
          </w:p>
        </w:tc>
        <w:tc>
          <w:tcPr>
            <w:tcW w:w="812" w:type="dxa"/>
          </w:tcPr>
          <w:p w14:paraId="5C002005" w14:textId="77777777" w:rsidR="00436DAA" w:rsidRPr="00330234" w:rsidRDefault="009B4B8E" w:rsidP="003C4B56">
            <w:pPr>
              <w:pStyle w:val="TableParagraph"/>
              <w:keepNext/>
              <w:keepLines/>
              <w:widowControl/>
              <w:jc w:val="center"/>
              <w:rPr>
                <w:sz w:val="20"/>
                <w:szCs w:val="20"/>
              </w:rPr>
            </w:pPr>
            <w:r w:rsidRPr="00330234">
              <w:rPr>
                <w:sz w:val="20"/>
                <w:szCs w:val="20"/>
              </w:rPr>
              <w:t>44%***</w:t>
            </w:r>
          </w:p>
        </w:tc>
        <w:tc>
          <w:tcPr>
            <w:tcW w:w="826" w:type="dxa"/>
          </w:tcPr>
          <w:p w14:paraId="0BD94127" w14:textId="77777777" w:rsidR="00436DAA" w:rsidRPr="00330234" w:rsidRDefault="009B4B8E" w:rsidP="003C4B56">
            <w:pPr>
              <w:pStyle w:val="TableParagraph"/>
              <w:keepNext/>
              <w:keepLines/>
              <w:widowControl/>
              <w:jc w:val="center"/>
              <w:rPr>
                <w:sz w:val="20"/>
                <w:szCs w:val="20"/>
              </w:rPr>
            </w:pPr>
            <w:r w:rsidRPr="00330234">
              <w:rPr>
                <w:sz w:val="20"/>
                <w:szCs w:val="20"/>
              </w:rPr>
              <w:t>11%</w:t>
            </w:r>
          </w:p>
        </w:tc>
        <w:tc>
          <w:tcPr>
            <w:tcW w:w="979" w:type="dxa"/>
          </w:tcPr>
          <w:p w14:paraId="28A526C6" w14:textId="77777777" w:rsidR="00436DAA" w:rsidRPr="00330234" w:rsidRDefault="009B4B8E" w:rsidP="003C4B56">
            <w:pPr>
              <w:pStyle w:val="TableParagraph"/>
              <w:keepNext/>
              <w:keepLines/>
              <w:widowControl/>
              <w:jc w:val="center"/>
              <w:rPr>
                <w:sz w:val="20"/>
                <w:szCs w:val="20"/>
              </w:rPr>
            </w:pPr>
            <w:r w:rsidRPr="00330234">
              <w:rPr>
                <w:sz w:val="20"/>
                <w:szCs w:val="20"/>
              </w:rPr>
              <w:t>38%***</w:t>
            </w:r>
          </w:p>
        </w:tc>
        <w:tc>
          <w:tcPr>
            <w:tcW w:w="882" w:type="dxa"/>
          </w:tcPr>
          <w:p w14:paraId="62CD36D8" w14:textId="77777777" w:rsidR="00436DAA" w:rsidRPr="00330234" w:rsidRDefault="009B4B8E" w:rsidP="003C4B56">
            <w:pPr>
              <w:pStyle w:val="TableParagraph"/>
              <w:keepNext/>
              <w:keepLines/>
              <w:widowControl/>
              <w:jc w:val="center"/>
              <w:rPr>
                <w:sz w:val="20"/>
                <w:szCs w:val="20"/>
              </w:rPr>
            </w:pPr>
            <w:r w:rsidRPr="00330234">
              <w:rPr>
                <w:sz w:val="20"/>
                <w:szCs w:val="20"/>
              </w:rPr>
              <w:t>9%</w:t>
            </w:r>
          </w:p>
        </w:tc>
        <w:tc>
          <w:tcPr>
            <w:tcW w:w="882" w:type="dxa"/>
          </w:tcPr>
          <w:p w14:paraId="75BDF028" w14:textId="77777777" w:rsidR="00436DAA" w:rsidRPr="00330234" w:rsidRDefault="009B4B8E" w:rsidP="003C4B56">
            <w:pPr>
              <w:pStyle w:val="TableParagraph"/>
              <w:keepNext/>
              <w:keepLines/>
              <w:widowControl/>
              <w:jc w:val="center"/>
              <w:rPr>
                <w:sz w:val="20"/>
                <w:szCs w:val="20"/>
              </w:rPr>
            </w:pPr>
            <w:r w:rsidRPr="00330234">
              <w:rPr>
                <w:sz w:val="20"/>
                <w:szCs w:val="20"/>
              </w:rPr>
              <w:t>29%***</w:t>
            </w:r>
          </w:p>
        </w:tc>
        <w:tc>
          <w:tcPr>
            <w:tcW w:w="840" w:type="dxa"/>
          </w:tcPr>
          <w:p w14:paraId="12B319C2" w14:textId="77777777" w:rsidR="00436DAA" w:rsidRPr="00330234" w:rsidRDefault="009B4B8E" w:rsidP="003C4B56">
            <w:pPr>
              <w:pStyle w:val="TableParagraph"/>
              <w:keepNext/>
              <w:keepLines/>
              <w:widowControl/>
              <w:jc w:val="center"/>
              <w:rPr>
                <w:sz w:val="20"/>
                <w:szCs w:val="20"/>
              </w:rPr>
            </w:pPr>
            <w:r w:rsidRPr="00330234">
              <w:rPr>
                <w:sz w:val="20"/>
                <w:szCs w:val="20"/>
              </w:rPr>
              <w:t>4%</w:t>
            </w:r>
          </w:p>
        </w:tc>
      </w:tr>
      <w:tr w:rsidR="006E5B37" w:rsidRPr="00330234" w14:paraId="400D3492" w14:textId="77777777" w:rsidTr="006E5B37">
        <w:trPr>
          <w:trHeight w:val="20"/>
        </w:trPr>
        <w:tc>
          <w:tcPr>
            <w:tcW w:w="611" w:type="dxa"/>
          </w:tcPr>
          <w:p w14:paraId="3B4818F8" w14:textId="77777777" w:rsidR="00436DAA" w:rsidRPr="00330234" w:rsidRDefault="009B4B8E" w:rsidP="003C4B56">
            <w:pPr>
              <w:pStyle w:val="TableParagraph"/>
              <w:keepNext/>
              <w:keepLines/>
              <w:widowControl/>
              <w:jc w:val="center"/>
              <w:rPr>
                <w:sz w:val="20"/>
                <w:szCs w:val="20"/>
              </w:rPr>
            </w:pPr>
            <w:r w:rsidRPr="00330234">
              <w:rPr>
                <w:sz w:val="20"/>
                <w:szCs w:val="20"/>
              </w:rPr>
              <w:t>52</w:t>
            </w:r>
          </w:p>
        </w:tc>
        <w:tc>
          <w:tcPr>
            <w:tcW w:w="798" w:type="dxa"/>
          </w:tcPr>
          <w:p w14:paraId="57F2B689" w14:textId="77777777" w:rsidR="00436DAA" w:rsidRPr="00330234" w:rsidRDefault="00436DAA" w:rsidP="003C4B56">
            <w:pPr>
              <w:pStyle w:val="TableParagraph"/>
              <w:keepNext/>
              <w:keepLines/>
              <w:widowControl/>
              <w:jc w:val="center"/>
              <w:rPr>
                <w:sz w:val="20"/>
                <w:szCs w:val="20"/>
              </w:rPr>
            </w:pPr>
          </w:p>
        </w:tc>
        <w:tc>
          <w:tcPr>
            <w:tcW w:w="798" w:type="dxa"/>
          </w:tcPr>
          <w:p w14:paraId="15519ACF" w14:textId="77777777" w:rsidR="00436DAA" w:rsidRPr="00330234" w:rsidRDefault="00436DAA" w:rsidP="003C4B56">
            <w:pPr>
              <w:pStyle w:val="TableParagraph"/>
              <w:keepNext/>
              <w:keepLines/>
              <w:widowControl/>
              <w:jc w:val="center"/>
              <w:rPr>
                <w:sz w:val="20"/>
                <w:szCs w:val="20"/>
              </w:rPr>
            </w:pPr>
          </w:p>
        </w:tc>
        <w:tc>
          <w:tcPr>
            <w:tcW w:w="812" w:type="dxa"/>
          </w:tcPr>
          <w:p w14:paraId="76ACC665" w14:textId="77777777" w:rsidR="00436DAA" w:rsidRPr="00330234" w:rsidRDefault="009B4B8E" w:rsidP="003C4B56">
            <w:pPr>
              <w:pStyle w:val="TableParagraph"/>
              <w:keepNext/>
              <w:keepLines/>
              <w:widowControl/>
              <w:jc w:val="center"/>
              <w:rPr>
                <w:sz w:val="20"/>
                <w:szCs w:val="20"/>
              </w:rPr>
            </w:pPr>
            <w:r w:rsidRPr="00330234">
              <w:rPr>
                <w:sz w:val="20"/>
                <w:szCs w:val="20"/>
              </w:rPr>
              <w:t>36%***</w:t>
            </w:r>
          </w:p>
        </w:tc>
        <w:tc>
          <w:tcPr>
            <w:tcW w:w="812" w:type="dxa"/>
          </w:tcPr>
          <w:p w14:paraId="5D4410AB" w14:textId="77777777" w:rsidR="00436DAA" w:rsidRPr="00330234" w:rsidRDefault="009B4B8E" w:rsidP="003C4B56">
            <w:pPr>
              <w:pStyle w:val="TableParagraph"/>
              <w:keepNext/>
              <w:keepLines/>
              <w:widowControl/>
              <w:jc w:val="center"/>
              <w:rPr>
                <w:sz w:val="20"/>
                <w:szCs w:val="20"/>
              </w:rPr>
            </w:pPr>
            <w:r w:rsidRPr="00330234">
              <w:rPr>
                <w:sz w:val="20"/>
                <w:szCs w:val="20"/>
              </w:rPr>
              <w:t>10%</w:t>
            </w:r>
          </w:p>
        </w:tc>
        <w:tc>
          <w:tcPr>
            <w:tcW w:w="812" w:type="dxa"/>
          </w:tcPr>
          <w:p w14:paraId="17405341" w14:textId="77777777" w:rsidR="00436DAA" w:rsidRPr="00330234" w:rsidRDefault="00436DAA" w:rsidP="003C4B56">
            <w:pPr>
              <w:pStyle w:val="TableParagraph"/>
              <w:keepNext/>
              <w:keepLines/>
              <w:widowControl/>
              <w:jc w:val="center"/>
              <w:rPr>
                <w:sz w:val="20"/>
                <w:szCs w:val="20"/>
              </w:rPr>
            </w:pPr>
          </w:p>
        </w:tc>
        <w:tc>
          <w:tcPr>
            <w:tcW w:w="826" w:type="dxa"/>
          </w:tcPr>
          <w:p w14:paraId="19C6A401" w14:textId="77777777" w:rsidR="00436DAA" w:rsidRPr="00330234" w:rsidRDefault="00436DAA" w:rsidP="003C4B56">
            <w:pPr>
              <w:pStyle w:val="TableParagraph"/>
              <w:keepNext/>
              <w:keepLines/>
              <w:widowControl/>
              <w:jc w:val="center"/>
              <w:rPr>
                <w:sz w:val="20"/>
                <w:szCs w:val="20"/>
              </w:rPr>
            </w:pPr>
          </w:p>
        </w:tc>
        <w:tc>
          <w:tcPr>
            <w:tcW w:w="979" w:type="dxa"/>
          </w:tcPr>
          <w:p w14:paraId="748E8776" w14:textId="77777777" w:rsidR="00436DAA" w:rsidRPr="00330234" w:rsidRDefault="00436DAA" w:rsidP="003C4B56">
            <w:pPr>
              <w:pStyle w:val="TableParagraph"/>
              <w:keepNext/>
              <w:keepLines/>
              <w:widowControl/>
              <w:jc w:val="center"/>
              <w:rPr>
                <w:sz w:val="20"/>
                <w:szCs w:val="20"/>
              </w:rPr>
            </w:pPr>
          </w:p>
        </w:tc>
        <w:tc>
          <w:tcPr>
            <w:tcW w:w="882" w:type="dxa"/>
          </w:tcPr>
          <w:p w14:paraId="1AEFB68D" w14:textId="77777777" w:rsidR="00436DAA" w:rsidRPr="00330234" w:rsidRDefault="00436DAA" w:rsidP="003C4B56">
            <w:pPr>
              <w:pStyle w:val="TableParagraph"/>
              <w:keepNext/>
              <w:keepLines/>
              <w:widowControl/>
              <w:jc w:val="center"/>
              <w:rPr>
                <w:sz w:val="20"/>
                <w:szCs w:val="20"/>
              </w:rPr>
            </w:pPr>
          </w:p>
        </w:tc>
        <w:tc>
          <w:tcPr>
            <w:tcW w:w="882" w:type="dxa"/>
          </w:tcPr>
          <w:p w14:paraId="793AFC49" w14:textId="77777777" w:rsidR="00436DAA" w:rsidRPr="00330234" w:rsidRDefault="00436DAA" w:rsidP="003C4B56">
            <w:pPr>
              <w:pStyle w:val="TableParagraph"/>
              <w:keepNext/>
              <w:keepLines/>
              <w:widowControl/>
              <w:jc w:val="center"/>
              <w:rPr>
                <w:sz w:val="20"/>
                <w:szCs w:val="20"/>
              </w:rPr>
            </w:pPr>
          </w:p>
        </w:tc>
        <w:tc>
          <w:tcPr>
            <w:tcW w:w="840" w:type="dxa"/>
          </w:tcPr>
          <w:p w14:paraId="66ED7E25" w14:textId="77777777" w:rsidR="00436DAA" w:rsidRPr="00330234" w:rsidRDefault="00436DAA" w:rsidP="003C4B56">
            <w:pPr>
              <w:pStyle w:val="TableParagraph"/>
              <w:keepNext/>
              <w:keepLines/>
              <w:widowControl/>
              <w:jc w:val="center"/>
              <w:rPr>
                <w:sz w:val="20"/>
                <w:szCs w:val="20"/>
              </w:rPr>
            </w:pPr>
          </w:p>
        </w:tc>
      </w:tr>
      <w:tr w:rsidR="00436DAA" w:rsidRPr="00330234" w14:paraId="75F2FAD8" w14:textId="77777777" w:rsidTr="006E5B37">
        <w:trPr>
          <w:trHeight w:val="20"/>
        </w:trPr>
        <w:tc>
          <w:tcPr>
            <w:tcW w:w="9052" w:type="dxa"/>
            <w:gridSpan w:val="11"/>
          </w:tcPr>
          <w:p w14:paraId="55A6AACA" w14:textId="77777777" w:rsidR="00436DAA" w:rsidRPr="00330234" w:rsidRDefault="009B4B8E" w:rsidP="00A16C61">
            <w:pPr>
              <w:pStyle w:val="TableParagraph"/>
              <w:widowControl/>
              <w:jc w:val="center"/>
              <w:rPr>
                <w:b/>
                <w:sz w:val="20"/>
                <w:szCs w:val="20"/>
              </w:rPr>
            </w:pPr>
            <w:r w:rsidRPr="00330234">
              <w:rPr>
                <w:b/>
                <w:sz w:val="20"/>
                <w:szCs w:val="20"/>
              </w:rPr>
              <w:t>ACR70</w:t>
            </w:r>
          </w:p>
        </w:tc>
      </w:tr>
      <w:tr w:rsidR="006E5B37" w:rsidRPr="00330234" w14:paraId="4DD08280" w14:textId="77777777" w:rsidTr="006E5B37">
        <w:trPr>
          <w:trHeight w:val="20"/>
        </w:trPr>
        <w:tc>
          <w:tcPr>
            <w:tcW w:w="611" w:type="dxa"/>
          </w:tcPr>
          <w:p w14:paraId="058E2D27" w14:textId="77777777" w:rsidR="00436DAA" w:rsidRPr="00330234" w:rsidRDefault="009B4B8E" w:rsidP="00A16C61">
            <w:pPr>
              <w:pStyle w:val="TableParagraph"/>
              <w:widowControl/>
              <w:jc w:val="center"/>
              <w:rPr>
                <w:sz w:val="20"/>
                <w:szCs w:val="20"/>
              </w:rPr>
            </w:pPr>
            <w:r w:rsidRPr="00330234">
              <w:rPr>
                <w:sz w:val="20"/>
                <w:szCs w:val="20"/>
              </w:rPr>
              <w:t>24</w:t>
            </w:r>
          </w:p>
        </w:tc>
        <w:tc>
          <w:tcPr>
            <w:tcW w:w="798" w:type="dxa"/>
          </w:tcPr>
          <w:p w14:paraId="3A66EE3C" w14:textId="77777777" w:rsidR="00436DAA" w:rsidRPr="00330234" w:rsidRDefault="009B4B8E" w:rsidP="00A16C61">
            <w:pPr>
              <w:pStyle w:val="TableParagraph"/>
              <w:widowControl/>
              <w:jc w:val="center"/>
              <w:rPr>
                <w:sz w:val="20"/>
                <w:szCs w:val="20"/>
              </w:rPr>
            </w:pPr>
            <w:r w:rsidRPr="00330234">
              <w:rPr>
                <w:sz w:val="20"/>
                <w:szCs w:val="20"/>
              </w:rPr>
              <w:t>28%**</w:t>
            </w:r>
          </w:p>
        </w:tc>
        <w:tc>
          <w:tcPr>
            <w:tcW w:w="798" w:type="dxa"/>
          </w:tcPr>
          <w:p w14:paraId="19CE4F10" w14:textId="77777777" w:rsidR="00436DAA" w:rsidRPr="00330234" w:rsidRDefault="009B4B8E" w:rsidP="00A16C61">
            <w:pPr>
              <w:pStyle w:val="TableParagraph"/>
              <w:widowControl/>
              <w:jc w:val="center"/>
              <w:rPr>
                <w:sz w:val="20"/>
                <w:szCs w:val="20"/>
              </w:rPr>
            </w:pPr>
            <w:r w:rsidRPr="00330234">
              <w:rPr>
                <w:sz w:val="20"/>
                <w:szCs w:val="20"/>
              </w:rPr>
              <w:t>15%</w:t>
            </w:r>
          </w:p>
        </w:tc>
        <w:tc>
          <w:tcPr>
            <w:tcW w:w="812" w:type="dxa"/>
          </w:tcPr>
          <w:p w14:paraId="1ABBD56F" w14:textId="77777777" w:rsidR="00436DAA" w:rsidRPr="00330234" w:rsidRDefault="009B4B8E" w:rsidP="00A16C61">
            <w:pPr>
              <w:pStyle w:val="TableParagraph"/>
              <w:widowControl/>
              <w:jc w:val="center"/>
              <w:rPr>
                <w:sz w:val="20"/>
                <w:szCs w:val="20"/>
              </w:rPr>
            </w:pPr>
            <w:r w:rsidRPr="00330234">
              <w:rPr>
                <w:sz w:val="20"/>
                <w:szCs w:val="20"/>
              </w:rPr>
              <w:t>13%***</w:t>
            </w:r>
          </w:p>
        </w:tc>
        <w:tc>
          <w:tcPr>
            <w:tcW w:w="812" w:type="dxa"/>
          </w:tcPr>
          <w:p w14:paraId="32F7B4C7" w14:textId="77777777" w:rsidR="00436DAA" w:rsidRPr="00330234" w:rsidRDefault="009B4B8E" w:rsidP="00A16C61">
            <w:pPr>
              <w:pStyle w:val="TableParagraph"/>
              <w:widowControl/>
              <w:jc w:val="center"/>
              <w:rPr>
                <w:sz w:val="20"/>
                <w:szCs w:val="20"/>
              </w:rPr>
            </w:pPr>
            <w:r w:rsidRPr="00330234">
              <w:rPr>
                <w:sz w:val="20"/>
                <w:szCs w:val="20"/>
              </w:rPr>
              <w:t>2%</w:t>
            </w:r>
          </w:p>
        </w:tc>
        <w:tc>
          <w:tcPr>
            <w:tcW w:w="812" w:type="dxa"/>
          </w:tcPr>
          <w:p w14:paraId="63DF0BA2" w14:textId="77777777" w:rsidR="00436DAA" w:rsidRPr="00330234" w:rsidRDefault="009B4B8E" w:rsidP="00A16C61">
            <w:pPr>
              <w:pStyle w:val="TableParagraph"/>
              <w:widowControl/>
              <w:jc w:val="center"/>
              <w:rPr>
                <w:sz w:val="20"/>
                <w:szCs w:val="20"/>
              </w:rPr>
            </w:pPr>
            <w:r w:rsidRPr="00330234">
              <w:rPr>
                <w:sz w:val="20"/>
                <w:szCs w:val="20"/>
              </w:rPr>
              <w:t>22%***</w:t>
            </w:r>
          </w:p>
        </w:tc>
        <w:tc>
          <w:tcPr>
            <w:tcW w:w="826" w:type="dxa"/>
          </w:tcPr>
          <w:p w14:paraId="7ECE41C8" w14:textId="77777777" w:rsidR="00436DAA" w:rsidRPr="00330234" w:rsidRDefault="009B4B8E" w:rsidP="00A16C61">
            <w:pPr>
              <w:pStyle w:val="TableParagraph"/>
              <w:widowControl/>
              <w:jc w:val="center"/>
              <w:rPr>
                <w:sz w:val="20"/>
                <w:szCs w:val="20"/>
              </w:rPr>
            </w:pPr>
            <w:r w:rsidRPr="00330234">
              <w:rPr>
                <w:sz w:val="20"/>
                <w:szCs w:val="20"/>
              </w:rPr>
              <w:t>2%</w:t>
            </w:r>
          </w:p>
        </w:tc>
        <w:tc>
          <w:tcPr>
            <w:tcW w:w="979" w:type="dxa"/>
          </w:tcPr>
          <w:p w14:paraId="49BE8021" w14:textId="77777777" w:rsidR="00436DAA" w:rsidRPr="00330234" w:rsidRDefault="009B4B8E" w:rsidP="00A16C61">
            <w:pPr>
              <w:pStyle w:val="TableParagraph"/>
              <w:widowControl/>
              <w:jc w:val="center"/>
              <w:rPr>
                <w:sz w:val="20"/>
                <w:szCs w:val="20"/>
              </w:rPr>
            </w:pPr>
            <w:r w:rsidRPr="00330234">
              <w:rPr>
                <w:sz w:val="20"/>
                <w:szCs w:val="20"/>
              </w:rPr>
              <w:t>21%***</w:t>
            </w:r>
          </w:p>
        </w:tc>
        <w:tc>
          <w:tcPr>
            <w:tcW w:w="882" w:type="dxa"/>
          </w:tcPr>
          <w:p w14:paraId="2C46502D" w14:textId="77777777" w:rsidR="00436DAA" w:rsidRPr="00330234" w:rsidRDefault="009B4B8E" w:rsidP="00A16C61">
            <w:pPr>
              <w:pStyle w:val="TableParagraph"/>
              <w:widowControl/>
              <w:jc w:val="center"/>
              <w:rPr>
                <w:sz w:val="20"/>
                <w:szCs w:val="20"/>
              </w:rPr>
            </w:pPr>
            <w:r w:rsidRPr="00330234">
              <w:rPr>
                <w:sz w:val="20"/>
                <w:szCs w:val="20"/>
              </w:rPr>
              <w:t>3%</w:t>
            </w:r>
          </w:p>
        </w:tc>
        <w:tc>
          <w:tcPr>
            <w:tcW w:w="882" w:type="dxa"/>
          </w:tcPr>
          <w:p w14:paraId="207E8E30" w14:textId="77777777" w:rsidR="00436DAA" w:rsidRPr="00330234" w:rsidRDefault="009B4B8E" w:rsidP="00A16C61">
            <w:pPr>
              <w:pStyle w:val="TableParagraph"/>
              <w:widowControl/>
              <w:jc w:val="center"/>
              <w:rPr>
                <w:sz w:val="20"/>
                <w:szCs w:val="20"/>
              </w:rPr>
            </w:pPr>
            <w:r w:rsidRPr="00330234">
              <w:rPr>
                <w:sz w:val="20"/>
                <w:szCs w:val="20"/>
              </w:rPr>
              <w:t>12%**</w:t>
            </w:r>
          </w:p>
        </w:tc>
        <w:tc>
          <w:tcPr>
            <w:tcW w:w="840" w:type="dxa"/>
          </w:tcPr>
          <w:p w14:paraId="322197FD" w14:textId="77777777" w:rsidR="00436DAA" w:rsidRPr="00330234" w:rsidRDefault="009B4B8E" w:rsidP="00A16C61">
            <w:pPr>
              <w:pStyle w:val="TableParagraph"/>
              <w:widowControl/>
              <w:jc w:val="center"/>
              <w:rPr>
                <w:sz w:val="20"/>
                <w:szCs w:val="20"/>
              </w:rPr>
            </w:pPr>
            <w:r w:rsidRPr="00330234">
              <w:rPr>
                <w:sz w:val="20"/>
                <w:szCs w:val="20"/>
              </w:rPr>
              <w:t>1%</w:t>
            </w:r>
          </w:p>
        </w:tc>
      </w:tr>
      <w:tr w:rsidR="006E5B37" w:rsidRPr="00330234" w14:paraId="038CFE51" w14:textId="77777777" w:rsidTr="006E5B37">
        <w:trPr>
          <w:trHeight w:val="20"/>
        </w:trPr>
        <w:tc>
          <w:tcPr>
            <w:tcW w:w="611" w:type="dxa"/>
          </w:tcPr>
          <w:p w14:paraId="532B4E2D" w14:textId="77777777" w:rsidR="00436DAA" w:rsidRPr="00330234" w:rsidRDefault="009B4B8E" w:rsidP="00A16C61">
            <w:pPr>
              <w:pStyle w:val="TableParagraph"/>
              <w:widowControl/>
              <w:jc w:val="center"/>
              <w:rPr>
                <w:sz w:val="20"/>
                <w:szCs w:val="20"/>
              </w:rPr>
            </w:pPr>
            <w:r w:rsidRPr="00330234">
              <w:rPr>
                <w:sz w:val="20"/>
                <w:szCs w:val="20"/>
              </w:rPr>
              <w:t>52</w:t>
            </w:r>
          </w:p>
        </w:tc>
        <w:tc>
          <w:tcPr>
            <w:tcW w:w="1596" w:type="dxa"/>
            <w:gridSpan w:val="2"/>
          </w:tcPr>
          <w:p w14:paraId="3F6300D8" w14:textId="77777777" w:rsidR="00436DAA" w:rsidRPr="00330234" w:rsidRDefault="00436DAA" w:rsidP="00A16C61">
            <w:pPr>
              <w:pStyle w:val="TableParagraph"/>
              <w:widowControl/>
              <w:jc w:val="center"/>
              <w:rPr>
                <w:sz w:val="20"/>
                <w:szCs w:val="20"/>
              </w:rPr>
            </w:pPr>
          </w:p>
        </w:tc>
        <w:tc>
          <w:tcPr>
            <w:tcW w:w="812" w:type="dxa"/>
          </w:tcPr>
          <w:p w14:paraId="542438E8" w14:textId="77777777" w:rsidR="00436DAA" w:rsidRPr="00330234" w:rsidRDefault="009B4B8E" w:rsidP="00A16C61">
            <w:pPr>
              <w:pStyle w:val="TableParagraph"/>
              <w:widowControl/>
              <w:jc w:val="center"/>
              <w:rPr>
                <w:sz w:val="20"/>
                <w:szCs w:val="20"/>
              </w:rPr>
            </w:pPr>
            <w:r w:rsidRPr="00330234">
              <w:rPr>
                <w:sz w:val="20"/>
                <w:szCs w:val="20"/>
              </w:rPr>
              <w:t>20%***</w:t>
            </w:r>
          </w:p>
        </w:tc>
        <w:tc>
          <w:tcPr>
            <w:tcW w:w="812" w:type="dxa"/>
          </w:tcPr>
          <w:p w14:paraId="0CA7FF57" w14:textId="77777777" w:rsidR="00436DAA" w:rsidRPr="00330234" w:rsidRDefault="009B4B8E" w:rsidP="00A16C61">
            <w:pPr>
              <w:pStyle w:val="TableParagraph"/>
              <w:widowControl/>
              <w:jc w:val="center"/>
              <w:rPr>
                <w:sz w:val="20"/>
                <w:szCs w:val="20"/>
              </w:rPr>
            </w:pPr>
            <w:r w:rsidRPr="00330234">
              <w:rPr>
                <w:sz w:val="20"/>
                <w:szCs w:val="20"/>
              </w:rPr>
              <w:t>4%</w:t>
            </w:r>
          </w:p>
        </w:tc>
        <w:tc>
          <w:tcPr>
            <w:tcW w:w="1638" w:type="dxa"/>
            <w:gridSpan w:val="2"/>
          </w:tcPr>
          <w:p w14:paraId="23FB6507" w14:textId="77777777" w:rsidR="00436DAA" w:rsidRPr="00330234" w:rsidRDefault="00436DAA" w:rsidP="00A16C61">
            <w:pPr>
              <w:pStyle w:val="TableParagraph"/>
              <w:widowControl/>
              <w:jc w:val="center"/>
              <w:rPr>
                <w:sz w:val="20"/>
                <w:szCs w:val="20"/>
              </w:rPr>
            </w:pPr>
          </w:p>
        </w:tc>
        <w:tc>
          <w:tcPr>
            <w:tcW w:w="979" w:type="dxa"/>
          </w:tcPr>
          <w:p w14:paraId="7E5F8EC3" w14:textId="77777777" w:rsidR="00436DAA" w:rsidRPr="00330234" w:rsidRDefault="00436DAA" w:rsidP="00A16C61">
            <w:pPr>
              <w:pStyle w:val="TableParagraph"/>
              <w:widowControl/>
              <w:jc w:val="center"/>
              <w:rPr>
                <w:sz w:val="20"/>
                <w:szCs w:val="20"/>
              </w:rPr>
            </w:pPr>
          </w:p>
        </w:tc>
        <w:tc>
          <w:tcPr>
            <w:tcW w:w="882" w:type="dxa"/>
          </w:tcPr>
          <w:p w14:paraId="32F4CB26" w14:textId="77777777" w:rsidR="00436DAA" w:rsidRPr="00330234" w:rsidRDefault="00436DAA" w:rsidP="00A16C61">
            <w:pPr>
              <w:pStyle w:val="TableParagraph"/>
              <w:widowControl/>
              <w:jc w:val="center"/>
              <w:rPr>
                <w:sz w:val="20"/>
                <w:szCs w:val="20"/>
              </w:rPr>
            </w:pPr>
          </w:p>
        </w:tc>
        <w:tc>
          <w:tcPr>
            <w:tcW w:w="882" w:type="dxa"/>
          </w:tcPr>
          <w:p w14:paraId="74223177" w14:textId="77777777" w:rsidR="00436DAA" w:rsidRPr="00330234" w:rsidRDefault="00436DAA" w:rsidP="00A16C61">
            <w:pPr>
              <w:pStyle w:val="TableParagraph"/>
              <w:widowControl/>
              <w:jc w:val="center"/>
              <w:rPr>
                <w:sz w:val="20"/>
                <w:szCs w:val="20"/>
              </w:rPr>
            </w:pPr>
          </w:p>
        </w:tc>
        <w:tc>
          <w:tcPr>
            <w:tcW w:w="840" w:type="dxa"/>
          </w:tcPr>
          <w:p w14:paraId="5ED09911" w14:textId="77777777" w:rsidR="00436DAA" w:rsidRPr="00330234" w:rsidRDefault="00436DAA" w:rsidP="00A16C61">
            <w:pPr>
              <w:pStyle w:val="TableParagraph"/>
              <w:widowControl/>
              <w:jc w:val="center"/>
              <w:rPr>
                <w:sz w:val="20"/>
                <w:szCs w:val="20"/>
              </w:rPr>
            </w:pPr>
          </w:p>
        </w:tc>
      </w:tr>
    </w:tbl>
    <w:p w14:paraId="5305146F" w14:textId="77777777" w:rsidR="00436DAA" w:rsidRPr="00330234" w:rsidRDefault="009B4B8E" w:rsidP="006E5B37">
      <w:pPr>
        <w:widowControl/>
        <w:ind w:left="1134" w:hanging="1134"/>
        <w:rPr>
          <w:i/>
          <w:sz w:val="18"/>
          <w:szCs w:val="18"/>
        </w:rPr>
      </w:pPr>
      <w:r w:rsidRPr="00330234">
        <w:rPr>
          <w:i/>
          <w:sz w:val="18"/>
          <w:szCs w:val="18"/>
        </w:rPr>
        <w:t>TCZ</w:t>
      </w:r>
      <w:r w:rsidRPr="00330234">
        <w:rPr>
          <w:i/>
          <w:sz w:val="18"/>
          <w:szCs w:val="18"/>
        </w:rPr>
        <w:tab/>
        <w:t>- Tocilizumab</w:t>
      </w:r>
    </w:p>
    <w:p w14:paraId="04EDCA35" w14:textId="77777777" w:rsidR="00436DAA" w:rsidRPr="00330234" w:rsidRDefault="009B4B8E" w:rsidP="006E5B37">
      <w:pPr>
        <w:widowControl/>
        <w:ind w:left="1134" w:hanging="1134"/>
        <w:rPr>
          <w:i/>
          <w:sz w:val="18"/>
          <w:szCs w:val="18"/>
        </w:rPr>
      </w:pPr>
      <w:r w:rsidRPr="00330234">
        <w:rPr>
          <w:i/>
          <w:sz w:val="18"/>
          <w:szCs w:val="18"/>
        </w:rPr>
        <w:t>MTX</w:t>
      </w:r>
      <w:r w:rsidRPr="00330234">
        <w:rPr>
          <w:i/>
          <w:sz w:val="18"/>
          <w:szCs w:val="18"/>
        </w:rPr>
        <w:tab/>
        <w:t>- Methotrexaat</w:t>
      </w:r>
    </w:p>
    <w:p w14:paraId="31730B9A" w14:textId="77777777" w:rsidR="00436DAA" w:rsidRPr="00330234" w:rsidRDefault="009B4B8E" w:rsidP="006E5B37">
      <w:pPr>
        <w:widowControl/>
        <w:ind w:left="1134" w:hanging="1134"/>
        <w:rPr>
          <w:i/>
          <w:sz w:val="18"/>
          <w:szCs w:val="18"/>
        </w:rPr>
      </w:pPr>
      <w:r w:rsidRPr="00330234">
        <w:rPr>
          <w:i/>
          <w:sz w:val="18"/>
          <w:szCs w:val="18"/>
        </w:rPr>
        <w:t>PBO</w:t>
      </w:r>
      <w:r w:rsidRPr="00330234">
        <w:rPr>
          <w:i/>
          <w:sz w:val="18"/>
          <w:szCs w:val="18"/>
        </w:rPr>
        <w:tab/>
        <w:t>- Placebo</w:t>
      </w:r>
    </w:p>
    <w:p w14:paraId="2590DD34" w14:textId="77777777" w:rsidR="00436DAA" w:rsidRPr="00330234" w:rsidRDefault="009B4B8E" w:rsidP="006E5B37">
      <w:pPr>
        <w:widowControl/>
        <w:ind w:left="1134" w:hanging="1134"/>
        <w:rPr>
          <w:i/>
          <w:sz w:val="18"/>
          <w:szCs w:val="18"/>
        </w:rPr>
      </w:pPr>
      <w:r w:rsidRPr="00330234">
        <w:rPr>
          <w:i/>
          <w:sz w:val="18"/>
          <w:szCs w:val="18"/>
        </w:rPr>
        <w:t>DMARD</w:t>
      </w:r>
      <w:r w:rsidRPr="00330234">
        <w:rPr>
          <w:i/>
          <w:sz w:val="18"/>
          <w:szCs w:val="18"/>
        </w:rPr>
        <w:tab/>
        <w:t>- Disease modifying anti-rheumatic drug</w:t>
      </w:r>
    </w:p>
    <w:p w14:paraId="4182C797" w14:textId="77777777" w:rsidR="00436DAA" w:rsidRPr="00330234" w:rsidRDefault="009B4B8E" w:rsidP="006E5B37">
      <w:pPr>
        <w:widowControl/>
        <w:ind w:left="1134" w:hanging="1134"/>
        <w:rPr>
          <w:i/>
          <w:sz w:val="18"/>
          <w:szCs w:val="18"/>
        </w:rPr>
      </w:pPr>
      <w:r w:rsidRPr="00330234">
        <w:rPr>
          <w:i/>
          <w:sz w:val="18"/>
          <w:szCs w:val="18"/>
        </w:rPr>
        <w:t>**</w:t>
      </w:r>
      <w:r w:rsidRPr="00330234">
        <w:rPr>
          <w:i/>
          <w:sz w:val="18"/>
          <w:szCs w:val="18"/>
        </w:rPr>
        <w:tab/>
        <w:t>- p&lt; 0,01, TCZ vs. PBO + MTX / DMARD</w:t>
      </w:r>
    </w:p>
    <w:p w14:paraId="512FD26E" w14:textId="77777777" w:rsidR="00436DAA" w:rsidRPr="00330234" w:rsidRDefault="009B4B8E" w:rsidP="006E5B37">
      <w:pPr>
        <w:widowControl/>
        <w:ind w:left="1134" w:hanging="1134"/>
        <w:rPr>
          <w:i/>
          <w:sz w:val="18"/>
          <w:szCs w:val="18"/>
        </w:rPr>
      </w:pPr>
      <w:r w:rsidRPr="00330234">
        <w:rPr>
          <w:i/>
          <w:sz w:val="18"/>
          <w:szCs w:val="18"/>
        </w:rPr>
        <w:t>***</w:t>
      </w:r>
      <w:r w:rsidRPr="00330234">
        <w:rPr>
          <w:i/>
          <w:sz w:val="18"/>
          <w:szCs w:val="18"/>
        </w:rPr>
        <w:tab/>
        <w:t>- p&lt; 0,0001, TCZ vs. PBO + MTX / DMARD</w:t>
      </w:r>
    </w:p>
    <w:p w14:paraId="32A8B95A" w14:textId="77777777" w:rsidR="00436DAA" w:rsidRPr="00330234" w:rsidRDefault="00436DAA" w:rsidP="00BD109B">
      <w:pPr>
        <w:pStyle w:val="a3"/>
        <w:widowControl/>
        <w:ind w:left="0"/>
        <w:rPr>
          <w:i/>
        </w:rPr>
      </w:pPr>
    </w:p>
    <w:p w14:paraId="0DDB810C" w14:textId="77777777" w:rsidR="00436DAA" w:rsidRPr="00330234" w:rsidRDefault="009B4B8E" w:rsidP="00BD109B">
      <w:pPr>
        <w:widowControl/>
        <w:rPr>
          <w:i/>
        </w:rPr>
      </w:pPr>
      <w:r w:rsidRPr="00330234">
        <w:rPr>
          <w:i/>
        </w:rPr>
        <w:t>Belangrijke klinische respons</w:t>
      </w:r>
    </w:p>
    <w:p w14:paraId="38F26A8C" w14:textId="68C2F511" w:rsidR="00436DAA" w:rsidRPr="00330234" w:rsidRDefault="009B4B8E" w:rsidP="00BD109B">
      <w:pPr>
        <w:pStyle w:val="a3"/>
        <w:widowControl/>
        <w:ind w:left="0"/>
      </w:pPr>
      <w:r w:rsidRPr="00330234">
        <w:t xml:space="preserve">Na 2 jaar behandeling met </w:t>
      </w:r>
      <w:r w:rsidR="00FA591D" w:rsidRPr="00330234">
        <w:t>tocilizumab</w:t>
      </w:r>
      <w:r w:rsidRPr="00330234">
        <w:t xml:space="preserve"> plus MTX bereikte 14% van de patiënten een belangrijke klinische respons (handhaving van een ACR70-respons gedurende 24 weken of langer).</w:t>
      </w:r>
    </w:p>
    <w:p w14:paraId="45266252" w14:textId="77777777" w:rsidR="00FF38E0" w:rsidRPr="00330234" w:rsidRDefault="00FF38E0" w:rsidP="00BD109B">
      <w:pPr>
        <w:pStyle w:val="a3"/>
        <w:widowControl/>
        <w:ind w:left="0"/>
      </w:pPr>
    </w:p>
    <w:p w14:paraId="46EE57BF" w14:textId="77777777" w:rsidR="00436DAA" w:rsidRPr="00330234" w:rsidRDefault="009B4B8E" w:rsidP="00BD109B">
      <w:pPr>
        <w:widowControl/>
        <w:rPr>
          <w:i/>
        </w:rPr>
      </w:pPr>
      <w:r w:rsidRPr="00330234">
        <w:rPr>
          <w:i/>
        </w:rPr>
        <w:t>Radiografische respons</w:t>
      </w:r>
    </w:p>
    <w:p w14:paraId="40A920E4" w14:textId="1A408225" w:rsidR="00436DAA" w:rsidRPr="00330234" w:rsidRDefault="009B4B8E" w:rsidP="00BD109B">
      <w:pPr>
        <w:pStyle w:val="a3"/>
        <w:widowControl/>
        <w:ind w:left="0"/>
      </w:pPr>
      <w:r w:rsidRPr="00330234">
        <w:t xml:space="preserve">Tijdens studie II werd bij patiënten met onvoldoende respons op MTX de remming van de structurele gewrichtsschade bepaald middels radiografie en uitgedrukt als verandering in gemodificeerde </w:t>
      </w:r>
      <w:r w:rsidRPr="00330234">
        <w:rPr>
          <w:i/>
        </w:rPr>
        <w:t xml:space="preserve">Sharp Score </w:t>
      </w:r>
      <w:r w:rsidRPr="00330234">
        <w:t xml:space="preserve">en de bijbehorende componenten, de Erosiescore en </w:t>
      </w:r>
      <w:r w:rsidRPr="00330234">
        <w:rPr>
          <w:i/>
        </w:rPr>
        <w:t>Joint Space Narrowing Score</w:t>
      </w:r>
      <w:r w:rsidRPr="00330234">
        <w:t xml:space="preserve">. Remming </w:t>
      </w:r>
      <w:r w:rsidRPr="00330234">
        <w:lastRenderedPageBreak/>
        <w:t xml:space="preserve">van de structurele gewrichtsschade is aangetoond met significant minder radiografische progressie bij patiënten met </w:t>
      </w:r>
      <w:r w:rsidR="00FA591D" w:rsidRPr="00330234">
        <w:t>tocilizumab</w:t>
      </w:r>
      <w:r w:rsidRPr="00330234">
        <w:t xml:space="preserve"> vergeleken met de controlegroep (tabel 6).</w:t>
      </w:r>
    </w:p>
    <w:p w14:paraId="6FCD05F3" w14:textId="77777777" w:rsidR="00FF38E0" w:rsidRPr="00330234" w:rsidRDefault="00FF38E0" w:rsidP="00BD109B">
      <w:pPr>
        <w:pStyle w:val="a3"/>
        <w:widowControl/>
        <w:ind w:left="0"/>
      </w:pPr>
    </w:p>
    <w:p w14:paraId="335F90E3" w14:textId="37CD7E50" w:rsidR="00436DAA" w:rsidRPr="00330234" w:rsidRDefault="009B4B8E" w:rsidP="00BD109B">
      <w:pPr>
        <w:pStyle w:val="a3"/>
        <w:widowControl/>
        <w:ind w:left="0"/>
      </w:pPr>
      <w:r w:rsidRPr="00330234">
        <w:t xml:space="preserve">Tijdens de open-label-extensie van studie II bleef de remming van de progressie van structurele gewrichtsschade bij patiënten die met tocilizumab en MTX werden behandeld in het tweede jaar van behandeling gehandhaafd. De gemiddelde verandering ten opzichte van baseline op week 104 van de </w:t>
      </w:r>
      <w:r w:rsidRPr="00330234">
        <w:rPr>
          <w:i/>
        </w:rPr>
        <w:t>Total Sharp-Genant-</w:t>
      </w:r>
      <w:r w:rsidRPr="00330234">
        <w:t xml:space="preserve">score was significant lager bij patiënten die naar </w:t>
      </w:r>
      <w:r w:rsidR="00FA591D" w:rsidRPr="00330234">
        <w:t>tocilizumab</w:t>
      </w:r>
      <w:r w:rsidRPr="00330234">
        <w:t xml:space="preserve"> 8 mg/kg plus MTX waren gerandomiseerd (p&lt; 0,0001) dan bij patiënten gerandomiseerd naar placebo plus MTX.</w:t>
      </w:r>
    </w:p>
    <w:p w14:paraId="744627EF" w14:textId="77777777" w:rsidR="00436DAA" w:rsidRPr="00330234" w:rsidRDefault="00436DAA" w:rsidP="00BD109B">
      <w:pPr>
        <w:pStyle w:val="a3"/>
        <w:widowControl/>
        <w:ind w:left="0"/>
      </w:pPr>
    </w:p>
    <w:p w14:paraId="4276E300" w14:textId="4E095472" w:rsidR="00436DAA" w:rsidRPr="00330234" w:rsidRDefault="009B4B8E" w:rsidP="006E5B37">
      <w:pPr>
        <w:widowControl/>
        <w:ind w:left="1134" w:hanging="1134"/>
        <w:rPr>
          <w:i/>
        </w:rPr>
      </w:pPr>
      <w:r w:rsidRPr="00330234">
        <w:rPr>
          <w:i/>
        </w:rPr>
        <w:t>Tabel 6.</w:t>
      </w:r>
      <w:r w:rsidR="006E5B37" w:rsidRPr="00330234">
        <w:rPr>
          <w:i/>
        </w:rPr>
        <w:tab/>
      </w:r>
      <w:r w:rsidRPr="00330234">
        <w:rPr>
          <w:i/>
        </w:rPr>
        <w:t>Gemiddelde radiografische verandering in 52 weken in studie II</w:t>
      </w:r>
    </w:p>
    <w:p w14:paraId="65EF557C" w14:textId="77777777" w:rsidR="00436DAA" w:rsidRPr="00330234" w:rsidRDefault="00436DAA" w:rsidP="00BD109B">
      <w:pPr>
        <w:pStyle w:val="a3"/>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1"/>
        <w:gridCol w:w="3093"/>
        <w:gridCol w:w="3052"/>
      </w:tblGrid>
      <w:tr w:rsidR="00436DAA" w:rsidRPr="00330234" w14:paraId="0D2DE440" w14:textId="77777777" w:rsidTr="006E5B37">
        <w:trPr>
          <w:trHeight w:val="20"/>
        </w:trPr>
        <w:tc>
          <w:tcPr>
            <w:tcW w:w="2921" w:type="dxa"/>
          </w:tcPr>
          <w:p w14:paraId="29AF51C3" w14:textId="77777777" w:rsidR="00436DAA" w:rsidRPr="00330234" w:rsidRDefault="00436DAA" w:rsidP="00BD109B">
            <w:pPr>
              <w:pStyle w:val="TableParagraph"/>
              <w:widowControl/>
            </w:pPr>
          </w:p>
        </w:tc>
        <w:tc>
          <w:tcPr>
            <w:tcW w:w="3093" w:type="dxa"/>
          </w:tcPr>
          <w:p w14:paraId="45E065E7" w14:textId="77777777" w:rsidR="00436DAA" w:rsidRPr="00330234" w:rsidRDefault="009B4B8E" w:rsidP="00FF38E0">
            <w:pPr>
              <w:pStyle w:val="TableParagraph"/>
              <w:widowControl/>
              <w:jc w:val="center"/>
              <w:rPr>
                <w:b/>
              </w:rPr>
            </w:pPr>
            <w:r w:rsidRPr="00330234">
              <w:rPr>
                <w:b/>
              </w:rPr>
              <w:t>PBO + MTX</w:t>
            </w:r>
          </w:p>
          <w:p w14:paraId="181004C9" w14:textId="77777777" w:rsidR="00FF38E0" w:rsidRPr="00330234" w:rsidRDefault="009B4B8E" w:rsidP="00FF38E0">
            <w:pPr>
              <w:pStyle w:val="TableParagraph"/>
              <w:widowControl/>
              <w:jc w:val="center"/>
              <w:rPr>
                <w:b/>
              </w:rPr>
            </w:pPr>
            <w:r w:rsidRPr="00330234">
              <w:rPr>
                <w:b/>
              </w:rPr>
              <w:t>(+TCZ vanaf week 24)</w:t>
            </w:r>
          </w:p>
          <w:p w14:paraId="4CB2345F" w14:textId="09C650A2" w:rsidR="00436DAA" w:rsidRPr="00330234" w:rsidRDefault="009B4B8E" w:rsidP="00FF38E0">
            <w:pPr>
              <w:pStyle w:val="TableParagraph"/>
              <w:widowControl/>
              <w:jc w:val="center"/>
              <w:rPr>
                <w:b/>
              </w:rPr>
            </w:pPr>
            <w:r w:rsidRPr="00330234">
              <w:rPr>
                <w:b/>
              </w:rPr>
              <w:t>N = 393</w:t>
            </w:r>
          </w:p>
        </w:tc>
        <w:tc>
          <w:tcPr>
            <w:tcW w:w="3052" w:type="dxa"/>
          </w:tcPr>
          <w:p w14:paraId="0DD534A3" w14:textId="77777777" w:rsidR="00FF38E0" w:rsidRPr="00330234" w:rsidRDefault="009B4B8E" w:rsidP="00FF38E0">
            <w:pPr>
              <w:pStyle w:val="TableParagraph"/>
              <w:widowControl/>
              <w:jc w:val="center"/>
              <w:rPr>
                <w:b/>
              </w:rPr>
            </w:pPr>
            <w:r w:rsidRPr="00330234">
              <w:rPr>
                <w:b/>
              </w:rPr>
              <w:t>TCZ 8 mg/kg + MTX</w:t>
            </w:r>
          </w:p>
          <w:p w14:paraId="5A538287" w14:textId="77777777" w:rsidR="006E5B37" w:rsidRPr="00330234" w:rsidRDefault="006E5B37" w:rsidP="00FF38E0">
            <w:pPr>
              <w:pStyle w:val="TableParagraph"/>
              <w:widowControl/>
              <w:jc w:val="center"/>
              <w:rPr>
                <w:b/>
              </w:rPr>
            </w:pPr>
          </w:p>
          <w:p w14:paraId="6B8FF81A" w14:textId="7480D76C" w:rsidR="00436DAA" w:rsidRPr="00330234" w:rsidRDefault="009B4B8E" w:rsidP="00FF38E0">
            <w:pPr>
              <w:pStyle w:val="TableParagraph"/>
              <w:widowControl/>
              <w:jc w:val="center"/>
              <w:rPr>
                <w:b/>
              </w:rPr>
            </w:pPr>
            <w:r w:rsidRPr="00330234">
              <w:rPr>
                <w:b/>
              </w:rPr>
              <w:t>N = 398</w:t>
            </w:r>
          </w:p>
        </w:tc>
      </w:tr>
      <w:tr w:rsidR="00436DAA" w:rsidRPr="00330234" w14:paraId="049F1668" w14:textId="77777777" w:rsidTr="006E5B37">
        <w:trPr>
          <w:trHeight w:val="20"/>
        </w:trPr>
        <w:tc>
          <w:tcPr>
            <w:tcW w:w="2921" w:type="dxa"/>
          </w:tcPr>
          <w:p w14:paraId="18D00947" w14:textId="18001BA9" w:rsidR="00436DAA" w:rsidRPr="00330234" w:rsidRDefault="009B4B8E" w:rsidP="00FF38E0">
            <w:pPr>
              <w:pStyle w:val="TableParagraph"/>
              <w:widowControl/>
            </w:pPr>
            <w:r w:rsidRPr="00330234">
              <w:rPr>
                <w:i/>
              </w:rPr>
              <w:t>Total Sharp-Genant-</w:t>
            </w:r>
            <w:r w:rsidR="00FF38E0" w:rsidRPr="00330234">
              <w:rPr>
                <w:i/>
              </w:rPr>
              <w:t xml:space="preserve"> </w:t>
            </w:r>
            <w:r w:rsidRPr="00330234">
              <w:t>score</w:t>
            </w:r>
          </w:p>
        </w:tc>
        <w:tc>
          <w:tcPr>
            <w:tcW w:w="3093" w:type="dxa"/>
          </w:tcPr>
          <w:p w14:paraId="0000AB1C" w14:textId="77777777" w:rsidR="00436DAA" w:rsidRPr="00330234" w:rsidRDefault="009B4B8E" w:rsidP="00FF38E0">
            <w:pPr>
              <w:pStyle w:val="TableParagraph"/>
              <w:widowControl/>
              <w:jc w:val="center"/>
            </w:pPr>
            <w:r w:rsidRPr="00330234">
              <w:t>1,13</w:t>
            </w:r>
          </w:p>
        </w:tc>
        <w:tc>
          <w:tcPr>
            <w:tcW w:w="3052" w:type="dxa"/>
          </w:tcPr>
          <w:p w14:paraId="34B0FB22" w14:textId="77777777" w:rsidR="00436DAA" w:rsidRPr="00330234" w:rsidRDefault="009B4B8E" w:rsidP="00FF38E0">
            <w:pPr>
              <w:pStyle w:val="TableParagraph"/>
              <w:widowControl/>
              <w:jc w:val="center"/>
            </w:pPr>
            <w:r w:rsidRPr="00330234">
              <w:t>0,29*</w:t>
            </w:r>
          </w:p>
        </w:tc>
      </w:tr>
      <w:tr w:rsidR="00436DAA" w:rsidRPr="00330234" w14:paraId="67999EE0" w14:textId="77777777" w:rsidTr="006E5B37">
        <w:trPr>
          <w:trHeight w:val="20"/>
        </w:trPr>
        <w:tc>
          <w:tcPr>
            <w:tcW w:w="2921" w:type="dxa"/>
          </w:tcPr>
          <w:p w14:paraId="662B46E1" w14:textId="77777777" w:rsidR="00436DAA" w:rsidRPr="00330234" w:rsidRDefault="009B4B8E" w:rsidP="00BD109B">
            <w:pPr>
              <w:pStyle w:val="TableParagraph"/>
              <w:widowControl/>
            </w:pPr>
            <w:r w:rsidRPr="00330234">
              <w:t>Erosiescore</w:t>
            </w:r>
          </w:p>
        </w:tc>
        <w:tc>
          <w:tcPr>
            <w:tcW w:w="3093" w:type="dxa"/>
          </w:tcPr>
          <w:p w14:paraId="254B214C" w14:textId="77777777" w:rsidR="00436DAA" w:rsidRPr="00330234" w:rsidRDefault="009B4B8E" w:rsidP="00FF38E0">
            <w:pPr>
              <w:pStyle w:val="TableParagraph"/>
              <w:widowControl/>
              <w:jc w:val="center"/>
            </w:pPr>
            <w:r w:rsidRPr="00330234">
              <w:t>0,71</w:t>
            </w:r>
          </w:p>
        </w:tc>
        <w:tc>
          <w:tcPr>
            <w:tcW w:w="3052" w:type="dxa"/>
          </w:tcPr>
          <w:p w14:paraId="4E49283E" w14:textId="77777777" w:rsidR="00436DAA" w:rsidRPr="00330234" w:rsidRDefault="009B4B8E" w:rsidP="00FF38E0">
            <w:pPr>
              <w:pStyle w:val="TableParagraph"/>
              <w:widowControl/>
              <w:jc w:val="center"/>
            </w:pPr>
            <w:r w:rsidRPr="00330234">
              <w:t>0,17*</w:t>
            </w:r>
          </w:p>
        </w:tc>
      </w:tr>
      <w:tr w:rsidR="00436DAA" w:rsidRPr="00330234" w14:paraId="522C0335" w14:textId="77777777" w:rsidTr="006E5B37">
        <w:trPr>
          <w:trHeight w:val="20"/>
        </w:trPr>
        <w:tc>
          <w:tcPr>
            <w:tcW w:w="2921" w:type="dxa"/>
          </w:tcPr>
          <w:p w14:paraId="0B70D4BD" w14:textId="77777777" w:rsidR="00436DAA" w:rsidRPr="00330234" w:rsidRDefault="009B4B8E" w:rsidP="00BD109B">
            <w:pPr>
              <w:pStyle w:val="TableParagraph"/>
              <w:widowControl/>
            </w:pPr>
            <w:r w:rsidRPr="00330234">
              <w:t>JSN-score</w:t>
            </w:r>
          </w:p>
        </w:tc>
        <w:tc>
          <w:tcPr>
            <w:tcW w:w="3093" w:type="dxa"/>
          </w:tcPr>
          <w:p w14:paraId="029E1694" w14:textId="77777777" w:rsidR="00436DAA" w:rsidRPr="00330234" w:rsidRDefault="009B4B8E" w:rsidP="00FF38E0">
            <w:pPr>
              <w:pStyle w:val="TableParagraph"/>
              <w:widowControl/>
              <w:jc w:val="center"/>
            </w:pPr>
            <w:r w:rsidRPr="00330234">
              <w:t>0,42</w:t>
            </w:r>
          </w:p>
        </w:tc>
        <w:tc>
          <w:tcPr>
            <w:tcW w:w="3052" w:type="dxa"/>
          </w:tcPr>
          <w:p w14:paraId="05D4DCEC" w14:textId="77777777" w:rsidR="00436DAA" w:rsidRPr="00330234" w:rsidRDefault="009B4B8E" w:rsidP="00FF38E0">
            <w:pPr>
              <w:pStyle w:val="TableParagraph"/>
              <w:widowControl/>
              <w:jc w:val="center"/>
            </w:pPr>
            <w:r w:rsidRPr="00330234">
              <w:t>0,12**</w:t>
            </w:r>
          </w:p>
        </w:tc>
      </w:tr>
    </w:tbl>
    <w:p w14:paraId="0DE852CC" w14:textId="77777777" w:rsidR="00620DE7" w:rsidRPr="00330234" w:rsidRDefault="009B4B8E" w:rsidP="006E5B37">
      <w:pPr>
        <w:widowControl/>
        <w:ind w:left="1134" w:hanging="1134"/>
        <w:rPr>
          <w:rFonts w:eastAsia="SimSun"/>
          <w:i/>
          <w:sz w:val="18"/>
          <w:szCs w:val="18"/>
          <w:lang w:eastAsia="zh-CN"/>
        </w:rPr>
      </w:pPr>
      <w:r w:rsidRPr="00330234">
        <w:rPr>
          <w:i/>
          <w:sz w:val="18"/>
          <w:szCs w:val="18"/>
        </w:rPr>
        <w:t>PBO</w:t>
      </w:r>
      <w:r w:rsidRPr="00330234">
        <w:rPr>
          <w:i/>
          <w:sz w:val="18"/>
          <w:szCs w:val="18"/>
        </w:rPr>
        <w:tab/>
        <w:t>- Placebo</w:t>
      </w:r>
    </w:p>
    <w:p w14:paraId="6B9908B9" w14:textId="41E2CC57" w:rsidR="00620DE7" w:rsidRPr="00330234" w:rsidRDefault="009B4B8E" w:rsidP="006E5B37">
      <w:pPr>
        <w:widowControl/>
        <w:ind w:left="1134" w:hanging="1134"/>
        <w:rPr>
          <w:rFonts w:eastAsia="SimSun"/>
          <w:i/>
          <w:sz w:val="18"/>
          <w:szCs w:val="18"/>
          <w:lang w:eastAsia="zh-CN"/>
        </w:rPr>
      </w:pPr>
      <w:r w:rsidRPr="00330234">
        <w:rPr>
          <w:i/>
          <w:sz w:val="18"/>
          <w:szCs w:val="18"/>
        </w:rPr>
        <w:t>MTX</w:t>
      </w:r>
      <w:r w:rsidRPr="00330234">
        <w:rPr>
          <w:i/>
          <w:sz w:val="18"/>
          <w:szCs w:val="18"/>
        </w:rPr>
        <w:tab/>
        <w:t>- Methotrexaat</w:t>
      </w:r>
    </w:p>
    <w:p w14:paraId="7D83DEEF" w14:textId="34C60A63" w:rsidR="00436DAA" w:rsidRPr="00330234" w:rsidRDefault="009B4B8E" w:rsidP="006E5B37">
      <w:pPr>
        <w:widowControl/>
        <w:ind w:left="1134" w:hanging="1134"/>
        <w:rPr>
          <w:i/>
          <w:sz w:val="18"/>
          <w:szCs w:val="18"/>
        </w:rPr>
      </w:pPr>
      <w:r w:rsidRPr="00330234">
        <w:rPr>
          <w:i/>
          <w:sz w:val="18"/>
          <w:szCs w:val="18"/>
        </w:rPr>
        <w:t>TCZ</w:t>
      </w:r>
      <w:r w:rsidRPr="00330234">
        <w:rPr>
          <w:i/>
          <w:sz w:val="18"/>
          <w:szCs w:val="18"/>
        </w:rPr>
        <w:tab/>
        <w:t>- Tocilizumab</w:t>
      </w:r>
    </w:p>
    <w:p w14:paraId="470C6DCF" w14:textId="77777777" w:rsidR="00436DAA" w:rsidRPr="00330234" w:rsidRDefault="009B4B8E" w:rsidP="006E5B37">
      <w:pPr>
        <w:widowControl/>
        <w:ind w:left="1134" w:hanging="1134"/>
        <w:rPr>
          <w:i/>
          <w:sz w:val="18"/>
          <w:szCs w:val="18"/>
        </w:rPr>
      </w:pPr>
      <w:r w:rsidRPr="00330234">
        <w:rPr>
          <w:i/>
          <w:sz w:val="18"/>
          <w:szCs w:val="18"/>
        </w:rPr>
        <w:t>JSN</w:t>
      </w:r>
      <w:r w:rsidRPr="00330234">
        <w:rPr>
          <w:i/>
          <w:sz w:val="18"/>
          <w:szCs w:val="18"/>
        </w:rPr>
        <w:tab/>
        <w:t>- Joint space narrowing</w:t>
      </w:r>
    </w:p>
    <w:p w14:paraId="42DD891F" w14:textId="77777777" w:rsidR="00436DAA" w:rsidRPr="00330234" w:rsidRDefault="009B4B8E" w:rsidP="006E5B37">
      <w:pPr>
        <w:widowControl/>
        <w:ind w:left="1134" w:hanging="1134"/>
        <w:rPr>
          <w:i/>
          <w:sz w:val="18"/>
          <w:szCs w:val="18"/>
        </w:rPr>
      </w:pPr>
      <w:r w:rsidRPr="00330234">
        <w:rPr>
          <w:i/>
          <w:sz w:val="18"/>
          <w:szCs w:val="18"/>
        </w:rPr>
        <w:t>*</w:t>
      </w:r>
      <w:r w:rsidRPr="00330234">
        <w:rPr>
          <w:i/>
          <w:sz w:val="18"/>
          <w:szCs w:val="18"/>
        </w:rPr>
        <w:tab/>
        <w:t>- p≤ 0,0001, TCZ vs. Placebo + MTX</w:t>
      </w:r>
    </w:p>
    <w:p w14:paraId="47E24BD1" w14:textId="77777777" w:rsidR="00436DAA" w:rsidRPr="00330234" w:rsidRDefault="009B4B8E" w:rsidP="006E5B37">
      <w:pPr>
        <w:widowControl/>
        <w:ind w:left="1134" w:hanging="1134"/>
        <w:rPr>
          <w:i/>
          <w:sz w:val="18"/>
          <w:szCs w:val="18"/>
        </w:rPr>
      </w:pPr>
      <w:r w:rsidRPr="00330234">
        <w:rPr>
          <w:i/>
          <w:sz w:val="18"/>
          <w:szCs w:val="18"/>
        </w:rPr>
        <w:t>**</w:t>
      </w:r>
      <w:r w:rsidRPr="00330234">
        <w:rPr>
          <w:i/>
          <w:sz w:val="18"/>
          <w:szCs w:val="18"/>
        </w:rPr>
        <w:tab/>
        <w:t>- p&lt; 0,005, TCZ vs. Placebo + MTX</w:t>
      </w:r>
    </w:p>
    <w:p w14:paraId="2DE0D8D1" w14:textId="77777777" w:rsidR="00436DAA" w:rsidRPr="00330234" w:rsidRDefault="00436DAA" w:rsidP="00BD109B">
      <w:pPr>
        <w:widowControl/>
      </w:pPr>
    </w:p>
    <w:p w14:paraId="2FEF24FF" w14:textId="248CA3D2" w:rsidR="00436DAA" w:rsidRPr="00330234" w:rsidRDefault="009B4B8E" w:rsidP="00FF38E0">
      <w:pPr>
        <w:pStyle w:val="a3"/>
        <w:widowControl/>
        <w:ind w:left="0"/>
      </w:pPr>
      <w:r w:rsidRPr="00330234">
        <w:t xml:space="preserve">Na 1 jaar behandeling met tocilizumab plus MTX vertoonde 85% van de patiënten (n = 348) geen progressie van structurele gewrichtsschade, zoals gedefinieerd als een verandering van de </w:t>
      </w:r>
      <w:r w:rsidRPr="00330234">
        <w:rPr>
          <w:i/>
        </w:rPr>
        <w:t xml:space="preserve">Total Sharp- </w:t>
      </w:r>
      <w:r w:rsidRPr="00330234">
        <w:t>score van nul of minder, vergeleken met 67% van de met placebo plus MTX behandelde patiënten</w:t>
      </w:r>
      <w:r w:rsidR="00FF38E0" w:rsidRPr="00330234">
        <w:t xml:space="preserve"> </w:t>
      </w:r>
      <w:r w:rsidRPr="00330234">
        <w:t>(n</w:t>
      </w:r>
      <w:r w:rsidR="00FF38E0" w:rsidRPr="00330234">
        <w:t> </w:t>
      </w:r>
      <w:r w:rsidRPr="00330234">
        <w:t>=</w:t>
      </w:r>
      <w:r w:rsidR="00FF38E0" w:rsidRPr="00330234">
        <w:t> </w:t>
      </w:r>
      <w:r w:rsidRPr="00330234">
        <w:t>290) (p</w:t>
      </w:r>
      <w:r w:rsidR="00FF38E0" w:rsidRPr="00330234">
        <w:t>≤</w:t>
      </w:r>
      <w:r w:rsidRPr="00330234">
        <w:t xml:space="preserve"> 0,001). Dit bleef gelijk na 2 jaar behandeling (83%; n = 353). Drieënnegentig procent (93%; n = 271) van de patiënten vertoonde geen progressie tussen week 52 en week 104.</w:t>
      </w:r>
    </w:p>
    <w:p w14:paraId="2FC1C3B1" w14:textId="77777777" w:rsidR="00FF38E0" w:rsidRPr="00330234" w:rsidRDefault="00FF38E0" w:rsidP="00FF38E0">
      <w:pPr>
        <w:pStyle w:val="a3"/>
        <w:widowControl/>
        <w:ind w:left="0"/>
      </w:pPr>
    </w:p>
    <w:p w14:paraId="046B04F0" w14:textId="77777777" w:rsidR="00436DAA" w:rsidRPr="00330234" w:rsidRDefault="009B4B8E" w:rsidP="00BD109B">
      <w:pPr>
        <w:widowControl/>
        <w:rPr>
          <w:i/>
        </w:rPr>
      </w:pPr>
      <w:r w:rsidRPr="00330234">
        <w:rPr>
          <w:i/>
        </w:rPr>
        <w:t>Resultaten gerelateerd aan gezondheid en kwaliteit van leven</w:t>
      </w:r>
    </w:p>
    <w:p w14:paraId="18A91B72" w14:textId="52D7261F" w:rsidR="00436DAA" w:rsidRPr="00330234" w:rsidRDefault="009B4B8E" w:rsidP="00BD109B">
      <w:pPr>
        <w:pStyle w:val="a3"/>
        <w:widowControl/>
        <w:ind w:left="0"/>
      </w:pPr>
      <w:r w:rsidRPr="00330234">
        <w:t xml:space="preserve">Bij patiënten die met </w:t>
      </w:r>
      <w:r w:rsidR="00FA591D" w:rsidRPr="00330234">
        <w:t>tocilizumab</w:t>
      </w:r>
      <w:r w:rsidRPr="00330234">
        <w:t xml:space="preserve"> werden behandeld, werd een verbetering gemeld van alle door de patiënt gerapporteerde resultaten (</w:t>
      </w:r>
      <w:r w:rsidRPr="00330234">
        <w:rPr>
          <w:i/>
        </w:rPr>
        <w:t xml:space="preserve">Health Assessment Questionnaire Disability Index </w:t>
      </w:r>
      <w:r w:rsidRPr="00330234">
        <w:t xml:space="preserve">– HAQ-DI, </w:t>
      </w:r>
      <w:r w:rsidRPr="00330234">
        <w:rPr>
          <w:i/>
        </w:rPr>
        <w:t xml:space="preserve">Short Form-36 </w:t>
      </w:r>
      <w:r w:rsidRPr="00330234">
        <w:t xml:space="preserve">en </w:t>
      </w:r>
      <w:r w:rsidRPr="00330234">
        <w:rPr>
          <w:i/>
        </w:rPr>
        <w:t>Functional Assessment of Chronic Illness Therapy-</w:t>
      </w:r>
      <w:r w:rsidRPr="00330234">
        <w:t xml:space="preserve">vragenlijst). Een statistisch significante verbetering van de HAQ-DI scores werd waargenomen bij patiënten behandeld met </w:t>
      </w:r>
      <w:r w:rsidR="00FA591D" w:rsidRPr="00330234">
        <w:t>tocilizumab</w:t>
      </w:r>
      <w:r w:rsidRPr="00330234">
        <w:t xml:space="preserve"> vergeleken met patiënten behandeld met DMARD’s. Gedurende de open-label-periode van studie II bleef de verbetering van het lichamelijk functioneren tot wel 2 jaar gehandhaafd. Op week 52 was de gemiddelde verandering in HAQ-DI -0,58 in de groep met </w:t>
      </w:r>
      <w:r w:rsidR="00FA591D" w:rsidRPr="00330234">
        <w:t>tocilizumab</w:t>
      </w:r>
      <w:r w:rsidRPr="00330234">
        <w:t xml:space="preserve"> 8 mg/kg plus MTX versus -0,39 in de groep met placebo plus MTX. De gemiddelde verandering van HAQ-DI bleef op week 104</w:t>
      </w:r>
      <w:r w:rsidR="00FF38E0" w:rsidRPr="00330234">
        <w:t> </w:t>
      </w:r>
      <w:r w:rsidRPr="00330234">
        <w:t xml:space="preserve">bij de groep met </w:t>
      </w:r>
      <w:r w:rsidR="00FA591D" w:rsidRPr="00330234">
        <w:t>tocilizumab</w:t>
      </w:r>
      <w:r w:rsidRPr="00330234">
        <w:t xml:space="preserve"> 8 mg/kg plus MTX (-0,61) gehandhaafd.</w:t>
      </w:r>
    </w:p>
    <w:p w14:paraId="2ED1851C" w14:textId="77777777" w:rsidR="00FF38E0" w:rsidRPr="00330234" w:rsidRDefault="00FF38E0" w:rsidP="00BD109B">
      <w:pPr>
        <w:pStyle w:val="a3"/>
        <w:widowControl/>
        <w:ind w:left="0"/>
      </w:pPr>
    </w:p>
    <w:p w14:paraId="2A8E96FE" w14:textId="77777777" w:rsidR="00436DAA" w:rsidRPr="00330234" w:rsidRDefault="009B4B8E" w:rsidP="00BD109B">
      <w:pPr>
        <w:widowControl/>
        <w:rPr>
          <w:i/>
        </w:rPr>
      </w:pPr>
      <w:r w:rsidRPr="00330234">
        <w:rPr>
          <w:i/>
        </w:rPr>
        <w:t>Hemoglobinespiegels</w:t>
      </w:r>
    </w:p>
    <w:p w14:paraId="3B43590D" w14:textId="22DE4BD4" w:rsidR="00436DAA" w:rsidRPr="00330234" w:rsidRDefault="009B4B8E" w:rsidP="00BD109B">
      <w:pPr>
        <w:pStyle w:val="a3"/>
        <w:widowControl/>
        <w:ind w:left="0"/>
      </w:pPr>
      <w:r w:rsidRPr="00330234">
        <w:t xml:space="preserve">Op week 24 is een statistisch significante verbetering van de hemoglobinespiegels waargenomen bij de </w:t>
      </w:r>
      <w:r w:rsidR="00FA591D" w:rsidRPr="00330234">
        <w:t>tocilizumab</w:t>
      </w:r>
      <w:r w:rsidRPr="00330234">
        <w:t>-groep vergeleken met de groep die met DMARD’s is behandeld (p&lt; 0,0001). De gemiddelde hemoglobinespiegel was toegenomen op week 2 en bleef gehandhaafd binnen het normale bereik tot en met week 24.</w:t>
      </w:r>
    </w:p>
    <w:p w14:paraId="24996F30" w14:textId="77777777" w:rsidR="00FF38E0" w:rsidRPr="00330234" w:rsidRDefault="00FF38E0" w:rsidP="00BD109B">
      <w:pPr>
        <w:pStyle w:val="a3"/>
        <w:widowControl/>
        <w:ind w:left="0"/>
      </w:pPr>
    </w:p>
    <w:p w14:paraId="21BC2C34" w14:textId="77777777" w:rsidR="00436DAA" w:rsidRPr="00330234" w:rsidRDefault="009B4B8E" w:rsidP="00BD109B">
      <w:pPr>
        <w:widowControl/>
        <w:rPr>
          <w:i/>
        </w:rPr>
      </w:pPr>
      <w:r w:rsidRPr="00330234">
        <w:rPr>
          <w:i/>
        </w:rPr>
        <w:t>Tocilizumab versus adalimumab als monotherapie</w:t>
      </w:r>
    </w:p>
    <w:p w14:paraId="4AF8909F" w14:textId="3D1DB9A9" w:rsidR="00436DAA" w:rsidRPr="00330234" w:rsidRDefault="009B4B8E" w:rsidP="00BD109B">
      <w:pPr>
        <w:pStyle w:val="a3"/>
        <w:widowControl/>
        <w:ind w:left="0"/>
      </w:pPr>
      <w:r w:rsidRPr="00330234">
        <w:t xml:space="preserve">Tijdens studie VI (WA19924), een 24 weken dubbelblinde studie die </w:t>
      </w:r>
      <w:r w:rsidR="00FA591D" w:rsidRPr="00330234">
        <w:t>tocilizumab</w:t>
      </w:r>
      <w:r w:rsidRPr="00330234">
        <w:t xml:space="preserve"> monotherapie vergeleek met adalimumab monotherapie, werden 326 patiënten geëvalueerd met RA die MTX niet verdroegen of voor wie voortzetting van de behandeling met MTX niet geschikt werd geacht (inclusief patiënten met een ontoereikende respons op MTX). Patiënten in de </w:t>
      </w:r>
      <w:r w:rsidR="00FA591D" w:rsidRPr="00330234">
        <w:t>tocilizumab</w:t>
      </w:r>
      <w:r w:rsidRPr="00330234">
        <w:t>-arm kregen elke 4</w:t>
      </w:r>
      <w:r w:rsidR="00FF38E0" w:rsidRPr="00330234">
        <w:t> </w:t>
      </w:r>
      <w:r w:rsidRPr="00330234">
        <w:t xml:space="preserve">weken (q4w) een intraveneuze (i.v.) infusie met </w:t>
      </w:r>
      <w:r w:rsidR="00FA591D" w:rsidRPr="00330234">
        <w:t>tocilizumab</w:t>
      </w:r>
      <w:r w:rsidRPr="00330234">
        <w:t xml:space="preserve"> (8 mg/kg) en elke 2 weken (q2w) een subcutane (s.c.) placebo-injectie. Patiënten in de adalimumab-arm kregen q2w een adalimumab s.c. injectie (40 mg) plus q4w een i.v. placebo-infusie.</w:t>
      </w:r>
    </w:p>
    <w:p w14:paraId="3AA6F26E" w14:textId="77777777" w:rsidR="00FF38E0" w:rsidRPr="00330234" w:rsidRDefault="00FF38E0" w:rsidP="00BD109B">
      <w:pPr>
        <w:pStyle w:val="a3"/>
        <w:widowControl/>
        <w:ind w:left="0"/>
      </w:pPr>
    </w:p>
    <w:p w14:paraId="3CD0F369" w14:textId="386869A7" w:rsidR="00436DAA" w:rsidRPr="00330234" w:rsidRDefault="009B4B8E" w:rsidP="00BD109B">
      <w:pPr>
        <w:pStyle w:val="a3"/>
        <w:widowControl/>
        <w:ind w:left="0"/>
      </w:pPr>
      <w:r w:rsidRPr="00330234">
        <w:t xml:space="preserve">Er werd een statistisch significant superieur effect van de behandeling gezien, ten gunste van </w:t>
      </w:r>
      <w:r w:rsidR="00FA591D" w:rsidRPr="00330234">
        <w:t>tocilizumab</w:t>
      </w:r>
      <w:r w:rsidRPr="00330234">
        <w:t xml:space="preserve"> boven adalimumab, in het onderdrukken van de ziekteactiviteit ten opzichte van baseline </w:t>
      </w:r>
      <w:r w:rsidRPr="00330234">
        <w:lastRenderedPageBreak/>
        <w:t>tot week 24 voor zowel het primaire eindpunt van verandering in DAS28, als voor alle secundaire eindpunten (tabel 7).</w:t>
      </w:r>
    </w:p>
    <w:p w14:paraId="292164D0" w14:textId="77777777" w:rsidR="00436DAA" w:rsidRPr="00330234" w:rsidRDefault="00436DAA" w:rsidP="00BD109B">
      <w:pPr>
        <w:widowControl/>
      </w:pPr>
    </w:p>
    <w:p w14:paraId="03A41BA9" w14:textId="5CB47C93" w:rsidR="00436DAA" w:rsidRPr="00330234" w:rsidRDefault="009B4B8E" w:rsidP="001B3E1E">
      <w:pPr>
        <w:keepNext/>
        <w:keepLines/>
        <w:widowControl/>
        <w:ind w:left="1134" w:hanging="1134"/>
        <w:rPr>
          <w:i/>
        </w:rPr>
      </w:pPr>
      <w:r w:rsidRPr="00330234">
        <w:rPr>
          <w:i/>
        </w:rPr>
        <w:t>Tabel 7:</w:t>
      </w:r>
      <w:r w:rsidR="006E5B37" w:rsidRPr="00330234">
        <w:rPr>
          <w:i/>
        </w:rPr>
        <w:tab/>
      </w:r>
      <w:r w:rsidRPr="00330234">
        <w:rPr>
          <w:i/>
        </w:rPr>
        <w:t>Werkzaamheidsresultaten voor studie VI (WA19924)</w:t>
      </w:r>
    </w:p>
    <w:p w14:paraId="49C5E408" w14:textId="77777777" w:rsidR="00436DAA" w:rsidRPr="00330234" w:rsidRDefault="00436DAA" w:rsidP="00FF3CA3">
      <w:pPr>
        <w:pStyle w:val="a3"/>
        <w:keepNext/>
        <w:keepLines/>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0"/>
        <w:gridCol w:w="1937"/>
        <w:gridCol w:w="1917"/>
        <w:gridCol w:w="1862"/>
      </w:tblGrid>
      <w:tr w:rsidR="00436DAA" w:rsidRPr="00330234" w14:paraId="0767FB36" w14:textId="77777777" w:rsidTr="00FF38E0">
        <w:trPr>
          <w:trHeight w:val="20"/>
        </w:trPr>
        <w:tc>
          <w:tcPr>
            <w:tcW w:w="3350" w:type="dxa"/>
          </w:tcPr>
          <w:p w14:paraId="47C9E53E" w14:textId="77777777" w:rsidR="00436DAA" w:rsidRPr="00330234" w:rsidRDefault="00436DAA" w:rsidP="00FF3CA3">
            <w:pPr>
              <w:pStyle w:val="TableParagraph"/>
              <w:keepNext/>
              <w:keepLines/>
              <w:widowControl/>
            </w:pPr>
          </w:p>
        </w:tc>
        <w:tc>
          <w:tcPr>
            <w:tcW w:w="1937" w:type="dxa"/>
          </w:tcPr>
          <w:p w14:paraId="276C494D" w14:textId="77777777" w:rsidR="00436DAA" w:rsidRPr="00330234" w:rsidRDefault="009B4B8E" w:rsidP="00FF3CA3">
            <w:pPr>
              <w:pStyle w:val="TableParagraph"/>
              <w:keepNext/>
              <w:keepLines/>
              <w:widowControl/>
              <w:jc w:val="center"/>
              <w:rPr>
                <w:b/>
              </w:rPr>
            </w:pPr>
            <w:r w:rsidRPr="00330234">
              <w:rPr>
                <w:b/>
              </w:rPr>
              <w:t>ADA + placebo (i.v.)</w:t>
            </w:r>
          </w:p>
          <w:p w14:paraId="0044D748" w14:textId="77777777" w:rsidR="00436DAA" w:rsidRPr="00330234" w:rsidRDefault="009B4B8E" w:rsidP="00FF3CA3">
            <w:pPr>
              <w:pStyle w:val="TableParagraph"/>
              <w:keepNext/>
              <w:keepLines/>
              <w:widowControl/>
              <w:jc w:val="center"/>
              <w:rPr>
                <w:b/>
              </w:rPr>
            </w:pPr>
            <w:r w:rsidRPr="00330234">
              <w:rPr>
                <w:b/>
              </w:rPr>
              <w:t>N = 162</w:t>
            </w:r>
          </w:p>
        </w:tc>
        <w:tc>
          <w:tcPr>
            <w:tcW w:w="1917" w:type="dxa"/>
          </w:tcPr>
          <w:p w14:paraId="6C03A37F" w14:textId="77777777" w:rsidR="00436DAA" w:rsidRPr="00330234" w:rsidRDefault="009B4B8E" w:rsidP="00FF3CA3">
            <w:pPr>
              <w:pStyle w:val="TableParagraph"/>
              <w:keepNext/>
              <w:keepLines/>
              <w:widowControl/>
              <w:jc w:val="center"/>
              <w:rPr>
                <w:b/>
              </w:rPr>
            </w:pPr>
            <w:r w:rsidRPr="00330234">
              <w:rPr>
                <w:b/>
              </w:rPr>
              <w:t>TCZ + placebo (s.c.)</w:t>
            </w:r>
          </w:p>
          <w:p w14:paraId="62A41DC5" w14:textId="77777777" w:rsidR="00436DAA" w:rsidRPr="00330234" w:rsidRDefault="009B4B8E" w:rsidP="00FF3CA3">
            <w:pPr>
              <w:pStyle w:val="TableParagraph"/>
              <w:keepNext/>
              <w:keepLines/>
              <w:widowControl/>
              <w:jc w:val="center"/>
              <w:rPr>
                <w:b/>
              </w:rPr>
            </w:pPr>
            <w:r w:rsidRPr="00330234">
              <w:rPr>
                <w:b/>
              </w:rPr>
              <w:t>N = 163</w:t>
            </w:r>
          </w:p>
        </w:tc>
        <w:tc>
          <w:tcPr>
            <w:tcW w:w="1862" w:type="dxa"/>
          </w:tcPr>
          <w:p w14:paraId="4D1706AD" w14:textId="77777777" w:rsidR="00436DAA" w:rsidRPr="00330234" w:rsidRDefault="009B4B8E" w:rsidP="00FF3CA3">
            <w:pPr>
              <w:pStyle w:val="TableParagraph"/>
              <w:keepNext/>
              <w:keepLines/>
              <w:widowControl/>
              <w:jc w:val="center"/>
              <w:rPr>
                <w:b/>
                <w:bCs/>
              </w:rPr>
            </w:pPr>
            <w:r w:rsidRPr="00330234">
              <w:rPr>
                <w:b/>
                <w:bCs/>
              </w:rPr>
              <w:t>p-waarde</w:t>
            </w:r>
            <w:r w:rsidRPr="00330234">
              <w:rPr>
                <w:b/>
                <w:bCs/>
                <w:vertAlign w:val="superscript"/>
              </w:rPr>
              <w:t>(a)</w:t>
            </w:r>
          </w:p>
        </w:tc>
      </w:tr>
      <w:tr w:rsidR="00436DAA" w:rsidRPr="00330234" w14:paraId="5F57978C" w14:textId="77777777" w:rsidTr="00FF38E0">
        <w:trPr>
          <w:trHeight w:val="20"/>
        </w:trPr>
        <w:tc>
          <w:tcPr>
            <w:tcW w:w="9066" w:type="dxa"/>
            <w:gridSpan w:val="4"/>
          </w:tcPr>
          <w:p w14:paraId="3B1CEA5C" w14:textId="77777777" w:rsidR="00436DAA" w:rsidRPr="00330234" w:rsidRDefault="009B4B8E" w:rsidP="00FF38E0">
            <w:pPr>
              <w:pStyle w:val="TableParagraph"/>
              <w:keepNext/>
              <w:keepLines/>
              <w:widowControl/>
              <w:rPr>
                <w:b/>
              </w:rPr>
            </w:pPr>
            <w:r w:rsidRPr="00330234">
              <w:rPr>
                <w:b/>
              </w:rPr>
              <w:t>Primair eindpunt – gemiddelde verandering ten opzichte van baseline op week 24</w:t>
            </w:r>
          </w:p>
        </w:tc>
      </w:tr>
      <w:tr w:rsidR="00436DAA" w:rsidRPr="00330234" w14:paraId="144D5428" w14:textId="77777777" w:rsidTr="00FF38E0">
        <w:trPr>
          <w:trHeight w:val="20"/>
        </w:trPr>
        <w:tc>
          <w:tcPr>
            <w:tcW w:w="3350" w:type="dxa"/>
          </w:tcPr>
          <w:p w14:paraId="3E5DC4AE" w14:textId="77777777" w:rsidR="00436DAA" w:rsidRPr="001B3E1E" w:rsidRDefault="009B4B8E" w:rsidP="00FF38E0">
            <w:pPr>
              <w:pStyle w:val="TableParagraph"/>
              <w:widowControl/>
              <w:jc w:val="right"/>
              <w:rPr>
                <w:bCs/>
              </w:rPr>
            </w:pPr>
            <w:r w:rsidRPr="001B3E1E">
              <w:rPr>
                <w:bCs/>
              </w:rPr>
              <w:t>DAS28 (aangepast gemiddelde)</w:t>
            </w:r>
          </w:p>
        </w:tc>
        <w:tc>
          <w:tcPr>
            <w:tcW w:w="1937" w:type="dxa"/>
          </w:tcPr>
          <w:p w14:paraId="2E4F137D" w14:textId="77777777" w:rsidR="00436DAA" w:rsidRPr="001B3E1E" w:rsidRDefault="009B4B8E" w:rsidP="00FF38E0">
            <w:pPr>
              <w:pStyle w:val="TableParagraph"/>
              <w:widowControl/>
              <w:jc w:val="center"/>
              <w:rPr>
                <w:bCs/>
              </w:rPr>
            </w:pPr>
            <w:r w:rsidRPr="001B3E1E">
              <w:rPr>
                <w:bCs/>
              </w:rPr>
              <w:t>-1,8</w:t>
            </w:r>
          </w:p>
        </w:tc>
        <w:tc>
          <w:tcPr>
            <w:tcW w:w="1917" w:type="dxa"/>
          </w:tcPr>
          <w:p w14:paraId="2AAB78CE" w14:textId="77777777" w:rsidR="00436DAA" w:rsidRPr="001B3E1E" w:rsidRDefault="009B4B8E" w:rsidP="00FF38E0">
            <w:pPr>
              <w:pStyle w:val="TableParagraph"/>
              <w:widowControl/>
              <w:jc w:val="center"/>
              <w:rPr>
                <w:bCs/>
              </w:rPr>
            </w:pPr>
            <w:r w:rsidRPr="001B3E1E">
              <w:rPr>
                <w:bCs/>
              </w:rPr>
              <w:t>-3,3</w:t>
            </w:r>
          </w:p>
        </w:tc>
        <w:tc>
          <w:tcPr>
            <w:tcW w:w="1862" w:type="dxa"/>
          </w:tcPr>
          <w:p w14:paraId="0F463AE0" w14:textId="77777777" w:rsidR="00436DAA" w:rsidRPr="00330234" w:rsidRDefault="00436DAA" w:rsidP="00FF38E0">
            <w:pPr>
              <w:pStyle w:val="TableParagraph"/>
              <w:widowControl/>
              <w:jc w:val="center"/>
              <w:rPr>
                <w:bCs/>
              </w:rPr>
            </w:pPr>
          </w:p>
        </w:tc>
      </w:tr>
      <w:tr w:rsidR="00436DAA" w:rsidRPr="00330234" w14:paraId="16D15608" w14:textId="77777777" w:rsidTr="00FF38E0">
        <w:trPr>
          <w:trHeight w:val="20"/>
        </w:trPr>
        <w:tc>
          <w:tcPr>
            <w:tcW w:w="3350" w:type="dxa"/>
          </w:tcPr>
          <w:p w14:paraId="75A23F85" w14:textId="77777777" w:rsidR="00436DAA" w:rsidRPr="001B3E1E" w:rsidRDefault="009B4B8E" w:rsidP="00FF38E0">
            <w:pPr>
              <w:pStyle w:val="TableParagraph"/>
              <w:widowControl/>
              <w:jc w:val="right"/>
              <w:rPr>
                <w:bCs/>
              </w:rPr>
            </w:pPr>
            <w:r w:rsidRPr="001B3E1E">
              <w:rPr>
                <w:bCs/>
              </w:rPr>
              <w:t>Verschil in aangepast gemiddelde (95%-BI)</w:t>
            </w:r>
          </w:p>
        </w:tc>
        <w:tc>
          <w:tcPr>
            <w:tcW w:w="3854" w:type="dxa"/>
            <w:gridSpan w:val="2"/>
          </w:tcPr>
          <w:p w14:paraId="6C6BCBF9" w14:textId="77777777" w:rsidR="00436DAA" w:rsidRPr="001B3E1E" w:rsidRDefault="009B4B8E" w:rsidP="00FF38E0">
            <w:pPr>
              <w:pStyle w:val="TableParagraph"/>
              <w:widowControl/>
              <w:jc w:val="center"/>
              <w:rPr>
                <w:bCs/>
              </w:rPr>
            </w:pPr>
            <w:r w:rsidRPr="001B3E1E">
              <w:rPr>
                <w:bCs/>
              </w:rPr>
              <w:t>-1,5 (-1,8, -1,1)</w:t>
            </w:r>
          </w:p>
        </w:tc>
        <w:tc>
          <w:tcPr>
            <w:tcW w:w="1862" w:type="dxa"/>
          </w:tcPr>
          <w:p w14:paraId="1B0E8357" w14:textId="18A9FCAB" w:rsidR="00436DAA" w:rsidRPr="001B3E1E" w:rsidRDefault="009B4B8E" w:rsidP="00FF3CA3">
            <w:pPr>
              <w:pStyle w:val="TableParagraph"/>
              <w:widowControl/>
              <w:jc w:val="center"/>
              <w:rPr>
                <w:bCs/>
              </w:rPr>
            </w:pPr>
            <w:r w:rsidRPr="001B3E1E">
              <w:rPr>
                <w:bCs/>
              </w:rPr>
              <w:t>&lt; 0,0001</w:t>
            </w:r>
          </w:p>
        </w:tc>
      </w:tr>
      <w:tr w:rsidR="00436DAA" w:rsidRPr="00330234" w14:paraId="2314D385" w14:textId="77777777" w:rsidTr="00FF38E0">
        <w:trPr>
          <w:trHeight w:val="20"/>
        </w:trPr>
        <w:tc>
          <w:tcPr>
            <w:tcW w:w="9066" w:type="dxa"/>
            <w:gridSpan w:val="4"/>
          </w:tcPr>
          <w:p w14:paraId="77DE37EF" w14:textId="77777777" w:rsidR="00436DAA" w:rsidRPr="00330234" w:rsidRDefault="009B4B8E" w:rsidP="00BD109B">
            <w:pPr>
              <w:pStyle w:val="TableParagraph"/>
              <w:widowControl/>
              <w:rPr>
                <w:b/>
              </w:rPr>
            </w:pPr>
            <w:r w:rsidRPr="00330234">
              <w:rPr>
                <w:b/>
              </w:rPr>
              <w:t xml:space="preserve">Secundaire eindpunten - percentage responderende patiënten op week 24 </w:t>
            </w:r>
            <w:r w:rsidRPr="00330234">
              <w:rPr>
                <w:b/>
                <w:vertAlign w:val="superscript"/>
              </w:rPr>
              <w:t>(b)</w:t>
            </w:r>
          </w:p>
        </w:tc>
      </w:tr>
      <w:tr w:rsidR="00436DAA" w:rsidRPr="00330234" w14:paraId="7563576D" w14:textId="77777777" w:rsidTr="00FF38E0">
        <w:trPr>
          <w:trHeight w:val="20"/>
        </w:trPr>
        <w:tc>
          <w:tcPr>
            <w:tcW w:w="3350" w:type="dxa"/>
          </w:tcPr>
          <w:p w14:paraId="71036D5B" w14:textId="77777777" w:rsidR="00436DAA" w:rsidRPr="00330234" w:rsidRDefault="009B4B8E" w:rsidP="00FF38E0">
            <w:pPr>
              <w:pStyle w:val="TableParagraph"/>
              <w:widowControl/>
              <w:jc w:val="right"/>
            </w:pPr>
            <w:r w:rsidRPr="00330234">
              <w:t>DAS28 &lt; 2,6, n (%)</w:t>
            </w:r>
          </w:p>
        </w:tc>
        <w:tc>
          <w:tcPr>
            <w:tcW w:w="1937" w:type="dxa"/>
          </w:tcPr>
          <w:p w14:paraId="2B87264F" w14:textId="77777777" w:rsidR="00436DAA" w:rsidRPr="00330234" w:rsidRDefault="009B4B8E" w:rsidP="00FF38E0">
            <w:pPr>
              <w:pStyle w:val="TableParagraph"/>
              <w:widowControl/>
              <w:jc w:val="center"/>
            </w:pPr>
            <w:r w:rsidRPr="00330234">
              <w:t>17 (10,5)</w:t>
            </w:r>
          </w:p>
        </w:tc>
        <w:tc>
          <w:tcPr>
            <w:tcW w:w="1917" w:type="dxa"/>
          </w:tcPr>
          <w:p w14:paraId="7AD56E0D" w14:textId="77777777" w:rsidR="00436DAA" w:rsidRPr="00330234" w:rsidRDefault="009B4B8E" w:rsidP="00FF38E0">
            <w:pPr>
              <w:pStyle w:val="TableParagraph"/>
              <w:widowControl/>
              <w:jc w:val="center"/>
            </w:pPr>
            <w:r w:rsidRPr="00330234">
              <w:t>65 (39,9)</w:t>
            </w:r>
          </w:p>
        </w:tc>
        <w:tc>
          <w:tcPr>
            <w:tcW w:w="1862" w:type="dxa"/>
          </w:tcPr>
          <w:p w14:paraId="3C53C96E" w14:textId="4C4EED29" w:rsidR="00436DAA" w:rsidRPr="00330234" w:rsidRDefault="009B4B8E" w:rsidP="00FF3CA3">
            <w:pPr>
              <w:pStyle w:val="TableParagraph"/>
              <w:widowControl/>
              <w:jc w:val="center"/>
            </w:pPr>
            <w:r w:rsidRPr="00330234">
              <w:t>&lt; 0,0001</w:t>
            </w:r>
          </w:p>
        </w:tc>
      </w:tr>
      <w:tr w:rsidR="00436DAA" w:rsidRPr="00330234" w14:paraId="4C15D6E3" w14:textId="77777777" w:rsidTr="00FF38E0">
        <w:trPr>
          <w:trHeight w:val="20"/>
        </w:trPr>
        <w:tc>
          <w:tcPr>
            <w:tcW w:w="3350" w:type="dxa"/>
          </w:tcPr>
          <w:p w14:paraId="7F1DE1F6" w14:textId="77777777" w:rsidR="00436DAA" w:rsidRPr="00330234" w:rsidRDefault="009B4B8E" w:rsidP="00FF38E0">
            <w:pPr>
              <w:pStyle w:val="TableParagraph"/>
              <w:widowControl/>
              <w:jc w:val="right"/>
            </w:pPr>
            <w:r w:rsidRPr="00330234">
              <w:t>DAS28 ≤ 3,2, n (%)</w:t>
            </w:r>
          </w:p>
        </w:tc>
        <w:tc>
          <w:tcPr>
            <w:tcW w:w="1937" w:type="dxa"/>
          </w:tcPr>
          <w:p w14:paraId="387293D4" w14:textId="77777777" w:rsidR="00436DAA" w:rsidRPr="00330234" w:rsidRDefault="009B4B8E" w:rsidP="00FF38E0">
            <w:pPr>
              <w:pStyle w:val="TableParagraph"/>
              <w:widowControl/>
              <w:jc w:val="center"/>
            </w:pPr>
            <w:r w:rsidRPr="00330234">
              <w:t>32 (19,8)</w:t>
            </w:r>
          </w:p>
        </w:tc>
        <w:tc>
          <w:tcPr>
            <w:tcW w:w="1917" w:type="dxa"/>
          </w:tcPr>
          <w:p w14:paraId="1E9DF06D" w14:textId="77777777" w:rsidR="00436DAA" w:rsidRPr="00330234" w:rsidRDefault="009B4B8E" w:rsidP="00FF38E0">
            <w:pPr>
              <w:pStyle w:val="TableParagraph"/>
              <w:widowControl/>
              <w:jc w:val="center"/>
            </w:pPr>
            <w:r w:rsidRPr="00330234">
              <w:t>84 (51,5)</w:t>
            </w:r>
          </w:p>
        </w:tc>
        <w:tc>
          <w:tcPr>
            <w:tcW w:w="1862" w:type="dxa"/>
          </w:tcPr>
          <w:p w14:paraId="7CF48817" w14:textId="0AED0AD9" w:rsidR="00436DAA" w:rsidRPr="00330234" w:rsidRDefault="009B4B8E" w:rsidP="00FF3CA3">
            <w:pPr>
              <w:pStyle w:val="TableParagraph"/>
              <w:widowControl/>
              <w:jc w:val="center"/>
            </w:pPr>
            <w:r w:rsidRPr="00330234">
              <w:t>&lt; 0,0001</w:t>
            </w:r>
          </w:p>
        </w:tc>
      </w:tr>
      <w:tr w:rsidR="00436DAA" w:rsidRPr="00330234" w14:paraId="4488E371" w14:textId="77777777" w:rsidTr="00FF38E0">
        <w:trPr>
          <w:trHeight w:val="20"/>
        </w:trPr>
        <w:tc>
          <w:tcPr>
            <w:tcW w:w="3350" w:type="dxa"/>
          </w:tcPr>
          <w:p w14:paraId="7CE1981B" w14:textId="77777777" w:rsidR="00436DAA" w:rsidRPr="00330234" w:rsidRDefault="009B4B8E" w:rsidP="00FF38E0">
            <w:pPr>
              <w:pStyle w:val="TableParagraph"/>
              <w:widowControl/>
              <w:jc w:val="right"/>
            </w:pPr>
            <w:r w:rsidRPr="00330234">
              <w:t>ACR20-respons, n (%)</w:t>
            </w:r>
          </w:p>
        </w:tc>
        <w:tc>
          <w:tcPr>
            <w:tcW w:w="1937" w:type="dxa"/>
          </w:tcPr>
          <w:p w14:paraId="7595353F" w14:textId="77777777" w:rsidR="00436DAA" w:rsidRPr="00330234" w:rsidRDefault="009B4B8E" w:rsidP="00FF38E0">
            <w:pPr>
              <w:pStyle w:val="TableParagraph"/>
              <w:widowControl/>
              <w:jc w:val="center"/>
            </w:pPr>
            <w:r w:rsidRPr="00330234">
              <w:t>80 (49,4)</w:t>
            </w:r>
          </w:p>
        </w:tc>
        <w:tc>
          <w:tcPr>
            <w:tcW w:w="1917" w:type="dxa"/>
          </w:tcPr>
          <w:p w14:paraId="7828B263" w14:textId="77777777" w:rsidR="00436DAA" w:rsidRPr="00330234" w:rsidRDefault="009B4B8E" w:rsidP="00FF38E0">
            <w:pPr>
              <w:pStyle w:val="TableParagraph"/>
              <w:widowControl/>
              <w:jc w:val="center"/>
            </w:pPr>
            <w:r w:rsidRPr="00330234">
              <w:t>106 (65,0)</w:t>
            </w:r>
          </w:p>
        </w:tc>
        <w:tc>
          <w:tcPr>
            <w:tcW w:w="1862" w:type="dxa"/>
          </w:tcPr>
          <w:p w14:paraId="4C506D96" w14:textId="77777777" w:rsidR="00436DAA" w:rsidRPr="00330234" w:rsidRDefault="009B4B8E" w:rsidP="00FF38E0">
            <w:pPr>
              <w:pStyle w:val="TableParagraph"/>
              <w:widowControl/>
              <w:jc w:val="center"/>
            </w:pPr>
            <w:r w:rsidRPr="00330234">
              <w:t>0,0038</w:t>
            </w:r>
          </w:p>
        </w:tc>
      </w:tr>
      <w:tr w:rsidR="00436DAA" w:rsidRPr="00330234" w14:paraId="6E75990B" w14:textId="77777777" w:rsidTr="00FF38E0">
        <w:trPr>
          <w:trHeight w:val="20"/>
        </w:trPr>
        <w:tc>
          <w:tcPr>
            <w:tcW w:w="3350" w:type="dxa"/>
          </w:tcPr>
          <w:p w14:paraId="528A389F" w14:textId="77777777" w:rsidR="00436DAA" w:rsidRPr="00330234" w:rsidRDefault="009B4B8E" w:rsidP="00FF38E0">
            <w:pPr>
              <w:pStyle w:val="TableParagraph"/>
              <w:widowControl/>
              <w:jc w:val="right"/>
            </w:pPr>
            <w:r w:rsidRPr="00330234">
              <w:t>ACR50-respons, n (%)</w:t>
            </w:r>
          </w:p>
        </w:tc>
        <w:tc>
          <w:tcPr>
            <w:tcW w:w="1937" w:type="dxa"/>
          </w:tcPr>
          <w:p w14:paraId="1BAB0C0C" w14:textId="77777777" w:rsidR="00436DAA" w:rsidRPr="00330234" w:rsidRDefault="009B4B8E" w:rsidP="00FF38E0">
            <w:pPr>
              <w:pStyle w:val="TableParagraph"/>
              <w:widowControl/>
              <w:jc w:val="center"/>
            </w:pPr>
            <w:r w:rsidRPr="00330234">
              <w:t>45 (27,8)</w:t>
            </w:r>
          </w:p>
        </w:tc>
        <w:tc>
          <w:tcPr>
            <w:tcW w:w="1917" w:type="dxa"/>
          </w:tcPr>
          <w:p w14:paraId="0BF9EB80" w14:textId="77777777" w:rsidR="00436DAA" w:rsidRPr="00330234" w:rsidRDefault="009B4B8E" w:rsidP="00FF38E0">
            <w:pPr>
              <w:pStyle w:val="TableParagraph"/>
              <w:widowControl/>
              <w:jc w:val="center"/>
            </w:pPr>
            <w:r w:rsidRPr="00330234">
              <w:t>77 (47,2)</w:t>
            </w:r>
          </w:p>
        </w:tc>
        <w:tc>
          <w:tcPr>
            <w:tcW w:w="1862" w:type="dxa"/>
          </w:tcPr>
          <w:p w14:paraId="0DCC3763" w14:textId="77777777" w:rsidR="00436DAA" w:rsidRPr="00330234" w:rsidRDefault="009B4B8E" w:rsidP="00FF38E0">
            <w:pPr>
              <w:pStyle w:val="TableParagraph"/>
              <w:widowControl/>
              <w:jc w:val="center"/>
            </w:pPr>
            <w:r w:rsidRPr="00330234">
              <w:t>0,0002</w:t>
            </w:r>
          </w:p>
        </w:tc>
      </w:tr>
      <w:tr w:rsidR="00436DAA" w:rsidRPr="00330234" w14:paraId="6C5EBD17" w14:textId="77777777" w:rsidTr="00FF38E0">
        <w:trPr>
          <w:trHeight w:val="20"/>
        </w:trPr>
        <w:tc>
          <w:tcPr>
            <w:tcW w:w="3350" w:type="dxa"/>
          </w:tcPr>
          <w:p w14:paraId="307D3129" w14:textId="77777777" w:rsidR="00436DAA" w:rsidRPr="00330234" w:rsidRDefault="009B4B8E" w:rsidP="00FF38E0">
            <w:pPr>
              <w:pStyle w:val="TableParagraph"/>
              <w:widowControl/>
              <w:jc w:val="right"/>
            </w:pPr>
            <w:r w:rsidRPr="00330234">
              <w:t>ACR70-respons, n (%)</w:t>
            </w:r>
          </w:p>
        </w:tc>
        <w:tc>
          <w:tcPr>
            <w:tcW w:w="1937" w:type="dxa"/>
          </w:tcPr>
          <w:p w14:paraId="4DD3B69A" w14:textId="77777777" w:rsidR="00436DAA" w:rsidRPr="00330234" w:rsidRDefault="009B4B8E" w:rsidP="00FF38E0">
            <w:pPr>
              <w:pStyle w:val="TableParagraph"/>
              <w:widowControl/>
              <w:jc w:val="center"/>
            </w:pPr>
            <w:r w:rsidRPr="00330234">
              <w:t>29 (17,9)</w:t>
            </w:r>
          </w:p>
        </w:tc>
        <w:tc>
          <w:tcPr>
            <w:tcW w:w="1917" w:type="dxa"/>
          </w:tcPr>
          <w:p w14:paraId="4E112170" w14:textId="77777777" w:rsidR="00436DAA" w:rsidRPr="00330234" w:rsidRDefault="009B4B8E" w:rsidP="00FF38E0">
            <w:pPr>
              <w:pStyle w:val="TableParagraph"/>
              <w:widowControl/>
              <w:jc w:val="center"/>
            </w:pPr>
            <w:r w:rsidRPr="00330234">
              <w:t>53 (32,5)</w:t>
            </w:r>
          </w:p>
        </w:tc>
        <w:tc>
          <w:tcPr>
            <w:tcW w:w="1862" w:type="dxa"/>
          </w:tcPr>
          <w:p w14:paraId="023CAA52" w14:textId="77777777" w:rsidR="00436DAA" w:rsidRPr="00330234" w:rsidRDefault="009B4B8E" w:rsidP="00FF38E0">
            <w:pPr>
              <w:pStyle w:val="TableParagraph"/>
              <w:widowControl/>
              <w:jc w:val="center"/>
            </w:pPr>
            <w:r w:rsidRPr="00330234">
              <w:t>0,0023</w:t>
            </w:r>
          </w:p>
        </w:tc>
      </w:tr>
    </w:tbl>
    <w:p w14:paraId="09890922" w14:textId="09472726" w:rsidR="00436DAA" w:rsidRPr="00330234" w:rsidRDefault="009B4B8E" w:rsidP="006E5B37">
      <w:pPr>
        <w:widowControl/>
        <w:ind w:left="284" w:hanging="284"/>
        <w:rPr>
          <w:i/>
          <w:sz w:val="18"/>
          <w:szCs w:val="18"/>
        </w:rPr>
      </w:pPr>
      <w:r w:rsidRPr="00330234">
        <w:rPr>
          <w:i/>
          <w:sz w:val="18"/>
          <w:szCs w:val="18"/>
          <w:vertAlign w:val="superscript"/>
        </w:rPr>
        <w:t>a</w:t>
      </w:r>
      <w:r w:rsidR="006E5B37" w:rsidRPr="00330234">
        <w:rPr>
          <w:i/>
          <w:sz w:val="18"/>
          <w:szCs w:val="18"/>
        </w:rPr>
        <w:tab/>
      </w:r>
      <w:r w:rsidRPr="00330234">
        <w:rPr>
          <w:i/>
          <w:sz w:val="18"/>
          <w:szCs w:val="18"/>
        </w:rPr>
        <w:t>p-waarde is aangepast voor locatie en ziekteduur van RA voor alle eindpunten en daarnaast de baseline-waarde voor alle continue eindpunten</w:t>
      </w:r>
    </w:p>
    <w:p w14:paraId="69300570" w14:textId="135EE37F" w:rsidR="00436DAA" w:rsidRPr="00330234" w:rsidRDefault="009B4B8E" w:rsidP="006E5B37">
      <w:pPr>
        <w:widowControl/>
        <w:ind w:left="284" w:hanging="284"/>
        <w:rPr>
          <w:i/>
          <w:sz w:val="18"/>
          <w:szCs w:val="18"/>
        </w:rPr>
      </w:pPr>
      <w:r w:rsidRPr="00330234">
        <w:rPr>
          <w:i/>
          <w:sz w:val="18"/>
          <w:szCs w:val="18"/>
          <w:vertAlign w:val="superscript"/>
        </w:rPr>
        <w:t>b</w:t>
      </w:r>
      <w:r w:rsidR="006E5B37" w:rsidRPr="00330234">
        <w:rPr>
          <w:i/>
          <w:sz w:val="18"/>
          <w:szCs w:val="18"/>
        </w:rPr>
        <w:tab/>
      </w:r>
      <w:r w:rsidRPr="00330234">
        <w:rPr>
          <w:i/>
          <w:sz w:val="18"/>
          <w:szCs w:val="18"/>
        </w:rPr>
        <w:t>‘Non-responder Imputation’ gebruikt voor ontbrekende gegevens. ‘Multiplicity’-gecontroleerd met gebruik van Bonferroni- Holm-procedure</w:t>
      </w:r>
    </w:p>
    <w:p w14:paraId="724D7A58" w14:textId="77777777" w:rsidR="00436DAA" w:rsidRPr="00330234" w:rsidRDefault="00436DAA" w:rsidP="00BD109B">
      <w:pPr>
        <w:pStyle w:val="a3"/>
        <w:widowControl/>
        <w:ind w:left="0"/>
        <w:rPr>
          <w:i/>
        </w:rPr>
      </w:pPr>
    </w:p>
    <w:p w14:paraId="215B67F3" w14:textId="5990C82A" w:rsidR="00436DAA" w:rsidRPr="00330234" w:rsidRDefault="009B4B8E" w:rsidP="00BD109B">
      <w:pPr>
        <w:pStyle w:val="a3"/>
        <w:widowControl/>
        <w:ind w:left="0"/>
      </w:pPr>
      <w:r w:rsidRPr="00330234">
        <w:t>Het totale klinische bijwerkingenprofiel was vergelijkbaar tussen tocilizumab en adalimumab. Het percentage patiënten met ernstige bijwerkingen was in evenwicht tussen de behandelingsgroepen (</w:t>
      </w:r>
      <w:r w:rsidR="00FA591D" w:rsidRPr="00330234">
        <w:t>Tocilizumab</w:t>
      </w:r>
      <w:r w:rsidRPr="00330234">
        <w:t xml:space="preserve"> 11,7% vs. adalimumab 9,9%). De soort bijwerkingen in de </w:t>
      </w:r>
      <w:r w:rsidR="00FA591D" w:rsidRPr="00330234">
        <w:t>tocilizumab</w:t>
      </w:r>
      <w:r w:rsidRPr="00330234">
        <w:t xml:space="preserve">-arm kwam overeen met het bekende veiligheidsprofiel van </w:t>
      </w:r>
      <w:r w:rsidR="00FA591D" w:rsidRPr="00330234">
        <w:t>tocilizumab</w:t>
      </w:r>
      <w:r w:rsidRPr="00330234">
        <w:t xml:space="preserve"> en bijwerkingen werden gemeld met een vergelijkbare frequentie als in tabel 1. In de </w:t>
      </w:r>
      <w:r w:rsidR="00FA591D" w:rsidRPr="00330234">
        <w:t>tocilizumab</w:t>
      </w:r>
      <w:r w:rsidRPr="00330234">
        <w:t xml:space="preserve">-arm werd een hogere incidentie van infecties en parasitaire aandoeningen gemeld (48% vs. 42%), met daarbij geen verschil in de incidentie van ernstige infecties (3,1%). Beide studiebehandelingen leidden tot eenzelfde patroon van veranderingen in de veiligheids-laboratoriumparameters (afname in aantal neutrofielen en trombocyten, toename in ALAT, ASAT en lipiden). Echter, de omvang van de verandering en de frequentie van duidelijke afwijkingen was hoger bij </w:t>
      </w:r>
      <w:r w:rsidR="00FA591D" w:rsidRPr="00330234">
        <w:t>tocilizumab</w:t>
      </w:r>
      <w:r w:rsidRPr="00330234">
        <w:t xml:space="preserve"> vergeleken met adalimumab. Vier (2,5%) patiënten in de </w:t>
      </w:r>
      <w:r w:rsidR="00FA591D" w:rsidRPr="00330234">
        <w:t>tocilizumab</w:t>
      </w:r>
      <w:r w:rsidRPr="00330234">
        <w:t xml:space="preserve">-arm en twee (1,2%) patiënten in de adalimumab-arm hadden een afname in het aantal neutrofielen van CTC-graad 3 of 4. Elf (6,8%) patiënten in de </w:t>
      </w:r>
      <w:r w:rsidR="00FA591D" w:rsidRPr="00330234">
        <w:t>tocilizumab</w:t>
      </w:r>
      <w:r w:rsidRPr="00330234">
        <w:t xml:space="preserve">-arm en vijf (3,1%) patiënten in de adalimumab-arm hadden verhoogde ALAT-waarden van CTC-graad 2 of hoger. De gemiddelde toename in LDL ten opzichte van baseline was 0,64 mmol/l (25 mg/dl) voor patiënten in de </w:t>
      </w:r>
      <w:r w:rsidR="00FA591D" w:rsidRPr="00330234">
        <w:t>tocilizumab</w:t>
      </w:r>
      <w:r w:rsidRPr="00330234">
        <w:t xml:space="preserve">-arm en 0,19 mmol/l (7 mg/dl) voor patiënten in de adalimumab-arm. De veiligheid die gezien werd in de </w:t>
      </w:r>
      <w:r w:rsidR="00FA591D" w:rsidRPr="00330234">
        <w:t>tocilizumab</w:t>
      </w:r>
      <w:r w:rsidRPr="00330234">
        <w:t xml:space="preserve">-arm kwam overeen met het bekende veiligheidsprofiel van </w:t>
      </w:r>
      <w:r w:rsidR="00FA591D" w:rsidRPr="00330234">
        <w:t>tocilizumab</w:t>
      </w:r>
      <w:r w:rsidRPr="00330234">
        <w:t xml:space="preserve"> en er werden geen nieuwe of onverwachte bijwerkingen gezien (zie tabel 1).</w:t>
      </w:r>
    </w:p>
    <w:p w14:paraId="4AAF90FF" w14:textId="77777777" w:rsidR="00436DAA" w:rsidRPr="00330234" w:rsidRDefault="00436DAA" w:rsidP="00BD109B">
      <w:pPr>
        <w:pStyle w:val="a3"/>
        <w:widowControl/>
        <w:ind w:left="0"/>
      </w:pPr>
    </w:p>
    <w:p w14:paraId="4C5A578F" w14:textId="0D479BBB" w:rsidR="00436DAA" w:rsidRPr="00330234" w:rsidRDefault="005328BF" w:rsidP="00BD109B">
      <w:pPr>
        <w:pStyle w:val="2"/>
      </w:pPr>
      <w:r w:rsidRPr="00330234">
        <w:t>5.2</w:t>
      </w:r>
      <w:r w:rsidRPr="00330234">
        <w:tab/>
      </w:r>
      <w:r w:rsidR="009B4B8E" w:rsidRPr="00330234">
        <w:t>Farmacokinetische eigenschappen</w:t>
      </w:r>
    </w:p>
    <w:p w14:paraId="1568383B" w14:textId="77777777" w:rsidR="00FF38E0" w:rsidRPr="00330234" w:rsidRDefault="00FF38E0" w:rsidP="00BD109B">
      <w:pPr>
        <w:pStyle w:val="a3"/>
        <w:widowControl/>
        <w:ind w:left="0"/>
      </w:pPr>
    </w:p>
    <w:p w14:paraId="40DDE962" w14:textId="392FEC05" w:rsidR="00436DAA" w:rsidRPr="00330234" w:rsidRDefault="009B4B8E" w:rsidP="00BD109B">
      <w:pPr>
        <w:pStyle w:val="a3"/>
        <w:widowControl/>
        <w:ind w:left="0"/>
      </w:pPr>
      <w:r w:rsidRPr="00330234">
        <w:t xml:space="preserve">De farmacokinetiek van </w:t>
      </w:r>
      <w:r w:rsidR="00FA591D" w:rsidRPr="00330234">
        <w:t>tocilizumab</w:t>
      </w:r>
      <w:r w:rsidRPr="00330234">
        <w:t xml:space="preserve"> wordt gekenmerkt door non-lineaire eliminatie, die een combinatie van lineaire klaring en Michaelis-Menten-eliminatie is. Het non-lineaire deel van de </w:t>
      </w:r>
      <w:r w:rsidR="00FA591D" w:rsidRPr="00330234">
        <w:t>tocilizumab</w:t>
      </w:r>
      <w:r w:rsidRPr="00330234">
        <w:t xml:space="preserve">-eliminatie leidt tot een verhoging van de blootstelling die meer dan dosisproportioneel is. De farmacokinetische parameters van </w:t>
      </w:r>
      <w:r w:rsidR="00FA591D" w:rsidRPr="00330234">
        <w:t>tocilizumab</w:t>
      </w:r>
      <w:r w:rsidRPr="00330234">
        <w:t xml:space="preserve"> veranderen niet in de tijd. Omdat de totale klaring afhankelijk is van de serumconcentraties van </w:t>
      </w:r>
      <w:r w:rsidR="00FA591D" w:rsidRPr="00330234">
        <w:t>tocilizumab</w:t>
      </w:r>
      <w:r w:rsidRPr="00330234">
        <w:t xml:space="preserve">, is de halfwaardetijd van </w:t>
      </w:r>
      <w:r w:rsidR="00FA591D" w:rsidRPr="00330234">
        <w:t>tocilizumab</w:t>
      </w:r>
      <w:r w:rsidRPr="00330234">
        <w:t xml:space="preserve"> ook concentratieafhankelijk en varieert deze afhankelijk van de serumconcentratiewaarden. De farmacokinetische populatieanalyse van alle tot nu toe geteste patiëntenpopulaties gaf aan dat er geen relatie is tussen schijnbare klaring en aanwezigheid van anti-geneesmiddelantilichamen.</w:t>
      </w:r>
    </w:p>
    <w:p w14:paraId="2E2C04FD" w14:textId="77777777" w:rsidR="00436DAA" w:rsidRPr="00330234" w:rsidRDefault="00436DAA" w:rsidP="00BD109B">
      <w:pPr>
        <w:widowControl/>
      </w:pPr>
    </w:p>
    <w:p w14:paraId="236525DB" w14:textId="77777777" w:rsidR="00436DAA" w:rsidRPr="00330234" w:rsidRDefault="009B4B8E" w:rsidP="00BD109B">
      <w:pPr>
        <w:pStyle w:val="a3"/>
        <w:widowControl/>
        <w:ind w:left="0"/>
      </w:pPr>
      <w:r w:rsidRPr="00330234">
        <w:rPr>
          <w:u w:val="single"/>
        </w:rPr>
        <w:t>RA</w:t>
      </w:r>
    </w:p>
    <w:p w14:paraId="7A6A0B63" w14:textId="77777777" w:rsidR="00436DAA" w:rsidRPr="00330234" w:rsidRDefault="009B4B8E" w:rsidP="00BD109B">
      <w:pPr>
        <w:pStyle w:val="a3"/>
        <w:widowControl/>
        <w:ind w:left="0"/>
      </w:pPr>
      <w:r w:rsidRPr="00330234">
        <w:rPr>
          <w:u w:val="single"/>
        </w:rPr>
        <w:t>Intraveneus gebruik</w:t>
      </w:r>
    </w:p>
    <w:p w14:paraId="5143C415" w14:textId="4E18ED3D" w:rsidR="00436DAA" w:rsidRPr="00330234" w:rsidRDefault="009B4B8E" w:rsidP="00BD109B">
      <w:pPr>
        <w:pStyle w:val="a3"/>
        <w:widowControl/>
        <w:ind w:left="0"/>
      </w:pPr>
      <w:r w:rsidRPr="00330234">
        <w:t xml:space="preserve">De farmacokinetiek van </w:t>
      </w:r>
      <w:r w:rsidR="00FA591D" w:rsidRPr="00330234">
        <w:t>tocilizumab</w:t>
      </w:r>
      <w:r w:rsidRPr="00330234">
        <w:t xml:space="preserve"> is bepaald middels een farmacokinetische populatieanalyse van een database met 3552 RA-patiënten die elke vier weken </w:t>
      </w:r>
      <w:r w:rsidR="00FA591D" w:rsidRPr="00330234">
        <w:t>tocilizumab</w:t>
      </w:r>
      <w:r w:rsidRPr="00330234">
        <w:t xml:space="preserve"> 4 of 8 mg/kg infusie, gedurende 1 uur kregen toegediend en behandeld werden gedurende een periode van 24 weken of RA-patiënten </w:t>
      </w:r>
      <w:r w:rsidRPr="00330234">
        <w:lastRenderedPageBreak/>
        <w:t xml:space="preserve">die elke week of om de week 162 mg </w:t>
      </w:r>
      <w:r w:rsidR="00FA591D" w:rsidRPr="00330234">
        <w:t>tocilizumab</w:t>
      </w:r>
      <w:r w:rsidRPr="00330234">
        <w:t xml:space="preserve"> subcutaan toegediend kregen gedurende een periode van 24 weken.</w:t>
      </w:r>
    </w:p>
    <w:p w14:paraId="2FC641DB" w14:textId="77777777" w:rsidR="00436DAA" w:rsidRPr="00330234" w:rsidRDefault="00436DAA" w:rsidP="00BD109B">
      <w:pPr>
        <w:pStyle w:val="a3"/>
        <w:widowControl/>
        <w:ind w:left="0"/>
      </w:pPr>
    </w:p>
    <w:p w14:paraId="1FC9F91A" w14:textId="568837B1" w:rsidR="00436DAA" w:rsidRPr="00330234" w:rsidRDefault="009B4B8E" w:rsidP="00FF38E0">
      <w:pPr>
        <w:pStyle w:val="a3"/>
        <w:widowControl/>
        <w:ind w:left="0"/>
      </w:pPr>
      <w:r w:rsidRPr="00330234">
        <w:t xml:space="preserve">De volgende parameters (voorspelde gemiddelde ± SD) zijn geschat voor een dosis van 8 mg/kg </w:t>
      </w:r>
      <w:r w:rsidR="00FA591D" w:rsidRPr="00330234">
        <w:t>tocilizumab</w:t>
      </w:r>
      <w:r w:rsidRPr="00330234">
        <w:t xml:space="preserve"> elke vier weken: steady-state oppervlakte onder de curve (AUC) = 38000 ±</w:t>
      </w:r>
      <w:r w:rsidR="00FF38E0" w:rsidRPr="00330234">
        <w:t xml:space="preserve"> </w:t>
      </w:r>
      <w:r w:rsidRPr="00330234">
        <w:t>13000</w:t>
      </w:r>
      <w:r w:rsidR="00FF38E0" w:rsidRPr="00330234">
        <w:t> </w:t>
      </w:r>
      <w:r w:rsidRPr="00330234">
        <w:t>mcg•uur/ml, dalconcentratie (C</w:t>
      </w:r>
      <w:r w:rsidRPr="00330234">
        <w:rPr>
          <w:vertAlign w:val="subscript"/>
        </w:rPr>
        <w:t>min</w:t>
      </w:r>
      <w:r w:rsidRPr="00330234">
        <w:t>) = 15,9 ± 13,1 mcg/ml en maximale concentratie (C</w:t>
      </w:r>
      <w:r w:rsidRPr="00330234">
        <w:rPr>
          <w:vertAlign w:val="subscript"/>
        </w:rPr>
        <w:t>max</w:t>
      </w:r>
      <w:r w:rsidRPr="00330234">
        <w:t>) = 182 ± 50,4 mcg/ml en de accumulatieratio</w:t>
      </w:r>
      <w:r w:rsidR="00753185" w:rsidRPr="00330234">
        <w:t>’</w:t>
      </w:r>
      <w:r w:rsidRPr="00330234">
        <w:t>s voor de AUC en C</w:t>
      </w:r>
      <w:r w:rsidRPr="00330234">
        <w:rPr>
          <w:vertAlign w:val="subscript"/>
        </w:rPr>
        <w:t>max</w:t>
      </w:r>
      <w:r w:rsidRPr="00330234">
        <w:t xml:space="preserve"> waren klein, respectievelijk 1,32</w:t>
      </w:r>
      <w:r w:rsidR="00FF38E0" w:rsidRPr="00330234">
        <w:t> </w:t>
      </w:r>
      <w:r w:rsidRPr="00330234">
        <w:t>en 1,09. De accumulatieratio voor de C</w:t>
      </w:r>
      <w:r w:rsidRPr="00330234">
        <w:rPr>
          <w:vertAlign w:val="subscript"/>
        </w:rPr>
        <w:t>min</w:t>
      </w:r>
      <w:r w:rsidRPr="00330234">
        <w:t xml:space="preserve"> was groter (2,49). Dit werd verwacht op basis van de niet- lineaire klaring bij lagere concentraties. Steady-state werd bereikt na de eerste toediening voor C</w:t>
      </w:r>
      <w:r w:rsidRPr="00330234">
        <w:rPr>
          <w:vertAlign w:val="subscript"/>
        </w:rPr>
        <w:t>max</w:t>
      </w:r>
      <w:r w:rsidRPr="00330234">
        <w:t xml:space="preserve"> en na 8 en 20 weken voor respectievelijk AUC en C</w:t>
      </w:r>
      <w:r w:rsidRPr="00330234">
        <w:rPr>
          <w:vertAlign w:val="subscript"/>
        </w:rPr>
        <w:t>min</w:t>
      </w:r>
      <w:r w:rsidRPr="00330234">
        <w:t>. De AUC, C</w:t>
      </w:r>
      <w:r w:rsidRPr="00330234">
        <w:rPr>
          <w:vertAlign w:val="subscript"/>
        </w:rPr>
        <w:t>min</w:t>
      </w:r>
      <w:r w:rsidRPr="00330234">
        <w:t xml:space="preserve"> en C</w:t>
      </w:r>
      <w:r w:rsidRPr="00330234">
        <w:rPr>
          <w:vertAlign w:val="subscript"/>
        </w:rPr>
        <w:t>max</w:t>
      </w:r>
      <w:r w:rsidRPr="00330234">
        <w:t xml:space="preserve"> voor </w:t>
      </w:r>
      <w:r w:rsidR="00FA591D" w:rsidRPr="00330234">
        <w:t>tocilizumab</w:t>
      </w:r>
      <w:r w:rsidRPr="00330234">
        <w:t xml:space="preserve"> namen toe bij een toename in het lichaamsgewicht. Bij een lichaamsgewicht van ≥ 100 kg waren de voorspelde gemiddelden (± SD) van AUC, C</w:t>
      </w:r>
      <w:r w:rsidRPr="00330234">
        <w:rPr>
          <w:vertAlign w:val="subscript"/>
        </w:rPr>
        <w:t>min</w:t>
      </w:r>
      <w:r w:rsidRPr="00330234">
        <w:t xml:space="preserve"> en C</w:t>
      </w:r>
      <w:r w:rsidRPr="00330234">
        <w:rPr>
          <w:vertAlign w:val="subscript"/>
        </w:rPr>
        <w:t>max</w:t>
      </w:r>
      <w:r w:rsidRPr="00330234">
        <w:t xml:space="preserve"> bij steady-state voor </w:t>
      </w:r>
      <w:r w:rsidR="00FA591D" w:rsidRPr="00330234">
        <w:t>tocilizumab</w:t>
      </w:r>
      <w:r w:rsidRPr="00330234">
        <w:t xml:space="preserve"> respectievelijk 50000 ± 16800 mcg•uur/ml, 24,4 ± 17,5 mcg/ml, en 226 ± 50,3 mcg/ml, wat hoger is dan de gemiddelde blootstellingwaarden voor de hierboven vermelde patiëntenpopulatie (d.z.w. alle lichaamsgewichten). De dosisresponscurve voor tocilizumab vlakt af bij een hogere blootstelling, resulterend in een kleinere toename in de werkzaamheid voor elke stijging van de </w:t>
      </w:r>
      <w:r w:rsidR="00FA591D" w:rsidRPr="00330234">
        <w:t>tocilizumab</w:t>
      </w:r>
      <w:r w:rsidRPr="00330234">
        <w:t xml:space="preserve">- concentratie zodat een klinisch belangrijke toename in de werkzaamheid niet werd bewezen bij patiënten die met &gt; 800 mg </w:t>
      </w:r>
      <w:r w:rsidR="00FA591D" w:rsidRPr="00330234">
        <w:t>tocilizumab</w:t>
      </w:r>
      <w:r w:rsidRPr="00330234">
        <w:t xml:space="preserve"> werden behandeld. Daarom worden doses </w:t>
      </w:r>
      <w:r w:rsidR="00FA591D" w:rsidRPr="00330234">
        <w:t>tocilizumab</w:t>
      </w:r>
      <w:r w:rsidRPr="00330234">
        <w:t xml:space="preserve"> hoger dan 800 mg per infusie niet aanbevolen (zie rubriek 4.2).</w:t>
      </w:r>
    </w:p>
    <w:p w14:paraId="226623E1" w14:textId="77777777" w:rsidR="00436DAA" w:rsidRPr="00330234" w:rsidRDefault="00436DAA" w:rsidP="00BD109B">
      <w:pPr>
        <w:pStyle w:val="a3"/>
        <w:widowControl/>
        <w:ind w:left="0"/>
      </w:pPr>
    </w:p>
    <w:p w14:paraId="437B2284" w14:textId="77777777" w:rsidR="00436DAA" w:rsidRPr="00330234" w:rsidRDefault="009B4B8E" w:rsidP="00BD109B">
      <w:pPr>
        <w:pStyle w:val="a3"/>
        <w:widowControl/>
        <w:ind w:left="0"/>
      </w:pPr>
      <w:r w:rsidRPr="00330234">
        <w:rPr>
          <w:u w:val="single"/>
        </w:rPr>
        <w:t>Distributie</w:t>
      </w:r>
    </w:p>
    <w:p w14:paraId="65E7E922" w14:textId="77777777" w:rsidR="00436DAA" w:rsidRPr="00330234" w:rsidRDefault="009B4B8E" w:rsidP="00BD109B">
      <w:pPr>
        <w:pStyle w:val="a3"/>
        <w:widowControl/>
        <w:ind w:left="0"/>
      </w:pPr>
      <w:r w:rsidRPr="00330234">
        <w:t>Bij RA-patiënten was het centrale verdelingsvolume 3,72 l, het perifere verdelingsvolume was 3,35 l, resulterend in een steady-state verdelingsvolume van 7,07 l.</w:t>
      </w:r>
    </w:p>
    <w:p w14:paraId="3B347C12" w14:textId="77777777" w:rsidR="00FF38E0" w:rsidRPr="00330234" w:rsidRDefault="00FF38E0" w:rsidP="00BD109B">
      <w:pPr>
        <w:pStyle w:val="a3"/>
        <w:widowControl/>
        <w:ind w:left="0"/>
      </w:pPr>
    </w:p>
    <w:p w14:paraId="0CE7ACA0" w14:textId="77777777" w:rsidR="00436DAA" w:rsidRPr="00330234" w:rsidRDefault="009B4B8E" w:rsidP="00BD109B">
      <w:pPr>
        <w:pStyle w:val="a3"/>
        <w:widowControl/>
        <w:ind w:left="0"/>
      </w:pPr>
      <w:r w:rsidRPr="00330234">
        <w:rPr>
          <w:u w:val="single"/>
        </w:rPr>
        <w:t>Eliminatie</w:t>
      </w:r>
    </w:p>
    <w:p w14:paraId="2ED61F7D" w14:textId="42CD6F12" w:rsidR="00436DAA" w:rsidRPr="00330234" w:rsidRDefault="009B4B8E" w:rsidP="00BD109B">
      <w:pPr>
        <w:pStyle w:val="a3"/>
        <w:widowControl/>
        <w:ind w:left="0"/>
      </w:pPr>
      <w:r w:rsidRPr="00330234">
        <w:t xml:space="preserve">Na intraveneuze toediening ondergaat </w:t>
      </w:r>
      <w:r w:rsidR="00FA591D" w:rsidRPr="00330234">
        <w:t>tocilizumab</w:t>
      </w:r>
      <w:r w:rsidRPr="00330234">
        <w:t xml:space="preserve"> een bifasische eliminatie vanuit de circulatie.</w:t>
      </w:r>
    </w:p>
    <w:p w14:paraId="6782BC13" w14:textId="4F5B793D" w:rsidR="00436DAA" w:rsidRPr="00330234" w:rsidRDefault="009B4B8E" w:rsidP="00BD109B">
      <w:pPr>
        <w:pStyle w:val="a3"/>
        <w:widowControl/>
        <w:ind w:left="0"/>
      </w:pPr>
      <w:r w:rsidRPr="00330234">
        <w:t xml:space="preserve">De totale klaring van </w:t>
      </w:r>
      <w:r w:rsidR="00FA591D" w:rsidRPr="00330234">
        <w:t>tocilizumab</w:t>
      </w:r>
      <w:r w:rsidRPr="00330234">
        <w:t xml:space="preserve"> was concentratieafhankelijk en is de som van de lineaire klaring en de niet-lineaire klaring. De lineaire klaring is geschat als parameter in de farmacokinetische populatieanalyse en was 9,5 ml/uur. De concentratieafhankelijke niet-lineaire klaring speelt een belangrijke rol bij lagere </w:t>
      </w:r>
      <w:r w:rsidR="00FA591D" w:rsidRPr="00330234">
        <w:t>tocilizumab</w:t>
      </w:r>
      <w:r w:rsidRPr="00330234">
        <w:t xml:space="preserve">-concentraties. Zodra de niet-lineaire klaringsroute verzadigd is, bij hogere concentraties </w:t>
      </w:r>
      <w:r w:rsidR="00FA591D" w:rsidRPr="00330234">
        <w:t>tocilizumab</w:t>
      </w:r>
      <w:r w:rsidRPr="00330234">
        <w:t>, verloopt de klaring voornamelijk lineair.</w:t>
      </w:r>
    </w:p>
    <w:p w14:paraId="1D76118D" w14:textId="77777777" w:rsidR="00436DAA" w:rsidRPr="00330234" w:rsidRDefault="00436DAA" w:rsidP="00BD109B">
      <w:pPr>
        <w:pStyle w:val="a3"/>
        <w:widowControl/>
        <w:ind w:left="0"/>
      </w:pPr>
    </w:p>
    <w:p w14:paraId="7957A89B" w14:textId="0346FB3F" w:rsidR="00436DAA" w:rsidRPr="00330234" w:rsidRDefault="009B4B8E" w:rsidP="00FF38E0">
      <w:pPr>
        <w:pStyle w:val="a3"/>
        <w:widowControl/>
        <w:ind w:left="0"/>
      </w:pPr>
      <w:r w:rsidRPr="00330234">
        <w:t>De t</w:t>
      </w:r>
      <w:r w:rsidRPr="00330234">
        <w:rPr>
          <w:vertAlign w:val="subscript"/>
        </w:rPr>
        <w:t>1/2</w:t>
      </w:r>
      <w:r w:rsidRPr="00330234">
        <w:t xml:space="preserve"> van </w:t>
      </w:r>
      <w:r w:rsidR="00FA591D" w:rsidRPr="00330234">
        <w:t>tocilizumab</w:t>
      </w:r>
      <w:r w:rsidRPr="00330234">
        <w:t xml:space="preserve"> was concentratieafhankelijk. In steady-state na een dosering van 8 mg/kg elke 4</w:t>
      </w:r>
      <w:r w:rsidR="003C4B56" w:rsidRPr="00330234">
        <w:t> </w:t>
      </w:r>
      <w:r w:rsidRPr="00330234">
        <w:t>weken nam de effectieve t</w:t>
      </w:r>
      <w:r w:rsidRPr="00330234">
        <w:rPr>
          <w:vertAlign w:val="subscript"/>
        </w:rPr>
        <w:t>1/2</w:t>
      </w:r>
      <w:r w:rsidRPr="00330234">
        <w:t xml:space="preserve"> bij afnemende concentraties binnen het doseringsinterval af van</w:t>
      </w:r>
      <w:r w:rsidR="00FF38E0" w:rsidRPr="00330234">
        <w:t xml:space="preserve"> </w:t>
      </w:r>
      <w:r w:rsidRPr="00330234">
        <w:t>18</w:t>
      </w:r>
      <w:r w:rsidR="00FF38E0" w:rsidRPr="00330234">
        <w:t> </w:t>
      </w:r>
      <w:r w:rsidRPr="00330234">
        <w:t>dagen naar 6 dagen.</w:t>
      </w:r>
    </w:p>
    <w:p w14:paraId="32EC4835" w14:textId="77777777" w:rsidR="00436DAA" w:rsidRPr="00330234" w:rsidRDefault="00436DAA" w:rsidP="00BD109B">
      <w:pPr>
        <w:pStyle w:val="a3"/>
        <w:widowControl/>
        <w:ind w:left="0"/>
      </w:pPr>
    </w:p>
    <w:p w14:paraId="2D9AE382" w14:textId="77777777" w:rsidR="00436DAA" w:rsidRPr="00330234" w:rsidRDefault="009B4B8E" w:rsidP="00BD109B">
      <w:pPr>
        <w:pStyle w:val="a3"/>
        <w:widowControl/>
        <w:ind w:left="0"/>
      </w:pPr>
      <w:r w:rsidRPr="00330234">
        <w:rPr>
          <w:u w:val="single"/>
        </w:rPr>
        <w:t>Lineariteit</w:t>
      </w:r>
    </w:p>
    <w:p w14:paraId="47A81976" w14:textId="55214A72" w:rsidR="00436DAA" w:rsidRPr="00330234" w:rsidRDefault="009B4B8E" w:rsidP="00FF38E0">
      <w:pPr>
        <w:pStyle w:val="a3"/>
        <w:widowControl/>
        <w:ind w:left="0"/>
      </w:pPr>
      <w:r w:rsidRPr="00330234">
        <w:t xml:space="preserve">Farmacokinetische parameters van </w:t>
      </w:r>
      <w:r w:rsidR="00FA591D" w:rsidRPr="00330234">
        <w:t>tocilizumab</w:t>
      </w:r>
      <w:r w:rsidRPr="00330234">
        <w:t xml:space="preserve"> veranderden niet met de loop van tijd. Een meer dan dosisproportionele stijging van de AUC en C</w:t>
      </w:r>
      <w:r w:rsidRPr="00330234">
        <w:rPr>
          <w:vertAlign w:val="subscript"/>
        </w:rPr>
        <w:t>min</w:t>
      </w:r>
      <w:r w:rsidRPr="00330234">
        <w:t xml:space="preserve"> werd waargenomen bij doses van 4 mg/kg en 8</w:t>
      </w:r>
      <w:r w:rsidR="00FF38E0" w:rsidRPr="00330234">
        <w:t> </w:t>
      </w:r>
      <w:r w:rsidRPr="00330234">
        <w:t>mg/kg elke 4 weken. De C</w:t>
      </w:r>
      <w:r w:rsidRPr="00330234">
        <w:rPr>
          <w:vertAlign w:val="subscript"/>
        </w:rPr>
        <w:t>max</w:t>
      </w:r>
      <w:r w:rsidRPr="00330234">
        <w:t xml:space="preserve"> nam dosisproportioneel toe in verhouding met de dosering. In steady-state waren de voorspelde AUC en C</w:t>
      </w:r>
      <w:r w:rsidRPr="00330234">
        <w:rPr>
          <w:vertAlign w:val="subscript"/>
        </w:rPr>
        <w:t>min</w:t>
      </w:r>
      <w:r w:rsidRPr="00330234">
        <w:t xml:space="preserve"> respectievelijk 3,2 en 30 keer hoger bij 8 mg/kg vergeleken met</w:t>
      </w:r>
      <w:r w:rsidR="00FF38E0" w:rsidRPr="00330234">
        <w:t xml:space="preserve"> </w:t>
      </w:r>
      <w:r w:rsidRPr="00330234">
        <w:t>4</w:t>
      </w:r>
      <w:r w:rsidR="003C4B56" w:rsidRPr="00330234">
        <w:t> </w:t>
      </w:r>
      <w:r w:rsidRPr="00330234">
        <w:t>mg/kg.</w:t>
      </w:r>
    </w:p>
    <w:p w14:paraId="16E590E5" w14:textId="77777777" w:rsidR="00436DAA" w:rsidRPr="00330234" w:rsidRDefault="00436DAA" w:rsidP="00BD109B">
      <w:pPr>
        <w:pStyle w:val="a3"/>
        <w:widowControl/>
        <w:ind w:left="0"/>
      </w:pPr>
    </w:p>
    <w:p w14:paraId="7FF47089" w14:textId="77777777" w:rsidR="00436DAA" w:rsidRPr="00330234" w:rsidRDefault="009B4B8E" w:rsidP="00BD109B">
      <w:pPr>
        <w:pStyle w:val="a3"/>
        <w:widowControl/>
        <w:ind w:left="0"/>
      </w:pPr>
      <w:r w:rsidRPr="00330234">
        <w:rPr>
          <w:u w:val="single"/>
        </w:rPr>
        <w:t>Subcutaan gebruik</w:t>
      </w:r>
    </w:p>
    <w:p w14:paraId="5F8E45AF" w14:textId="7931D7D9" w:rsidR="00436DAA" w:rsidRPr="00330234" w:rsidRDefault="009B4B8E" w:rsidP="00BD109B">
      <w:pPr>
        <w:pStyle w:val="a3"/>
        <w:widowControl/>
        <w:ind w:left="0"/>
      </w:pPr>
      <w:r w:rsidRPr="00330234">
        <w:t xml:space="preserve">De farmacokinetiek van </w:t>
      </w:r>
      <w:r w:rsidR="00FA591D" w:rsidRPr="00330234">
        <w:t>tocilizumab</w:t>
      </w:r>
      <w:r w:rsidRPr="00330234">
        <w:t xml:space="preserve"> is bepaald met behulp van een farmacokinetische populatieanalyse van een database die bestond uit 3552 RA-patiënten die gedurende 24 weken behandeld werden met een wekelijkse subcutane injectie van 162 mg, om de week een subcutane injectie van 162 mg of elke 4 weken een intraveneuze infusie van 4 of 8 mg/kg.</w:t>
      </w:r>
    </w:p>
    <w:p w14:paraId="7014259C" w14:textId="77777777" w:rsidR="00436DAA" w:rsidRPr="00330234" w:rsidRDefault="00436DAA" w:rsidP="00BD109B">
      <w:pPr>
        <w:pStyle w:val="a3"/>
        <w:widowControl/>
        <w:ind w:left="0"/>
      </w:pPr>
    </w:p>
    <w:p w14:paraId="732D84A7" w14:textId="1594B4AA" w:rsidR="00436DAA" w:rsidRPr="00330234" w:rsidRDefault="009B4B8E" w:rsidP="00FF38E0">
      <w:pPr>
        <w:pStyle w:val="a3"/>
        <w:widowControl/>
        <w:ind w:left="0"/>
      </w:pPr>
      <w:r w:rsidRPr="00330234">
        <w:t xml:space="preserve">De farmacokinetische parameters van </w:t>
      </w:r>
      <w:r w:rsidR="00FA591D" w:rsidRPr="00330234">
        <w:t>tocilizumab</w:t>
      </w:r>
      <w:r w:rsidRPr="00330234">
        <w:t xml:space="preserve"> veranderden niet in de tijd. Voor de wekelijkse 162</w:t>
      </w:r>
      <w:r w:rsidR="00FF38E0" w:rsidRPr="00330234">
        <w:t> </w:t>
      </w:r>
      <w:r w:rsidRPr="00330234">
        <w:t>mg dosering waren de voorspelde gemiddelden (± SD) steady-state AUC</w:t>
      </w:r>
      <w:r w:rsidRPr="00330234">
        <w:rPr>
          <w:vertAlign w:val="subscript"/>
        </w:rPr>
        <w:t>1week</w:t>
      </w:r>
      <w:r w:rsidRPr="00330234">
        <w:t>, C</w:t>
      </w:r>
      <w:r w:rsidRPr="00330234">
        <w:rPr>
          <w:vertAlign w:val="subscript"/>
        </w:rPr>
        <w:t>min</w:t>
      </w:r>
      <w:r w:rsidRPr="00330234">
        <w:t xml:space="preserve"> en C</w:t>
      </w:r>
      <w:r w:rsidRPr="00330234">
        <w:rPr>
          <w:vertAlign w:val="subscript"/>
        </w:rPr>
        <w:t>max</w:t>
      </w:r>
      <w:r w:rsidRPr="00330234">
        <w:t xml:space="preserve"> van </w:t>
      </w:r>
      <w:r w:rsidR="00FA591D" w:rsidRPr="00330234">
        <w:t>tocilizumab</w:t>
      </w:r>
      <w:r w:rsidRPr="00330234">
        <w:t xml:space="preserve"> respectievelijk 7970 ± 3432 μg•uur/ml, 43,0 ± 19,8 μg/ml en 49,8 ± 21,0 μg/ml. De</w:t>
      </w:r>
      <w:r w:rsidR="00FF38E0" w:rsidRPr="00330234">
        <w:t xml:space="preserve"> </w:t>
      </w:r>
      <w:r w:rsidRPr="00330234">
        <w:t>accumulatieratio’s voor de AUC, C</w:t>
      </w:r>
      <w:r w:rsidRPr="00330234">
        <w:rPr>
          <w:vertAlign w:val="subscript"/>
        </w:rPr>
        <w:t>min</w:t>
      </w:r>
      <w:r w:rsidRPr="00330234">
        <w:t xml:space="preserve"> en C</w:t>
      </w:r>
      <w:r w:rsidRPr="00330234">
        <w:rPr>
          <w:vertAlign w:val="subscript"/>
        </w:rPr>
        <w:t>max</w:t>
      </w:r>
      <w:r w:rsidRPr="00330234">
        <w:t xml:space="preserve"> waren respectievelijk 6,32, 6,30 en 5,27. Steady-state werd bereikt na 12 weken voor de AUC, C</w:t>
      </w:r>
      <w:r w:rsidRPr="00330234">
        <w:rPr>
          <w:vertAlign w:val="subscript"/>
        </w:rPr>
        <w:t>min</w:t>
      </w:r>
      <w:r w:rsidRPr="00330234">
        <w:t xml:space="preserve"> en C</w:t>
      </w:r>
      <w:r w:rsidRPr="00330234">
        <w:rPr>
          <w:vertAlign w:val="subscript"/>
        </w:rPr>
        <w:t>max</w:t>
      </w:r>
      <w:r w:rsidRPr="00330234">
        <w:t>.</w:t>
      </w:r>
    </w:p>
    <w:p w14:paraId="3FB25B3D" w14:textId="77777777" w:rsidR="00FF38E0" w:rsidRPr="00330234" w:rsidRDefault="00FF38E0" w:rsidP="00FF38E0">
      <w:pPr>
        <w:pStyle w:val="a3"/>
        <w:widowControl/>
        <w:ind w:left="0"/>
      </w:pPr>
    </w:p>
    <w:p w14:paraId="3446F8EC" w14:textId="04E38805" w:rsidR="00436DAA" w:rsidRPr="00330234" w:rsidRDefault="009B4B8E" w:rsidP="00BD109B">
      <w:pPr>
        <w:pStyle w:val="a3"/>
        <w:widowControl/>
        <w:ind w:left="0"/>
      </w:pPr>
      <w:r w:rsidRPr="00330234">
        <w:t>Voor de 162 mg dosering om de week waren de voorspelde gemiddelden (± SD) steady-state AUC</w:t>
      </w:r>
      <w:r w:rsidRPr="00330234">
        <w:rPr>
          <w:vertAlign w:val="subscript"/>
        </w:rPr>
        <w:t>2week</w:t>
      </w:r>
      <w:r w:rsidRPr="00330234">
        <w:t>, C</w:t>
      </w:r>
      <w:r w:rsidRPr="00330234">
        <w:rPr>
          <w:vertAlign w:val="subscript"/>
        </w:rPr>
        <w:t>min</w:t>
      </w:r>
      <w:r w:rsidRPr="00330234">
        <w:t xml:space="preserve"> en C</w:t>
      </w:r>
      <w:r w:rsidRPr="00330234">
        <w:rPr>
          <w:vertAlign w:val="subscript"/>
        </w:rPr>
        <w:t xml:space="preserve">max </w:t>
      </w:r>
      <w:r w:rsidRPr="00330234">
        <w:t xml:space="preserve">van </w:t>
      </w:r>
      <w:r w:rsidR="00FA591D" w:rsidRPr="00330234">
        <w:t>tocilizumab</w:t>
      </w:r>
      <w:r w:rsidRPr="00330234">
        <w:t xml:space="preserve"> respectievelijk 3430 ± 2660 μg•uur/ml, 5,7 ± 6,8 μg/ml en </w:t>
      </w:r>
      <w:r w:rsidRPr="00330234">
        <w:lastRenderedPageBreak/>
        <w:t>13,2</w:t>
      </w:r>
      <w:r w:rsidR="00FF38E0" w:rsidRPr="00330234">
        <w:t> </w:t>
      </w:r>
      <w:r w:rsidRPr="00330234">
        <w:t>± 8,8 μg/ml. De accumulatieratio’s voor de AUC, C</w:t>
      </w:r>
      <w:r w:rsidRPr="00330234">
        <w:rPr>
          <w:vertAlign w:val="subscript"/>
        </w:rPr>
        <w:t>min</w:t>
      </w:r>
      <w:r w:rsidRPr="00330234">
        <w:t xml:space="preserve"> en C</w:t>
      </w:r>
      <w:r w:rsidRPr="00330234">
        <w:rPr>
          <w:vertAlign w:val="subscript"/>
        </w:rPr>
        <w:t>max</w:t>
      </w:r>
      <w:r w:rsidRPr="00330234">
        <w:t xml:space="preserve"> waren respectievelijk 2,67, 6,02</w:t>
      </w:r>
      <w:r w:rsidR="00FF38E0" w:rsidRPr="00330234">
        <w:t> </w:t>
      </w:r>
      <w:r w:rsidRPr="00330234">
        <w:t>en 2,12. Steady-state werd bereikt na 12 weken voor de AUC en C</w:t>
      </w:r>
      <w:r w:rsidRPr="00330234">
        <w:rPr>
          <w:vertAlign w:val="subscript"/>
        </w:rPr>
        <w:t>min</w:t>
      </w:r>
      <w:r w:rsidRPr="00330234">
        <w:t>, en na 10 weken voor C</w:t>
      </w:r>
      <w:r w:rsidRPr="00330234">
        <w:rPr>
          <w:vertAlign w:val="subscript"/>
        </w:rPr>
        <w:t>max</w:t>
      </w:r>
      <w:r w:rsidRPr="00330234">
        <w:t>.</w:t>
      </w:r>
    </w:p>
    <w:p w14:paraId="21C85220" w14:textId="77777777" w:rsidR="00436DAA" w:rsidRPr="00330234" w:rsidRDefault="00436DAA" w:rsidP="00BD109B">
      <w:pPr>
        <w:pStyle w:val="a3"/>
        <w:widowControl/>
        <w:ind w:left="0"/>
      </w:pPr>
    </w:p>
    <w:p w14:paraId="1D0347AE" w14:textId="77777777" w:rsidR="00436DAA" w:rsidRPr="00330234" w:rsidRDefault="009B4B8E" w:rsidP="00BD109B">
      <w:pPr>
        <w:pStyle w:val="a3"/>
        <w:widowControl/>
        <w:ind w:left="0"/>
      </w:pPr>
      <w:r w:rsidRPr="00330234">
        <w:rPr>
          <w:u w:val="single"/>
        </w:rPr>
        <w:t>Absorptie</w:t>
      </w:r>
    </w:p>
    <w:p w14:paraId="21E19E94" w14:textId="27E5EC61" w:rsidR="00436DAA" w:rsidRPr="00330234" w:rsidRDefault="009B4B8E" w:rsidP="00BD109B">
      <w:pPr>
        <w:pStyle w:val="a3"/>
        <w:widowControl/>
        <w:ind w:left="0"/>
      </w:pPr>
      <w:r w:rsidRPr="00330234">
        <w:t xml:space="preserve">Na subcutane toediening bij RA-patiënten was de tijd tot piek-serumconcentraties van </w:t>
      </w:r>
      <w:r w:rsidR="00FA591D" w:rsidRPr="00330234">
        <w:t>tocilizumab</w:t>
      </w:r>
      <w:r w:rsidRPr="00330234">
        <w:t xml:space="preserve"> t</w:t>
      </w:r>
      <w:r w:rsidRPr="00330234">
        <w:rPr>
          <w:vertAlign w:val="subscript"/>
        </w:rPr>
        <w:t>max</w:t>
      </w:r>
      <w:r w:rsidRPr="00330234">
        <w:t xml:space="preserve"> 2,8 dagen. De biologische beschikbaarheid van de subcutane formulering was 79%.</w:t>
      </w:r>
    </w:p>
    <w:p w14:paraId="129E7559" w14:textId="77777777" w:rsidR="00FF38E0" w:rsidRPr="00330234" w:rsidRDefault="00FF38E0" w:rsidP="00BD109B">
      <w:pPr>
        <w:pStyle w:val="a3"/>
        <w:widowControl/>
        <w:ind w:left="0"/>
      </w:pPr>
    </w:p>
    <w:p w14:paraId="678D485D" w14:textId="77777777" w:rsidR="00436DAA" w:rsidRPr="00330234" w:rsidRDefault="009B4B8E" w:rsidP="00BD109B">
      <w:pPr>
        <w:pStyle w:val="a3"/>
        <w:widowControl/>
        <w:ind w:left="0"/>
      </w:pPr>
      <w:r w:rsidRPr="00330234">
        <w:rPr>
          <w:u w:val="single"/>
        </w:rPr>
        <w:t>Eliminatie</w:t>
      </w:r>
    </w:p>
    <w:p w14:paraId="321E0542" w14:textId="77777777" w:rsidR="00436DAA" w:rsidRPr="00330234" w:rsidRDefault="009B4B8E" w:rsidP="00BD109B">
      <w:pPr>
        <w:pStyle w:val="a3"/>
        <w:widowControl/>
        <w:ind w:left="0"/>
      </w:pPr>
      <w:r w:rsidRPr="00330234">
        <w:t>Voor de subcutane toediening is de concentratieafhankelijke schijnbare t</w:t>
      </w:r>
      <w:r w:rsidRPr="00330234">
        <w:rPr>
          <w:vertAlign w:val="subscript"/>
        </w:rPr>
        <w:t>1/2</w:t>
      </w:r>
      <w:r w:rsidRPr="00330234">
        <w:t xml:space="preserve"> tot 12 dagen voor de wekelijkse 162 mg en 5 dagen voor de 162 mg om de week voor patiënten met RA in steady-state.</w:t>
      </w:r>
    </w:p>
    <w:p w14:paraId="44BC76EA" w14:textId="77777777" w:rsidR="00436DAA" w:rsidRPr="00330234" w:rsidRDefault="00436DAA" w:rsidP="00BD109B">
      <w:pPr>
        <w:pStyle w:val="a3"/>
        <w:widowControl/>
        <w:ind w:left="0"/>
      </w:pPr>
    </w:p>
    <w:p w14:paraId="0D2AC2DB" w14:textId="77777777" w:rsidR="00436DAA" w:rsidRPr="00330234" w:rsidRDefault="009B4B8E" w:rsidP="00BD109B">
      <w:pPr>
        <w:pStyle w:val="a3"/>
        <w:widowControl/>
        <w:ind w:left="0"/>
      </w:pPr>
      <w:r w:rsidRPr="00330234">
        <w:rPr>
          <w:u w:val="single"/>
        </w:rPr>
        <w:t>sJIA</w:t>
      </w:r>
    </w:p>
    <w:p w14:paraId="3C8208DA" w14:textId="77777777" w:rsidR="00436DAA" w:rsidRPr="00330234" w:rsidRDefault="009B4B8E" w:rsidP="00BD109B">
      <w:pPr>
        <w:pStyle w:val="a3"/>
        <w:widowControl/>
        <w:ind w:left="0"/>
      </w:pPr>
      <w:r w:rsidRPr="00330234">
        <w:rPr>
          <w:u w:val="single"/>
        </w:rPr>
        <w:t>Subcutaan gebruik</w:t>
      </w:r>
    </w:p>
    <w:p w14:paraId="639A5CFF" w14:textId="3AAA006F" w:rsidR="00436DAA" w:rsidRPr="00330234" w:rsidRDefault="009B4B8E" w:rsidP="00BD109B">
      <w:pPr>
        <w:pStyle w:val="a3"/>
        <w:widowControl/>
        <w:ind w:left="0"/>
      </w:pPr>
      <w:r w:rsidRPr="00330234">
        <w:t xml:space="preserve">De farmacokinetiek van </w:t>
      </w:r>
      <w:r w:rsidR="00FA591D" w:rsidRPr="00330234">
        <w:t>tocilizumab</w:t>
      </w:r>
      <w:r w:rsidRPr="00330234">
        <w:t xml:space="preserve"> bij sJIA-patiënten is bepaald middels een farmacokinetische populatieanalyse met 140 patiënten, die werden behandeld met elke 2 weken 8 mg/kg intraveneus (patiënten die 30 kg of meer wogen), elke 2 weken 12 mg/kg intraveneus (patiënten die minder dan 30</w:t>
      </w:r>
      <w:r w:rsidR="00FF38E0" w:rsidRPr="00330234">
        <w:t> </w:t>
      </w:r>
      <w:r w:rsidRPr="00330234">
        <w:t>kg wogen), elke week 162 mg subcutaan (patiënten die 30 kg of meer wogen), of elke 10 dagen of elke 2 weken 162 mg subcutaan (patiënten die minder dan 30 kg wogen).</w:t>
      </w:r>
    </w:p>
    <w:p w14:paraId="368E3B33" w14:textId="77777777" w:rsidR="00FF38E0" w:rsidRPr="00330234" w:rsidRDefault="00FF38E0" w:rsidP="00BD109B">
      <w:pPr>
        <w:pStyle w:val="a3"/>
        <w:widowControl/>
        <w:ind w:left="0"/>
      </w:pPr>
    </w:p>
    <w:p w14:paraId="33EE9F9E" w14:textId="77777777" w:rsidR="00436DAA" w:rsidRPr="00330234" w:rsidRDefault="009B4B8E" w:rsidP="00BD109B">
      <w:pPr>
        <w:pStyle w:val="a3"/>
        <w:widowControl/>
        <w:ind w:left="0"/>
      </w:pPr>
      <w:r w:rsidRPr="00330234">
        <w:t>Beperkte gegevens zijn beschikbaar over de blootstelling na subcutane toediening bij sJIA-patiënten onder de 2 jaar die minder dan 10 kg wegen.</w:t>
      </w:r>
    </w:p>
    <w:p w14:paraId="646E4956" w14:textId="77777777" w:rsidR="00436DAA" w:rsidRPr="00330234" w:rsidRDefault="00436DAA" w:rsidP="00BD109B">
      <w:pPr>
        <w:pStyle w:val="a3"/>
        <w:widowControl/>
        <w:ind w:left="0"/>
      </w:pPr>
    </w:p>
    <w:p w14:paraId="76005962" w14:textId="26DF68D5" w:rsidR="00436DAA" w:rsidRPr="00330234" w:rsidRDefault="009B4B8E" w:rsidP="00BD109B">
      <w:pPr>
        <w:pStyle w:val="a3"/>
        <w:widowControl/>
        <w:ind w:left="0"/>
      </w:pPr>
      <w:r w:rsidRPr="00330234">
        <w:t xml:space="preserve">Patiënten met sJIA moeten minstens 10 kg wegen als ze </w:t>
      </w:r>
      <w:r w:rsidR="00FA591D" w:rsidRPr="00330234">
        <w:t>tocilizumab</w:t>
      </w:r>
      <w:r w:rsidRPr="00330234">
        <w:t xml:space="preserve"> subcutaan krijgen (zie rubriek</w:t>
      </w:r>
      <w:r w:rsidR="00FF38E0" w:rsidRPr="00330234">
        <w:t> </w:t>
      </w:r>
      <w:r w:rsidRPr="00330234">
        <w:t>4.2).</w:t>
      </w:r>
    </w:p>
    <w:p w14:paraId="78DF48C4" w14:textId="77777777" w:rsidR="00FF38E0" w:rsidRPr="00330234" w:rsidRDefault="00FF38E0" w:rsidP="00BD109B">
      <w:pPr>
        <w:pStyle w:val="a3"/>
        <w:widowControl/>
        <w:ind w:left="0"/>
      </w:pPr>
    </w:p>
    <w:p w14:paraId="0671E916" w14:textId="4F3BF7E6" w:rsidR="00436DAA" w:rsidRPr="00330234" w:rsidRDefault="009B4B8E" w:rsidP="006E5B37">
      <w:pPr>
        <w:widowControl/>
        <w:ind w:left="1134" w:hanging="1134"/>
        <w:rPr>
          <w:i/>
        </w:rPr>
      </w:pPr>
      <w:r w:rsidRPr="00330234">
        <w:rPr>
          <w:i/>
        </w:rPr>
        <w:t xml:space="preserve">Tabel </w:t>
      </w:r>
      <w:r w:rsidRPr="00330234">
        <w:t>8</w:t>
      </w:r>
      <w:r w:rsidRPr="00330234">
        <w:rPr>
          <w:i/>
        </w:rPr>
        <w:t>.</w:t>
      </w:r>
      <w:r w:rsidR="006E5B37" w:rsidRPr="00330234">
        <w:rPr>
          <w:i/>
        </w:rPr>
        <w:tab/>
      </w:r>
      <w:r w:rsidRPr="00330234">
        <w:rPr>
          <w:i/>
        </w:rPr>
        <w:t>Voorspelde gemiddelde ± SD PK-parameters bij steady-state na s.c. toediening bij sJIA</w:t>
      </w:r>
    </w:p>
    <w:p w14:paraId="5B07946F" w14:textId="77777777" w:rsidR="00436DAA" w:rsidRPr="00330234" w:rsidRDefault="00436DAA" w:rsidP="00BD109B">
      <w:pPr>
        <w:pStyle w:val="a3"/>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2551"/>
        <w:gridCol w:w="3259"/>
      </w:tblGrid>
      <w:tr w:rsidR="00436DAA" w:rsidRPr="00330234" w14:paraId="74330DE7" w14:textId="77777777" w:rsidTr="006E5B37">
        <w:trPr>
          <w:trHeight w:val="20"/>
          <w:tblHeader/>
        </w:trPr>
        <w:tc>
          <w:tcPr>
            <w:tcW w:w="3256" w:type="dxa"/>
          </w:tcPr>
          <w:p w14:paraId="4CD63CF1" w14:textId="63C58A4B" w:rsidR="00436DAA" w:rsidRPr="00330234" w:rsidRDefault="00FA591D" w:rsidP="00BD109B">
            <w:pPr>
              <w:pStyle w:val="TableParagraph"/>
              <w:widowControl/>
              <w:rPr>
                <w:b/>
              </w:rPr>
            </w:pPr>
            <w:r w:rsidRPr="00330234">
              <w:rPr>
                <w:b/>
              </w:rPr>
              <w:t>Tocilizumab</w:t>
            </w:r>
            <w:r w:rsidR="009B4B8E" w:rsidRPr="00330234">
              <w:rPr>
                <w:b/>
              </w:rPr>
              <w:t xml:space="preserve"> PK-parameter</w:t>
            </w:r>
          </w:p>
        </w:tc>
        <w:tc>
          <w:tcPr>
            <w:tcW w:w="2551" w:type="dxa"/>
          </w:tcPr>
          <w:p w14:paraId="1C2C4652" w14:textId="2C893735" w:rsidR="00D0345D" w:rsidRPr="00330234" w:rsidRDefault="009B4B8E" w:rsidP="006E5B37">
            <w:pPr>
              <w:pStyle w:val="TableParagraph"/>
              <w:widowControl/>
              <w:jc w:val="center"/>
              <w:rPr>
                <w:b/>
              </w:rPr>
            </w:pPr>
            <w:r w:rsidRPr="00330234">
              <w:rPr>
                <w:b/>
              </w:rPr>
              <w:t>162 mg QW</w:t>
            </w:r>
          </w:p>
          <w:p w14:paraId="02EE268E" w14:textId="38F14D39" w:rsidR="00436DAA" w:rsidRPr="00330234" w:rsidRDefault="009B4B8E" w:rsidP="006E5B37">
            <w:pPr>
              <w:pStyle w:val="TableParagraph"/>
              <w:widowControl/>
              <w:jc w:val="center"/>
              <w:rPr>
                <w:b/>
              </w:rPr>
            </w:pPr>
            <w:r w:rsidRPr="00330234">
              <w:rPr>
                <w:b/>
              </w:rPr>
              <w:t>≥ 30 kg</w:t>
            </w:r>
          </w:p>
        </w:tc>
        <w:tc>
          <w:tcPr>
            <w:tcW w:w="3259" w:type="dxa"/>
          </w:tcPr>
          <w:p w14:paraId="5B927CD4" w14:textId="2717AB6C" w:rsidR="00D0345D" w:rsidRPr="00330234" w:rsidRDefault="009B4B8E" w:rsidP="006E5B37">
            <w:pPr>
              <w:pStyle w:val="TableParagraph"/>
              <w:widowControl/>
              <w:jc w:val="center"/>
              <w:rPr>
                <w:b/>
              </w:rPr>
            </w:pPr>
            <w:r w:rsidRPr="00330234">
              <w:rPr>
                <w:b/>
              </w:rPr>
              <w:t>162 mg Q2W</w:t>
            </w:r>
          </w:p>
          <w:p w14:paraId="7C4B6A1E" w14:textId="1CBB615A" w:rsidR="00436DAA" w:rsidRPr="00330234" w:rsidRDefault="009B4B8E" w:rsidP="006E5B37">
            <w:pPr>
              <w:pStyle w:val="TableParagraph"/>
              <w:widowControl/>
              <w:jc w:val="center"/>
              <w:rPr>
                <w:b/>
              </w:rPr>
            </w:pPr>
            <w:r w:rsidRPr="00330234">
              <w:rPr>
                <w:b/>
              </w:rPr>
              <w:t>Minder dan 30 kg</w:t>
            </w:r>
          </w:p>
        </w:tc>
      </w:tr>
      <w:tr w:rsidR="00436DAA" w:rsidRPr="00330234" w14:paraId="33E7D853" w14:textId="77777777" w:rsidTr="006E5B37">
        <w:trPr>
          <w:trHeight w:val="20"/>
        </w:trPr>
        <w:tc>
          <w:tcPr>
            <w:tcW w:w="3256" w:type="dxa"/>
          </w:tcPr>
          <w:p w14:paraId="65A94223" w14:textId="77777777" w:rsidR="00436DAA" w:rsidRPr="00330234" w:rsidRDefault="009B4B8E" w:rsidP="00BD109B">
            <w:pPr>
              <w:pStyle w:val="TableParagraph"/>
              <w:widowControl/>
            </w:pPr>
            <w:r w:rsidRPr="00330234">
              <w:t>C</w:t>
            </w:r>
            <w:r w:rsidRPr="00330234">
              <w:rPr>
                <w:vertAlign w:val="subscript"/>
              </w:rPr>
              <w:t>max</w:t>
            </w:r>
            <w:r w:rsidRPr="00330234">
              <w:t xml:space="preserve"> (µg/ml)</w:t>
            </w:r>
          </w:p>
        </w:tc>
        <w:tc>
          <w:tcPr>
            <w:tcW w:w="2551" w:type="dxa"/>
          </w:tcPr>
          <w:p w14:paraId="295B3639" w14:textId="77777777" w:rsidR="00436DAA" w:rsidRPr="00330234" w:rsidRDefault="009B4B8E" w:rsidP="00045E49">
            <w:pPr>
              <w:pStyle w:val="TableParagraph"/>
              <w:widowControl/>
              <w:jc w:val="center"/>
            </w:pPr>
            <w:r w:rsidRPr="00330234">
              <w:t>99,8 ± 46,2</w:t>
            </w:r>
          </w:p>
        </w:tc>
        <w:tc>
          <w:tcPr>
            <w:tcW w:w="3259" w:type="dxa"/>
          </w:tcPr>
          <w:p w14:paraId="2B3BE5B3" w14:textId="77777777" w:rsidR="00436DAA" w:rsidRPr="00330234" w:rsidRDefault="009B4B8E" w:rsidP="00045E49">
            <w:pPr>
              <w:pStyle w:val="TableParagraph"/>
              <w:widowControl/>
              <w:jc w:val="center"/>
            </w:pPr>
            <w:r w:rsidRPr="00330234">
              <w:t>134 ± 58,6</w:t>
            </w:r>
          </w:p>
        </w:tc>
      </w:tr>
      <w:tr w:rsidR="00436DAA" w:rsidRPr="00330234" w14:paraId="5B2681A2" w14:textId="77777777" w:rsidTr="006E5B37">
        <w:trPr>
          <w:trHeight w:val="20"/>
        </w:trPr>
        <w:tc>
          <w:tcPr>
            <w:tcW w:w="3256" w:type="dxa"/>
          </w:tcPr>
          <w:p w14:paraId="6062A8E4" w14:textId="77777777" w:rsidR="00436DAA" w:rsidRPr="00330234" w:rsidRDefault="009B4B8E" w:rsidP="00BD109B">
            <w:pPr>
              <w:pStyle w:val="TableParagraph"/>
              <w:widowControl/>
            </w:pPr>
            <w:r w:rsidRPr="00330234">
              <w:t>C</w:t>
            </w:r>
            <w:r w:rsidRPr="00330234">
              <w:rPr>
                <w:vertAlign w:val="subscript"/>
              </w:rPr>
              <w:t>min</w:t>
            </w:r>
            <w:r w:rsidRPr="00330234">
              <w:t xml:space="preserve"> (µg/ml)</w:t>
            </w:r>
          </w:p>
        </w:tc>
        <w:tc>
          <w:tcPr>
            <w:tcW w:w="2551" w:type="dxa"/>
          </w:tcPr>
          <w:p w14:paraId="43F60A45" w14:textId="77777777" w:rsidR="00436DAA" w:rsidRPr="00330234" w:rsidRDefault="009B4B8E" w:rsidP="00045E49">
            <w:pPr>
              <w:pStyle w:val="TableParagraph"/>
              <w:widowControl/>
              <w:jc w:val="center"/>
            </w:pPr>
            <w:r w:rsidRPr="00330234">
              <w:t>79,2 ± 35,6</w:t>
            </w:r>
          </w:p>
        </w:tc>
        <w:tc>
          <w:tcPr>
            <w:tcW w:w="3259" w:type="dxa"/>
          </w:tcPr>
          <w:p w14:paraId="50F4D1EE" w14:textId="77777777" w:rsidR="00436DAA" w:rsidRPr="00330234" w:rsidRDefault="009B4B8E" w:rsidP="00045E49">
            <w:pPr>
              <w:pStyle w:val="TableParagraph"/>
              <w:widowControl/>
              <w:jc w:val="center"/>
            </w:pPr>
            <w:r w:rsidRPr="00330234">
              <w:t>65,9 ± 31,3</w:t>
            </w:r>
          </w:p>
        </w:tc>
      </w:tr>
      <w:tr w:rsidR="00436DAA" w:rsidRPr="00330234" w14:paraId="2F670FE0" w14:textId="77777777" w:rsidTr="006E5B37">
        <w:trPr>
          <w:trHeight w:val="20"/>
        </w:trPr>
        <w:tc>
          <w:tcPr>
            <w:tcW w:w="3256" w:type="dxa"/>
          </w:tcPr>
          <w:p w14:paraId="6F480C73" w14:textId="77777777" w:rsidR="00436DAA" w:rsidRPr="00330234" w:rsidRDefault="009B4B8E" w:rsidP="00BD109B">
            <w:pPr>
              <w:pStyle w:val="TableParagraph"/>
              <w:widowControl/>
            </w:pPr>
            <w:r w:rsidRPr="00330234">
              <w:t>C</w:t>
            </w:r>
            <w:r w:rsidRPr="00330234">
              <w:rPr>
                <w:vertAlign w:val="subscript"/>
              </w:rPr>
              <w:t>gemiddelde</w:t>
            </w:r>
            <w:r w:rsidRPr="00330234">
              <w:t xml:space="preserve"> (µg/ml)</w:t>
            </w:r>
          </w:p>
        </w:tc>
        <w:tc>
          <w:tcPr>
            <w:tcW w:w="2551" w:type="dxa"/>
          </w:tcPr>
          <w:p w14:paraId="3A12877F" w14:textId="77777777" w:rsidR="00436DAA" w:rsidRPr="00330234" w:rsidRDefault="009B4B8E" w:rsidP="00045E49">
            <w:pPr>
              <w:pStyle w:val="TableParagraph"/>
              <w:widowControl/>
              <w:jc w:val="center"/>
            </w:pPr>
            <w:r w:rsidRPr="00330234">
              <w:t>91,3 ± 40,4</w:t>
            </w:r>
          </w:p>
        </w:tc>
        <w:tc>
          <w:tcPr>
            <w:tcW w:w="3259" w:type="dxa"/>
          </w:tcPr>
          <w:p w14:paraId="73E4E661" w14:textId="77777777" w:rsidR="00436DAA" w:rsidRPr="00330234" w:rsidRDefault="009B4B8E" w:rsidP="00045E49">
            <w:pPr>
              <w:pStyle w:val="TableParagraph"/>
              <w:widowControl/>
              <w:jc w:val="center"/>
            </w:pPr>
            <w:r w:rsidRPr="00330234">
              <w:t>101 ± 43,2</w:t>
            </w:r>
          </w:p>
        </w:tc>
      </w:tr>
      <w:tr w:rsidR="00436DAA" w:rsidRPr="00330234" w14:paraId="75B09116" w14:textId="77777777" w:rsidTr="006E5B37">
        <w:trPr>
          <w:trHeight w:val="20"/>
        </w:trPr>
        <w:tc>
          <w:tcPr>
            <w:tcW w:w="3256" w:type="dxa"/>
          </w:tcPr>
          <w:p w14:paraId="1FD8C8F0" w14:textId="77777777" w:rsidR="00436DAA" w:rsidRPr="00330234" w:rsidRDefault="009B4B8E" w:rsidP="00BD109B">
            <w:pPr>
              <w:pStyle w:val="TableParagraph"/>
              <w:widowControl/>
            </w:pPr>
            <w:r w:rsidRPr="00330234">
              <w:t>Accumulatie C</w:t>
            </w:r>
            <w:r w:rsidRPr="00330234">
              <w:rPr>
                <w:vertAlign w:val="subscript"/>
              </w:rPr>
              <w:t>max</w:t>
            </w:r>
          </w:p>
        </w:tc>
        <w:tc>
          <w:tcPr>
            <w:tcW w:w="2551" w:type="dxa"/>
          </w:tcPr>
          <w:p w14:paraId="5AA15A61" w14:textId="77777777" w:rsidR="00436DAA" w:rsidRPr="00330234" w:rsidRDefault="009B4B8E" w:rsidP="00045E49">
            <w:pPr>
              <w:pStyle w:val="TableParagraph"/>
              <w:widowControl/>
              <w:jc w:val="center"/>
            </w:pPr>
            <w:r w:rsidRPr="00330234">
              <w:t>3,66</w:t>
            </w:r>
          </w:p>
        </w:tc>
        <w:tc>
          <w:tcPr>
            <w:tcW w:w="3259" w:type="dxa"/>
          </w:tcPr>
          <w:p w14:paraId="7B15281B" w14:textId="77777777" w:rsidR="00436DAA" w:rsidRPr="00330234" w:rsidRDefault="009B4B8E" w:rsidP="00045E49">
            <w:pPr>
              <w:pStyle w:val="TableParagraph"/>
              <w:widowControl/>
              <w:jc w:val="center"/>
            </w:pPr>
            <w:r w:rsidRPr="00330234">
              <w:t>1,88</w:t>
            </w:r>
          </w:p>
        </w:tc>
      </w:tr>
      <w:tr w:rsidR="00436DAA" w:rsidRPr="00330234" w14:paraId="76AFF4A5" w14:textId="77777777" w:rsidTr="006E5B37">
        <w:trPr>
          <w:trHeight w:val="20"/>
        </w:trPr>
        <w:tc>
          <w:tcPr>
            <w:tcW w:w="3256" w:type="dxa"/>
          </w:tcPr>
          <w:p w14:paraId="11BAEDCF" w14:textId="77777777" w:rsidR="00436DAA" w:rsidRPr="00330234" w:rsidRDefault="009B4B8E" w:rsidP="00BD109B">
            <w:pPr>
              <w:pStyle w:val="TableParagraph"/>
              <w:widowControl/>
            </w:pPr>
            <w:r w:rsidRPr="00330234">
              <w:t>Accumulatie C</w:t>
            </w:r>
            <w:r w:rsidRPr="00330234">
              <w:rPr>
                <w:vertAlign w:val="subscript"/>
              </w:rPr>
              <w:t>min</w:t>
            </w:r>
          </w:p>
        </w:tc>
        <w:tc>
          <w:tcPr>
            <w:tcW w:w="2551" w:type="dxa"/>
          </w:tcPr>
          <w:p w14:paraId="4B41D891" w14:textId="77777777" w:rsidR="00436DAA" w:rsidRPr="00330234" w:rsidRDefault="009B4B8E" w:rsidP="00045E49">
            <w:pPr>
              <w:pStyle w:val="TableParagraph"/>
              <w:widowControl/>
              <w:jc w:val="center"/>
            </w:pPr>
            <w:r w:rsidRPr="00330234">
              <w:t>4,39</w:t>
            </w:r>
          </w:p>
        </w:tc>
        <w:tc>
          <w:tcPr>
            <w:tcW w:w="3259" w:type="dxa"/>
          </w:tcPr>
          <w:p w14:paraId="381E1F9F" w14:textId="77777777" w:rsidR="00436DAA" w:rsidRPr="00330234" w:rsidRDefault="009B4B8E" w:rsidP="00045E49">
            <w:pPr>
              <w:pStyle w:val="TableParagraph"/>
              <w:widowControl/>
              <w:jc w:val="center"/>
            </w:pPr>
            <w:r w:rsidRPr="00330234">
              <w:t>3,21</w:t>
            </w:r>
          </w:p>
        </w:tc>
      </w:tr>
      <w:tr w:rsidR="00436DAA" w:rsidRPr="00330234" w14:paraId="05F3205B" w14:textId="77777777" w:rsidTr="006E5B37">
        <w:trPr>
          <w:trHeight w:val="20"/>
        </w:trPr>
        <w:tc>
          <w:tcPr>
            <w:tcW w:w="3256" w:type="dxa"/>
          </w:tcPr>
          <w:p w14:paraId="57494EA2" w14:textId="77777777" w:rsidR="00436DAA" w:rsidRPr="00330234" w:rsidRDefault="009B4B8E" w:rsidP="00BD109B">
            <w:pPr>
              <w:pStyle w:val="TableParagraph"/>
              <w:widowControl/>
            </w:pPr>
            <w:r w:rsidRPr="00330234">
              <w:t>Accumulatie C</w:t>
            </w:r>
            <w:r w:rsidRPr="00330234">
              <w:rPr>
                <w:vertAlign w:val="subscript"/>
              </w:rPr>
              <w:t>gemiddelde</w:t>
            </w:r>
            <w:r w:rsidRPr="00330234">
              <w:t xml:space="preserve"> of AUC</w:t>
            </w:r>
            <w:r w:rsidRPr="00330234">
              <w:rPr>
                <w:vertAlign w:val="subscript"/>
              </w:rPr>
              <w:t>τ</w:t>
            </w:r>
            <w:r w:rsidRPr="00330234">
              <w:t>*</w:t>
            </w:r>
          </w:p>
        </w:tc>
        <w:tc>
          <w:tcPr>
            <w:tcW w:w="2551" w:type="dxa"/>
          </w:tcPr>
          <w:p w14:paraId="325A7DE3" w14:textId="77777777" w:rsidR="00436DAA" w:rsidRPr="00330234" w:rsidRDefault="009B4B8E" w:rsidP="00045E49">
            <w:pPr>
              <w:pStyle w:val="TableParagraph"/>
              <w:widowControl/>
              <w:jc w:val="center"/>
            </w:pPr>
            <w:r w:rsidRPr="00330234">
              <w:t>4,28</w:t>
            </w:r>
          </w:p>
        </w:tc>
        <w:tc>
          <w:tcPr>
            <w:tcW w:w="3259" w:type="dxa"/>
          </w:tcPr>
          <w:p w14:paraId="549C298E" w14:textId="77777777" w:rsidR="00436DAA" w:rsidRPr="00330234" w:rsidRDefault="009B4B8E" w:rsidP="00045E49">
            <w:pPr>
              <w:pStyle w:val="TableParagraph"/>
              <w:widowControl/>
              <w:jc w:val="center"/>
            </w:pPr>
            <w:r w:rsidRPr="00330234">
              <w:t>2,27</w:t>
            </w:r>
          </w:p>
        </w:tc>
      </w:tr>
    </w:tbl>
    <w:p w14:paraId="5B2CE885" w14:textId="7FDA00DE" w:rsidR="00436DAA" w:rsidRPr="00330234" w:rsidRDefault="009B4B8E" w:rsidP="006E5B37">
      <w:pPr>
        <w:widowControl/>
        <w:ind w:left="284" w:hanging="284"/>
        <w:rPr>
          <w:sz w:val="18"/>
          <w:szCs w:val="18"/>
        </w:rPr>
      </w:pPr>
      <w:r w:rsidRPr="00330234">
        <w:rPr>
          <w:sz w:val="18"/>
          <w:szCs w:val="18"/>
        </w:rPr>
        <w:t>*</w:t>
      </w:r>
      <w:r w:rsidR="006E5B37" w:rsidRPr="00330234">
        <w:rPr>
          <w:sz w:val="18"/>
          <w:szCs w:val="18"/>
        </w:rPr>
        <w:tab/>
      </w:r>
      <w:r w:rsidRPr="00330234">
        <w:rPr>
          <w:sz w:val="18"/>
          <w:szCs w:val="18"/>
        </w:rPr>
        <w:t>τ = 1 of 2 weken voor de 2 subcutane regimes</w:t>
      </w:r>
    </w:p>
    <w:p w14:paraId="7B830D00" w14:textId="77777777" w:rsidR="00045E49" w:rsidRPr="00330234" w:rsidRDefault="00045E49" w:rsidP="00BD109B">
      <w:pPr>
        <w:pStyle w:val="a3"/>
        <w:widowControl/>
        <w:ind w:left="0"/>
      </w:pPr>
    </w:p>
    <w:p w14:paraId="64E12FA0" w14:textId="6E20CDC6" w:rsidR="00436DAA" w:rsidRPr="00330234" w:rsidRDefault="009B4B8E" w:rsidP="00BD109B">
      <w:pPr>
        <w:pStyle w:val="a3"/>
        <w:widowControl/>
        <w:ind w:left="0"/>
      </w:pPr>
      <w:r w:rsidRPr="00330234">
        <w:t>Na subcutane toediening was ongeveer 90% van de steady-state bereikt na 12 weken voor zowel het QW als het Q2W 162 mg-regime.</w:t>
      </w:r>
    </w:p>
    <w:p w14:paraId="2DECE9E3" w14:textId="77777777" w:rsidR="00436DAA" w:rsidRPr="00330234" w:rsidRDefault="00436DAA" w:rsidP="00BD109B">
      <w:pPr>
        <w:pStyle w:val="a3"/>
        <w:widowControl/>
        <w:ind w:left="0"/>
      </w:pPr>
    </w:p>
    <w:p w14:paraId="74D57E5B" w14:textId="77777777" w:rsidR="00436DAA" w:rsidRPr="00330234" w:rsidRDefault="009B4B8E" w:rsidP="00BD109B">
      <w:pPr>
        <w:pStyle w:val="a3"/>
        <w:widowControl/>
        <w:ind w:left="0"/>
      </w:pPr>
      <w:r w:rsidRPr="00330234">
        <w:rPr>
          <w:u w:val="single"/>
        </w:rPr>
        <w:t>Absorptie</w:t>
      </w:r>
    </w:p>
    <w:p w14:paraId="3D5D618B" w14:textId="77777777" w:rsidR="00436DAA" w:rsidRPr="00330234" w:rsidRDefault="009B4B8E" w:rsidP="00BD109B">
      <w:pPr>
        <w:pStyle w:val="a3"/>
        <w:widowControl/>
        <w:ind w:left="0"/>
      </w:pPr>
      <w:r w:rsidRPr="00330234">
        <w:t>Na subcutane toediening bij sJIA-patiënten was de absorptiehalfwaardetijd rond de 2 dagen en de biologische beschikbaarheid van de subcutane formulering bij sJIA-patiënten was 95%.</w:t>
      </w:r>
    </w:p>
    <w:p w14:paraId="5D4684F7" w14:textId="77777777" w:rsidR="00045E49" w:rsidRPr="00330234" w:rsidRDefault="00045E49" w:rsidP="00BD109B">
      <w:pPr>
        <w:pStyle w:val="a3"/>
        <w:widowControl/>
        <w:ind w:left="0"/>
      </w:pPr>
    </w:p>
    <w:p w14:paraId="4273EE55" w14:textId="77777777" w:rsidR="00436DAA" w:rsidRPr="00330234" w:rsidRDefault="009B4B8E" w:rsidP="00BD109B">
      <w:pPr>
        <w:pStyle w:val="a3"/>
        <w:widowControl/>
        <w:ind w:left="0"/>
      </w:pPr>
      <w:r w:rsidRPr="00330234">
        <w:rPr>
          <w:u w:val="single"/>
        </w:rPr>
        <w:t>Distributie</w:t>
      </w:r>
    </w:p>
    <w:p w14:paraId="748B0EBD" w14:textId="77777777" w:rsidR="00436DAA" w:rsidRPr="00330234" w:rsidRDefault="009B4B8E" w:rsidP="00BD109B">
      <w:pPr>
        <w:pStyle w:val="a3"/>
        <w:widowControl/>
        <w:ind w:left="0"/>
      </w:pPr>
      <w:r w:rsidRPr="00330234">
        <w:t>Bij pediatrische patiënten met sJIA was het centrale verdelingsvolume 1,87 l en het perifere verdelingsvolume 2,14 l, resulterend in een steady-state verdelingsvolume van 4,01 l.</w:t>
      </w:r>
    </w:p>
    <w:p w14:paraId="766915BF" w14:textId="77777777" w:rsidR="00436DAA" w:rsidRPr="00330234" w:rsidRDefault="00436DAA" w:rsidP="00BD109B">
      <w:pPr>
        <w:widowControl/>
      </w:pPr>
    </w:p>
    <w:p w14:paraId="361A8C77" w14:textId="77777777" w:rsidR="00436DAA" w:rsidRPr="00330234" w:rsidRDefault="009B4B8E" w:rsidP="00BD109B">
      <w:pPr>
        <w:pStyle w:val="a3"/>
        <w:widowControl/>
        <w:ind w:left="0"/>
      </w:pPr>
      <w:r w:rsidRPr="00330234">
        <w:rPr>
          <w:u w:val="single"/>
        </w:rPr>
        <w:t>Eliminatie</w:t>
      </w:r>
    </w:p>
    <w:p w14:paraId="338B908A" w14:textId="2C575410" w:rsidR="00436DAA" w:rsidRPr="00330234" w:rsidRDefault="009B4B8E" w:rsidP="00BD109B">
      <w:pPr>
        <w:pStyle w:val="a3"/>
        <w:widowControl/>
        <w:ind w:left="0"/>
      </w:pPr>
      <w:r w:rsidRPr="00330234">
        <w:t>De totale klaring van tocilizumab was concentratieafhankelijk en is de som van de lineaire klaring en de niet-lineaire klaring. De lineaire klaring is geschat als parameter in de farmacokinetische populatieanalyse en was 5,7 ml/uur bij pediatrische patiënten met sJIA. Bij sJIA-patiënten is na subcutane toediening de effectieve t</w:t>
      </w:r>
      <w:r w:rsidRPr="00330234">
        <w:rPr>
          <w:vertAlign w:val="subscript"/>
        </w:rPr>
        <w:t>1/2</w:t>
      </w:r>
      <w:r w:rsidRPr="00330234">
        <w:t xml:space="preserve"> van </w:t>
      </w:r>
      <w:r w:rsidR="00066333" w:rsidRPr="00330234">
        <w:t>tocilizumab</w:t>
      </w:r>
      <w:r w:rsidRPr="00330234">
        <w:t xml:space="preserve"> maximaal 14 dagen voor zowel het QW als het Q2W subcutane 162 mg-regime gedurende een doseringsinterval bij steady-state.</w:t>
      </w:r>
    </w:p>
    <w:p w14:paraId="008792CF" w14:textId="77777777" w:rsidR="00045E49" w:rsidRPr="00330234" w:rsidRDefault="00045E49" w:rsidP="00BD109B">
      <w:pPr>
        <w:pStyle w:val="a3"/>
        <w:widowControl/>
        <w:ind w:left="0"/>
      </w:pPr>
    </w:p>
    <w:p w14:paraId="0C34D9C6" w14:textId="77777777" w:rsidR="00436DAA" w:rsidRPr="00330234" w:rsidRDefault="009B4B8E" w:rsidP="00045E49">
      <w:pPr>
        <w:pStyle w:val="a3"/>
        <w:keepNext/>
        <w:keepLines/>
        <w:widowControl/>
        <w:ind w:left="0"/>
      </w:pPr>
      <w:r w:rsidRPr="00330234">
        <w:rPr>
          <w:u w:val="single"/>
        </w:rPr>
        <w:lastRenderedPageBreak/>
        <w:t>pJIA</w:t>
      </w:r>
    </w:p>
    <w:p w14:paraId="62933A06" w14:textId="77777777" w:rsidR="00436DAA" w:rsidRPr="00330234" w:rsidRDefault="009B4B8E" w:rsidP="00045E49">
      <w:pPr>
        <w:pStyle w:val="a3"/>
        <w:keepNext/>
        <w:keepLines/>
        <w:widowControl/>
        <w:ind w:left="0"/>
      </w:pPr>
      <w:r w:rsidRPr="00330234">
        <w:rPr>
          <w:u w:val="single"/>
        </w:rPr>
        <w:t>Subcutaan gebruik</w:t>
      </w:r>
    </w:p>
    <w:p w14:paraId="4525E1C1" w14:textId="2D40A41C" w:rsidR="00436DAA" w:rsidRPr="00330234" w:rsidRDefault="009B4B8E" w:rsidP="001B3E1E">
      <w:pPr>
        <w:pStyle w:val="a3"/>
        <w:widowControl/>
        <w:ind w:left="0"/>
      </w:pPr>
      <w:r w:rsidRPr="00330234">
        <w:t xml:space="preserve">De farmacokinetiek van </w:t>
      </w:r>
      <w:r w:rsidR="00066333" w:rsidRPr="00330234">
        <w:t>tocilizumab</w:t>
      </w:r>
      <w:r w:rsidRPr="00330234">
        <w:t xml:space="preserve"> bij pJIA-patiënten is bepaald middels een farmacokinetische populatieanalyse met 237 patiënten die werden behandeld met elke 4 weken 8 mg/kg intraveneus (patiënten die 30 kg of meer wogen), elke 4 weken 10 mg/kg intraveneus (patiënten die minder dan 30</w:t>
      </w:r>
      <w:r w:rsidR="003C4B56" w:rsidRPr="00330234">
        <w:t> </w:t>
      </w:r>
      <w:r w:rsidRPr="00330234">
        <w:t>kg wogen), elke 2 weken 162 mg subcutaan (patiënten die 30 kg of meer wogen), of elke 3 weken 162 mg subcutaan (patiënten die minder dan 30 kg wogen).</w:t>
      </w:r>
    </w:p>
    <w:p w14:paraId="59528054" w14:textId="77777777" w:rsidR="00436DAA" w:rsidRPr="00330234" w:rsidRDefault="00436DAA" w:rsidP="00BD109B">
      <w:pPr>
        <w:pStyle w:val="a3"/>
        <w:widowControl/>
        <w:ind w:left="0"/>
      </w:pPr>
    </w:p>
    <w:p w14:paraId="4D1200D7" w14:textId="4688EEC4" w:rsidR="00436DAA" w:rsidRPr="00330234" w:rsidRDefault="009B4B8E" w:rsidP="006E5B37">
      <w:pPr>
        <w:widowControl/>
        <w:ind w:left="1134" w:hanging="1134"/>
        <w:rPr>
          <w:i/>
        </w:rPr>
      </w:pPr>
      <w:r w:rsidRPr="00330234">
        <w:rPr>
          <w:i/>
        </w:rPr>
        <w:t>Tabel 9.</w:t>
      </w:r>
      <w:r w:rsidR="006E5B37" w:rsidRPr="00330234">
        <w:rPr>
          <w:i/>
        </w:rPr>
        <w:tab/>
      </w:r>
      <w:r w:rsidRPr="00330234">
        <w:rPr>
          <w:i/>
        </w:rPr>
        <w:t>Voorspelde gemiddelde ± SD PK-parameters bij steady-state na s.c. toediening bij pJIA</w:t>
      </w:r>
    </w:p>
    <w:p w14:paraId="46B70847" w14:textId="77777777" w:rsidR="00436DAA" w:rsidRPr="00330234" w:rsidRDefault="00436DAA" w:rsidP="00BD109B">
      <w:pPr>
        <w:pStyle w:val="a3"/>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2835"/>
        <w:gridCol w:w="3004"/>
      </w:tblGrid>
      <w:tr w:rsidR="00436DAA" w:rsidRPr="00330234" w14:paraId="778D94F3" w14:textId="77777777" w:rsidTr="001B3E1E">
        <w:trPr>
          <w:trHeight w:val="20"/>
        </w:trPr>
        <w:tc>
          <w:tcPr>
            <w:tcW w:w="3227" w:type="dxa"/>
          </w:tcPr>
          <w:p w14:paraId="76C57344" w14:textId="23E485CA" w:rsidR="00436DAA" w:rsidRPr="00330234" w:rsidRDefault="00066333" w:rsidP="00BD109B">
            <w:pPr>
              <w:pStyle w:val="TableParagraph"/>
              <w:widowControl/>
              <w:rPr>
                <w:b/>
              </w:rPr>
            </w:pPr>
            <w:r w:rsidRPr="00330234">
              <w:rPr>
                <w:b/>
              </w:rPr>
              <w:t>Tocilizumab</w:t>
            </w:r>
            <w:r w:rsidR="009B4B8E" w:rsidRPr="00330234">
              <w:rPr>
                <w:b/>
              </w:rPr>
              <w:t xml:space="preserve"> PK- parameter</w:t>
            </w:r>
          </w:p>
        </w:tc>
        <w:tc>
          <w:tcPr>
            <w:tcW w:w="2835" w:type="dxa"/>
          </w:tcPr>
          <w:p w14:paraId="0FE3F1FD" w14:textId="77777777" w:rsidR="00436DAA" w:rsidRPr="00330234" w:rsidRDefault="009B4B8E" w:rsidP="00045E49">
            <w:pPr>
              <w:pStyle w:val="TableParagraph"/>
              <w:widowControl/>
              <w:jc w:val="center"/>
              <w:rPr>
                <w:b/>
              </w:rPr>
            </w:pPr>
            <w:r w:rsidRPr="00330234">
              <w:rPr>
                <w:b/>
              </w:rPr>
              <w:t>162 mg Q2W</w:t>
            </w:r>
          </w:p>
          <w:p w14:paraId="36C73B2C" w14:textId="77777777" w:rsidR="00436DAA" w:rsidRPr="00330234" w:rsidRDefault="009B4B8E" w:rsidP="00045E49">
            <w:pPr>
              <w:pStyle w:val="TableParagraph"/>
              <w:widowControl/>
              <w:jc w:val="center"/>
              <w:rPr>
                <w:b/>
              </w:rPr>
            </w:pPr>
            <w:r w:rsidRPr="00330234">
              <w:rPr>
                <w:b/>
              </w:rPr>
              <w:t>≥ 30 kg</w:t>
            </w:r>
          </w:p>
        </w:tc>
        <w:tc>
          <w:tcPr>
            <w:tcW w:w="3004" w:type="dxa"/>
          </w:tcPr>
          <w:p w14:paraId="1435CCAC" w14:textId="77777777" w:rsidR="00436DAA" w:rsidRPr="00330234" w:rsidRDefault="009B4B8E" w:rsidP="00045E49">
            <w:pPr>
              <w:pStyle w:val="TableParagraph"/>
              <w:widowControl/>
              <w:jc w:val="center"/>
              <w:rPr>
                <w:b/>
              </w:rPr>
            </w:pPr>
            <w:r w:rsidRPr="00330234">
              <w:rPr>
                <w:b/>
              </w:rPr>
              <w:t>162 mg Q3W</w:t>
            </w:r>
          </w:p>
          <w:p w14:paraId="6EF9931C" w14:textId="77777777" w:rsidR="00436DAA" w:rsidRPr="00330234" w:rsidRDefault="009B4B8E" w:rsidP="00045E49">
            <w:pPr>
              <w:pStyle w:val="TableParagraph"/>
              <w:widowControl/>
              <w:jc w:val="center"/>
              <w:rPr>
                <w:b/>
              </w:rPr>
            </w:pPr>
            <w:r w:rsidRPr="00330234">
              <w:rPr>
                <w:b/>
              </w:rPr>
              <w:t>&lt; 30 kg</w:t>
            </w:r>
          </w:p>
        </w:tc>
      </w:tr>
      <w:tr w:rsidR="00436DAA" w:rsidRPr="00330234" w14:paraId="76D8ED31" w14:textId="77777777" w:rsidTr="001B3E1E">
        <w:trPr>
          <w:trHeight w:val="20"/>
        </w:trPr>
        <w:tc>
          <w:tcPr>
            <w:tcW w:w="3227" w:type="dxa"/>
          </w:tcPr>
          <w:p w14:paraId="0D98312E" w14:textId="77777777" w:rsidR="00436DAA" w:rsidRPr="00330234" w:rsidRDefault="009B4B8E" w:rsidP="00BD109B">
            <w:pPr>
              <w:pStyle w:val="TableParagraph"/>
              <w:widowControl/>
            </w:pPr>
            <w:r w:rsidRPr="00330234">
              <w:t>C</w:t>
            </w:r>
            <w:r w:rsidRPr="00330234">
              <w:rPr>
                <w:vertAlign w:val="subscript"/>
              </w:rPr>
              <w:t>max</w:t>
            </w:r>
            <w:r w:rsidRPr="00330234">
              <w:t xml:space="preserve"> (µg/ml)</w:t>
            </w:r>
          </w:p>
        </w:tc>
        <w:tc>
          <w:tcPr>
            <w:tcW w:w="2835" w:type="dxa"/>
          </w:tcPr>
          <w:p w14:paraId="22A371C7" w14:textId="77777777" w:rsidR="00436DAA" w:rsidRPr="00330234" w:rsidRDefault="009B4B8E" w:rsidP="00045E49">
            <w:pPr>
              <w:pStyle w:val="TableParagraph"/>
              <w:widowControl/>
              <w:jc w:val="center"/>
            </w:pPr>
            <w:r w:rsidRPr="00330234">
              <w:t>29,4 ± 13,5</w:t>
            </w:r>
          </w:p>
        </w:tc>
        <w:tc>
          <w:tcPr>
            <w:tcW w:w="3004" w:type="dxa"/>
          </w:tcPr>
          <w:p w14:paraId="73509E61" w14:textId="77777777" w:rsidR="00436DAA" w:rsidRPr="00330234" w:rsidRDefault="009B4B8E" w:rsidP="00045E49">
            <w:pPr>
              <w:pStyle w:val="TableParagraph"/>
              <w:widowControl/>
              <w:jc w:val="center"/>
            </w:pPr>
            <w:r w:rsidRPr="00330234">
              <w:t>75,5 ± 24,1</w:t>
            </w:r>
          </w:p>
        </w:tc>
      </w:tr>
      <w:tr w:rsidR="00436DAA" w:rsidRPr="00330234" w14:paraId="59229DD8" w14:textId="77777777" w:rsidTr="001B3E1E">
        <w:trPr>
          <w:trHeight w:val="20"/>
        </w:trPr>
        <w:tc>
          <w:tcPr>
            <w:tcW w:w="3227" w:type="dxa"/>
          </w:tcPr>
          <w:p w14:paraId="7B1057AD" w14:textId="77777777" w:rsidR="00436DAA" w:rsidRPr="00330234" w:rsidRDefault="009B4B8E" w:rsidP="00BD109B">
            <w:pPr>
              <w:pStyle w:val="TableParagraph"/>
              <w:widowControl/>
            </w:pPr>
            <w:r w:rsidRPr="00330234">
              <w:t>C</w:t>
            </w:r>
            <w:r w:rsidRPr="00330234">
              <w:rPr>
                <w:vertAlign w:val="subscript"/>
              </w:rPr>
              <w:t>min</w:t>
            </w:r>
            <w:r w:rsidRPr="00330234">
              <w:t xml:space="preserve"> (µg/ml)</w:t>
            </w:r>
          </w:p>
        </w:tc>
        <w:tc>
          <w:tcPr>
            <w:tcW w:w="2835" w:type="dxa"/>
          </w:tcPr>
          <w:p w14:paraId="3D0070D3" w14:textId="77777777" w:rsidR="00436DAA" w:rsidRPr="00330234" w:rsidRDefault="009B4B8E" w:rsidP="00045E49">
            <w:pPr>
              <w:pStyle w:val="TableParagraph"/>
              <w:widowControl/>
              <w:jc w:val="center"/>
            </w:pPr>
            <w:r w:rsidRPr="00330234">
              <w:t>11,8 ± 7,08</w:t>
            </w:r>
          </w:p>
        </w:tc>
        <w:tc>
          <w:tcPr>
            <w:tcW w:w="3004" w:type="dxa"/>
          </w:tcPr>
          <w:p w14:paraId="54F5148F" w14:textId="77777777" w:rsidR="00436DAA" w:rsidRPr="00330234" w:rsidRDefault="009B4B8E" w:rsidP="00045E49">
            <w:pPr>
              <w:pStyle w:val="TableParagraph"/>
              <w:widowControl/>
              <w:jc w:val="center"/>
            </w:pPr>
            <w:r w:rsidRPr="00330234">
              <w:t>18,4 ± 12,9</w:t>
            </w:r>
          </w:p>
        </w:tc>
      </w:tr>
      <w:tr w:rsidR="00436DAA" w:rsidRPr="00330234" w14:paraId="5771748A" w14:textId="77777777" w:rsidTr="001B3E1E">
        <w:trPr>
          <w:trHeight w:val="20"/>
        </w:trPr>
        <w:tc>
          <w:tcPr>
            <w:tcW w:w="3227" w:type="dxa"/>
          </w:tcPr>
          <w:p w14:paraId="200E56E4" w14:textId="77777777" w:rsidR="00436DAA" w:rsidRPr="00330234" w:rsidRDefault="009B4B8E" w:rsidP="00BD109B">
            <w:pPr>
              <w:pStyle w:val="TableParagraph"/>
              <w:widowControl/>
            </w:pPr>
            <w:r w:rsidRPr="00330234">
              <w:t>C</w:t>
            </w:r>
            <w:r w:rsidRPr="00330234">
              <w:rPr>
                <w:vertAlign w:val="subscript"/>
              </w:rPr>
              <w:t>gemiddelde</w:t>
            </w:r>
            <w:r w:rsidRPr="00330234">
              <w:t xml:space="preserve"> (µg/ml)</w:t>
            </w:r>
          </w:p>
        </w:tc>
        <w:tc>
          <w:tcPr>
            <w:tcW w:w="2835" w:type="dxa"/>
          </w:tcPr>
          <w:p w14:paraId="61282020" w14:textId="77777777" w:rsidR="00436DAA" w:rsidRPr="00330234" w:rsidRDefault="009B4B8E" w:rsidP="00045E49">
            <w:pPr>
              <w:pStyle w:val="TableParagraph"/>
              <w:widowControl/>
              <w:jc w:val="center"/>
            </w:pPr>
            <w:r w:rsidRPr="00330234">
              <w:t>21,7 ± 10,4</w:t>
            </w:r>
          </w:p>
        </w:tc>
        <w:tc>
          <w:tcPr>
            <w:tcW w:w="3004" w:type="dxa"/>
          </w:tcPr>
          <w:p w14:paraId="5B654769" w14:textId="77777777" w:rsidR="00436DAA" w:rsidRPr="00330234" w:rsidRDefault="009B4B8E" w:rsidP="00045E49">
            <w:pPr>
              <w:pStyle w:val="TableParagraph"/>
              <w:widowControl/>
              <w:jc w:val="center"/>
            </w:pPr>
            <w:r w:rsidRPr="00330234">
              <w:t>45,5 ± 19,8</w:t>
            </w:r>
          </w:p>
        </w:tc>
      </w:tr>
      <w:tr w:rsidR="00436DAA" w:rsidRPr="00330234" w14:paraId="216573BE" w14:textId="77777777" w:rsidTr="001B3E1E">
        <w:trPr>
          <w:trHeight w:val="20"/>
        </w:trPr>
        <w:tc>
          <w:tcPr>
            <w:tcW w:w="3227" w:type="dxa"/>
          </w:tcPr>
          <w:p w14:paraId="3690B377" w14:textId="77777777" w:rsidR="00436DAA" w:rsidRPr="00330234" w:rsidRDefault="009B4B8E" w:rsidP="00BD109B">
            <w:pPr>
              <w:pStyle w:val="TableParagraph"/>
              <w:widowControl/>
            </w:pPr>
            <w:r w:rsidRPr="00330234">
              <w:t>Accumulatie C</w:t>
            </w:r>
            <w:r w:rsidRPr="00330234">
              <w:rPr>
                <w:vertAlign w:val="subscript"/>
              </w:rPr>
              <w:t>max</w:t>
            </w:r>
          </w:p>
        </w:tc>
        <w:tc>
          <w:tcPr>
            <w:tcW w:w="2835" w:type="dxa"/>
          </w:tcPr>
          <w:p w14:paraId="6841B432" w14:textId="77777777" w:rsidR="00436DAA" w:rsidRPr="00330234" w:rsidRDefault="009B4B8E" w:rsidP="00045E49">
            <w:pPr>
              <w:pStyle w:val="TableParagraph"/>
              <w:widowControl/>
              <w:jc w:val="center"/>
            </w:pPr>
            <w:r w:rsidRPr="00330234">
              <w:t>1,72</w:t>
            </w:r>
          </w:p>
        </w:tc>
        <w:tc>
          <w:tcPr>
            <w:tcW w:w="3004" w:type="dxa"/>
          </w:tcPr>
          <w:p w14:paraId="3BAAC572" w14:textId="77777777" w:rsidR="00436DAA" w:rsidRPr="00330234" w:rsidRDefault="009B4B8E" w:rsidP="00045E49">
            <w:pPr>
              <w:pStyle w:val="TableParagraph"/>
              <w:widowControl/>
              <w:jc w:val="center"/>
            </w:pPr>
            <w:r w:rsidRPr="00330234">
              <w:t>1,32</w:t>
            </w:r>
          </w:p>
        </w:tc>
      </w:tr>
      <w:tr w:rsidR="00436DAA" w:rsidRPr="00330234" w14:paraId="287FAC25" w14:textId="77777777" w:rsidTr="001B3E1E">
        <w:trPr>
          <w:trHeight w:val="20"/>
        </w:trPr>
        <w:tc>
          <w:tcPr>
            <w:tcW w:w="3227" w:type="dxa"/>
          </w:tcPr>
          <w:p w14:paraId="4C1604E2" w14:textId="77777777" w:rsidR="00436DAA" w:rsidRPr="00330234" w:rsidRDefault="009B4B8E" w:rsidP="00BD109B">
            <w:pPr>
              <w:pStyle w:val="TableParagraph"/>
              <w:widowControl/>
            </w:pPr>
            <w:r w:rsidRPr="00330234">
              <w:t>Accumulatie C</w:t>
            </w:r>
            <w:r w:rsidRPr="00330234">
              <w:rPr>
                <w:vertAlign w:val="subscript"/>
              </w:rPr>
              <w:t>min</w:t>
            </w:r>
          </w:p>
        </w:tc>
        <w:tc>
          <w:tcPr>
            <w:tcW w:w="2835" w:type="dxa"/>
          </w:tcPr>
          <w:p w14:paraId="03C6292C" w14:textId="77777777" w:rsidR="00436DAA" w:rsidRPr="00330234" w:rsidRDefault="009B4B8E" w:rsidP="00045E49">
            <w:pPr>
              <w:pStyle w:val="TableParagraph"/>
              <w:widowControl/>
              <w:jc w:val="center"/>
            </w:pPr>
            <w:r w:rsidRPr="00330234">
              <w:t>3,58</w:t>
            </w:r>
          </w:p>
        </w:tc>
        <w:tc>
          <w:tcPr>
            <w:tcW w:w="3004" w:type="dxa"/>
          </w:tcPr>
          <w:p w14:paraId="64263301" w14:textId="77777777" w:rsidR="00436DAA" w:rsidRPr="00330234" w:rsidRDefault="009B4B8E" w:rsidP="00045E49">
            <w:pPr>
              <w:pStyle w:val="TableParagraph"/>
              <w:widowControl/>
              <w:jc w:val="center"/>
            </w:pPr>
            <w:r w:rsidRPr="00330234">
              <w:t>2,08</w:t>
            </w:r>
          </w:p>
        </w:tc>
      </w:tr>
      <w:tr w:rsidR="00436DAA" w:rsidRPr="00330234" w14:paraId="24165D11" w14:textId="77777777" w:rsidTr="001B3E1E">
        <w:trPr>
          <w:trHeight w:val="20"/>
        </w:trPr>
        <w:tc>
          <w:tcPr>
            <w:tcW w:w="3227" w:type="dxa"/>
          </w:tcPr>
          <w:p w14:paraId="44FBC7CE" w14:textId="77777777" w:rsidR="00436DAA" w:rsidRPr="00330234" w:rsidRDefault="009B4B8E" w:rsidP="00BD109B">
            <w:pPr>
              <w:pStyle w:val="TableParagraph"/>
              <w:widowControl/>
            </w:pPr>
            <w:r w:rsidRPr="00330234">
              <w:t>Accumulatie C</w:t>
            </w:r>
            <w:r w:rsidRPr="00330234">
              <w:rPr>
                <w:vertAlign w:val="subscript"/>
              </w:rPr>
              <w:t>gemiddelde</w:t>
            </w:r>
            <w:r w:rsidRPr="00330234">
              <w:t xml:space="preserve"> of AUC</w:t>
            </w:r>
            <w:r w:rsidRPr="00330234">
              <w:rPr>
                <w:vertAlign w:val="subscript"/>
              </w:rPr>
              <w:t>τ</w:t>
            </w:r>
            <w:r w:rsidRPr="00330234">
              <w:t>*</w:t>
            </w:r>
          </w:p>
        </w:tc>
        <w:tc>
          <w:tcPr>
            <w:tcW w:w="2835" w:type="dxa"/>
          </w:tcPr>
          <w:p w14:paraId="0A2D04CD" w14:textId="77777777" w:rsidR="00436DAA" w:rsidRPr="00330234" w:rsidRDefault="009B4B8E" w:rsidP="00045E49">
            <w:pPr>
              <w:pStyle w:val="TableParagraph"/>
              <w:widowControl/>
              <w:jc w:val="center"/>
            </w:pPr>
            <w:r w:rsidRPr="00330234">
              <w:t>2,04</w:t>
            </w:r>
          </w:p>
        </w:tc>
        <w:tc>
          <w:tcPr>
            <w:tcW w:w="3004" w:type="dxa"/>
          </w:tcPr>
          <w:p w14:paraId="7C1DF394" w14:textId="77777777" w:rsidR="00436DAA" w:rsidRPr="00330234" w:rsidRDefault="009B4B8E" w:rsidP="00045E49">
            <w:pPr>
              <w:pStyle w:val="TableParagraph"/>
              <w:widowControl/>
              <w:jc w:val="center"/>
            </w:pPr>
            <w:r w:rsidRPr="00330234">
              <w:t>1,46</w:t>
            </w:r>
          </w:p>
        </w:tc>
      </w:tr>
    </w:tbl>
    <w:p w14:paraId="08FD2906" w14:textId="1CE9BC01" w:rsidR="00436DAA" w:rsidRPr="00330234" w:rsidRDefault="009B4B8E" w:rsidP="006E5B37">
      <w:pPr>
        <w:widowControl/>
        <w:ind w:left="284" w:hanging="284"/>
        <w:rPr>
          <w:sz w:val="18"/>
          <w:szCs w:val="18"/>
        </w:rPr>
      </w:pPr>
      <w:r w:rsidRPr="00330234">
        <w:rPr>
          <w:sz w:val="18"/>
          <w:szCs w:val="18"/>
        </w:rPr>
        <w:t>*</w:t>
      </w:r>
      <w:r w:rsidR="006E5B37" w:rsidRPr="00330234">
        <w:rPr>
          <w:sz w:val="18"/>
          <w:szCs w:val="18"/>
        </w:rPr>
        <w:tab/>
      </w:r>
      <w:r w:rsidRPr="00330234">
        <w:rPr>
          <w:sz w:val="18"/>
          <w:szCs w:val="18"/>
        </w:rPr>
        <w:t>τ = 2 of 3 weken voor de 2 subcutane regimes</w:t>
      </w:r>
    </w:p>
    <w:p w14:paraId="1CB73A5F" w14:textId="77777777" w:rsidR="00045E49" w:rsidRPr="00330234" w:rsidRDefault="00045E49" w:rsidP="00BD109B">
      <w:pPr>
        <w:pStyle w:val="a3"/>
        <w:widowControl/>
        <w:ind w:left="0"/>
      </w:pPr>
    </w:p>
    <w:p w14:paraId="731B8878" w14:textId="2D523003" w:rsidR="00436DAA" w:rsidRPr="00330234" w:rsidRDefault="009B4B8E" w:rsidP="00BD109B">
      <w:pPr>
        <w:pStyle w:val="a3"/>
        <w:widowControl/>
        <w:ind w:left="0"/>
      </w:pPr>
      <w:r w:rsidRPr="00330234">
        <w:t>Na intraveneuze toediening was ongeveer 90% van de steady-state bereikt na 12 weken voor de dosering van 10 mg/kg (gewicht minder dan 30 kg) en na 16 weken voor de dosering van 8 mg/kg (gewicht 30 kg of meer). Na subcutane toediening was ongeveer 90% van de steady-state bereikt na 12</w:t>
      </w:r>
      <w:r w:rsidR="00045E49" w:rsidRPr="00330234">
        <w:t> </w:t>
      </w:r>
      <w:r w:rsidRPr="00330234">
        <w:t>weken voor zowel het Q2W als het Q3W subcutane 162 mg-regime.</w:t>
      </w:r>
    </w:p>
    <w:p w14:paraId="0D0CC29A" w14:textId="77777777" w:rsidR="00045E49" w:rsidRPr="00330234" w:rsidRDefault="00045E49" w:rsidP="00BD109B">
      <w:pPr>
        <w:pStyle w:val="a3"/>
        <w:widowControl/>
        <w:ind w:left="0"/>
      </w:pPr>
    </w:p>
    <w:p w14:paraId="024F53C4" w14:textId="77777777" w:rsidR="00436DAA" w:rsidRPr="00330234" w:rsidRDefault="009B4B8E" w:rsidP="00BD109B">
      <w:pPr>
        <w:pStyle w:val="a3"/>
        <w:widowControl/>
        <w:ind w:left="0"/>
      </w:pPr>
      <w:r w:rsidRPr="00330234">
        <w:rPr>
          <w:u w:val="single"/>
        </w:rPr>
        <w:t>Absorptie</w:t>
      </w:r>
    </w:p>
    <w:p w14:paraId="384D3688" w14:textId="77777777" w:rsidR="00436DAA" w:rsidRPr="00330234" w:rsidRDefault="009B4B8E" w:rsidP="00BD109B">
      <w:pPr>
        <w:pStyle w:val="a3"/>
        <w:widowControl/>
        <w:ind w:left="0"/>
      </w:pPr>
      <w:r w:rsidRPr="00330234">
        <w:t>Na subcutane toediening bij pJIA-patiënten was de absorptiehalfwaardetijd rond de 2 dagen en de biologische beschikbaarheid van de subcutane formulering bij pJIA-patiënten was 96%.</w:t>
      </w:r>
    </w:p>
    <w:p w14:paraId="7B6D0652" w14:textId="77777777" w:rsidR="00045E49" w:rsidRPr="00330234" w:rsidRDefault="00045E49" w:rsidP="00BD109B">
      <w:pPr>
        <w:pStyle w:val="a3"/>
        <w:widowControl/>
        <w:ind w:left="0"/>
      </w:pPr>
    </w:p>
    <w:p w14:paraId="0531DF52" w14:textId="77777777" w:rsidR="00436DAA" w:rsidRPr="00330234" w:rsidRDefault="009B4B8E" w:rsidP="00856751">
      <w:pPr>
        <w:pStyle w:val="a3"/>
        <w:keepNext/>
        <w:keepLines/>
        <w:widowControl/>
        <w:ind w:left="0"/>
      </w:pPr>
      <w:r w:rsidRPr="00330234">
        <w:rPr>
          <w:u w:val="single"/>
        </w:rPr>
        <w:t>Distributie</w:t>
      </w:r>
    </w:p>
    <w:p w14:paraId="65510416" w14:textId="77777777" w:rsidR="00436DAA" w:rsidRPr="00330234" w:rsidRDefault="009B4B8E" w:rsidP="00856751">
      <w:pPr>
        <w:pStyle w:val="a3"/>
        <w:keepNext/>
        <w:keepLines/>
        <w:widowControl/>
        <w:ind w:left="0"/>
      </w:pPr>
      <w:r w:rsidRPr="00330234">
        <w:t>Bij pediatrische patiënten met pJIA was het centrale verdelingsvolume 1,97 l en het perifere verdelingsvolume 2,03 l, resulterend in een steady-state verdelingsvolume van 4,0 l.</w:t>
      </w:r>
    </w:p>
    <w:p w14:paraId="70169BC7" w14:textId="77777777" w:rsidR="00436DAA" w:rsidRPr="00330234" w:rsidRDefault="00436DAA" w:rsidP="00BD109B">
      <w:pPr>
        <w:pStyle w:val="a3"/>
        <w:widowControl/>
        <w:ind w:left="0"/>
      </w:pPr>
    </w:p>
    <w:p w14:paraId="2E630EB1" w14:textId="77777777" w:rsidR="00436DAA" w:rsidRPr="00330234" w:rsidRDefault="009B4B8E" w:rsidP="00BD109B">
      <w:pPr>
        <w:pStyle w:val="a3"/>
        <w:widowControl/>
        <w:ind w:left="0"/>
      </w:pPr>
      <w:r w:rsidRPr="00330234">
        <w:rPr>
          <w:u w:val="single"/>
        </w:rPr>
        <w:t>Eliminatie</w:t>
      </w:r>
    </w:p>
    <w:p w14:paraId="29375745" w14:textId="77777777" w:rsidR="00436DAA" w:rsidRPr="00330234" w:rsidRDefault="009B4B8E" w:rsidP="00BD109B">
      <w:pPr>
        <w:pStyle w:val="a3"/>
        <w:widowControl/>
        <w:ind w:left="0"/>
      </w:pPr>
      <w:r w:rsidRPr="00330234">
        <w:t>Bij pJIA-patiënten liet farmacokinetische populatieanalyse zien dat lichaamsgrootte impact heeft op de lineaire klaring, daarom moet rekening worden gehouden met de dosering op basis van lichaamsgewicht (zie tabel 9).</w:t>
      </w:r>
    </w:p>
    <w:p w14:paraId="11493F2A" w14:textId="77777777" w:rsidR="00045E49" w:rsidRPr="00330234" w:rsidRDefault="00045E49" w:rsidP="00BD109B">
      <w:pPr>
        <w:pStyle w:val="a3"/>
        <w:widowControl/>
        <w:ind w:left="0"/>
      </w:pPr>
    </w:p>
    <w:p w14:paraId="396996C4" w14:textId="10ED5207" w:rsidR="00436DAA" w:rsidRPr="00330234" w:rsidRDefault="009B4B8E" w:rsidP="00045E49">
      <w:pPr>
        <w:pStyle w:val="a3"/>
        <w:widowControl/>
        <w:ind w:left="0"/>
      </w:pPr>
      <w:r w:rsidRPr="00330234">
        <w:t>Na subcutane toediening bij pJIA-patiënten is de effectieve t</w:t>
      </w:r>
      <w:r w:rsidRPr="00330234">
        <w:rPr>
          <w:vertAlign w:val="subscript"/>
        </w:rPr>
        <w:t>1/2</w:t>
      </w:r>
      <w:r w:rsidRPr="00330234">
        <w:t xml:space="preserve"> van </w:t>
      </w:r>
      <w:r w:rsidR="00066333" w:rsidRPr="00330234">
        <w:t>tocilizumab</w:t>
      </w:r>
      <w:r w:rsidRPr="00330234">
        <w:t xml:space="preserve"> tot 10 dagen voor patiënten die minder dan 30 kg wegen (162 mg subcutaan Q3W regime) en tot 7 dagen voor patiënten die 30 kg of meer wegen (162 mg subcutaan Q2W regime) gedurende een doseringsinterval in steady- state. Na intraveneuze toediening ondergaat tocilizumab een bifasische eliminatie vanuit de circulatie. De totale klaring van tocilizumab was concentratieafhankelijk en is de som van de lineaire klaring en de niet-lineaire klaring. De lineaire klaring is geschat als parameter in de farmacokinetische populatieanalyse en was 6,25 ml/uur. De concentratieafhankelijke niet-lineaire klaring speelt een</w:t>
      </w:r>
      <w:r w:rsidR="00045E49" w:rsidRPr="00330234">
        <w:t xml:space="preserve"> </w:t>
      </w:r>
      <w:r w:rsidRPr="00330234">
        <w:t>belangrijke rol bij lagere tocilizumab-concentraties. Zodra de niet-lineaire klaringsroute verzadigd is, bij hogere concentraties tocilizumab, verloopt de klaring voornamelijk lineair.</w:t>
      </w:r>
    </w:p>
    <w:p w14:paraId="22C9A210" w14:textId="77777777" w:rsidR="00436DAA" w:rsidRPr="00330234" w:rsidRDefault="00436DAA" w:rsidP="00BD109B">
      <w:pPr>
        <w:pStyle w:val="a3"/>
        <w:widowControl/>
        <w:ind w:left="0"/>
      </w:pPr>
    </w:p>
    <w:p w14:paraId="2C5B16E1" w14:textId="77777777" w:rsidR="00436DAA" w:rsidRPr="00330234" w:rsidRDefault="009B4B8E" w:rsidP="00BD109B">
      <w:pPr>
        <w:pStyle w:val="a3"/>
        <w:widowControl/>
        <w:ind w:left="0"/>
      </w:pPr>
      <w:r w:rsidRPr="00330234">
        <w:rPr>
          <w:u w:val="single"/>
        </w:rPr>
        <w:t>GCA</w:t>
      </w:r>
    </w:p>
    <w:p w14:paraId="3D899220" w14:textId="77777777" w:rsidR="00436DAA" w:rsidRPr="00330234" w:rsidRDefault="009B4B8E" w:rsidP="00BD109B">
      <w:pPr>
        <w:pStyle w:val="a3"/>
        <w:widowControl/>
        <w:ind w:left="0"/>
      </w:pPr>
      <w:r w:rsidRPr="00330234">
        <w:rPr>
          <w:u w:val="single"/>
        </w:rPr>
        <w:t>Subcutaan gebruik</w:t>
      </w:r>
    </w:p>
    <w:p w14:paraId="61B7AE0A" w14:textId="2455B327" w:rsidR="00436DAA" w:rsidRPr="00330234" w:rsidRDefault="009B4B8E" w:rsidP="00BD109B">
      <w:pPr>
        <w:pStyle w:val="a3"/>
        <w:widowControl/>
        <w:ind w:left="0"/>
      </w:pPr>
      <w:r w:rsidRPr="00330234">
        <w:t xml:space="preserve">De PK van </w:t>
      </w:r>
      <w:r w:rsidR="00066333" w:rsidRPr="00330234">
        <w:t>tocilizumab</w:t>
      </w:r>
      <w:r w:rsidRPr="00330234">
        <w:t xml:space="preserve"> bij GCA-patiënten werd bepaald met behulp van een PK-populatiemodel van een analysedataset bestaande uit 149 GCA-patiënten die wekelijks met 162 mg subcutaan </w:t>
      </w:r>
      <w:r w:rsidR="00066333" w:rsidRPr="00330234">
        <w:t>tocilizumab</w:t>
      </w:r>
      <w:r w:rsidRPr="00330234">
        <w:t xml:space="preserve"> of om de week met 162 mg subcutaan </w:t>
      </w:r>
      <w:r w:rsidR="00066333" w:rsidRPr="00330234">
        <w:t>tocilizumab</w:t>
      </w:r>
      <w:r w:rsidRPr="00330234">
        <w:t xml:space="preserve"> behandeld werden. Het ontwikkelingsmodel had dezelfde structuur als het PK-populatiemodel dat eerder gemaakt was gebaseerd op de data van RA- patiënten (zie tabel 10).</w:t>
      </w:r>
    </w:p>
    <w:p w14:paraId="6C716B38" w14:textId="77777777" w:rsidR="00045E49" w:rsidRPr="00330234" w:rsidRDefault="00045E49" w:rsidP="00BD109B">
      <w:pPr>
        <w:pStyle w:val="a3"/>
        <w:widowControl/>
        <w:ind w:left="0"/>
      </w:pPr>
    </w:p>
    <w:p w14:paraId="5E9C9C5C" w14:textId="7B8E4B3F" w:rsidR="00436DAA" w:rsidRPr="00330234" w:rsidRDefault="009B4B8E" w:rsidP="006E5B37">
      <w:pPr>
        <w:widowControl/>
        <w:ind w:left="1134" w:hanging="1134"/>
        <w:rPr>
          <w:i/>
        </w:rPr>
      </w:pPr>
      <w:r w:rsidRPr="00330234">
        <w:rPr>
          <w:i/>
        </w:rPr>
        <w:lastRenderedPageBreak/>
        <w:t>Tabel 10.</w:t>
      </w:r>
      <w:r w:rsidR="006E5B37" w:rsidRPr="00330234">
        <w:rPr>
          <w:i/>
        </w:rPr>
        <w:tab/>
      </w:r>
      <w:r w:rsidRPr="00330234">
        <w:rPr>
          <w:i/>
        </w:rPr>
        <w:t>Voorspelde gemiddelde ± SD PK-parameters bij steady-state na subcutane toediening bij GCA</w:t>
      </w:r>
    </w:p>
    <w:p w14:paraId="39275063" w14:textId="77777777" w:rsidR="00436DAA" w:rsidRPr="00330234" w:rsidRDefault="00436DAA" w:rsidP="00BD109B">
      <w:pPr>
        <w:pStyle w:val="a3"/>
        <w:widowControl/>
        <w:ind w:left="0"/>
        <w:rPr>
          <w:i/>
        </w:rPr>
      </w:pP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67"/>
        <w:gridCol w:w="2533"/>
        <w:gridCol w:w="2366"/>
      </w:tblGrid>
      <w:tr w:rsidR="00436DAA" w:rsidRPr="00330234" w14:paraId="538FD2F3" w14:textId="77777777" w:rsidTr="00045E49">
        <w:trPr>
          <w:trHeight w:val="20"/>
        </w:trPr>
        <w:tc>
          <w:tcPr>
            <w:tcW w:w="4167" w:type="dxa"/>
          </w:tcPr>
          <w:p w14:paraId="3443AD13" w14:textId="77777777" w:rsidR="00436DAA" w:rsidRPr="00330234" w:rsidRDefault="00436DAA" w:rsidP="00BD109B">
            <w:pPr>
              <w:pStyle w:val="TableParagraph"/>
              <w:widowControl/>
            </w:pPr>
          </w:p>
        </w:tc>
        <w:tc>
          <w:tcPr>
            <w:tcW w:w="4899" w:type="dxa"/>
            <w:gridSpan w:val="2"/>
          </w:tcPr>
          <w:p w14:paraId="235373D7" w14:textId="77777777" w:rsidR="00436DAA" w:rsidRPr="00330234" w:rsidRDefault="009B4B8E" w:rsidP="00045E49">
            <w:pPr>
              <w:pStyle w:val="TableParagraph"/>
              <w:widowControl/>
              <w:jc w:val="center"/>
              <w:rPr>
                <w:b/>
              </w:rPr>
            </w:pPr>
            <w:r w:rsidRPr="00330234">
              <w:rPr>
                <w:b/>
              </w:rPr>
              <w:t>Subcutaan</w:t>
            </w:r>
          </w:p>
        </w:tc>
      </w:tr>
      <w:tr w:rsidR="00436DAA" w:rsidRPr="00330234" w14:paraId="6E0A7CBF" w14:textId="77777777" w:rsidTr="00045E49">
        <w:trPr>
          <w:trHeight w:val="20"/>
        </w:trPr>
        <w:tc>
          <w:tcPr>
            <w:tcW w:w="4167" w:type="dxa"/>
          </w:tcPr>
          <w:p w14:paraId="4F9C97EE" w14:textId="77777777" w:rsidR="00436DAA" w:rsidRPr="00330234" w:rsidRDefault="009B4B8E" w:rsidP="00BD109B">
            <w:pPr>
              <w:pStyle w:val="TableParagraph"/>
              <w:widowControl/>
              <w:rPr>
                <w:b/>
              </w:rPr>
            </w:pPr>
            <w:r w:rsidRPr="00330234">
              <w:rPr>
                <w:b/>
              </w:rPr>
              <w:t>Tocilizumab PK-Parameter</w:t>
            </w:r>
          </w:p>
        </w:tc>
        <w:tc>
          <w:tcPr>
            <w:tcW w:w="2533" w:type="dxa"/>
          </w:tcPr>
          <w:p w14:paraId="457D75A1" w14:textId="77777777" w:rsidR="00436DAA" w:rsidRPr="00330234" w:rsidRDefault="009B4B8E" w:rsidP="00045E49">
            <w:pPr>
              <w:pStyle w:val="TableParagraph"/>
              <w:widowControl/>
              <w:jc w:val="center"/>
              <w:rPr>
                <w:b/>
              </w:rPr>
            </w:pPr>
            <w:r w:rsidRPr="00330234">
              <w:rPr>
                <w:b/>
              </w:rPr>
              <w:t>162 mg om de week</w:t>
            </w:r>
          </w:p>
        </w:tc>
        <w:tc>
          <w:tcPr>
            <w:tcW w:w="2366" w:type="dxa"/>
          </w:tcPr>
          <w:p w14:paraId="7916781A" w14:textId="77777777" w:rsidR="00436DAA" w:rsidRPr="00330234" w:rsidRDefault="009B4B8E" w:rsidP="00045E49">
            <w:pPr>
              <w:pStyle w:val="TableParagraph"/>
              <w:widowControl/>
              <w:jc w:val="center"/>
              <w:rPr>
                <w:b/>
              </w:rPr>
            </w:pPr>
            <w:r w:rsidRPr="00330234">
              <w:rPr>
                <w:b/>
              </w:rPr>
              <w:t>162 mg wekelijks</w:t>
            </w:r>
          </w:p>
        </w:tc>
      </w:tr>
      <w:tr w:rsidR="00436DAA" w:rsidRPr="00330234" w14:paraId="693B4EE2" w14:textId="77777777" w:rsidTr="00045E49">
        <w:trPr>
          <w:trHeight w:val="20"/>
        </w:trPr>
        <w:tc>
          <w:tcPr>
            <w:tcW w:w="4167" w:type="dxa"/>
          </w:tcPr>
          <w:p w14:paraId="23609C9B" w14:textId="77777777" w:rsidR="00436DAA" w:rsidRPr="00330234" w:rsidRDefault="009B4B8E" w:rsidP="00BD109B">
            <w:pPr>
              <w:pStyle w:val="TableParagraph"/>
              <w:widowControl/>
            </w:pPr>
            <w:r w:rsidRPr="00330234">
              <w:t>C</w:t>
            </w:r>
            <w:r w:rsidRPr="00330234">
              <w:rPr>
                <w:vertAlign w:val="subscript"/>
              </w:rPr>
              <w:t>max</w:t>
            </w:r>
            <w:r w:rsidRPr="00330234">
              <w:t xml:space="preserve"> (µg/ml)</w:t>
            </w:r>
          </w:p>
        </w:tc>
        <w:tc>
          <w:tcPr>
            <w:tcW w:w="2533" w:type="dxa"/>
          </w:tcPr>
          <w:p w14:paraId="4C64AB78" w14:textId="77777777" w:rsidR="00436DAA" w:rsidRPr="00330234" w:rsidRDefault="009B4B8E" w:rsidP="00045E49">
            <w:pPr>
              <w:pStyle w:val="TableParagraph"/>
              <w:widowControl/>
              <w:jc w:val="center"/>
            </w:pPr>
            <w:r w:rsidRPr="00330234">
              <w:t>19,3 ± 12,8</w:t>
            </w:r>
          </w:p>
        </w:tc>
        <w:tc>
          <w:tcPr>
            <w:tcW w:w="2366" w:type="dxa"/>
          </w:tcPr>
          <w:p w14:paraId="4D12E72C" w14:textId="77777777" w:rsidR="00436DAA" w:rsidRPr="00330234" w:rsidRDefault="009B4B8E" w:rsidP="00045E49">
            <w:pPr>
              <w:pStyle w:val="TableParagraph"/>
              <w:widowControl/>
              <w:jc w:val="center"/>
            </w:pPr>
            <w:r w:rsidRPr="00330234">
              <w:t>73 ± 30,4</w:t>
            </w:r>
          </w:p>
        </w:tc>
      </w:tr>
      <w:tr w:rsidR="00436DAA" w:rsidRPr="00330234" w14:paraId="67278153" w14:textId="77777777" w:rsidTr="00045E49">
        <w:trPr>
          <w:trHeight w:val="20"/>
        </w:trPr>
        <w:tc>
          <w:tcPr>
            <w:tcW w:w="4167" w:type="dxa"/>
          </w:tcPr>
          <w:p w14:paraId="234E3462" w14:textId="77777777" w:rsidR="00436DAA" w:rsidRPr="00330234" w:rsidRDefault="009B4B8E" w:rsidP="00BD109B">
            <w:pPr>
              <w:pStyle w:val="TableParagraph"/>
              <w:widowControl/>
            </w:pPr>
            <w:r w:rsidRPr="00330234">
              <w:t>C</w:t>
            </w:r>
            <w:r w:rsidRPr="00330234">
              <w:rPr>
                <w:vertAlign w:val="subscript"/>
              </w:rPr>
              <w:t>dal</w:t>
            </w:r>
            <w:r w:rsidRPr="00330234">
              <w:t xml:space="preserve"> (µg/ml)</w:t>
            </w:r>
          </w:p>
        </w:tc>
        <w:tc>
          <w:tcPr>
            <w:tcW w:w="2533" w:type="dxa"/>
          </w:tcPr>
          <w:p w14:paraId="0A3C45E2" w14:textId="77777777" w:rsidR="00436DAA" w:rsidRPr="00330234" w:rsidRDefault="009B4B8E" w:rsidP="00045E49">
            <w:pPr>
              <w:pStyle w:val="TableParagraph"/>
              <w:widowControl/>
              <w:jc w:val="center"/>
            </w:pPr>
            <w:r w:rsidRPr="00330234">
              <w:t>11,1 ± 10,3</w:t>
            </w:r>
          </w:p>
        </w:tc>
        <w:tc>
          <w:tcPr>
            <w:tcW w:w="2366" w:type="dxa"/>
          </w:tcPr>
          <w:p w14:paraId="45519E02" w14:textId="2C5F8A65" w:rsidR="00436DAA" w:rsidRPr="00330234" w:rsidRDefault="009B4B8E" w:rsidP="00045E49">
            <w:pPr>
              <w:pStyle w:val="TableParagraph"/>
              <w:widowControl/>
              <w:jc w:val="center"/>
            </w:pPr>
            <w:r w:rsidRPr="00330234">
              <w:t>68,1</w:t>
            </w:r>
            <w:r w:rsidR="00FD316C" w:rsidRPr="00330234">
              <w:t xml:space="preserve"> </w:t>
            </w:r>
            <w:r w:rsidRPr="00330234">
              <w:t>± 29,5</w:t>
            </w:r>
          </w:p>
        </w:tc>
      </w:tr>
      <w:tr w:rsidR="00436DAA" w:rsidRPr="00330234" w14:paraId="51911699" w14:textId="77777777" w:rsidTr="00045E49">
        <w:trPr>
          <w:trHeight w:val="20"/>
        </w:trPr>
        <w:tc>
          <w:tcPr>
            <w:tcW w:w="4167" w:type="dxa"/>
          </w:tcPr>
          <w:p w14:paraId="71993BBE" w14:textId="77777777" w:rsidR="00436DAA" w:rsidRPr="00330234" w:rsidRDefault="009B4B8E" w:rsidP="00BD109B">
            <w:pPr>
              <w:pStyle w:val="TableParagraph"/>
              <w:widowControl/>
            </w:pPr>
            <w:r w:rsidRPr="00330234">
              <w:t>C</w:t>
            </w:r>
            <w:r w:rsidRPr="00330234">
              <w:rPr>
                <w:vertAlign w:val="subscript"/>
              </w:rPr>
              <w:t>gemiddelde</w:t>
            </w:r>
            <w:r w:rsidRPr="00330234">
              <w:t xml:space="preserve"> (µg/ml)</w:t>
            </w:r>
          </w:p>
        </w:tc>
        <w:tc>
          <w:tcPr>
            <w:tcW w:w="2533" w:type="dxa"/>
          </w:tcPr>
          <w:p w14:paraId="1E95EC20" w14:textId="77777777" w:rsidR="00436DAA" w:rsidRPr="00330234" w:rsidRDefault="009B4B8E" w:rsidP="00045E49">
            <w:pPr>
              <w:pStyle w:val="TableParagraph"/>
              <w:widowControl/>
              <w:jc w:val="center"/>
            </w:pPr>
            <w:r w:rsidRPr="00330234">
              <w:t>16,2 ± 11,8</w:t>
            </w:r>
          </w:p>
        </w:tc>
        <w:tc>
          <w:tcPr>
            <w:tcW w:w="2366" w:type="dxa"/>
          </w:tcPr>
          <w:p w14:paraId="78904417" w14:textId="77777777" w:rsidR="00436DAA" w:rsidRPr="00330234" w:rsidRDefault="009B4B8E" w:rsidP="00045E49">
            <w:pPr>
              <w:pStyle w:val="TableParagraph"/>
              <w:widowControl/>
              <w:jc w:val="center"/>
            </w:pPr>
            <w:r w:rsidRPr="00330234">
              <w:t>71,3 ± 30,1</w:t>
            </w:r>
          </w:p>
        </w:tc>
      </w:tr>
      <w:tr w:rsidR="00436DAA" w:rsidRPr="00330234" w14:paraId="227DC141" w14:textId="77777777" w:rsidTr="00045E49">
        <w:trPr>
          <w:trHeight w:val="20"/>
        </w:trPr>
        <w:tc>
          <w:tcPr>
            <w:tcW w:w="4167" w:type="dxa"/>
          </w:tcPr>
          <w:p w14:paraId="461CC951" w14:textId="77777777" w:rsidR="00436DAA" w:rsidRPr="00330234" w:rsidRDefault="009B4B8E" w:rsidP="00BD109B">
            <w:pPr>
              <w:pStyle w:val="TableParagraph"/>
              <w:widowControl/>
            </w:pPr>
            <w:r w:rsidRPr="00330234">
              <w:t>Accumulatie C</w:t>
            </w:r>
            <w:r w:rsidRPr="00330234">
              <w:rPr>
                <w:vertAlign w:val="subscript"/>
              </w:rPr>
              <w:t>max</w:t>
            </w:r>
          </w:p>
        </w:tc>
        <w:tc>
          <w:tcPr>
            <w:tcW w:w="2533" w:type="dxa"/>
          </w:tcPr>
          <w:p w14:paraId="59640B2E" w14:textId="77777777" w:rsidR="00436DAA" w:rsidRPr="00330234" w:rsidRDefault="009B4B8E" w:rsidP="00045E49">
            <w:pPr>
              <w:pStyle w:val="TableParagraph"/>
              <w:widowControl/>
              <w:jc w:val="center"/>
            </w:pPr>
            <w:r w:rsidRPr="00330234">
              <w:t>2,18</w:t>
            </w:r>
          </w:p>
        </w:tc>
        <w:tc>
          <w:tcPr>
            <w:tcW w:w="2366" w:type="dxa"/>
          </w:tcPr>
          <w:p w14:paraId="6E0DCCFC" w14:textId="77777777" w:rsidR="00436DAA" w:rsidRPr="00330234" w:rsidRDefault="009B4B8E" w:rsidP="00045E49">
            <w:pPr>
              <w:pStyle w:val="TableParagraph"/>
              <w:widowControl/>
              <w:jc w:val="center"/>
            </w:pPr>
            <w:r w:rsidRPr="00330234">
              <w:t>8,88</w:t>
            </w:r>
          </w:p>
        </w:tc>
      </w:tr>
      <w:tr w:rsidR="00436DAA" w:rsidRPr="00330234" w14:paraId="3C67D344" w14:textId="77777777" w:rsidTr="00045E49">
        <w:trPr>
          <w:trHeight w:val="20"/>
        </w:trPr>
        <w:tc>
          <w:tcPr>
            <w:tcW w:w="4167" w:type="dxa"/>
          </w:tcPr>
          <w:p w14:paraId="4D6BAF0F" w14:textId="77777777" w:rsidR="00436DAA" w:rsidRPr="00330234" w:rsidRDefault="009B4B8E" w:rsidP="00BD109B">
            <w:pPr>
              <w:pStyle w:val="TableParagraph"/>
              <w:widowControl/>
            </w:pPr>
            <w:r w:rsidRPr="00330234">
              <w:t>Accumulatie C</w:t>
            </w:r>
            <w:r w:rsidRPr="00330234">
              <w:rPr>
                <w:vertAlign w:val="subscript"/>
              </w:rPr>
              <w:t>dal</w:t>
            </w:r>
          </w:p>
        </w:tc>
        <w:tc>
          <w:tcPr>
            <w:tcW w:w="2533" w:type="dxa"/>
          </w:tcPr>
          <w:p w14:paraId="3727A120" w14:textId="77777777" w:rsidR="00436DAA" w:rsidRPr="00330234" w:rsidRDefault="009B4B8E" w:rsidP="00045E49">
            <w:pPr>
              <w:pStyle w:val="TableParagraph"/>
              <w:widowControl/>
              <w:jc w:val="center"/>
            </w:pPr>
            <w:r w:rsidRPr="00330234">
              <w:t>5,61</w:t>
            </w:r>
          </w:p>
        </w:tc>
        <w:tc>
          <w:tcPr>
            <w:tcW w:w="2366" w:type="dxa"/>
          </w:tcPr>
          <w:p w14:paraId="065D17D4" w14:textId="77777777" w:rsidR="00436DAA" w:rsidRPr="00330234" w:rsidRDefault="009B4B8E" w:rsidP="00045E49">
            <w:pPr>
              <w:pStyle w:val="TableParagraph"/>
              <w:widowControl/>
              <w:jc w:val="center"/>
            </w:pPr>
            <w:r w:rsidRPr="00330234">
              <w:t>9,59</w:t>
            </w:r>
          </w:p>
        </w:tc>
      </w:tr>
      <w:tr w:rsidR="00436DAA" w:rsidRPr="00330234" w14:paraId="2212E434" w14:textId="77777777" w:rsidTr="00045E49">
        <w:trPr>
          <w:trHeight w:val="20"/>
        </w:trPr>
        <w:tc>
          <w:tcPr>
            <w:tcW w:w="4167" w:type="dxa"/>
          </w:tcPr>
          <w:p w14:paraId="7620BAD5" w14:textId="77777777" w:rsidR="00436DAA" w:rsidRPr="00330234" w:rsidRDefault="009B4B8E" w:rsidP="00BD109B">
            <w:pPr>
              <w:pStyle w:val="TableParagraph"/>
              <w:widowControl/>
            </w:pPr>
            <w:r w:rsidRPr="00330234">
              <w:t>Accumulatie C</w:t>
            </w:r>
            <w:r w:rsidRPr="00330234">
              <w:rPr>
                <w:vertAlign w:val="subscript"/>
              </w:rPr>
              <w:t>gemiddelde</w:t>
            </w:r>
            <w:r w:rsidRPr="00330234">
              <w:t xml:space="preserve"> of AUC</w:t>
            </w:r>
            <w:r w:rsidRPr="00330234">
              <w:rPr>
                <w:vertAlign w:val="subscript"/>
              </w:rPr>
              <w:t>τ</w:t>
            </w:r>
            <w:r w:rsidRPr="00330234">
              <w:t>*</w:t>
            </w:r>
          </w:p>
        </w:tc>
        <w:tc>
          <w:tcPr>
            <w:tcW w:w="2533" w:type="dxa"/>
          </w:tcPr>
          <w:p w14:paraId="60AC6321" w14:textId="77777777" w:rsidR="00436DAA" w:rsidRPr="00330234" w:rsidRDefault="009B4B8E" w:rsidP="00045E49">
            <w:pPr>
              <w:pStyle w:val="TableParagraph"/>
              <w:widowControl/>
              <w:jc w:val="center"/>
            </w:pPr>
            <w:r w:rsidRPr="00330234">
              <w:t>2,81</w:t>
            </w:r>
          </w:p>
        </w:tc>
        <w:tc>
          <w:tcPr>
            <w:tcW w:w="2366" w:type="dxa"/>
          </w:tcPr>
          <w:p w14:paraId="5063DC9A" w14:textId="77777777" w:rsidR="00436DAA" w:rsidRPr="00330234" w:rsidRDefault="009B4B8E" w:rsidP="00045E49">
            <w:pPr>
              <w:pStyle w:val="TableParagraph"/>
              <w:widowControl/>
              <w:jc w:val="center"/>
            </w:pPr>
            <w:r w:rsidRPr="00330234">
              <w:t>10,91</w:t>
            </w:r>
          </w:p>
        </w:tc>
      </w:tr>
    </w:tbl>
    <w:p w14:paraId="49C953B7" w14:textId="2D988A20" w:rsidR="00436DAA" w:rsidRPr="00330234" w:rsidRDefault="009B4B8E" w:rsidP="006E5B37">
      <w:pPr>
        <w:widowControl/>
        <w:ind w:left="284" w:hanging="284"/>
        <w:rPr>
          <w:sz w:val="18"/>
          <w:szCs w:val="18"/>
        </w:rPr>
      </w:pPr>
      <w:r w:rsidRPr="00330234">
        <w:rPr>
          <w:sz w:val="18"/>
          <w:szCs w:val="18"/>
        </w:rPr>
        <w:t>*</w:t>
      </w:r>
      <w:r w:rsidR="006E5B37" w:rsidRPr="00330234">
        <w:rPr>
          <w:sz w:val="18"/>
          <w:szCs w:val="18"/>
        </w:rPr>
        <w:tab/>
      </w:r>
      <w:r w:rsidRPr="00330234">
        <w:rPr>
          <w:sz w:val="18"/>
          <w:szCs w:val="18"/>
        </w:rPr>
        <w:t>τ = 1 of 2 weken voor de twee subcutane doseringsregimes</w:t>
      </w:r>
    </w:p>
    <w:p w14:paraId="4B9D6F7E" w14:textId="77777777" w:rsidR="00436DAA" w:rsidRPr="00330234" w:rsidRDefault="00436DAA" w:rsidP="00BD109B">
      <w:pPr>
        <w:pStyle w:val="a3"/>
        <w:widowControl/>
        <w:ind w:left="0"/>
      </w:pPr>
    </w:p>
    <w:p w14:paraId="71CB10B5" w14:textId="0AE63643" w:rsidR="00436DAA" w:rsidRPr="00330234" w:rsidRDefault="009B4B8E" w:rsidP="00BD109B">
      <w:pPr>
        <w:pStyle w:val="a3"/>
        <w:widowControl/>
        <w:ind w:left="0"/>
      </w:pPr>
      <w:r w:rsidRPr="00330234">
        <w:t xml:space="preserve">Het steady-state profiel na de wekelijkse dosis </w:t>
      </w:r>
      <w:r w:rsidR="00066333" w:rsidRPr="00330234">
        <w:t>tocilizumab</w:t>
      </w:r>
      <w:r w:rsidRPr="00330234">
        <w:t xml:space="preserve"> was vrijwel vlak, met erg kleine schommelingen tussen de dal- en piekwaarden, terwijl er substantiële schommelingen waren voor de om de week toegediende dosis </w:t>
      </w:r>
      <w:r w:rsidR="00066333" w:rsidRPr="00330234">
        <w:t>tocilizumab</w:t>
      </w:r>
      <w:r w:rsidRPr="00330234">
        <w:t>. Ongeveer 90% van de steady-state (AUC</w:t>
      </w:r>
      <w:r w:rsidRPr="00330234">
        <w:rPr>
          <w:vertAlign w:val="subscript"/>
        </w:rPr>
        <w:t>τ</w:t>
      </w:r>
      <w:r w:rsidRPr="00330234">
        <w:t>) was in week 14</w:t>
      </w:r>
      <w:r w:rsidR="00856751" w:rsidRPr="00330234">
        <w:t> </w:t>
      </w:r>
      <w:r w:rsidRPr="00330234">
        <w:t>bereikt voor de groep met toediening om de week en in week 17 voor de groep met een wekelijkse dosis.</w:t>
      </w:r>
    </w:p>
    <w:p w14:paraId="23BCFE52" w14:textId="77777777" w:rsidR="00045E49" w:rsidRPr="00330234" w:rsidRDefault="00045E49" w:rsidP="00BD109B">
      <w:pPr>
        <w:pStyle w:val="a3"/>
        <w:widowControl/>
        <w:ind w:left="0"/>
      </w:pPr>
    </w:p>
    <w:p w14:paraId="164CEB17" w14:textId="3CBC6FF9" w:rsidR="00436DAA" w:rsidRPr="00330234" w:rsidRDefault="009B4B8E" w:rsidP="00BD109B">
      <w:pPr>
        <w:pStyle w:val="a3"/>
        <w:widowControl/>
        <w:ind w:left="0"/>
      </w:pPr>
      <w:r w:rsidRPr="00330234">
        <w:t xml:space="preserve">Gebaseerd op de huidige PK-karakterisatie waren de </w:t>
      </w:r>
      <w:r w:rsidR="00066333" w:rsidRPr="00330234">
        <w:t>tocilizumab</w:t>
      </w:r>
      <w:r w:rsidRPr="00330234">
        <w:t xml:space="preserve"> dal-concentraties bij steady-state 50% hoger in deze populatie ten opzichte van de gemiddelde concentraties in een grote dataset van de RA-populatie. Deze verschillen treden op om onbekende redenen. PK-verschillen gingen niet gepaard met duidelijke verschillen in PD-parameters waardoor de klinische relevantie niet bekend is.</w:t>
      </w:r>
    </w:p>
    <w:p w14:paraId="1FE3843C" w14:textId="77777777" w:rsidR="00436DAA" w:rsidRPr="00330234" w:rsidRDefault="00436DAA" w:rsidP="00BD109B">
      <w:pPr>
        <w:pStyle w:val="a3"/>
        <w:widowControl/>
        <w:ind w:left="0"/>
      </w:pPr>
    </w:p>
    <w:p w14:paraId="7654B215" w14:textId="77777777" w:rsidR="00436DAA" w:rsidRPr="00330234" w:rsidRDefault="009B4B8E" w:rsidP="00BD109B">
      <w:pPr>
        <w:pStyle w:val="a3"/>
        <w:widowControl/>
        <w:ind w:left="0"/>
      </w:pPr>
      <w:r w:rsidRPr="00330234">
        <w:t>Bij GCA-patiënten werd een hogere blootstelling waargenomen bij patiënten met een lager lichaamsgewicht. Voor het wekelijkse 162 mg doseringsregime was de steady-state Cavg 51% hoger bij patiënten met een lichaamsgewicht van minder dan 60 kg vergeleken met patiënten die tussen de 60 kg en 100 kg wogen. Voor het om de week 162 mg doseringsregime was de steady-state Cavg 129% hoger bij patiënten met een lichaamsgewicht van minder dan 60 kg vergeleken met patiënten die tussen de 60 kg en 100 kg wogen. Er zijn beperkte gegevens beschikbaar voor patiënten die meer dan 100 kg wegen (n = 7).</w:t>
      </w:r>
    </w:p>
    <w:p w14:paraId="2A40C9FD" w14:textId="77777777" w:rsidR="00436DAA" w:rsidRPr="00330234" w:rsidRDefault="00436DAA" w:rsidP="00BD109B">
      <w:pPr>
        <w:pStyle w:val="a3"/>
        <w:widowControl/>
        <w:ind w:left="0"/>
      </w:pPr>
    </w:p>
    <w:p w14:paraId="1291BA37" w14:textId="77777777" w:rsidR="00436DAA" w:rsidRPr="00330234" w:rsidRDefault="009B4B8E" w:rsidP="006E5B37">
      <w:pPr>
        <w:pStyle w:val="a3"/>
        <w:keepNext/>
        <w:keepLines/>
        <w:widowControl/>
        <w:ind w:left="0"/>
      </w:pPr>
      <w:r w:rsidRPr="00330234">
        <w:rPr>
          <w:u w:val="single"/>
        </w:rPr>
        <w:t>Absorptie</w:t>
      </w:r>
    </w:p>
    <w:p w14:paraId="7BA19882" w14:textId="24206FD0" w:rsidR="00436DAA" w:rsidRPr="00330234" w:rsidRDefault="009B4B8E" w:rsidP="006E5B37">
      <w:pPr>
        <w:pStyle w:val="a3"/>
        <w:keepNext/>
        <w:keepLines/>
        <w:widowControl/>
        <w:ind w:left="0"/>
      </w:pPr>
      <w:r w:rsidRPr="00330234">
        <w:t>Na subcutane toediening bij GCA-patiënten was de absorptie t</w:t>
      </w:r>
      <w:r w:rsidRPr="00330234">
        <w:rPr>
          <w:vertAlign w:val="subscript"/>
        </w:rPr>
        <w:t>1/2</w:t>
      </w:r>
      <w:r w:rsidRPr="00330234">
        <w:t xml:space="preserve"> ongeveer 4 dagen. De biologische beschikbaarheid van de subcutane formulering was 0,8. De mediane waarden van T</w:t>
      </w:r>
      <w:r w:rsidRPr="00330234">
        <w:rPr>
          <w:vertAlign w:val="subscript"/>
        </w:rPr>
        <w:t>max</w:t>
      </w:r>
      <w:r w:rsidRPr="00330234">
        <w:t xml:space="preserve"> waren 3</w:t>
      </w:r>
      <w:r w:rsidR="00045E49" w:rsidRPr="00330234">
        <w:t> </w:t>
      </w:r>
      <w:r w:rsidRPr="00330234">
        <w:t xml:space="preserve">dagen na de wekelijkse </w:t>
      </w:r>
      <w:r w:rsidR="00066333" w:rsidRPr="00330234">
        <w:t>tocilizumab</w:t>
      </w:r>
      <w:r w:rsidRPr="00330234">
        <w:t>-dosis en 4,5 dagen na de om de week tocilizumab-dosis.</w:t>
      </w:r>
    </w:p>
    <w:p w14:paraId="0164ACD7" w14:textId="77777777" w:rsidR="00436DAA" w:rsidRPr="00330234" w:rsidRDefault="00436DAA" w:rsidP="00BD109B">
      <w:pPr>
        <w:pStyle w:val="a3"/>
        <w:widowControl/>
        <w:ind w:left="0"/>
      </w:pPr>
    </w:p>
    <w:p w14:paraId="0E476017" w14:textId="77777777" w:rsidR="00436DAA" w:rsidRPr="00330234" w:rsidRDefault="009B4B8E" w:rsidP="00BD109B">
      <w:pPr>
        <w:pStyle w:val="a3"/>
        <w:widowControl/>
        <w:ind w:left="0"/>
      </w:pPr>
      <w:r w:rsidRPr="00330234">
        <w:rPr>
          <w:u w:val="single"/>
        </w:rPr>
        <w:t>Distributie</w:t>
      </w:r>
    </w:p>
    <w:p w14:paraId="633E1DBC" w14:textId="77777777" w:rsidR="00436DAA" w:rsidRPr="00330234" w:rsidRDefault="009B4B8E" w:rsidP="00BD109B">
      <w:pPr>
        <w:pStyle w:val="a3"/>
        <w:widowControl/>
        <w:ind w:left="0"/>
      </w:pPr>
      <w:r w:rsidRPr="00330234">
        <w:t>Bij GCA-patiënten was het centrale verdelingsvolume 4,09 l, het perifere verdelingsvolume 3,37 l, resulterend in een distributievolume bij steady-state van 7,46 l.</w:t>
      </w:r>
    </w:p>
    <w:p w14:paraId="1660DFD7" w14:textId="77777777" w:rsidR="00436DAA" w:rsidRPr="00330234" w:rsidRDefault="00436DAA" w:rsidP="00BD109B">
      <w:pPr>
        <w:widowControl/>
      </w:pPr>
    </w:p>
    <w:p w14:paraId="7A37916B" w14:textId="77777777" w:rsidR="00436DAA" w:rsidRPr="00330234" w:rsidRDefault="009B4B8E" w:rsidP="00BD109B">
      <w:pPr>
        <w:pStyle w:val="a3"/>
        <w:widowControl/>
        <w:ind w:left="0"/>
      </w:pPr>
      <w:r w:rsidRPr="00330234">
        <w:rPr>
          <w:u w:val="single"/>
        </w:rPr>
        <w:t>Eliminatie</w:t>
      </w:r>
    </w:p>
    <w:p w14:paraId="40D29F98" w14:textId="0B6E3590" w:rsidR="00436DAA" w:rsidRPr="00330234" w:rsidRDefault="009B4B8E" w:rsidP="00BD109B">
      <w:pPr>
        <w:pStyle w:val="a3"/>
        <w:widowControl/>
        <w:ind w:left="0"/>
      </w:pPr>
      <w:r w:rsidRPr="00330234">
        <w:t xml:space="preserve">De totale klaring van </w:t>
      </w:r>
      <w:r w:rsidR="00066333" w:rsidRPr="00330234">
        <w:t>tocilizumab</w:t>
      </w:r>
      <w:r w:rsidRPr="00330234">
        <w:t xml:space="preserve"> was concentratie-afhankelijk en is de som van de lineaire klaring en de non-lineaire klaring. De lineaire klaring is geschat als parameter in de farmacokinetische populatieanalyse en was 6,7 ml/uur bij GCA-patiënten.</w:t>
      </w:r>
    </w:p>
    <w:p w14:paraId="6B416F72" w14:textId="77777777" w:rsidR="00436DAA" w:rsidRPr="00330234" w:rsidRDefault="00436DAA" w:rsidP="00BD109B">
      <w:pPr>
        <w:pStyle w:val="a3"/>
        <w:widowControl/>
        <w:ind w:left="0"/>
      </w:pPr>
    </w:p>
    <w:p w14:paraId="485D5177" w14:textId="1E09953B" w:rsidR="00436DAA" w:rsidRPr="00330234" w:rsidRDefault="009B4B8E" w:rsidP="00BD109B">
      <w:pPr>
        <w:pStyle w:val="a3"/>
        <w:widowControl/>
        <w:ind w:left="0"/>
      </w:pPr>
      <w:r w:rsidRPr="00330234">
        <w:t>De effectieve t</w:t>
      </w:r>
      <w:r w:rsidRPr="00330234">
        <w:rPr>
          <w:vertAlign w:val="subscript"/>
        </w:rPr>
        <w:t>1/2</w:t>
      </w:r>
      <w:r w:rsidRPr="00330234">
        <w:t xml:space="preserve"> van </w:t>
      </w:r>
      <w:r w:rsidR="00066333" w:rsidRPr="00330234">
        <w:t>tocilizumab</w:t>
      </w:r>
      <w:r w:rsidRPr="00330234">
        <w:t xml:space="preserve"> bij GCA-patiënten bij steady-state varieerde tussen 18,3 en</w:t>
      </w:r>
    </w:p>
    <w:p w14:paraId="3F0B0F2F" w14:textId="70AEA995" w:rsidR="00436DAA" w:rsidRPr="00330234" w:rsidRDefault="009B4B8E" w:rsidP="00BD109B">
      <w:pPr>
        <w:pStyle w:val="a3"/>
        <w:widowControl/>
        <w:ind w:left="0"/>
      </w:pPr>
      <w:r w:rsidRPr="00330234">
        <w:t xml:space="preserve">18,9 dagen voor het schema met wekelijkse toediening van 162 mg en tussen 4,2 en 7,9 dagen voor het schema met om de week toediening van 162 mg. Bij de hoge serumconcentraties, waarbij de totale klaring van </w:t>
      </w:r>
      <w:r w:rsidR="00066333" w:rsidRPr="00330234">
        <w:t>tocilizumab</w:t>
      </w:r>
      <w:r w:rsidRPr="00330234">
        <w:t xml:space="preserve"> voornamelijk lineair is, werd een effectieve t</w:t>
      </w:r>
      <w:r w:rsidRPr="00330234">
        <w:rPr>
          <w:vertAlign w:val="subscript"/>
        </w:rPr>
        <w:t>1/2</w:t>
      </w:r>
      <w:r w:rsidRPr="00330234">
        <w:t xml:space="preserve"> geschat van ongeveer 32</w:t>
      </w:r>
      <w:r w:rsidR="00045E49" w:rsidRPr="00330234">
        <w:t> </w:t>
      </w:r>
      <w:r w:rsidRPr="00330234">
        <w:t>dagen afgeleid van de geschatte populatieparameters.</w:t>
      </w:r>
    </w:p>
    <w:p w14:paraId="1CFD9A4D" w14:textId="77777777" w:rsidR="00045E49" w:rsidRPr="00330234" w:rsidRDefault="00045E49" w:rsidP="00BD109B">
      <w:pPr>
        <w:pStyle w:val="a3"/>
        <w:widowControl/>
        <w:ind w:left="0"/>
      </w:pPr>
    </w:p>
    <w:p w14:paraId="26524675" w14:textId="77777777" w:rsidR="00436DAA" w:rsidRPr="00330234" w:rsidRDefault="009B4B8E" w:rsidP="00BD109B">
      <w:pPr>
        <w:pStyle w:val="a3"/>
        <w:widowControl/>
        <w:ind w:left="0"/>
      </w:pPr>
      <w:r w:rsidRPr="00330234">
        <w:rPr>
          <w:u w:val="single"/>
        </w:rPr>
        <w:t>Speciale populaties</w:t>
      </w:r>
    </w:p>
    <w:p w14:paraId="3D65BBD0" w14:textId="3934B948" w:rsidR="00436DAA" w:rsidRPr="00330234" w:rsidRDefault="009B4B8E" w:rsidP="00BD109B">
      <w:pPr>
        <w:pStyle w:val="a3"/>
        <w:widowControl/>
        <w:ind w:left="0"/>
      </w:pPr>
      <w:r w:rsidRPr="00330234">
        <w:rPr>
          <w:i/>
        </w:rPr>
        <w:t xml:space="preserve">Verminderde nierfunctie: </w:t>
      </w:r>
      <w:r w:rsidRPr="00330234">
        <w:t xml:space="preserve">Er is geen formeel onderzoek uitgevoerd naar de effecten van verminderde nierfunctie op de farmacokinetiek van </w:t>
      </w:r>
      <w:r w:rsidR="00066333" w:rsidRPr="00330234">
        <w:t>tocilizumab</w:t>
      </w:r>
      <w:r w:rsidRPr="00330234">
        <w:t xml:space="preserve">. De meeste patiënten in de RA- en GCA- onderzoeken farmacokinetische populatieanalyse hadden een normale nierfunctie of een licht </w:t>
      </w:r>
      <w:r w:rsidRPr="00330234">
        <w:lastRenderedPageBreak/>
        <w:t xml:space="preserve">verminderde nierfunctie. Een licht verminderde nierfunctie (geschatte creatinineklaring op basis van Cockcroft-Gault formule) had geen invloed op de farmacokinetiek van </w:t>
      </w:r>
      <w:r w:rsidR="00066333" w:rsidRPr="00330234">
        <w:t>tocilizumab</w:t>
      </w:r>
      <w:r w:rsidRPr="00330234">
        <w:t>.</w:t>
      </w:r>
    </w:p>
    <w:p w14:paraId="02E2F514" w14:textId="77777777" w:rsidR="00436DAA" w:rsidRPr="00330234" w:rsidRDefault="00436DAA" w:rsidP="00BD109B">
      <w:pPr>
        <w:pStyle w:val="a3"/>
        <w:widowControl/>
        <w:ind w:left="0"/>
      </w:pPr>
    </w:p>
    <w:p w14:paraId="57E0C3ED" w14:textId="50889C3E" w:rsidR="00436DAA" w:rsidRPr="00330234" w:rsidRDefault="009B4B8E" w:rsidP="00BD109B">
      <w:pPr>
        <w:pStyle w:val="a3"/>
        <w:widowControl/>
        <w:ind w:left="0"/>
      </w:pPr>
      <w:r w:rsidRPr="00330234">
        <w:t xml:space="preserve">Ongeveer één derde van de patiënten in het GCA-onderzoek had een matig verminderde nierfunctie bij baseline (geschatte creatinineklaring van 30-59 ml/min). Er werd geen effect op </w:t>
      </w:r>
      <w:r w:rsidR="00066333" w:rsidRPr="00330234">
        <w:t>tocilizumab</w:t>
      </w:r>
      <w:r w:rsidRPr="00330234">
        <w:t>-blootstelling waargenomen voor deze patiënten.</w:t>
      </w:r>
    </w:p>
    <w:p w14:paraId="72090695" w14:textId="77777777" w:rsidR="00045E49" w:rsidRPr="00330234" w:rsidRDefault="00045E49" w:rsidP="00BD109B">
      <w:pPr>
        <w:pStyle w:val="a3"/>
        <w:widowControl/>
        <w:ind w:left="0"/>
      </w:pPr>
    </w:p>
    <w:p w14:paraId="64C935C3" w14:textId="77777777" w:rsidR="00436DAA" w:rsidRPr="00330234" w:rsidRDefault="009B4B8E" w:rsidP="00BD109B">
      <w:pPr>
        <w:pStyle w:val="a3"/>
        <w:widowControl/>
        <w:ind w:left="0"/>
      </w:pPr>
      <w:r w:rsidRPr="00330234">
        <w:t>Er is geen dosisaanpassing noodzakelijk bij patiënten met een licht of matig verminderde nierfunctie.</w:t>
      </w:r>
    </w:p>
    <w:p w14:paraId="16206271" w14:textId="77777777" w:rsidR="00436DAA" w:rsidRPr="00330234" w:rsidRDefault="00436DAA" w:rsidP="00BD109B">
      <w:pPr>
        <w:pStyle w:val="a3"/>
        <w:widowControl/>
        <w:ind w:left="0"/>
      </w:pPr>
    </w:p>
    <w:p w14:paraId="736D5267" w14:textId="23DED7B5" w:rsidR="00436DAA" w:rsidRPr="00330234" w:rsidRDefault="009B4B8E" w:rsidP="00BD109B">
      <w:pPr>
        <w:pStyle w:val="a3"/>
        <w:widowControl/>
        <w:ind w:left="0"/>
      </w:pPr>
      <w:r w:rsidRPr="00330234">
        <w:rPr>
          <w:i/>
        </w:rPr>
        <w:t xml:space="preserve">Verminderde leverfunctie: </w:t>
      </w:r>
      <w:r w:rsidRPr="00330234">
        <w:t xml:space="preserve">Er is geen formeel onderzoek uitgevoerd naar de effecten van verminderde leverfunctie op de farmacokinetiek van </w:t>
      </w:r>
      <w:r w:rsidR="00066333" w:rsidRPr="00330234">
        <w:t>tocilizumab</w:t>
      </w:r>
      <w:r w:rsidRPr="00330234">
        <w:t>.</w:t>
      </w:r>
    </w:p>
    <w:p w14:paraId="43FF32F4" w14:textId="77777777" w:rsidR="00436DAA" w:rsidRPr="00330234" w:rsidRDefault="00436DAA" w:rsidP="00BD109B">
      <w:pPr>
        <w:pStyle w:val="a3"/>
        <w:widowControl/>
        <w:ind w:left="0"/>
      </w:pPr>
    </w:p>
    <w:p w14:paraId="30528618" w14:textId="370604C9" w:rsidR="00436DAA" w:rsidRPr="00330234" w:rsidRDefault="009B4B8E" w:rsidP="00BD109B">
      <w:pPr>
        <w:pStyle w:val="a3"/>
        <w:widowControl/>
        <w:ind w:left="0"/>
      </w:pPr>
      <w:r w:rsidRPr="00330234">
        <w:rPr>
          <w:i/>
        </w:rPr>
        <w:t xml:space="preserve">Leeftijd, geslacht en etniciteit: </w:t>
      </w:r>
      <w:r w:rsidRPr="00330234">
        <w:t xml:space="preserve">Farmacokinetische populatieanalyses bij RA- en GCA-patiënten hebben aangetoond dat de farmacokinetiek van </w:t>
      </w:r>
      <w:r w:rsidR="00066333" w:rsidRPr="00330234">
        <w:t>tocilizumab</w:t>
      </w:r>
      <w:r w:rsidRPr="00330234">
        <w:t xml:space="preserve"> niet wordt beïnvloed door leeftijd, geslacht of etnische achtergrond.</w:t>
      </w:r>
    </w:p>
    <w:p w14:paraId="5F10A979" w14:textId="77777777" w:rsidR="00045E49" w:rsidRPr="00330234" w:rsidRDefault="00045E49" w:rsidP="00BD109B">
      <w:pPr>
        <w:pStyle w:val="a3"/>
        <w:widowControl/>
        <w:ind w:left="0"/>
      </w:pPr>
    </w:p>
    <w:p w14:paraId="68EF1D2F" w14:textId="7CF2582D" w:rsidR="00436DAA" w:rsidRPr="00330234" w:rsidRDefault="009B4B8E" w:rsidP="00BD109B">
      <w:pPr>
        <w:pStyle w:val="a3"/>
        <w:widowControl/>
        <w:ind w:left="0"/>
      </w:pPr>
      <w:r w:rsidRPr="00330234">
        <w:t xml:space="preserve">Resultaten van de farmacokinetische populatieanalyse bij sJIA- en pJIA-patiënten hebben bevestigd dat lichaamsgrootte de enige covariant is met een waarneembare invloed op de farmacokinetiek van </w:t>
      </w:r>
      <w:r w:rsidR="00066333" w:rsidRPr="00330234">
        <w:t>tocilizumab</w:t>
      </w:r>
      <w:r w:rsidRPr="00330234">
        <w:t xml:space="preserve"> waaronder eliminatie en absorptie, daarom moet rekening worden gehouden met de dosering op basis van lichaamsgewicht (zie tabel 8 en 9).</w:t>
      </w:r>
    </w:p>
    <w:p w14:paraId="383F8571" w14:textId="77777777" w:rsidR="00436DAA" w:rsidRPr="00330234" w:rsidRDefault="00436DAA" w:rsidP="00BD109B">
      <w:pPr>
        <w:pStyle w:val="a3"/>
        <w:widowControl/>
        <w:ind w:left="0"/>
      </w:pPr>
    </w:p>
    <w:p w14:paraId="77EF1311" w14:textId="65CD3A6F" w:rsidR="00436DAA" w:rsidRPr="00330234" w:rsidRDefault="005328BF" w:rsidP="00BD109B">
      <w:pPr>
        <w:pStyle w:val="2"/>
      </w:pPr>
      <w:r w:rsidRPr="00330234">
        <w:t>5.3</w:t>
      </w:r>
      <w:r w:rsidRPr="00330234">
        <w:tab/>
      </w:r>
      <w:r w:rsidR="009B4B8E" w:rsidRPr="00330234">
        <w:t>Gegevens uit het preklinisch veiligheidsonderzoek</w:t>
      </w:r>
    </w:p>
    <w:p w14:paraId="192605A7" w14:textId="77777777" w:rsidR="00045E49" w:rsidRPr="00330234" w:rsidRDefault="00045E49" w:rsidP="00BD109B">
      <w:pPr>
        <w:pStyle w:val="a3"/>
        <w:widowControl/>
        <w:ind w:left="0"/>
      </w:pPr>
    </w:p>
    <w:p w14:paraId="29BB7D45" w14:textId="1D427242" w:rsidR="00436DAA" w:rsidRPr="00330234" w:rsidRDefault="009B4B8E" w:rsidP="00BD109B">
      <w:pPr>
        <w:pStyle w:val="a3"/>
        <w:widowControl/>
        <w:ind w:left="0"/>
      </w:pPr>
      <w:r w:rsidRPr="00330234">
        <w:t>Niet-klinische gegevens duiden niet op een speciaal risico voor mensen. Deze gegevens zijn afkomstig van conventioneel onderzoek op het gebied van veiligheidsfarmacologie, toxiciteit bij herhaalde dosering, genotoxiciteit, en reproductie- en ontwikkelingstoxiciteit.</w:t>
      </w:r>
    </w:p>
    <w:p w14:paraId="18C190EB" w14:textId="77777777" w:rsidR="00436DAA" w:rsidRPr="00330234" w:rsidRDefault="00436DAA" w:rsidP="00BD109B">
      <w:pPr>
        <w:pStyle w:val="a3"/>
        <w:widowControl/>
        <w:ind w:left="0"/>
      </w:pPr>
    </w:p>
    <w:p w14:paraId="54E13A79" w14:textId="77777777" w:rsidR="00436DAA" w:rsidRPr="00330234" w:rsidRDefault="009B4B8E" w:rsidP="00BD109B">
      <w:pPr>
        <w:pStyle w:val="a3"/>
        <w:widowControl/>
        <w:ind w:left="0"/>
      </w:pPr>
      <w:r w:rsidRPr="00330234">
        <w:t>Carcinogeniteitsstudies zijn niet uitgevoerd omdat er vanuit gegaan wordt dat IgG1 monoklonale antilichamen geen intrinsieke carcinogene potentie hebben.</w:t>
      </w:r>
    </w:p>
    <w:p w14:paraId="5F8D0926" w14:textId="77777777" w:rsidR="00436DAA" w:rsidRPr="00330234" w:rsidRDefault="00436DAA" w:rsidP="00BD109B">
      <w:pPr>
        <w:pStyle w:val="a3"/>
        <w:widowControl/>
        <w:ind w:left="0"/>
      </w:pPr>
    </w:p>
    <w:p w14:paraId="40A4E4CD" w14:textId="782DA949" w:rsidR="00436DAA" w:rsidRPr="00330234" w:rsidRDefault="009B4B8E" w:rsidP="00BD109B">
      <w:pPr>
        <w:pStyle w:val="a3"/>
        <w:widowControl/>
        <w:ind w:left="0"/>
      </w:pPr>
      <w:r w:rsidRPr="00330234">
        <w:t xml:space="preserve">Beschikbare niet-klinische gegevens tonen een effect van IL-6 op de progressie van maligniteiten en apoptoseresistentie van verschillende typen carcinomen. Deze gegevens duiden niet op een relevant risico voor het ontstaan van kanker en progressie daarvan gedurende behandeling met </w:t>
      </w:r>
      <w:r w:rsidR="00066333" w:rsidRPr="00330234">
        <w:t>tocilizumab</w:t>
      </w:r>
      <w:r w:rsidRPr="00330234">
        <w:t>. Bovendien zijn proliferatieve laesies niet waargenomen gedurende een 6 maanden chronische toxiciteitsstudie in cynomolgus-apen of bij IL-6-deficiënte muizen.</w:t>
      </w:r>
    </w:p>
    <w:p w14:paraId="1CB17ED5" w14:textId="77777777" w:rsidR="00045E49" w:rsidRPr="00330234" w:rsidRDefault="00045E49" w:rsidP="00BD109B">
      <w:pPr>
        <w:pStyle w:val="a3"/>
        <w:widowControl/>
        <w:ind w:left="0"/>
      </w:pPr>
    </w:p>
    <w:p w14:paraId="10EA58D4" w14:textId="0AC447F0" w:rsidR="00436DAA" w:rsidRPr="00330234" w:rsidRDefault="009B4B8E" w:rsidP="00BD109B">
      <w:pPr>
        <w:pStyle w:val="a3"/>
        <w:widowControl/>
        <w:ind w:left="0"/>
      </w:pPr>
      <w:r w:rsidRPr="00330234">
        <w:t xml:space="preserve">Beschikbare niet-klinische gegevens duiden niet op een effect van tocilizumab op de fertiliteit. Effecten op endocrien-actieve en voortplantingsorganen zijn in een chronische toxiciteitstudie met cynomolgus-apen niet waargenomen en de reproductieve prestatie van IL-6-deficiënte muizen was niet veranderd. </w:t>
      </w:r>
      <w:r w:rsidR="00DA42F1" w:rsidRPr="00330234">
        <w:t>T</w:t>
      </w:r>
      <w:r w:rsidR="00066333" w:rsidRPr="00330234">
        <w:t>ocilizumab</w:t>
      </w:r>
      <w:r w:rsidRPr="00330234">
        <w:t xml:space="preserve"> toegediend aan cynomolgus-apen tijdens de vroege fase van de dracht had geen directe of indirecte schadelijke invloed op de zwangerschap of embryo-foetale ontwikkeling.</w:t>
      </w:r>
    </w:p>
    <w:p w14:paraId="0CF756AB" w14:textId="270883C0" w:rsidR="00436DAA" w:rsidRPr="00330234" w:rsidRDefault="009B4B8E" w:rsidP="00045E49">
      <w:pPr>
        <w:pStyle w:val="a3"/>
        <w:widowControl/>
        <w:ind w:left="0"/>
      </w:pPr>
      <w:r w:rsidRPr="00330234">
        <w:t>Toch werd een kleine toename van miskramen en/of embryo-foetale dood waargenomen bij een hoge</w:t>
      </w:r>
      <w:r w:rsidR="00045E49" w:rsidRPr="00330234">
        <w:t xml:space="preserve"> </w:t>
      </w:r>
      <w:r w:rsidRPr="00330234">
        <w:t xml:space="preserve">systemische blootstelling (&gt; 100 x de humane blootstelling) in de 50 mg/kg/dag hoge-dosisgroep vergeleken met placebo en andere lage-dosisgroepen. Hoewel IL-6 geen kritisch cytokine voor de foetale groei of immunologische controle van de moeder/foetus barrière lijkt te zijn, kan de rol van </w:t>
      </w:r>
      <w:r w:rsidR="00066333" w:rsidRPr="00330234">
        <w:t>tocilizumab</w:t>
      </w:r>
      <w:r w:rsidRPr="00330234">
        <w:t xml:space="preserve"> hierin niet worden uitgesloten.</w:t>
      </w:r>
    </w:p>
    <w:p w14:paraId="07C49798" w14:textId="77777777" w:rsidR="00436DAA" w:rsidRPr="00330234" w:rsidRDefault="00436DAA" w:rsidP="00BD109B">
      <w:pPr>
        <w:pStyle w:val="a3"/>
        <w:widowControl/>
        <w:ind w:left="0"/>
      </w:pPr>
    </w:p>
    <w:p w14:paraId="1BF861E9" w14:textId="77777777" w:rsidR="00436DAA" w:rsidRPr="00330234" w:rsidRDefault="009B4B8E" w:rsidP="00BD109B">
      <w:pPr>
        <w:pStyle w:val="a3"/>
        <w:widowControl/>
        <w:ind w:left="0"/>
      </w:pPr>
      <w:r w:rsidRPr="00330234">
        <w:t>Behandeling met een murine-analoog liet geen toxiciteit zien bij juveniele muizen. In het bijzonder was er geen verstoring van de skeletgroei, immuunfunctie en seksuele rijping.</w:t>
      </w:r>
    </w:p>
    <w:p w14:paraId="3D9C7309" w14:textId="77777777" w:rsidR="00045E49" w:rsidRPr="00330234" w:rsidRDefault="00045E49" w:rsidP="00BD109B">
      <w:pPr>
        <w:pStyle w:val="a3"/>
        <w:widowControl/>
        <w:ind w:left="0"/>
      </w:pPr>
    </w:p>
    <w:p w14:paraId="22D0EA42" w14:textId="0CB3341F" w:rsidR="00436DAA" w:rsidRPr="00330234" w:rsidRDefault="009B4B8E" w:rsidP="00BD109B">
      <w:pPr>
        <w:pStyle w:val="a3"/>
        <w:widowControl/>
        <w:ind w:left="0"/>
      </w:pPr>
      <w:r w:rsidRPr="00330234">
        <w:t xml:space="preserve">Het niet-klinische veiligheidsprofiel van </w:t>
      </w:r>
      <w:r w:rsidR="00066333" w:rsidRPr="00330234">
        <w:t>tocilizumab</w:t>
      </w:r>
      <w:r w:rsidRPr="00330234">
        <w:t xml:space="preserve"> bij cynomolgusapen lijkt niet te wijzen op een verschil tussen intraveneuze en subcutane toedieningswegen.</w:t>
      </w:r>
    </w:p>
    <w:p w14:paraId="43B7ABCF" w14:textId="77777777" w:rsidR="00436DAA" w:rsidRPr="00330234" w:rsidRDefault="00436DAA" w:rsidP="00BD109B">
      <w:pPr>
        <w:pStyle w:val="a3"/>
        <w:widowControl/>
        <w:ind w:left="0"/>
      </w:pPr>
    </w:p>
    <w:p w14:paraId="78470920" w14:textId="77777777" w:rsidR="00436DAA" w:rsidRPr="00330234" w:rsidRDefault="00436DAA" w:rsidP="00BD109B">
      <w:pPr>
        <w:pStyle w:val="a3"/>
        <w:widowControl/>
        <w:ind w:left="0"/>
      </w:pPr>
    </w:p>
    <w:p w14:paraId="5836042A" w14:textId="209A9830" w:rsidR="00436DAA" w:rsidRPr="00330234" w:rsidRDefault="005328BF" w:rsidP="00045E49">
      <w:pPr>
        <w:pStyle w:val="1"/>
        <w:keepNext/>
        <w:keepLines/>
      </w:pPr>
      <w:r w:rsidRPr="00330234">
        <w:lastRenderedPageBreak/>
        <w:t>6.</w:t>
      </w:r>
      <w:r w:rsidRPr="00330234">
        <w:tab/>
      </w:r>
      <w:r w:rsidR="009B4B8E" w:rsidRPr="00330234">
        <w:t>FARMACEUTISCHE GEGEVENS</w:t>
      </w:r>
    </w:p>
    <w:p w14:paraId="2B4A9CB2" w14:textId="77777777" w:rsidR="00436DAA" w:rsidRPr="00330234" w:rsidRDefault="00436DAA" w:rsidP="00045E49">
      <w:pPr>
        <w:pStyle w:val="a3"/>
        <w:keepNext/>
        <w:keepLines/>
        <w:widowControl/>
        <w:ind w:left="0"/>
        <w:rPr>
          <w:bCs/>
        </w:rPr>
      </w:pPr>
    </w:p>
    <w:p w14:paraId="686A1F8B" w14:textId="18B987C7" w:rsidR="00436DAA" w:rsidRPr="00330234" w:rsidRDefault="005328BF" w:rsidP="00045E49">
      <w:pPr>
        <w:pStyle w:val="2"/>
        <w:keepNext/>
        <w:keepLines/>
      </w:pPr>
      <w:r w:rsidRPr="00330234">
        <w:t>6.1</w:t>
      </w:r>
      <w:r w:rsidRPr="00330234">
        <w:tab/>
      </w:r>
      <w:r w:rsidR="009B4B8E" w:rsidRPr="00330234">
        <w:t>Lijst van hulpstoffen</w:t>
      </w:r>
    </w:p>
    <w:p w14:paraId="3954ECAA" w14:textId="77777777" w:rsidR="00045E49" w:rsidRPr="00330234" w:rsidRDefault="00045E49" w:rsidP="00045E49">
      <w:pPr>
        <w:pStyle w:val="a3"/>
        <w:keepNext/>
        <w:keepLines/>
        <w:widowControl/>
        <w:ind w:left="0"/>
      </w:pPr>
    </w:p>
    <w:p w14:paraId="4A491141" w14:textId="35F5FF6E" w:rsidR="00436DAA" w:rsidRDefault="009B4B8E" w:rsidP="00045E49">
      <w:pPr>
        <w:pStyle w:val="a3"/>
        <w:keepNext/>
        <w:keepLines/>
        <w:widowControl/>
        <w:ind w:left="0"/>
        <w:rPr>
          <w:rFonts w:eastAsia="맑은 고딕"/>
          <w:lang w:eastAsia="ko-KR"/>
        </w:rPr>
      </w:pPr>
      <w:r w:rsidRPr="00330234">
        <w:t>L-histidine</w:t>
      </w:r>
    </w:p>
    <w:p w14:paraId="52CC9A28" w14:textId="0F128583" w:rsidR="0065408F" w:rsidRPr="00144E79" w:rsidRDefault="0065408F" w:rsidP="00045E49">
      <w:pPr>
        <w:pStyle w:val="a3"/>
        <w:keepNext/>
        <w:keepLines/>
        <w:widowControl/>
        <w:ind w:left="0"/>
        <w:rPr>
          <w:rFonts w:eastAsia="맑은 고딕"/>
          <w:lang w:eastAsia="ko-KR"/>
        </w:rPr>
      </w:pPr>
      <w:r w:rsidRPr="0065408F">
        <w:rPr>
          <w:rFonts w:eastAsia="맑은 고딕" w:hint="eastAsia"/>
          <w:lang w:eastAsia="ko-KR"/>
        </w:rPr>
        <w:t>L-histidine monohydrochloride monohydraat</w:t>
      </w:r>
    </w:p>
    <w:p w14:paraId="7027CAD2" w14:textId="146D3E0B" w:rsidR="00436DAA" w:rsidRPr="00330234" w:rsidRDefault="00066333" w:rsidP="00045E49">
      <w:pPr>
        <w:pStyle w:val="a3"/>
        <w:keepNext/>
        <w:keepLines/>
        <w:widowControl/>
        <w:ind w:left="0"/>
      </w:pPr>
      <w:r w:rsidRPr="00330234">
        <w:t>L-threonine</w:t>
      </w:r>
    </w:p>
    <w:p w14:paraId="2C5AC55E" w14:textId="77777777" w:rsidR="00045E49" w:rsidRPr="00330234" w:rsidRDefault="009B4B8E" w:rsidP="00BD109B">
      <w:pPr>
        <w:pStyle w:val="a3"/>
        <w:widowControl/>
        <w:ind w:left="0"/>
      </w:pPr>
      <w:r w:rsidRPr="00330234">
        <w:t>L-methionine</w:t>
      </w:r>
    </w:p>
    <w:p w14:paraId="42247376" w14:textId="77777777" w:rsidR="00045E49" w:rsidRPr="00330234" w:rsidRDefault="009B4B8E" w:rsidP="00BD109B">
      <w:pPr>
        <w:pStyle w:val="a3"/>
        <w:widowControl/>
        <w:ind w:left="0"/>
      </w:pPr>
      <w:r w:rsidRPr="00330234">
        <w:t>Polysorbaat 80</w:t>
      </w:r>
    </w:p>
    <w:p w14:paraId="419CBCD2" w14:textId="43DAF637" w:rsidR="00436DAA" w:rsidRPr="00330234" w:rsidRDefault="009B4B8E" w:rsidP="00BD109B">
      <w:pPr>
        <w:pStyle w:val="a3"/>
        <w:widowControl/>
        <w:ind w:left="0"/>
      </w:pPr>
      <w:r w:rsidRPr="00330234">
        <w:t>Water voor injecties</w:t>
      </w:r>
    </w:p>
    <w:p w14:paraId="350498BC" w14:textId="77777777" w:rsidR="00436DAA" w:rsidRPr="00330234" w:rsidRDefault="00436DAA" w:rsidP="00BD109B">
      <w:pPr>
        <w:pStyle w:val="a3"/>
        <w:widowControl/>
        <w:ind w:left="0"/>
      </w:pPr>
    </w:p>
    <w:p w14:paraId="0C6432FA" w14:textId="468C8AE7" w:rsidR="00436DAA" w:rsidRPr="00330234" w:rsidRDefault="005328BF" w:rsidP="00BD109B">
      <w:pPr>
        <w:pStyle w:val="2"/>
      </w:pPr>
      <w:r w:rsidRPr="00330234">
        <w:t>6.2</w:t>
      </w:r>
      <w:r w:rsidRPr="00330234">
        <w:tab/>
      </w:r>
      <w:r w:rsidR="009B4B8E" w:rsidRPr="00330234">
        <w:t>Gevallen van onverenigbaarheid</w:t>
      </w:r>
    </w:p>
    <w:p w14:paraId="1F73A145" w14:textId="77777777" w:rsidR="00045E49" w:rsidRPr="00330234" w:rsidRDefault="00045E49" w:rsidP="00BD109B">
      <w:pPr>
        <w:pStyle w:val="a3"/>
        <w:widowControl/>
        <w:ind w:left="0"/>
      </w:pPr>
    </w:p>
    <w:p w14:paraId="7B0449A7" w14:textId="0B6E3F00" w:rsidR="00436DAA" w:rsidRPr="00330234" w:rsidRDefault="009B4B8E" w:rsidP="00BD109B">
      <w:pPr>
        <w:pStyle w:val="a3"/>
        <w:widowControl/>
        <w:ind w:left="0"/>
      </w:pPr>
      <w:r w:rsidRPr="00330234">
        <w:t>Bij gebrek aan onderzoek naar onverenigbaarheden, mag dit geneesmiddel niet met andere geneesmiddelen gemengd worden.</w:t>
      </w:r>
    </w:p>
    <w:p w14:paraId="6E8A8BA5" w14:textId="77777777" w:rsidR="00436DAA" w:rsidRPr="00330234" w:rsidRDefault="00436DAA" w:rsidP="00BD109B">
      <w:pPr>
        <w:pStyle w:val="a3"/>
        <w:widowControl/>
        <w:ind w:left="0"/>
      </w:pPr>
    </w:p>
    <w:p w14:paraId="541C1C12" w14:textId="2DA8FA06" w:rsidR="00436DAA" w:rsidRPr="00330234" w:rsidRDefault="005328BF" w:rsidP="00BD109B">
      <w:pPr>
        <w:pStyle w:val="2"/>
      </w:pPr>
      <w:r w:rsidRPr="00330234">
        <w:t>6.3</w:t>
      </w:r>
      <w:r w:rsidRPr="00330234">
        <w:tab/>
      </w:r>
      <w:r w:rsidR="009B4B8E" w:rsidRPr="00330234">
        <w:t>Houdbaarheid</w:t>
      </w:r>
    </w:p>
    <w:p w14:paraId="0C4F54EC" w14:textId="77777777" w:rsidR="00045E49" w:rsidRPr="00330234" w:rsidRDefault="00045E49" w:rsidP="00BD109B">
      <w:pPr>
        <w:pStyle w:val="a3"/>
        <w:widowControl/>
        <w:ind w:left="0"/>
      </w:pPr>
    </w:p>
    <w:p w14:paraId="556DC45E" w14:textId="54989C8C" w:rsidR="00436DAA" w:rsidRPr="00330234" w:rsidRDefault="00D03358" w:rsidP="00BD109B">
      <w:pPr>
        <w:pStyle w:val="a3"/>
        <w:widowControl/>
        <w:ind w:left="0"/>
      </w:pPr>
      <w:r>
        <w:rPr>
          <w:rFonts w:eastAsia="맑은 고딕" w:hint="eastAsia"/>
          <w:lang w:eastAsia="ko-KR"/>
        </w:rPr>
        <w:t>42</w:t>
      </w:r>
      <w:r w:rsidRPr="00330234">
        <w:t xml:space="preserve"> </w:t>
      </w:r>
      <w:r w:rsidR="009B4B8E" w:rsidRPr="00330234">
        <w:t>maanden</w:t>
      </w:r>
    </w:p>
    <w:p w14:paraId="6F131E37" w14:textId="77777777" w:rsidR="00436DAA" w:rsidRPr="00330234" w:rsidRDefault="00436DAA" w:rsidP="00BD109B">
      <w:pPr>
        <w:pStyle w:val="a3"/>
        <w:widowControl/>
        <w:ind w:left="0"/>
      </w:pPr>
    </w:p>
    <w:p w14:paraId="4B7B1C8A" w14:textId="09CD8D0E" w:rsidR="00436DAA" w:rsidRPr="00330234" w:rsidRDefault="005328BF" w:rsidP="00BD109B">
      <w:pPr>
        <w:pStyle w:val="2"/>
      </w:pPr>
      <w:r w:rsidRPr="00330234">
        <w:t>6.4</w:t>
      </w:r>
      <w:r w:rsidRPr="00330234">
        <w:tab/>
      </w:r>
      <w:r w:rsidR="009B4B8E" w:rsidRPr="00330234">
        <w:t>Speciale voorzorgsmaatregelen bij bewaren</w:t>
      </w:r>
    </w:p>
    <w:p w14:paraId="05F66370" w14:textId="77777777" w:rsidR="00045E49" w:rsidRPr="00330234" w:rsidRDefault="00045E49" w:rsidP="00BD109B">
      <w:pPr>
        <w:pStyle w:val="a3"/>
        <w:widowControl/>
        <w:ind w:left="0"/>
      </w:pPr>
    </w:p>
    <w:p w14:paraId="4D02BE03" w14:textId="3DF1EDDC" w:rsidR="00436DAA" w:rsidRPr="00330234" w:rsidRDefault="009B4B8E" w:rsidP="00BD109B">
      <w:pPr>
        <w:pStyle w:val="a3"/>
        <w:widowControl/>
        <w:ind w:left="0"/>
      </w:pPr>
      <w:r w:rsidRPr="00330234">
        <w:t xml:space="preserve">Bewaren in de koelkast (2°C – 8°C). Niet invriezen. Eenmaal uit de koelkast gehaald, kan de voorgevulde pen tot </w:t>
      </w:r>
      <w:r w:rsidR="00066333" w:rsidRPr="00330234">
        <w:t>3 </w:t>
      </w:r>
      <w:r w:rsidRPr="00330234">
        <w:t>weken beneden 30°C worden bewaard.</w:t>
      </w:r>
    </w:p>
    <w:p w14:paraId="7D4057CC" w14:textId="77777777" w:rsidR="00436DAA" w:rsidRPr="00330234" w:rsidRDefault="00436DAA" w:rsidP="00BD109B">
      <w:pPr>
        <w:pStyle w:val="a3"/>
        <w:widowControl/>
        <w:ind w:left="0"/>
      </w:pPr>
    </w:p>
    <w:p w14:paraId="28751DBA" w14:textId="77777777" w:rsidR="00436DAA" w:rsidRPr="00330234" w:rsidRDefault="009B4B8E" w:rsidP="00BD109B">
      <w:pPr>
        <w:pStyle w:val="a3"/>
        <w:widowControl/>
        <w:ind w:left="0"/>
      </w:pPr>
      <w:r w:rsidRPr="00330234">
        <w:t>Bewaar de voorgevulde pen in de buitenverpakking ter bescherming tegen licht en vocht.</w:t>
      </w:r>
    </w:p>
    <w:p w14:paraId="300242B6" w14:textId="77777777" w:rsidR="00436DAA" w:rsidRPr="00330234" w:rsidRDefault="00436DAA" w:rsidP="00BD109B">
      <w:pPr>
        <w:pStyle w:val="a3"/>
        <w:widowControl/>
        <w:ind w:left="0"/>
      </w:pPr>
    </w:p>
    <w:p w14:paraId="61C6074C" w14:textId="2F37C6AC" w:rsidR="00436DAA" w:rsidRPr="00330234" w:rsidRDefault="005328BF" w:rsidP="00BD109B">
      <w:pPr>
        <w:pStyle w:val="2"/>
      </w:pPr>
      <w:r w:rsidRPr="00330234">
        <w:t>6.5</w:t>
      </w:r>
      <w:r w:rsidRPr="00330234">
        <w:tab/>
      </w:r>
      <w:r w:rsidR="009B4B8E" w:rsidRPr="00330234">
        <w:t>Aard en inhoud van de verpakking</w:t>
      </w:r>
    </w:p>
    <w:p w14:paraId="496DF067" w14:textId="77777777" w:rsidR="00045E49" w:rsidRPr="00330234" w:rsidRDefault="00045E49" w:rsidP="00BD109B">
      <w:pPr>
        <w:pStyle w:val="a3"/>
        <w:widowControl/>
        <w:ind w:left="0"/>
      </w:pPr>
    </w:p>
    <w:p w14:paraId="3FD6D076" w14:textId="587447E5" w:rsidR="00436DAA" w:rsidRPr="00330234" w:rsidRDefault="009B4B8E" w:rsidP="00045E49">
      <w:pPr>
        <w:pStyle w:val="a3"/>
        <w:widowControl/>
        <w:ind w:left="0"/>
      </w:pPr>
      <w:r w:rsidRPr="00330234">
        <w:t>0,9 ml oplossing in een voorgevulde spuit (type I-glas) met een afgeschermde naald, bevattende</w:t>
      </w:r>
      <w:r w:rsidR="00045E49" w:rsidRPr="00330234">
        <w:t xml:space="preserve"> </w:t>
      </w:r>
      <w:r w:rsidRPr="00330234">
        <w:t>162</w:t>
      </w:r>
      <w:r w:rsidR="00045E49" w:rsidRPr="00330234">
        <w:t> </w:t>
      </w:r>
      <w:r w:rsidRPr="00330234">
        <w:t xml:space="preserve">mg </w:t>
      </w:r>
      <w:r w:rsidR="00066333" w:rsidRPr="00330234">
        <w:t xml:space="preserve">Avtozma </w:t>
      </w:r>
      <w:r w:rsidRPr="00330234">
        <w:t>in een voorgevulde pen. De spuit wordt afgesloten door een naaldkap (</w:t>
      </w:r>
      <w:r w:rsidR="00066333" w:rsidRPr="00330234">
        <w:t>polyisopreenrubber en polypropyleen</w:t>
      </w:r>
      <w:r w:rsidRPr="00330234">
        <w:t xml:space="preserve">) en een </w:t>
      </w:r>
      <w:r w:rsidR="00066333" w:rsidRPr="00330234">
        <w:t>steriele</w:t>
      </w:r>
      <w:r w:rsidR="00C52A60" w:rsidRPr="00330234">
        <w:t>,</w:t>
      </w:r>
      <w:r w:rsidR="00066333" w:rsidRPr="00330234">
        <w:t xml:space="preserve"> </w:t>
      </w:r>
      <w:r w:rsidR="00C52A60" w:rsidRPr="00330234">
        <w:t xml:space="preserve">met </w:t>
      </w:r>
      <w:r w:rsidR="00066333" w:rsidRPr="00330234">
        <w:t>fluorotec gecoat</w:t>
      </w:r>
      <w:r w:rsidR="00C52A60" w:rsidRPr="00330234">
        <w:t>e</w:t>
      </w:r>
      <w:r w:rsidR="00066333" w:rsidRPr="00330234">
        <w:t xml:space="preserve"> elastomer</w:t>
      </w:r>
      <w:r w:rsidR="00C52A60" w:rsidRPr="00330234">
        <w:t>e</w:t>
      </w:r>
      <w:r w:rsidR="00066333" w:rsidRPr="00330234">
        <w:t xml:space="preserve"> zuigerstopper (met silicone)</w:t>
      </w:r>
      <w:r w:rsidRPr="00330234">
        <w:t>.</w:t>
      </w:r>
    </w:p>
    <w:p w14:paraId="075E9A0B" w14:textId="77777777" w:rsidR="00045E49" w:rsidRPr="00330234" w:rsidRDefault="00045E49" w:rsidP="00BD109B">
      <w:pPr>
        <w:pStyle w:val="a3"/>
        <w:widowControl/>
        <w:ind w:left="0"/>
      </w:pPr>
    </w:p>
    <w:p w14:paraId="3C98830B" w14:textId="0AF8E74E" w:rsidR="00066333" w:rsidRPr="00330234" w:rsidRDefault="00066333" w:rsidP="001B3E1E">
      <w:pPr>
        <w:pStyle w:val="a3"/>
        <w:keepNext/>
        <w:keepLines/>
        <w:widowControl/>
        <w:ind w:left="0"/>
      </w:pPr>
      <w:r w:rsidRPr="00330234">
        <w:t xml:space="preserve">De Avtozma voorgevulde pen voor gebruik door </w:t>
      </w:r>
      <w:r w:rsidR="00BC2CD2" w:rsidRPr="00330234">
        <w:t>patiënten</w:t>
      </w:r>
      <w:r w:rsidRPr="00330234">
        <w:t xml:space="preserve"> is beschikbaar in verpakkingen met:</w:t>
      </w:r>
      <w:r w:rsidRPr="00330234">
        <w:tab/>
      </w:r>
      <w:r w:rsidRPr="00330234">
        <w:tab/>
      </w:r>
    </w:p>
    <w:p w14:paraId="41E8054D" w14:textId="44A4E2BD" w:rsidR="00066333" w:rsidRPr="00330234" w:rsidRDefault="00066333" w:rsidP="00066333">
      <w:pPr>
        <w:pStyle w:val="a3"/>
        <w:widowControl/>
        <w:numPr>
          <w:ilvl w:val="0"/>
          <w:numId w:val="34"/>
        </w:numPr>
        <w:tabs>
          <w:tab w:val="left" w:pos="567"/>
        </w:tabs>
        <w:ind w:left="567" w:hanging="567"/>
      </w:pPr>
      <w:r w:rsidRPr="00330234">
        <w:t>1 voorgevulde pen</w:t>
      </w:r>
    </w:p>
    <w:p w14:paraId="054A17FB" w14:textId="77777777" w:rsidR="002C41D8" w:rsidRPr="002C41D8" w:rsidRDefault="002C41D8" w:rsidP="00066333">
      <w:pPr>
        <w:pStyle w:val="a3"/>
        <w:widowControl/>
        <w:numPr>
          <w:ilvl w:val="0"/>
          <w:numId w:val="34"/>
        </w:numPr>
        <w:tabs>
          <w:tab w:val="left" w:pos="567"/>
        </w:tabs>
        <w:ind w:left="567" w:hanging="567"/>
        <w:rPr>
          <w:ins w:id="26" w:author="만든 이"/>
          <w:rPrChange w:id="27" w:author="만든 이">
            <w:rPr>
              <w:ins w:id="28" w:author="만든 이"/>
              <w:rFonts w:eastAsia="맑은 고딕"/>
              <w:lang w:eastAsia="ko-KR"/>
            </w:rPr>
          </w:rPrChange>
        </w:rPr>
      </w:pPr>
      <w:ins w:id="29" w:author="만든 이">
        <w:r>
          <w:rPr>
            <w:rFonts w:eastAsia="맑은 고딕" w:hint="eastAsia"/>
            <w:lang w:eastAsia="ko-KR"/>
          </w:rPr>
          <w:t>2</w:t>
        </w:r>
        <w:r w:rsidRPr="00330234">
          <w:t xml:space="preserve"> voorgevulde pennen </w:t>
        </w:r>
      </w:ins>
    </w:p>
    <w:p w14:paraId="7D203FAC" w14:textId="7740A014" w:rsidR="00066333" w:rsidRPr="00330234" w:rsidRDefault="00066333" w:rsidP="00066333">
      <w:pPr>
        <w:pStyle w:val="a3"/>
        <w:widowControl/>
        <w:numPr>
          <w:ilvl w:val="0"/>
          <w:numId w:val="34"/>
        </w:numPr>
        <w:tabs>
          <w:tab w:val="left" w:pos="567"/>
        </w:tabs>
        <w:ind w:left="567" w:hanging="567"/>
      </w:pPr>
      <w:r w:rsidRPr="00330234">
        <w:t>4 voorgevulde pennen</w:t>
      </w:r>
    </w:p>
    <w:p w14:paraId="5937AE7B" w14:textId="79514A1B" w:rsidR="00066333" w:rsidRPr="00330234" w:rsidRDefault="00066333" w:rsidP="00066333">
      <w:pPr>
        <w:pStyle w:val="a3"/>
        <w:widowControl/>
        <w:numPr>
          <w:ilvl w:val="0"/>
          <w:numId w:val="34"/>
        </w:numPr>
        <w:tabs>
          <w:tab w:val="left" w:pos="567"/>
        </w:tabs>
        <w:ind w:left="567" w:hanging="567"/>
      </w:pPr>
      <w:r w:rsidRPr="00330234">
        <w:t>12 (3 verpakkingen van 4) voorgevulde pennen (multi-packs)</w:t>
      </w:r>
    </w:p>
    <w:p w14:paraId="65FAE96F" w14:textId="77777777" w:rsidR="00066333" w:rsidRPr="00330234" w:rsidRDefault="00066333" w:rsidP="00BD109B">
      <w:pPr>
        <w:pStyle w:val="a3"/>
        <w:widowControl/>
        <w:ind w:left="0"/>
      </w:pPr>
    </w:p>
    <w:p w14:paraId="2F0822E6" w14:textId="7FF6F654" w:rsidR="00436DAA" w:rsidRPr="00330234" w:rsidRDefault="009B4B8E" w:rsidP="00BD109B">
      <w:pPr>
        <w:pStyle w:val="a3"/>
        <w:widowControl/>
        <w:ind w:left="0"/>
      </w:pPr>
      <w:r w:rsidRPr="00330234">
        <w:t>Niet alle genoemde verpakkingsgrootten worden in de handel gebracht.</w:t>
      </w:r>
    </w:p>
    <w:p w14:paraId="662F97D6" w14:textId="77777777" w:rsidR="00436DAA" w:rsidRPr="00330234" w:rsidRDefault="00436DAA" w:rsidP="00BD109B">
      <w:pPr>
        <w:pStyle w:val="a3"/>
        <w:widowControl/>
        <w:ind w:left="0"/>
      </w:pPr>
    </w:p>
    <w:p w14:paraId="4AE0D51E" w14:textId="34D01EBB" w:rsidR="00436DAA" w:rsidRPr="00330234" w:rsidRDefault="005328BF" w:rsidP="00BD109B">
      <w:pPr>
        <w:pStyle w:val="2"/>
      </w:pPr>
      <w:r w:rsidRPr="00330234">
        <w:t>6.6</w:t>
      </w:r>
      <w:r w:rsidRPr="00330234">
        <w:tab/>
      </w:r>
      <w:r w:rsidR="009B4B8E" w:rsidRPr="00330234">
        <w:t>Speciale voorzorgsmaatregelen voor het verwijderen en andere instructies</w:t>
      </w:r>
    </w:p>
    <w:p w14:paraId="1633E1C3" w14:textId="77777777" w:rsidR="00045E49" w:rsidRPr="00330234" w:rsidRDefault="00045E49" w:rsidP="00BD109B">
      <w:pPr>
        <w:pStyle w:val="a3"/>
        <w:widowControl/>
        <w:ind w:left="0"/>
      </w:pPr>
    </w:p>
    <w:p w14:paraId="4CBF96ED" w14:textId="3BF12AEB" w:rsidR="00436DAA" w:rsidRPr="00330234" w:rsidRDefault="00066333" w:rsidP="00045E49">
      <w:pPr>
        <w:pStyle w:val="a3"/>
        <w:widowControl/>
        <w:ind w:left="0"/>
      </w:pPr>
      <w:r w:rsidRPr="00330234">
        <w:rPr>
          <w:rFonts w:hint="eastAsia"/>
        </w:rPr>
        <w:t>Avtozma</w:t>
      </w:r>
      <w:r w:rsidR="009B4B8E" w:rsidRPr="00330234">
        <w:t xml:space="preserve"> wordt geleverd in een voorgevulde pen voor eenmalig gebruik. Nadat de voorgevulde pen uit de koelkast is gehaald, moet deze op kamertemperatuur (</w:t>
      </w:r>
      <w:r w:rsidR="00E704B5">
        <w:rPr>
          <w:rFonts w:eastAsia="맑은 고딕" w:hint="eastAsia"/>
          <w:lang w:eastAsia="ko-KR"/>
        </w:rPr>
        <w:t>18</w:t>
      </w:r>
      <w:r w:rsidR="00812683" w:rsidRPr="00330234">
        <w:t xml:space="preserve">°C tot </w:t>
      </w:r>
      <w:r w:rsidR="00E704B5" w:rsidRPr="00330234">
        <w:t>2</w:t>
      </w:r>
      <w:r w:rsidR="00E704B5">
        <w:rPr>
          <w:rFonts w:eastAsia="맑은 고딕" w:hint="eastAsia"/>
          <w:lang w:eastAsia="ko-KR"/>
        </w:rPr>
        <w:t>8</w:t>
      </w:r>
      <w:r w:rsidR="00812683" w:rsidRPr="00330234">
        <w:t>°C</w:t>
      </w:r>
      <w:r w:rsidR="009B4B8E" w:rsidRPr="00330234">
        <w:t>) komen door gedurende 45</w:t>
      </w:r>
      <w:r w:rsidR="00045E49" w:rsidRPr="00330234">
        <w:t> </w:t>
      </w:r>
      <w:r w:rsidR="009B4B8E" w:rsidRPr="00330234">
        <w:t xml:space="preserve">minuten te wachten voordat </w:t>
      </w:r>
      <w:r w:rsidR="00812683" w:rsidRPr="00330234">
        <w:rPr>
          <w:rFonts w:hint="eastAsia"/>
        </w:rPr>
        <w:t>Avtozma</w:t>
      </w:r>
      <w:r w:rsidR="009B4B8E" w:rsidRPr="00330234">
        <w:t xml:space="preserve"> wordt geïnjecteerd. De pen mag niet geschud worden. Na</w:t>
      </w:r>
      <w:r w:rsidR="00045E49" w:rsidRPr="00330234">
        <w:t xml:space="preserve"> </w:t>
      </w:r>
      <w:r w:rsidR="009B4B8E" w:rsidRPr="00330234">
        <w:t>het verwijderen van de dop moet de injectie binnen 3 minuten worden gestart om te voorkomen dat het geneesmiddel uitdroogt waardoor de naald blokkeert. Als de voorgevulde pen niet binnen 3 minuten</w:t>
      </w:r>
      <w:r w:rsidR="00045E49" w:rsidRPr="00330234">
        <w:t xml:space="preserve"> </w:t>
      </w:r>
      <w:r w:rsidR="009B4B8E" w:rsidRPr="00330234">
        <w:t>na het verwijderen van de dop wordt gebruikt, dan moet deze worden weggegooid in een niet- doorprikbare bak en moet er een nieuwe voorgevulde pen worden gebruikt.</w:t>
      </w:r>
    </w:p>
    <w:p w14:paraId="6D0DECCB" w14:textId="77777777" w:rsidR="00436DAA" w:rsidRPr="00330234" w:rsidRDefault="00436DAA" w:rsidP="00BD109B">
      <w:pPr>
        <w:pStyle w:val="a3"/>
        <w:widowControl/>
        <w:ind w:left="0"/>
      </w:pPr>
    </w:p>
    <w:p w14:paraId="4A421AC3" w14:textId="1B4D4685" w:rsidR="00436DAA" w:rsidRPr="00330234" w:rsidRDefault="009B4B8E" w:rsidP="00BD109B">
      <w:pPr>
        <w:pStyle w:val="a3"/>
        <w:widowControl/>
        <w:ind w:left="0"/>
      </w:pPr>
      <w:r w:rsidRPr="00330234">
        <w:t xml:space="preserve">Als de </w:t>
      </w:r>
      <w:r w:rsidR="00812683" w:rsidRPr="00330234">
        <w:t xml:space="preserve">oranje </w:t>
      </w:r>
      <w:r w:rsidRPr="00330234">
        <w:t xml:space="preserve">indicator niet beweegt nadat de </w:t>
      </w:r>
      <w:r w:rsidR="00812683" w:rsidRPr="00330234">
        <w:t xml:space="preserve">naalddop </w:t>
      </w:r>
      <w:r w:rsidRPr="00330234">
        <w:t xml:space="preserve">is ingedrukt, dan moet de voorgevulde pen weggegooid worden in een niet-doorprikbare bak. Probeer de voorgevulde pen </w:t>
      </w:r>
      <w:r w:rsidRPr="00330234">
        <w:rPr>
          <w:b/>
        </w:rPr>
        <w:t xml:space="preserve">niet </w:t>
      </w:r>
      <w:r w:rsidRPr="00330234">
        <w:t>nogmaals te gebruiken.</w:t>
      </w:r>
      <w:r w:rsidR="00812683" w:rsidRPr="00330234">
        <w:t xml:space="preserve"> De voorgevulde pen wordt vergrendeld en de naald wordt bedekt in de naald</w:t>
      </w:r>
      <w:r w:rsidR="00BC2CD2" w:rsidRPr="00330234">
        <w:t>d</w:t>
      </w:r>
      <w:r w:rsidR="00812683" w:rsidRPr="00330234">
        <w:t xml:space="preserve">op wanneer </w:t>
      </w:r>
      <w:r w:rsidR="00706606" w:rsidRPr="00330234">
        <w:t>er wordt geprobeerd</w:t>
      </w:r>
      <w:r w:rsidR="00812683" w:rsidRPr="00330234">
        <w:t xml:space="preserve"> hem opnieuw te gebruiken.</w:t>
      </w:r>
      <w:r w:rsidRPr="00330234">
        <w:t xml:space="preserve"> Injecteer niet opnieuw met een andere voorgevulde pen. Neem contact op met uw zorgverlener voor hulp.</w:t>
      </w:r>
    </w:p>
    <w:p w14:paraId="65097DC9" w14:textId="77777777" w:rsidR="00436DAA" w:rsidRPr="00330234" w:rsidRDefault="00436DAA" w:rsidP="00BD109B">
      <w:pPr>
        <w:pStyle w:val="a3"/>
        <w:widowControl/>
        <w:ind w:left="0"/>
      </w:pPr>
    </w:p>
    <w:p w14:paraId="382B64C8" w14:textId="7E971E53" w:rsidR="00436DAA" w:rsidRPr="00330234" w:rsidRDefault="009B4B8E" w:rsidP="00BD109B">
      <w:pPr>
        <w:pStyle w:val="a3"/>
        <w:widowControl/>
        <w:ind w:left="0"/>
      </w:pPr>
      <w:r w:rsidRPr="00330234">
        <w:t>Gebruik dit geneesmiddel niet als deze ondoorzichtig is of deeltjes bevat, als deze een andere kleur heeft dan kleurloos tot geel, of als enig onderdeel van de voorgevulde pen beschadigd lijkt.</w:t>
      </w:r>
    </w:p>
    <w:p w14:paraId="2EFA4963" w14:textId="77777777" w:rsidR="00045E49" w:rsidRPr="00330234" w:rsidRDefault="00045E49" w:rsidP="00BD109B">
      <w:pPr>
        <w:pStyle w:val="a3"/>
        <w:widowControl/>
        <w:ind w:left="0"/>
      </w:pPr>
    </w:p>
    <w:p w14:paraId="73C6218C" w14:textId="06735755" w:rsidR="00436DAA" w:rsidRPr="00330234" w:rsidRDefault="009B4B8E" w:rsidP="00BD109B">
      <w:pPr>
        <w:pStyle w:val="a3"/>
        <w:widowControl/>
        <w:ind w:left="0"/>
      </w:pPr>
      <w:r w:rsidRPr="00330234">
        <w:t xml:space="preserve">Uitgebreide instructies voor de toediening van </w:t>
      </w:r>
      <w:r w:rsidR="00713F89" w:rsidRPr="00330234">
        <w:rPr>
          <w:lang w:eastAsia="ko-KR"/>
        </w:rPr>
        <w:t>Avtozma</w:t>
      </w:r>
      <w:r w:rsidRPr="00330234">
        <w:t xml:space="preserve"> in een voorgevulde pen worden gegeven in de bijsluiter.</w:t>
      </w:r>
    </w:p>
    <w:p w14:paraId="300A269D" w14:textId="77777777" w:rsidR="00045E49" w:rsidRPr="00330234" w:rsidRDefault="00045E49" w:rsidP="00BD109B">
      <w:pPr>
        <w:pStyle w:val="a3"/>
        <w:widowControl/>
        <w:ind w:left="0"/>
      </w:pPr>
    </w:p>
    <w:p w14:paraId="1301F059" w14:textId="77777777" w:rsidR="00436DAA" w:rsidRPr="00330234" w:rsidRDefault="009B4B8E" w:rsidP="00BD109B">
      <w:pPr>
        <w:pStyle w:val="a3"/>
        <w:widowControl/>
        <w:ind w:left="0"/>
      </w:pPr>
      <w:r w:rsidRPr="00330234">
        <w:t>Al het ongebruikte geneesmiddel of afvalmateriaal dient te worden vernietigd overeenkomstig lokale voorschriften.</w:t>
      </w:r>
    </w:p>
    <w:p w14:paraId="4C6E3CCE" w14:textId="77777777" w:rsidR="00436DAA" w:rsidRPr="00330234" w:rsidRDefault="00436DAA" w:rsidP="00BD109B">
      <w:pPr>
        <w:pStyle w:val="a3"/>
        <w:widowControl/>
        <w:ind w:left="0"/>
      </w:pPr>
    </w:p>
    <w:p w14:paraId="3C1F86B3" w14:textId="77777777" w:rsidR="00436DAA" w:rsidRPr="00330234" w:rsidRDefault="00436DAA" w:rsidP="00BD109B">
      <w:pPr>
        <w:pStyle w:val="a3"/>
        <w:widowControl/>
        <w:ind w:left="0"/>
      </w:pPr>
    </w:p>
    <w:p w14:paraId="207F4F08" w14:textId="5190A328" w:rsidR="00436DAA" w:rsidRPr="00330234" w:rsidRDefault="005328BF" w:rsidP="001B3E1E">
      <w:pPr>
        <w:pStyle w:val="1"/>
        <w:keepNext/>
        <w:keepLines/>
      </w:pPr>
      <w:r w:rsidRPr="00330234">
        <w:t>7.</w:t>
      </w:r>
      <w:r w:rsidRPr="00330234">
        <w:tab/>
      </w:r>
      <w:r w:rsidR="009B4B8E" w:rsidRPr="00330234">
        <w:t>HOUDER VAN DE VERGUNNING VOOR HET IN DE HANDEL BRENGEN</w:t>
      </w:r>
    </w:p>
    <w:p w14:paraId="6DD3573C" w14:textId="77777777" w:rsidR="00045E49" w:rsidRPr="00330234" w:rsidRDefault="00045E49" w:rsidP="001B3E1E">
      <w:pPr>
        <w:pStyle w:val="a3"/>
        <w:keepNext/>
        <w:widowControl/>
        <w:ind w:left="0"/>
      </w:pPr>
    </w:p>
    <w:p w14:paraId="2B061ECC" w14:textId="77777777" w:rsidR="00713F89" w:rsidRPr="00330234" w:rsidRDefault="00713F89" w:rsidP="00713F89">
      <w:pPr>
        <w:keepNext/>
      </w:pPr>
      <w:r w:rsidRPr="00330234">
        <w:t xml:space="preserve">Celltrion Healthcare Hungary Kft. </w:t>
      </w:r>
    </w:p>
    <w:p w14:paraId="24D84716" w14:textId="77777777" w:rsidR="00713F89" w:rsidRPr="00330234" w:rsidRDefault="00713F89" w:rsidP="00713F89">
      <w:pPr>
        <w:keepNext/>
      </w:pPr>
      <w:r w:rsidRPr="00330234">
        <w:t>1062 Budapest</w:t>
      </w:r>
    </w:p>
    <w:p w14:paraId="182BDBB4" w14:textId="77777777" w:rsidR="00713F89" w:rsidRPr="00330234" w:rsidRDefault="00713F89" w:rsidP="00713F89">
      <w:pPr>
        <w:keepNext/>
      </w:pPr>
      <w:r w:rsidRPr="00330234">
        <w:t>Váci út 1-3. WestEnd Office Building B torony</w:t>
      </w:r>
    </w:p>
    <w:p w14:paraId="65985185" w14:textId="3F262561" w:rsidR="00713F89" w:rsidRPr="00330234" w:rsidRDefault="00713F89" w:rsidP="00713F89">
      <w:r w:rsidRPr="00330234">
        <w:t>Hongarije</w:t>
      </w:r>
    </w:p>
    <w:p w14:paraId="3B87F1E6" w14:textId="77777777" w:rsidR="00436DAA" w:rsidRPr="00330234" w:rsidRDefault="00436DAA" w:rsidP="00BD109B">
      <w:pPr>
        <w:pStyle w:val="a3"/>
        <w:widowControl/>
        <w:ind w:left="0"/>
      </w:pPr>
    </w:p>
    <w:p w14:paraId="115C26DD" w14:textId="77777777" w:rsidR="00045E49" w:rsidRPr="00330234" w:rsidRDefault="00045E49" w:rsidP="00BD109B">
      <w:pPr>
        <w:pStyle w:val="a3"/>
        <w:widowControl/>
        <w:ind w:left="0"/>
      </w:pPr>
    </w:p>
    <w:p w14:paraId="6957E3C9" w14:textId="458D1CA4" w:rsidR="00436DAA" w:rsidRPr="00330234" w:rsidRDefault="005328BF" w:rsidP="001031F9">
      <w:pPr>
        <w:pStyle w:val="1"/>
      </w:pPr>
      <w:r w:rsidRPr="00330234">
        <w:t>8.</w:t>
      </w:r>
      <w:r w:rsidRPr="00330234">
        <w:tab/>
      </w:r>
      <w:r w:rsidR="009B4B8E" w:rsidRPr="00330234">
        <w:t>NUMMER(S) VAN DE VERGUNNING VOOR HET IN DE HANDEL BRENGEN</w:t>
      </w:r>
    </w:p>
    <w:p w14:paraId="4DA111F7" w14:textId="77777777" w:rsidR="00045E49" w:rsidRPr="00330234" w:rsidRDefault="00045E49" w:rsidP="00BD109B">
      <w:pPr>
        <w:pStyle w:val="a3"/>
        <w:widowControl/>
        <w:ind w:left="0"/>
      </w:pPr>
    </w:p>
    <w:p w14:paraId="380C637E" w14:textId="457D79A9" w:rsidR="00045E49" w:rsidRPr="00330234" w:rsidRDefault="009B4B8E" w:rsidP="00BD109B">
      <w:pPr>
        <w:pStyle w:val="a3"/>
        <w:widowControl/>
        <w:ind w:left="0"/>
      </w:pPr>
      <w:r w:rsidRPr="00330234">
        <w:t>EU</w:t>
      </w:r>
      <w:r w:rsidR="00713F89" w:rsidRPr="00330234">
        <w:t>/</w:t>
      </w:r>
      <w:r w:rsidR="00F242EE" w:rsidRPr="00F458BB">
        <w:rPr>
          <w:spacing w:val="-1"/>
          <w:lang w:val="pt-BR"/>
        </w:rPr>
        <w:t>1/24/1896/010</w:t>
      </w:r>
    </w:p>
    <w:p w14:paraId="6BCA910D" w14:textId="79B12886" w:rsidR="00436DAA" w:rsidRPr="00330234" w:rsidRDefault="009B4B8E" w:rsidP="00BD109B">
      <w:pPr>
        <w:pStyle w:val="a3"/>
        <w:widowControl/>
        <w:ind w:left="0"/>
      </w:pPr>
      <w:r w:rsidRPr="00330234">
        <w:t>EU</w:t>
      </w:r>
      <w:r w:rsidR="00713F89" w:rsidRPr="00330234">
        <w:t>/</w:t>
      </w:r>
      <w:r w:rsidR="00F242EE" w:rsidRPr="00F458BB">
        <w:rPr>
          <w:spacing w:val="-1"/>
          <w:lang w:val="pt-BR"/>
        </w:rPr>
        <w:t>1/24/1896/01</w:t>
      </w:r>
      <w:r w:rsidR="00F242EE">
        <w:rPr>
          <w:rFonts w:eastAsia="맑은 고딕" w:hint="eastAsia"/>
          <w:spacing w:val="-1"/>
          <w:lang w:val="pt-BR" w:eastAsia="ko-KR"/>
        </w:rPr>
        <w:t>1</w:t>
      </w:r>
    </w:p>
    <w:p w14:paraId="6946E97C" w14:textId="1C6C9E9C" w:rsidR="00713F89" w:rsidRPr="00330234" w:rsidRDefault="00713F89" w:rsidP="00BD109B">
      <w:pPr>
        <w:pStyle w:val="a3"/>
        <w:widowControl/>
        <w:ind w:left="0"/>
      </w:pPr>
      <w:r w:rsidRPr="00330234">
        <w:t>EU/</w:t>
      </w:r>
      <w:r w:rsidR="00F242EE" w:rsidRPr="00F458BB">
        <w:rPr>
          <w:spacing w:val="-1"/>
          <w:lang w:val="pt-BR"/>
        </w:rPr>
        <w:t>1/24/1896/01</w:t>
      </w:r>
      <w:r w:rsidR="00F242EE">
        <w:rPr>
          <w:spacing w:val="-1"/>
          <w:lang w:val="pt-BR"/>
        </w:rPr>
        <w:t>2</w:t>
      </w:r>
    </w:p>
    <w:p w14:paraId="297A1B7A" w14:textId="236BD7BD" w:rsidR="002C41D8" w:rsidRPr="002C41D8" w:rsidRDefault="002C41D8" w:rsidP="002C41D8">
      <w:pPr>
        <w:pStyle w:val="a3"/>
        <w:widowControl/>
        <w:ind w:left="0"/>
        <w:rPr>
          <w:ins w:id="30" w:author="만든 이"/>
          <w:rFonts w:eastAsia="맑은 고딕"/>
          <w:lang w:eastAsia="ko-KR"/>
          <w:rPrChange w:id="31" w:author="만든 이">
            <w:rPr>
              <w:ins w:id="32" w:author="만든 이"/>
            </w:rPr>
          </w:rPrChange>
        </w:rPr>
      </w:pPr>
      <w:ins w:id="33" w:author="만든 이">
        <w:r w:rsidRPr="00330234">
          <w:t>EU/</w:t>
        </w:r>
        <w:r w:rsidRPr="00F458BB">
          <w:rPr>
            <w:spacing w:val="-1"/>
            <w:lang w:val="pt-BR"/>
          </w:rPr>
          <w:t>1/24/1896/</w:t>
        </w:r>
        <w:r w:rsidR="005A4B7E">
          <w:rPr>
            <w:rFonts w:eastAsia="맑은 고딕" w:hint="eastAsia"/>
            <w:spacing w:val="-1"/>
            <w:lang w:val="pt-BR" w:eastAsia="ko-KR"/>
          </w:rPr>
          <w:t>014</w:t>
        </w:r>
      </w:ins>
    </w:p>
    <w:p w14:paraId="552B834D" w14:textId="77777777" w:rsidR="00436DAA" w:rsidRPr="00330234" w:rsidRDefault="00436DAA" w:rsidP="00BD109B">
      <w:pPr>
        <w:pStyle w:val="a3"/>
        <w:widowControl/>
        <w:ind w:left="0"/>
      </w:pPr>
    </w:p>
    <w:p w14:paraId="01590A40" w14:textId="77777777" w:rsidR="00436DAA" w:rsidRPr="00330234" w:rsidRDefault="00436DAA" w:rsidP="00BD109B">
      <w:pPr>
        <w:pStyle w:val="a3"/>
        <w:widowControl/>
        <w:ind w:left="0"/>
      </w:pPr>
    </w:p>
    <w:p w14:paraId="4FEAF498" w14:textId="67BFD64C" w:rsidR="00436DAA" w:rsidRPr="00330234" w:rsidRDefault="005328BF" w:rsidP="001031F9">
      <w:pPr>
        <w:pStyle w:val="1"/>
      </w:pPr>
      <w:r w:rsidRPr="00330234">
        <w:t>9.</w:t>
      </w:r>
      <w:r w:rsidRPr="00330234">
        <w:tab/>
      </w:r>
      <w:r w:rsidR="009B4B8E" w:rsidRPr="00330234">
        <w:t>DATUM VAN EERSTE VERLENING VAN DE VERGUNNING/VERLENGING VAN DE VERGUNNING</w:t>
      </w:r>
    </w:p>
    <w:p w14:paraId="3096F330" w14:textId="77777777" w:rsidR="00045E49" w:rsidRPr="00330234" w:rsidRDefault="00045E49" w:rsidP="00BD109B">
      <w:pPr>
        <w:pStyle w:val="a3"/>
        <w:widowControl/>
        <w:ind w:left="0"/>
      </w:pPr>
    </w:p>
    <w:p w14:paraId="65694027" w14:textId="4D709F39" w:rsidR="00045E49" w:rsidRPr="00330234" w:rsidRDefault="009B4B8E" w:rsidP="00BD109B">
      <w:pPr>
        <w:pStyle w:val="a3"/>
        <w:widowControl/>
        <w:ind w:left="0"/>
      </w:pPr>
      <w:r w:rsidRPr="00330234">
        <w:t>Datum van eerste verlening van de vergunning:</w:t>
      </w:r>
      <w:r w:rsidR="006557B8">
        <w:rPr>
          <w:rFonts w:eastAsia="맑은 고딕" w:hint="eastAsia"/>
          <w:lang w:eastAsia="ko-KR"/>
        </w:rPr>
        <w:t xml:space="preserve"> 14</w:t>
      </w:r>
      <w:r w:rsidRPr="00330234">
        <w:t xml:space="preserve"> </w:t>
      </w:r>
      <w:r w:rsidR="0097105B" w:rsidRPr="004C41FF">
        <w:t>februari</w:t>
      </w:r>
      <w:r w:rsidR="0097105B">
        <w:rPr>
          <w:rFonts w:eastAsia="맑은 고딕" w:hint="eastAsia"/>
          <w:lang w:eastAsia="ko-KR"/>
        </w:rPr>
        <w:t xml:space="preserve"> 2025</w:t>
      </w:r>
    </w:p>
    <w:p w14:paraId="01B536E7" w14:textId="77777777" w:rsidR="00436DAA" w:rsidRPr="006557B8" w:rsidRDefault="00436DAA" w:rsidP="00BD109B">
      <w:pPr>
        <w:pStyle w:val="a3"/>
        <w:widowControl/>
        <w:ind w:left="0"/>
      </w:pPr>
    </w:p>
    <w:p w14:paraId="2007DCBD" w14:textId="77777777" w:rsidR="00436DAA" w:rsidRPr="00330234" w:rsidRDefault="00436DAA" w:rsidP="00BD109B">
      <w:pPr>
        <w:pStyle w:val="a3"/>
        <w:widowControl/>
        <w:ind w:left="0"/>
      </w:pPr>
    </w:p>
    <w:p w14:paraId="68AC0791" w14:textId="0F812046" w:rsidR="00436DAA" w:rsidRPr="00330234" w:rsidRDefault="005328BF" w:rsidP="001031F9">
      <w:pPr>
        <w:pStyle w:val="1"/>
      </w:pPr>
      <w:r w:rsidRPr="00330234">
        <w:t>10.</w:t>
      </w:r>
      <w:r w:rsidRPr="00330234">
        <w:tab/>
      </w:r>
      <w:r w:rsidR="009B4B8E" w:rsidRPr="00330234">
        <w:t>DATUM VAN HERZIENING VAN DE TEKST</w:t>
      </w:r>
    </w:p>
    <w:p w14:paraId="4C381C1D" w14:textId="77777777" w:rsidR="00045E49" w:rsidRPr="00330234" w:rsidRDefault="00045E49" w:rsidP="00BD109B">
      <w:pPr>
        <w:pStyle w:val="a3"/>
        <w:widowControl/>
        <w:ind w:left="0"/>
      </w:pPr>
    </w:p>
    <w:p w14:paraId="2AAB2C67" w14:textId="1B3FFCB6" w:rsidR="00436DAA" w:rsidRPr="00EB11F3" w:rsidRDefault="009B4B8E" w:rsidP="00BD109B">
      <w:pPr>
        <w:pStyle w:val="a3"/>
        <w:widowControl/>
        <w:ind w:left="0"/>
        <w:rPr>
          <w:rFonts w:eastAsia="맑은 고딕"/>
          <w:lang w:eastAsia="ko-KR"/>
        </w:rPr>
      </w:pPr>
      <w:r w:rsidRPr="00330234">
        <w:t xml:space="preserve">Gedetailleerde informatie over dit geneesmiddel is beschikbaar op de website van het Europees Geneesmiddelenbureau </w:t>
      </w:r>
      <w:r w:rsidR="008B6147" w:rsidRPr="008B6147">
        <w:rPr>
          <w:color w:val="0000FF"/>
        </w:rPr>
        <w:t>http</w:t>
      </w:r>
      <w:r w:rsidR="008B6147" w:rsidRPr="008B6147">
        <w:rPr>
          <w:rFonts w:eastAsia="맑은 고딕"/>
          <w:color w:val="0000FF"/>
        </w:rPr>
        <w:t>s</w:t>
      </w:r>
      <w:r w:rsidR="008B6147" w:rsidRPr="008B6147">
        <w:rPr>
          <w:color w:val="0000FF"/>
        </w:rPr>
        <w:t>://www.ema.europa.eu</w:t>
      </w:r>
    </w:p>
    <w:p w14:paraId="254148E7" w14:textId="77777777" w:rsidR="00436DAA" w:rsidRPr="00EB11F3" w:rsidRDefault="00436DAA" w:rsidP="00BD109B">
      <w:pPr>
        <w:widowControl/>
      </w:pPr>
    </w:p>
    <w:p w14:paraId="5B3FE4B5" w14:textId="30FA4CF8" w:rsidR="00045E49" w:rsidRPr="00330234" w:rsidRDefault="00045E49" w:rsidP="00BD109B">
      <w:pPr>
        <w:pStyle w:val="a3"/>
        <w:widowControl/>
        <w:ind w:left="0"/>
      </w:pPr>
      <w:r w:rsidRPr="00330234">
        <w:br w:type="page"/>
      </w:r>
    </w:p>
    <w:p w14:paraId="0D67991E" w14:textId="77777777" w:rsidR="00436DAA" w:rsidRPr="00330234" w:rsidRDefault="00436DAA" w:rsidP="00BD109B">
      <w:pPr>
        <w:pStyle w:val="a3"/>
        <w:widowControl/>
        <w:ind w:left="0"/>
      </w:pPr>
    </w:p>
    <w:p w14:paraId="3D35DC0E" w14:textId="77777777" w:rsidR="00436DAA" w:rsidRPr="00330234" w:rsidRDefault="00436DAA" w:rsidP="00BD109B">
      <w:pPr>
        <w:pStyle w:val="a3"/>
        <w:widowControl/>
        <w:ind w:left="0"/>
      </w:pPr>
    </w:p>
    <w:p w14:paraId="5647D8EE" w14:textId="77777777" w:rsidR="00436DAA" w:rsidRPr="00330234" w:rsidRDefault="00436DAA" w:rsidP="00BD109B">
      <w:pPr>
        <w:pStyle w:val="a3"/>
        <w:widowControl/>
        <w:ind w:left="0"/>
      </w:pPr>
    </w:p>
    <w:p w14:paraId="1D5A061E" w14:textId="77777777" w:rsidR="00436DAA" w:rsidRPr="00330234" w:rsidRDefault="00436DAA" w:rsidP="00BD109B">
      <w:pPr>
        <w:pStyle w:val="a3"/>
        <w:widowControl/>
        <w:ind w:left="0"/>
      </w:pPr>
    </w:p>
    <w:p w14:paraId="21A976B4" w14:textId="77777777" w:rsidR="00436DAA" w:rsidRPr="00330234" w:rsidRDefault="00436DAA" w:rsidP="00BD109B">
      <w:pPr>
        <w:pStyle w:val="a3"/>
        <w:widowControl/>
        <w:ind w:left="0"/>
      </w:pPr>
    </w:p>
    <w:p w14:paraId="7D3BAE01" w14:textId="77777777" w:rsidR="00436DAA" w:rsidRPr="00330234" w:rsidRDefault="00436DAA" w:rsidP="00BD109B">
      <w:pPr>
        <w:pStyle w:val="a3"/>
        <w:widowControl/>
        <w:ind w:left="0"/>
      </w:pPr>
    </w:p>
    <w:p w14:paraId="758F5BAA" w14:textId="77777777" w:rsidR="00436DAA" w:rsidRPr="00330234" w:rsidRDefault="00436DAA" w:rsidP="00BD109B">
      <w:pPr>
        <w:pStyle w:val="a3"/>
        <w:widowControl/>
        <w:ind w:left="0"/>
      </w:pPr>
    </w:p>
    <w:p w14:paraId="17BC79FA" w14:textId="77777777" w:rsidR="00436DAA" w:rsidRPr="00330234" w:rsidRDefault="00436DAA" w:rsidP="00BD109B">
      <w:pPr>
        <w:pStyle w:val="a3"/>
        <w:widowControl/>
        <w:ind w:left="0"/>
      </w:pPr>
    </w:p>
    <w:p w14:paraId="34A030FB" w14:textId="77777777" w:rsidR="00436DAA" w:rsidRPr="00330234" w:rsidRDefault="00436DAA" w:rsidP="00BD109B">
      <w:pPr>
        <w:pStyle w:val="a3"/>
        <w:widowControl/>
        <w:ind w:left="0"/>
      </w:pPr>
    </w:p>
    <w:p w14:paraId="0083D9C4" w14:textId="77777777" w:rsidR="00436DAA" w:rsidRPr="00330234" w:rsidRDefault="00436DAA" w:rsidP="00BD109B">
      <w:pPr>
        <w:pStyle w:val="a3"/>
        <w:widowControl/>
        <w:ind w:left="0"/>
      </w:pPr>
    </w:p>
    <w:p w14:paraId="5D45D9BE" w14:textId="77777777" w:rsidR="00436DAA" w:rsidRPr="00330234" w:rsidRDefault="00436DAA" w:rsidP="00BD109B">
      <w:pPr>
        <w:pStyle w:val="a3"/>
        <w:widowControl/>
        <w:ind w:left="0"/>
      </w:pPr>
    </w:p>
    <w:p w14:paraId="5BBF27F0" w14:textId="77777777" w:rsidR="00436DAA" w:rsidRPr="00330234" w:rsidRDefault="00436DAA" w:rsidP="00BD109B">
      <w:pPr>
        <w:pStyle w:val="a3"/>
        <w:widowControl/>
        <w:ind w:left="0"/>
      </w:pPr>
    </w:p>
    <w:p w14:paraId="4F6C064B" w14:textId="77777777" w:rsidR="00436DAA" w:rsidRPr="00330234" w:rsidRDefault="00436DAA" w:rsidP="00BD109B">
      <w:pPr>
        <w:pStyle w:val="a3"/>
        <w:widowControl/>
        <w:ind w:left="0"/>
      </w:pPr>
    </w:p>
    <w:p w14:paraId="7E3A387E" w14:textId="77777777" w:rsidR="00436DAA" w:rsidRPr="00330234" w:rsidRDefault="00436DAA" w:rsidP="00BD109B">
      <w:pPr>
        <w:pStyle w:val="a3"/>
        <w:widowControl/>
        <w:ind w:left="0"/>
      </w:pPr>
    </w:p>
    <w:p w14:paraId="1A964465" w14:textId="77777777" w:rsidR="00436DAA" w:rsidRPr="00330234" w:rsidRDefault="00436DAA" w:rsidP="00BD109B">
      <w:pPr>
        <w:pStyle w:val="a3"/>
        <w:widowControl/>
        <w:ind w:left="0"/>
      </w:pPr>
    </w:p>
    <w:p w14:paraId="11CA8BAB" w14:textId="77777777" w:rsidR="00436DAA" w:rsidRPr="00330234" w:rsidRDefault="00436DAA" w:rsidP="00BD109B">
      <w:pPr>
        <w:pStyle w:val="a3"/>
        <w:widowControl/>
        <w:ind w:left="0"/>
      </w:pPr>
    </w:p>
    <w:p w14:paraId="225CE2B5" w14:textId="77777777" w:rsidR="00436DAA" w:rsidRPr="00330234" w:rsidRDefault="00436DAA" w:rsidP="00BD109B">
      <w:pPr>
        <w:pStyle w:val="a3"/>
        <w:widowControl/>
        <w:ind w:left="0"/>
      </w:pPr>
    </w:p>
    <w:p w14:paraId="127ACA80" w14:textId="77777777" w:rsidR="00436DAA" w:rsidRPr="00330234" w:rsidRDefault="00436DAA" w:rsidP="00BD109B">
      <w:pPr>
        <w:pStyle w:val="a3"/>
        <w:widowControl/>
        <w:ind w:left="0"/>
      </w:pPr>
    </w:p>
    <w:p w14:paraId="5B1AF8BA" w14:textId="77777777" w:rsidR="00150AA8" w:rsidRPr="00330234" w:rsidRDefault="00150AA8" w:rsidP="00BD109B">
      <w:pPr>
        <w:pStyle w:val="a3"/>
        <w:widowControl/>
        <w:ind w:left="0"/>
      </w:pPr>
    </w:p>
    <w:p w14:paraId="7EED1768" w14:textId="77777777" w:rsidR="00150AA8" w:rsidRPr="00330234" w:rsidRDefault="00150AA8" w:rsidP="00BD109B">
      <w:pPr>
        <w:pStyle w:val="a3"/>
        <w:widowControl/>
        <w:ind w:left="0"/>
      </w:pPr>
    </w:p>
    <w:p w14:paraId="0A87AB52" w14:textId="77777777" w:rsidR="00150AA8" w:rsidRPr="00330234" w:rsidRDefault="00150AA8" w:rsidP="00BD109B">
      <w:pPr>
        <w:pStyle w:val="a3"/>
        <w:widowControl/>
        <w:ind w:left="0"/>
      </w:pPr>
    </w:p>
    <w:p w14:paraId="2A101ECD" w14:textId="77777777" w:rsidR="00150AA8" w:rsidRPr="00330234" w:rsidRDefault="00150AA8" w:rsidP="00BD109B">
      <w:pPr>
        <w:pStyle w:val="a3"/>
        <w:widowControl/>
        <w:ind w:left="0"/>
      </w:pPr>
    </w:p>
    <w:p w14:paraId="0BB73C30" w14:textId="77777777" w:rsidR="00436DAA" w:rsidRPr="00330234" w:rsidRDefault="009B4B8E" w:rsidP="00045E49">
      <w:pPr>
        <w:widowControl/>
        <w:jc w:val="center"/>
        <w:rPr>
          <w:b/>
        </w:rPr>
      </w:pPr>
      <w:r w:rsidRPr="00330234">
        <w:rPr>
          <w:b/>
        </w:rPr>
        <w:t>BIJLAGE II</w:t>
      </w:r>
    </w:p>
    <w:p w14:paraId="0F8CACF2" w14:textId="77777777" w:rsidR="00436DAA" w:rsidRPr="00330234" w:rsidRDefault="00436DAA" w:rsidP="00045E49">
      <w:pPr>
        <w:pStyle w:val="a3"/>
        <w:widowControl/>
        <w:ind w:left="0"/>
        <w:jc w:val="center"/>
        <w:rPr>
          <w:b/>
        </w:rPr>
      </w:pPr>
    </w:p>
    <w:p w14:paraId="22D37989" w14:textId="0B2716A5" w:rsidR="00436DAA" w:rsidRPr="00330234" w:rsidRDefault="005328BF" w:rsidP="00B64629">
      <w:pPr>
        <w:widowControl/>
        <w:ind w:left="1701" w:right="1418" w:hanging="709"/>
        <w:rPr>
          <w:b/>
        </w:rPr>
      </w:pPr>
      <w:r w:rsidRPr="00330234">
        <w:rPr>
          <w:b/>
          <w:bCs/>
        </w:rPr>
        <w:t>A.</w:t>
      </w:r>
      <w:r w:rsidRPr="00330234">
        <w:rPr>
          <w:b/>
          <w:bCs/>
        </w:rPr>
        <w:tab/>
      </w:r>
      <w:r w:rsidR="00150AA8" w:rsidRPr="00330234">
        <w:rPr>
          <w:b/>
          <w:bCs/>
        </w:rPr>
        <w:tab/>
      </w:r>
      <w:r w:rsidR="009B4B8E" w:rsidRPr="00330234">
        <w:rPr>
          <w:b/>
        </w:rPr>
        <w:t>FABRIKANT(EN) VAN DE BIOLOGISCH WERKZAME STOF(FEN) EN FABRIKANT(EN) VERANTWOORDELIJK VOOR VRIJGIFTE</w:t>
      </w:r>
    </w:p>
    <w:p w14:paraId="630A9384" w14:textId="77777777" w:rsidR="00150AA8" w:rsidRPr="00330234" w:rsidRDefault="00150AA8" w:rsidP="00045E49">
      <w:pPr>
        <w:widowControl/>
        <w:jc w:val="center"/>
        <w:rPr>
          <w:b/>
          <w:bCs/>
        </w:rPr>
      </w:pPr>
    </w:p>
    <w:p w14:paraId="25EA4A66" w14:textId="4D377183" w:rsidR="00436DAA" w:rsidRPr="00330234" w:rsidRDefault="005328BF" w:rsidP="00B64629">
      <w:pPr>
        <w:widowControl/>
        <w:ind w:left="1701" w:right="1418" w:hanging="709"/>
        <w:rPr>
          <w:b/>
        </w:rPr>
      </w:pPr>
      <w:r w:rsidRPr="00330234">
        <w:rPr>
          <w:b/>
          <w:bCs/>
        </w:rPr>
        <w:t>B.</w:t>
      </w:r>
      <w:r w:rsidRPr="00330234">
        <w:rPr>
          <w:b/>
          <w:bCs/>
        </w:rPr>
        <w:tab/>
      </w:r>
      <w:r w:rsidR="009B4B8E" w:rsidRPr="00330234">
        <w:rPr>
          <w:b/>
        </w:rPr>
        <w:t>VOORWAARDEN OF BEPERKINGEN TEN AANZIEN VAN LEVERING EN GEBRUIK</w:t>
      </w:r>
    </w:p>
    <w:p w14:paraId="2834E56D" w14:textId="77777777" w:rsidR="00436DAA" w:rsidRPr="00330234" w:rsidRDefault="00436DAA" w:rsidP="00045E49">
      <w:pPr>
        <w:pStyle w:val="a3"/>
        <w:widowControl/>
        <w:ind w:left="0"/>
        <w:jc w:val="center"/>
        <w:rPr>
          <w:b/>
        </w:rPr>
      </w:pPr>
    </w:p>
    <w:p w14:paraId="10524D2F" w14:textId="6A6DBC10" w:rsidR="00436DAA" w:rsidRPr="00330234" w:rsidRDefault="005328BF" w:rsidP="00B64629">
      <w:pPr>
        <w:widowControl/>
        <w:ind w:left="1701" w:right="1418" w:hanging="709"/>
        <w:rPr>
          <w:b/>
        </w:rPr>
      </w:pPr>
      <w:r w:rsidRPr="00330234">
        <w:rPr>
          <w:b/>
          <w:bCs/>
        </w:rPr>
        <w:t>C.</w:t>
      </w:r>
      <w:r w:rsidRPr="00330234">
        <w:rPr>
          <w:b/>
          <w:bCs/>
        </w:rPr>
        <w:tab/>
      </w:r>
      <w:r w:rsidR="009B4B8E" w:rsidRPr="00330234">
        <w:rPr>
          <w:b/>
        </w:rPr>
        <w:t>ANDERE VOORWAARDEN EN EISEN DIE DOOR DE HOUDER VAN DE HANDELSVERGUNNING MOETEN WORDEN NAGEKOMEN</w:t>
      </w:r>
    </w:p>
    <w:p w14:paraId="109A1910" w14:textId="77777777" w:rsidR="00150AA8" w:rsidRPr="00330234" w:rsidRDefault="00150AA8" w:rsidP="00045E49">
      <w:pPr>
        <w:widowControl/>
        <w:jc w:val="center"/>
        <w:rPr>
          <w:b/>
          <w:bCs/>
        </w:rPr>
      </w:pPr>
    </w:p>
    <w:p w14:paraId="4067BB99" w14:textId="27CA227F" w:rsidR="00436DAA" w:rsidRPr="00330234" w:rsidRDefault="005328BF" w:rsidP="00B64629">
      <w:pPr>
        <w:widowControl/>
        <w:ind w:left="1701" w:right="1418" w:hanging="709"/>
        <w:rPr>
          <w:b/>
        </w:rPr>
      </w:pPr>
      <w:r w:rsidRPr="00330234">
        <w:rPr>
          <w:b/>
          <w:bCs/>
        </w:rPr>
        <w:t>D.</w:t>
      </w:r>
      <w:r w:rsidRPr="00330234">
        <w:rPr>
          <w:b/>
          <w:bCs/>
        </w:rPr>
        <w:tab/>
      </w:r>
      <w:r w:rsidR="009B4B8E" w:rsidRPr="00330234">
        <w:rPr>
          <w:b/>
        </w:rPr>
        <w:t>VOORWAARDEN OF BEPERKINGEN MET BETREKKING TOT EEN VEILIG EN DOELTREFFEND GEBRUIK VAN HET GENEESMIDDEL</w:t>
      </w:r>
    </w:p>
    <w:p w14:paraId="228E751E" w14:textId="77777777" w:rsidR="00436DAA" w:rsidRPr="00330234" w:rsidRDefault="00436DAA" w:rsidP="00BD109B">
      <w:pPr>
        <w:widowControl/>
      </w:pPr>
    </w:p>
    <w:p w14:paraId="6FD419AD" w14:textId="4CAFC0A1" w:rsidR="00436DAA" w:rsidRPr="00330234" w:rsidRDefault="00150AA8" w:rsidP="00F8516F">
      <w:pPr>
        <w:pStyle w:val="1"/>
      </w:pPr>
      <w:bookmarkStart w:id="34" w:name="A._FABRIKANT_VAN_DE_BIOLOGISCH_WERKZAME_"/>
      <w:bookmarkEnd w:id="34"/>
      <w:r w:rsidRPr="00330234">
        <w:br w:type="page"/>
      </w:r>
      <w:r w:rsidR="005328BF" w:rsidRPr="00330234">
        <w:lastRenderedPageBreak/>
        <w:t>A.</w:t>
      </w:r>
      <w:r w:rsidR="005328BF" w:rsidRPr="00330234">
        <w:tab/>
      </w:r>
      <w:r w:rsidR="009B4B8E" w:rsidRPr="00330234">
        <w:t>FABRIKANT VAN DE BIOLOGISCH WERKZAME STOF EN FABRIKANT VERANTWOORDELIJK VOOR VRIJGIFTE</w:t>
      </w:r>
    </w:p>
    <w:p w14:paraId="360F7A96" w14:textId="77777777" w:rsidR="00150AA8" w:rsidRPr="00330234" w:rsidRDefault="00150AA8" w:rsidP="00BD109B">
      <w:pPr>
        <w:pStyle w:val="a3"/>
        <w:widowControl/>
        <w:ind w:left="0"/>
      </w:pPr>
    </w:p>
    <w:p w14:paraId="36E9E44E" w14:textId="0B4A2238" w:rsidR="00436DAA" w:rsidRPr="00330234" w:rsidRDefault="009B4B8E" w:rsidP="00BD109B">
      <w:pPr>
        <w:pStyle w:val="a3"/>
        <w:widowControl/>
        <w:ind w:left="0"/>
      </w:pPr>
      <w:r w:rsidRPr="00330234">
        <w:rPr>
          <w:u w:val="single"/>
        </w:rPr>
        <w:t>Naam en adres van de fabrikant van de biologisch werkzame stof</w:t>
      </w:r>
    </w:p>
    <w:p w14:paraId="45E851E3" w14:textId="77777777" w:rsidR="00436DAA" w:rsidRPr="00330234" w:rsidRDefault="00436DAA" w:rsidP="00BD109B">
      <w:pPr>
        <w:pStyle w:val="a3"/>
        <w:widowControl/>
        <w:ind w:left="0"/>
      </w:pPr>
    </w:p>
    <w:p w14:paraId="6EEF9CD4" w14:textId="77777777" w:rsidR="00713F89" w:rsidRPr="00330234" w:rsidRDefault="00713F89" w:rsidP="00713F89">
      <w:pPr>
        <w:keepNext/>
      </w:pPr>
      <w:bookmarkStart w:id="35" w:name="_Hlk183511701"/>
      <w:r w:rsidRPr="00330234">
        <w:t>Binex, Ltd,</w:t>
      </w:r>
    </w:p>
    <w:p w14:paraId="79606C92" w14:textId="77777777" w:rsidR="00713F89" w:rsidRPr="00330234" w:rsidRDefault="00713F89" w:rsidP="00713F89">
      <w:pPr>
        <w:keepNext/>
      </w:pPr>
      <w:r w:rsidRPr="00330234">
        <w:t>3, Gaetbeol-ro, Yeonsu-gu,</w:t>
      </w:r>
    </w:p>
    <w:p w14:paraId="03320B1D" w14:textId="6CA5E8A1" w:rsidR="00713F89" w:rsidRPr="00330234" w:rsidRDefault="00713F89" w:rsidP="00713F89">
      <w:r w:rsidRPr="00330234">
        <w:t>Incheon, Republiek Korea</w:t>
      </w:r>
    </w:p>
    <w:bookmarkEnd w:id="35"/>
    <w:p w14:paraId="690943BA" w14:textId="77777777" w:rsidR="00150AA8" w:rsidRPr="00330234" w:rsidRDefault="00150AA8" w:rsidP="00BD109B">
      <w:pPr>
        <w:pStyle w:val="a3"/>
        <w:widowControl/>
        <w:ind w:left="0"/>
      </w:pPr>
    </w:p>
    <w:p w14:paraId="2F7F8045" w14:textId="77777777" w:rsidR="00436DAA" w:rsidRPr="00330234" w:rsidRDefault="009B4B8E" w:rsidP="00BD109B">
      <w:pPr>
        <w:pStyle w:val="a3"/>
        <w:widowControl/>
        <w:ind w:left="0"/>
      </w:pPr>
      <w:r w:rsidRPr="00330234">
        <w:rPr>
          <w:u w:val="single"/>
        </w:rPr>
        <w:t>Naam en adres van de fabrikant verantwoordelijk voor vrijgifte</w:t>
      </w:r>
    </w:p>
    <w:p w14:paraId="4968A5F7" w14:textId="77777777" w:rsidR="00436DAA" w:rsidRPr="00330234" w:rsidRDefault="00436DAA" w:rsidP="00BD109B">
      <w:pPr>
        <w:pStyle w:val="a3"/>
        <w:widowControl/>
        <w:ind w:left="0"/>
      </w:pPr>
    </w:p>
    <w:p w14:paraId="33A2B8AF" w14:textId="77777777" w:rsidR="00713F89" w:rsidRPr="00330234" w:rsidRDefault="00713F89" w:rsidP="00713F89">
      <w:pPr>
        <w:keepNext/>
      </w:pPr>
      <w:r w:rsidRPr="00330234">
        <w:t>Nuvisan France SARL</w:t>
      </w:r>
    </w:p>
    <w:p w14:paraId="0493EA5E" w14:textId="3F9A66B1" w:rsidR="00713F89" w:rsidRPr="00330234" w:rsidRDefault="00713F89" w:rsidP="00713F89">
      <w:pPr>
        <w:keepNext/>
      </w:pPr>
      <w:r w:rsidRPr="00330234">
        <w:t>2400</w:t>
      </w:r>
      <w:del w:id="36" w:author="만든 이">
        <w:r w:rsidRPr="00330234" w:rsidDel="00D1666A">
          <w:delText>,</w:delText>
        </w:r>
      </w:del>
      <w:r w:rsidRPr="00330234">
        <w:t xml:space="preserve"> Route des Colles,</w:t>
      </w:r>
    </w:p>
    <w:p w14:paraId="3992D4FE" w14:textId="5ECD7E43" w:rsidR="00713F89" w:rsidRPr="00330234" w:rsidRDefault="00713F89" w:rsidP="00713F89">
      <w:pPr>
        <w:keepNext/>
      </w:pPr>
      <w:r w:rsidRPr="00330234">
        <w:t>06410</w:t>
      </w:r>
      <w:del w:id="37" w:author="만든 이">
        <w:r w:rsidRPr="00330234" w:rsidDel="00D1666A">
          <w:delText>,</w:delText>
        </w:r>
      </w:del>
      <w:r w:rsidRPr="00330234">
        <w:t xml:space="preserve"> Biot,</w:t>
      </w:r>
    </w:p>
    <w:p w14:paraId="5101DAA1" w14:textId="23ABD561" w:rsidR="00713F89" w:rsidRPr="00330234" w:rsidRDefault="00713F89" w:rsidP="00713F89">
      <w:r w:rsidRPr="00330234">
        <w:t>Frankrijk</w:t>
      </w:r>
    </w:p>
    <w:p w14:paraId="4F2D41D5" w14:textId="77777777" w:rsidR="00713F89" w:rsidRPr="00330234" w:rsidRDefault="00713F89" w:rsidP="00713F89"/>
    <w:p w14:paraId="16435F13" w14:textId="77777777" w:rsidR="00713F89" w:rsidRPr="00330234" w:rsidRDefault="00713F89" w:rsidP="00713F89">
      <w:pPr>
        <w:keepNext/>
      </w:pPr>
      <w:r w:rsidRPr="00330234">
        <w:t>Midas Pharma GmbH</w:t>
      </w:r>
    </w:p>
    <w:p w14:paraId="31A31573" w14:textId="5FAE7DBD" w:rsidR="00713F89" w:rsidRPr="00330234" w:rsidRDefault="00713F89" w:rsidP="00713F89">
      <w:pPr>
        <w:keepNext/>
      </w:pPr>
      <w:r w:rsidRPr="00330234">
        <w:t>Rheinstr. 49,</w:t>
      </w:r>
    </w:p>
    <w:p w14:paraId="587AA36F" w14:textId="77777777" w:rsidR="00713F89" w:rsidRPr="00330234" w:rsidRDefault="00713F89" w:rsidP="00713F89">
      <w:pPr>
        <w:keepNext/>
      </w:pPr>
      <w:r w:rsidRPr="00330234">
        <w:t>55218 Ingelheim,</w:t>
      </w:r>
    </w:p>
    <w:p w14:paraId="73DCBE2D" w14:textId="4649B967" w:rsidR="00713F89" w:rsidRPr="00330234" w:rsidRDefault="00713F89" w:rsidP="00713F89">
      <w:r w:rsidRPr="00330234">
        <w:t>Duitsland</w:t>
      </w:r>
    </w:p>
    <w:p w14:paraId="7678B0EA" w14:textId="77777777" w:rsidR="00713F89" w:rsidRPr="00330234" w:rsidRDefault="00713F89" w:rsidP="00713F89"/>
    <w:p w14:paraId="0F2808DB" w14:textId="7CEAEB9B" w:rsidR="00713F89" w:rsidRPr="00330234" w:rsidRDefault="00713F89" w:rsidP="00713F89">
      <w:pPr>
        <w:keepNext/>
      </w:pPr>
      <w:r w:rsidRPr="00330234">
        <w:t>KYMOS S.L.</w:t>
      </w:r>
    </w:p>
    <w:p w14:paraId="0DE8792D" w14:textId="4BB21C62" w:rsidR="00713F89" w:rsidRPr="00330234" w:rsidRDefault="00713F89" w:rsidP="00713F89">
      <w:pPr>
        <w:keepNext/>
      </w:pPr>
      <w:r w:rsidRPr="00330234">
        <w:t>Ronda Can Fatjó, 7B.</w:t>
      </w:r>
    </w:p>
    <w:p w14:paraId="2A7D6EFE" w14:textId="61314312" w:rsidR="00713F89" w:rsidRPr="00330234" w:rsidRDefault="00713F89" w:rsidP="00713F89">
      <w:pPr>
        <w:keepNext/>
      </w:pPr>
      <w:r w:rsidRPr="00330234">
        <w:t>08290 Cerdanyola del Vallès,</w:t>
      </w:r>
    </w:p>
    <w:p w14:paraId="2917D03B" w14:textId="77777777" w:rsidR="00713F89" w:rsidRPr="00330234" w:rsidRDefault="00713F89" w:rsidP="00713F89">
      <w:pPr>
        <w:keepNext/>
      </w:pPr>
      <w:r w:rsidRPr="00330234">
        <w:t xml:space="preserve">Barcelona, </w:t>
      </w:r>
    </w:p>
    <w:p w14:paraId="119C25A1" w14:textId="150E2AC4" w:rsidR="00713F89" w:rsidRPr="00330234" w:rsidRDefault="00713F89" w:rsidP="00713F89">
      <w:r w:rsidRPr="00330234">
        <w:t>Spanje</w:t>
      </w:r>
    </w:p>
    <w:p w14:paraId="5D203287" w14:textId="77777777" w:rsidR="00436DAA" w:rsidRPr="00330234" w:rsidRDefault="00436DAA" w:rsidP="00BD109B">
      <w:pPr>
        <w:pStyle w:val="a3"/>
        <w:widowControl/>
        <w:ind w:left="0"/>
      </w:pPr>
    </w:p>
    <w:p w14:paraId="373F403B" w14:textId="77777777" w:rsidR="00436DAA" w:rsidRPr="00330234" w:rsidRDefault="00436DAA" w:rsidP="00BD109B">
      <w:pPr>
        <w:pStyle w:val="a3"/>
        <w:widowControl/>
        <w:ind w:left="0"/>
      </w:pPr>
    </w:p>
    <w:p w14:paraId="108FF373" w14:textId="38DAB1AD" w:rsidR="00436DAA" w:rsidRPr="00330234" w:rsidRDefault="005328BF" w:rsidP="001031F9">
      <w:pPr>
        <w:pStyle w:val="1"/>
      </w:pPr>
      <w:bookmarkStart w:id="38" w:name="B._VOORWAARDEN_OF_BEPERKINGEN_TEN_AANZIE"/>
      <w:bookmarkEnd w:id="38"/>
      <w:r w:rsidRPr="00330234">
        <w:t>B.</w:t>
      </w:r>
      <w:r w:rsidRPr="00330234">
        <w:tab/>
      </w:r>
      <w:r w:rsidR="009B4B8E" w:rsidRPr="00330234">
        <w:t>VOORWAARDEN OF BEPERKINGEN TEN AANZIEN VAN LEVERING EN GEBRUIK</w:t>
      </w:r>
    </w:p>
    <w:p w14:paraId="05799291" w14:textId="77777777" w:rsidR="00150AA8" w:rsidRPr="00330234" w:rsidRDefault="00150AA8" w:rsidP="00BD109B">
      <w:pPr>
        <w:pStyle w:val="a3"/>
        <w:widowControl/>
        <w:ind w:left="0"/>
      </w:pPr>
    </w:p>
    <w:p w14:paraId="7D7B3859" w14:textId="0582C984" w:rsidR="00436DAA" w:rsidRPr="00330234" w:rsidRDefault="009B4B8E" w:rsidP="00BD109B">
      <w:pPr>
        <w:pStyle w:val="a3"/>
        <w:widowControl/>
        <w:ind w:left="0"/>
      </w:pPr>
      <w:r w:rsidRPr="00330234">
        <w:t>Aan beperkt medisch voorschrift onderworpen geneesmiddel (zie bijlage I: Samenvatting van de productkenmerken, rubriek 4.2).</w:t>
      </w:r>
    </w:p>
    <w:p w14:paraId="7B2DA9A9" w14:textId="77777777" w:rsidR="00436DAA" w:rsidRPr="00330234" w:rsidRDefault="00436DAA" w:rsidP="00BD109B">
      <w:pPr>
        <w:pStyle w:val="a3"/>
        <w:widowControl/>
        <w:ind w:left="0"/>
      </w:pPr>
    </w:p>
    <w:p w14:paraId="21D2B800" w14:textId="77777777" w:rsidR="00436DAA" w:rsidRPr="00330234" w:rsidRDefault="00436DAA" w:rsidP="00BD109B">
      <w:pPr>
        <w:pStyle w:val="a3"/>
        <w:widowControl/>
        <w:ind w:left="0"/>
      </w:pPr>
    </w:p>
    <w:p w14:paraId="2BE9985D" w14:textId="6DF231CA" w:rsidR="00436DAA" w:rsidRPr="00330234" w:rsidRDefault="005328BF" w:rsidP="001031F9">
      <w:pPr>
        <w:pStyle w:val="1"/>
      </w:pPr>
      <w:bookmarkStart w:id="39" w:name="C._ANDERE_VOORWAARDEN_EN_EISEN_DIE_DOOR_"/>
      <w:bookmarkEnd w:id="39"/>
      <w:r w:rsidRPr="00330234">
        <w:t>C.</w:t>
      </w:r>
      <w:r w:rsidRPr="00330234">
        <w:tab/>
      </w:r>
      <w:r w:rsidR="009B4B8E" w:rsidRPr="00330234">
        <w:t>ANDERE VOORWAARDEN EN EISEN DIE DOOR DE HOUDER VAN DE HANDELSVERGUNNING MOETEN WORDEN NAGEKOMEN</w:t>
      </w:r>
    </w:p>
    <w:p w14:paraId="0CADB2C9" w14:textId="77777777" w:rsidR="00150AA8" w:rsidRPr="00330234" w:rsidRDefault="00150AA8" w:rsidP="00BD109B">
      <w:pPr>
        <w:widowControl/>
        <w:rPr>
          <w:rFonts w:eastAsia="Symbol"/>
        </w:rPr>
      </w:pPr>
    </w:p>
    <w:p w14:paraId="3B8702C0" w14:textId="79ED11C5" w:rsidR="00436DAA" w:rsidRPr="00330234" w:rsidRDefault="005328BF" w:rsidP="00150AA8">
      <w:pPr>
        <w:pStyle w:val="bullet"/>
        <w:rPr>
          <w:u w:val="single"/>
        </w:rPr>
      </w:pPr>
      <w:r w:rsidRPr="001B3E1E">
        <w:rPr>
          <w:rFonts w:eastAsia="Symbol"/>
        </w:rPr>
        <w:tab/>
      </w:r>
      <w:r w:rsidR="009B4B8E" w:rsidRPr="00330234">
        <w:rPr>
          <w:u w:val="single"/>
        </w:rPr>
        <w:t>Periodieke veiligheidsverslagen</w:t>
      </w:r>
    </w:p>
    <w:p w14:paraId="38D92396" w14:textId="77777777" w:rsidR="00150AA8" w:rsidRPr="00330234" w:rsidRDefault="00150AA8" w:rsidP="00BD109B">
      <w:pPr>
        <w:pStyle w:val="a3"/>
        <w:widowControl/>
        <w:ind w:left="0"/>
      </w:pPr>
    </w:p>
    <w:p w14:paraId="458146DB" w14:textId="12265701" w:rsidR="00436DAA" w:rsidRPr="00330234" w:rsidRDefault="009B4B8E" w:rsidP="00BD109B">
      <w:pPr>
        <w:pStyle w:val="a3"/>
        <w:widowControl/>
        <w:ind w:left="0"/>
      </w:pPr>
      <w:r w:rsidRPr="00330234">
        <w:t>De vereisten voor de indiening van periodieke veiligheidsverslagen</w:t>
      </w:r>
      <w:r w:rsidR="00BE7977">
        <w:rPr>
          <w:rFonts w:eastAsia="맑은 고딕" w:hint="eastAsia"/>
          <w:lang w:eastAsia="ko-KR"/>
        </w:rPr>
        <w:t xml:space="preserve"> </w:t>
      </w:r>
      <w:r w:rsidR="00BE7977">
        <w:t>voor dit geneesmiddel</w:t>
      </w:r>
      <w:r w:rsidRPr="00330234">
        <w:t xml:space="preserve"> worden vermeld in de lijst met Europese referentiedata (EURD-lijst), waarin voorzien wordt in artikel 107c, onder punt 7 van Richtlijn 2001/83/EG en eventuele hierop volgende aanpassingen gepubliceerd op het Europese webportaal voor geneesmiddelen.</w:t>
      </w:r>
    </w:p>
    <w:p w14:paraId="785A2759" w14:textId="77777777" w:rsidR="00436DAA" w:rsidRPr="00330234" w:rsidRDefault="00436DAA" w:rsidP="00BD109B">
      <w:pPr>
        <w:widowControl/>
      </w:pPr>
    </w:p>
    <w:p w14:paraId="6FA408C3" w14:textId="77777777" w:rsidR="00F8516F" w:rsidRPr="00330234" w:rsidRDefault="00F8516F" w:rsidP="00BD109B">
      <w:pPr>
        <w:widowControl/>
      </w:pPr>
    </w:p>
    <w:p w14:paraId="016DF6C5" w14:textId="0A3CFC37" w:rsidR="00436DAA" w:rsidRPr="00330234" w:rsidRDefault="005328BF" w:rsidP="001031F9">
      <w:pPr>
        <w:pStyle w:val="1"/>
      </w:pPr>
      <w:bookmarkStart w:id="40" w:name="D._VOORWAARDEN_OF_BEPERKINGEN_MET_BETREK"/>
      <w:bookmarkEnd w:id="40"/>
      <w:r w:rsidRPr="00330234">
        <w:t>D.</w:t>
      </w:r>
      <w:r w:rsidRPr="00330234">
        <w:tab/>
      </w:r>
      <w:r w:rsidR="009B4B8E" w:rsidRPr="00330234">
        <w:t>VOORWAARDEN OF BEPERKINGEN MET BETREKKING TOT EEN VEILIG EN DOELTREFFEND GEBRUIK VAN HET GENEESMIDDEL</w:t>
      </w:r>
    </w:p>
    <w:p w14:paraId="72A0A0DB" w14:textId="77777777" w:rsidR="00436DAA" w:rsidRPr="00330234" w:rsidRDefault="00436DAA" w:rsidP="00BD109B">
      <w:pPr>
        <w:pStyle w:val="a3"/>
        <w:widowControl/>
        <w:ind w:left="0"/>
        <w:rPr>
          <w:bCs/>
        </w:rPr>
      </w:pPr>
    </w:p>
    <w:p w14:paraId="1747E1BB" w14:textId="141A8263" w:rsidR="00436DAA" w:rsidRPr="00330234" w:rsidRDefault="005328BF" w:rsidP="00150AA8">
      <w:pPr>
        <w:pStyle w:val="bullet"/>
        <w:rPr>
          <w:b/>
          <w:bCs/>
        </w:rPr>
      </w:pPr>
      <w:r w:rsidRPr="00330234">
        <w:rPr>
          <w:rFonts w:eastAsia="Symbol"/>
          <w:b/>
          <w:bCs/>
        </w:rPr>
        <w:tab/>
      </w:r>
      <w:r w:rsidR="009B4B8E" w:rsidRPr="00330234">
        <w:rPr>
          <w:b/>
          <w:bCs/>
        </w:rPr>
        <w:t>Risk Management Plan (RMP)</w:t>
      </w:r>
    </w:p>
    <w:p w14:paraId="63C89183" w14:textId="77777777" w:rsidR="00150AA8" w:rsidRPr="00330234" w:rsidRDefault="00150AA8" w:rsidP="00BD109B">
      <w:pPr>
        <w:pStyle w:val="a3"/>
        <w:widowControl/>
        <w:ind w:left="0"/>
      </w:pPr>
    </w:p>
    <w:p w14:paraId="3D2C5D55" w14:textId="492C9141" w:rsidR="00436DAA" w:rsidRPr="00330234" w:rsidRDefault="009B4B8E" w:rsidP="00BD109B">
      <w:pPr>
        <w:pStyle w:val="a3"/>
        <w:widowControl/>
        <w:ind w:left="0"/>
      </w:pPr>
      <w:r w:rsidRPr="00330234">
        <w:t>De vergunninghouder voert de verplichte onderzoeken en maatregelen uit ten behoeve van de geneesmiddelenbewaking, zoals uitgewerkt in het overeengekomen RMP en weergegeven in module</w:t>
      </w:r>
      <w:r w:rsidR="00D06744" w:rsidRPr="00330234">
        <w:t> </w:t>
      </w:r>
      <w:r w:rsidRPr="00330234">
        <w:t>1.8.2 van de handelsvergunning, en in eventuele daaropvolgende overeengekomen RMP- aanpassingen.</w:t>
      </w:r>
    </w:p>
    <w:p w14:paraId="677B5E8A" w14:textId="77777777" w:rsidR="00150AA8" w:rsidRPr="00330234" w:rsidRDefault="00150AA8" w:rsidP="00BD109B">
      <w:pPr>
        <w:pStyle w:val="a3"/>
        <w:widowControl/>
        <w:ind w:left="0"/>
      </w:pPr>
    </w:p>
    <w:p w14:paraId="6A055E11" w14:textId="77777777" w:rsidR="00436DAA" w:rsidRPr="00330234" w:rsidRDefault="009B4B8E" w:rsidP="001B3E1E">
      <w:pPr>
        <w:pStyle w:val="a3"/>
        <w:keepNext/>
        <w:keepLines/>
        <w:widowControl/>
        <w:ind w:left="0"/>
      </w:pPr>
      <w:r w:rsidRPr="00330234">
        <w:lastRenderedPageBreak/>
        <w:t>Een aanpassing van het RMP wordt ingediend:</w:t>
      </w:r>
    </w:p>
    <w:p w14:paraId="6AF6AA5C" w14:textId="7C09C754" w:rsidR="00436DAA" w:rsidRPr="00330234" w:rsidRDefault="005328BF" w:rsidP="001B3E1E">
      <w:pPr>
        <w:pStyle w:val="bullet"/>
        <w:keepNext/>
        <w:keepLines/>
      </w:pPr>
      <w:r w:rsidRPr="00330234">
        <w:rPr>
          <w:rFonts w:eastAsia="Symbol"/>
        </w:rPr>
        <w:tab/>
      </w:r>
      <w:r w:rsidR="009B4B8E" w:rsidRPr="00330234">
        <w:t>op verzoek van het Europees Geneesmiddelenbureau;</w:t>
      </w:r>
    </w:p>
    <w:p w14:paraId="13F272C0" w14:textId="48AA1D1A" w:rsidR="00436DAA" w:rsidRPr="00330234" w:rsidRDefault="005328BF" w:rsidP="00150AA8">
      <w:pPr>
        <w:pStyle w:val="bullet"/>
      </w:pPr>
      <w:r w:rsidRPr="00330234">
        <w:rPr>
          <w:rFonts w:eastAsia="Symbol"/>
        </w:rPr>
        <w:tab/>
      </w:r>
      <w:r w:rsidR="009B4B8E" w:rsidRPr="00330234">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3242040F" w14:textId="77777777" w:rsidR="00150AA8" w:rsidRPr="00330234" w:rsidRDefault="00150AA8" w:rsidP="00BD109B">
      <w:pPr>
        <w:pStyle w:val="a3"/>
        <w:widowControl/>
        <w:ind w:left="0"/>
      </w:pPr>
    </w:p>
    <w:p w14:paraId="5728F5CF" w14:textId="412B394D" w:rsidR="00436DAA" w:rsidRPr="00330234" w:rsidRDefault="009B4B8E" w:rsidP="001B3E1E">
      <w:pPr>
        <w:pStyle w:val="a3"/>
        <w:widowControl/>
        <w:ind w:left="567"/>
      </w:pPr>
      <w:r w:rsidRPr="00330234">
        <w:t>Mocht het tijdstip van indiening van een periodiek veiligheidsverslag en indiening van de RMP-update samenvallen, dan kunnen beide gelijktijdig worden ingediend.</w:t>
      </w:r>
    </w:p>
    <w:p w14:paraId="596AD9AB" w14:textId="77777777" w:rsidR="00436DAA" w:rsidRPr="00330234" w:rsidRDefault="00436DAA" w:rsidP="00BD109B">
      <w:pPr>
        <w:pStyle w:val="a3"/>
        <w:widowControl/>
        <w:ind w:left="0"/>
      </w:pPr>
    </w:p>
    <w:p w14:paraId="732D5C4B" w14:textId="57BB2813" w:rsidR="00436DAA" w:rsidRPr="00330234" w:rsidRDefault="005328BF" w:rsidP="00150AA8">
      <w:pPr>
        <w:pStyle w:val="bullet"/>
        <w:rPr>
          <w:b/>
          <w:bCs/>
        </w:rPr>
      </w:pPr>
      <w:r w:rsidRPr="00330234">
        <w:rPr>
          <w:rFonts w:eastAsia="Symbol"/>
          <w:b/>
          <w:bCs/>
        </w:rPr>
        <w:tab/>
      </w:r>
      <w:r w:rsidR="009B4B8E" w:rsidRPr="00330234">
        <w:rPr>
          <w:b/>
          <w:bCs/>
        </w:rPr>
        <w:t>Extra risicobeperkende maatregelen</w:t>
      </w:r>
    </w:p>
    <w:p w14:paraId="77B4FFFB" w14:textId="77777777" w:rsidR="00F8516F" w:rsidRPr="00330234" w:rsidRDefault="00F8516F" w:rsidP="00BD109B">
      <w:pPr>
        <w:pStyle w:val="a3"/>
        <w:widowControl/>
        <w:ind w:left="0"/>
      </w:pPr>
    </w:p>
    <w:p w14:paraId="2E3AAE05" w14:textId="4DCD578F" w:rsidR="00436DAA" w:rsidRPr="00330234" w:rsidRDefault="009B4B8E" w:rsidP="00BD109B">
      <w:pPr>
        <w:pStyle w:val="a3"/>
        <w:widowControl/>
        <w:ind w:left="0"/>
      </w:pPr>
      <w:r w:rsidRPr="00330234">
        <w:t xml:space="preserve">De houder van de vergunning zal voorlichtingsmateriaal verstrekken dat de therapeutische indicaties RA, sJIA, pJIA en GCA dekt, met als doelgroep alle artsen waarvan wordt verwacht dat zij </w:t>
      </w:r>
      <w:r w:rsidR="00713F89" w:rsidRPr="00330234">
        <w:t>Avtozma</w:t>
      </w:r>
      <w:r w:rsidRPr="00330234">
        <w:t xml:space="preserve"> zullen gaan voorschrijven/gebruiken. Het voorlichtingsmateriaal zal de volgende informatie bevatten:</w:t>
      </w:r>
    </w:p>
    <w:p w14:paraId="2E4FB3D4" w14:textId="77777777" w:rsidR="00150AA8" w:rsidRPr="00330234" w:rsidRDefault="00150AA8" w:rsidP="00BD109B">
      <w:pPr>
        <w:widowControl/>
        <w:rPr>
          <w:rFonts w:eastAsia="Symbol"/>
        </w:rPr>
      </w:pPr>
    </w:p>
    <w:p w14:paraId="1C32CA90" w14:textId="49670B28" w:rsidR="00436DAA" w:rsidRPr="00330234" w:rsidRDefault="005328BF" w:rsidP="00150AA8">
      <w:pPr>
        <w:pStyle w:val="bullet"/>
      </w:pPr>
      <w:r w:rsidRPr="00330234">
        <w:rPr>
          <w:rFonts w:eastAsia="Symbol"/>
        </w:rPr>
        <w:tab/>
      </w:r>
      <w:r w:rsidR="009B4B8E" w:rsidRPr="00330234">
        <w:t>Artseninformatiepakket</w:t>
      </w:r>
    </w:p>
    <w:p w14:paraId="6391BA7F" w14:textId="1123D2F4" w:rsidR="00436DAA" w:rsidRPr="00330234" w:rsidRDefault="005328BF" w:rsidP="00150AA8">
      <w:pPr>
        <w:pStyle w:val="bullet"/>
      </w:pPr>
      <w:r w:rsidRPr="00330234">
        <w:rPr>
          <w:rFonts w:eastAsia="Symbol"/>
        </w:rPr>
        <w:tab/>
      </w:r>
      <w:r w:rsidR="009B4B8E" w:rsidRPr="00330234">
        <w:t>Verpleegkundigeninformatiepakket</w:t>
      </w:r>
    </w:p>
    <w:p w14:paraId="68AC7F36" w14:textId="266090D1" w:rsidR="00436DAA" w:rsidRPr="00330234" w:rsidRDefault="005328BF" w:rsidP="00150AA8">
      <w:pPr>
        <w:pStyle w:val="bullet"/>
      </w:pPr>
      <w:r w:rsidRPr="00330234">
        <w:rPr>
          <w:rFonts w:eastAsia="Symbol"/>
        </w:rPr>
        <w:tab/>
      </w:r>
      <w:r w:rsidR="009B4B8E" w:rsidRPr="00330234">
        <w:t>Patiënteninformatiepakket</w:t>
      </w:r>
    </w:p>
    <w:p w14:paraId="60D92C7E" w14:textId="77777777" w:rsidR="00150AA8" w:rsidRPr="00330234" w:rsidRDefault="00150AA8" w:rsidP="00BD109B">
      <w:pPr>
        <w:pStyle w:val="a3"/>
        <w:widowControl/>
        <w:ind w:left="0"/>
      </w:pPr>
    </w:p>
    <w:p w14:paraId="3C993C18" w14:textId="61A061EA" w:rsidR="00436DAA" w:rsidRPr="00330234" w:rsidRDefault="009B4B8E" w:rsidP="00BD109B">
      <w:pPr>
        <w:pStyle w:val="a3"/>
        <w:widowControl/>
        <w:ind w:left="0"/>
      </w:pPr>
      <w:r w:rsidRPr="00330234">
        <w:t>De houder van de vergunning moet met de nationale bevoegde instantie de inhoud en de opzet van het voorlichtingsmateriaal en een communicatieplan (inclusief distributieplan) overeenkomen, voordat het voorlichtingsmateriaal wordt gedistribueerd.</w:t>
      </w:r>
    </w:p>
    <w:p w14:paraId="5FB4B079" w14:textId="77777777" w:rsidR="00150AA8" w:rsidRPr="00330234" w:rsidRDefault="00150AA8" w:rsidP="00BD109B">
      <w:pPr>
        <w:pStyle w:val="a3"/>
        <w:widowControl/>
        <w:ind w:left="0"/>
      </w:pPr>
    </w:p>
    <w:p w14:paraId="5DA339C3" w14:textId="068CB97D" w:rsidR="00436DAA" w:rsidRPr="00330234" w:rsidRDefault="009B4B8E" w:rsidP="00BD109B">
      <w:pPr>
        <w:pStyle w:val="a3"/>
        <w:widowControl/>
        <w:ind w:left="0"/>
      </w:pPr>
      <w:r w:rsidRPr="00330234">
        <w:t>Het artseninformatiepakket dient de volgende hoofdelementen te bevatten:</w:t>
      </w:r>
    </w:p>
    <w:p w14:paraId="59EBCDE6" w14:textId="1239C880" w:rsidR="00436DAA" w:rsidRPr="00330234" w:rsidRDefault="005328BF" w:rsidP="00150AA8">
      <w:pPr>
        <w:pStyle w:val="bullet"/>
      </w:pPr>
      <w:r w:rsidRPr="00330234">
        <w:rPr>
          <w:rFonts w:eastAsia="Symbol"/>
        </w:rPr>
        <w:tab/>
      </w:r>
      <w:r w:rsidR="009B4B8E" w:rsidRPr="00330234">
        <w:t>Verwijzing naar de Samenvatting van de Productkenmerken (zoals de link naar de EMA website)</w:t>
      </w:r>
    </w:p>
    <w:p w14:paraId="4646C526" w14:textId="4DCD85B4" w:rsidR="00436DAA" w:rsidRPr="00330234" w:rsidRDefault="005328BF" w:rsidP="00150AA8">
      <w:pPr>
        <w:pStyle w:val="bullet"/>
      </w:pPr>
      <w:r w:rsidRPr="00330234">
        <w:rPr>
          <w:rFonts w:eastAsia="Symbol"/>
        </w:rPr>
        <w:tab/>
      </w:r>
      <w:r w:rsidR="009B4B8E" w:rsidRPr="00330234">
        <w:t>Doseringsberekening (RA-, sJIA- en pJIA-patiënten), bereiding van de infusie en infusiesnelheid</w:t>
      </w:r>
    </w:p>
    <w:p w14:paraId="24061F6B" w14:textId="608F34DD" w:rsidR="00436DAA" w:rsidRPr="00330234" w:rsidRDefault="005328BF" w:rsidP="00150AA8">
      <w:pPr>
        <w:pStyle w:val="bullet"/>
      </w:pPr>
      <w:r w:rsidRPr="00330234">
        <w:rPr>
          <w:rFonts w:eastAsia="Symbol"/>
        </w:rPr>
        <w:tab/>
      </w:r>
      <w:r w:rsidR="009B4B8E" w:rsidRPr="00330234">
        <w:t>Risico van ernstige infecties</w:t>
      </w:r>
    </w:p>
    <w:p w14:paraId="19F012D5" w14:textId="70EBE064" w:rsidR="00436DAA" w:rsidRPr="00330234" w:rsidRDefault="005328BF" w:rsidP="00150AA8">
      <w:pPr>
        <w:pStyle w:val="bullet"/>
        <w:ind w:left="1134"/>
      </w:pPr>
      <w:r w:rsidRPr="00330234">
        <w:rPr>
          <w:rFonts w:eastAsia="Symbol"/>
        </w:rPr>
        <w:tab/>
      </w:r>
      <w:r w:rsidR="009B4B8E" w:rsidRPr="00330234">
        <w:t>Het product mag niet worden gegeven aan patiënten met actieve of verdachte infecties</w:t>
      </w:r>
    </w:p>
    <w:p w14:paraId="2A0F2961" w14:textId="240C61ED" w:rsidR="00436DAA" w:rsidRPr="00330234" w:rsidRDefault="005328BF" w:rsidP="00150AA8">
      <w:pPr>
        <w:pStyle w:val="bullet"/>
        <w:ind w:left="1134"/>
      </w:pPr>
      <w:r w:rsidRPr="00330234">
        <w:rPr>
          <w:rFonts w:eastAsia="Symbol"/>
        </w:rPr>
        <w:tab/>
      </w:r>
      <w:r w:rsidR="009B4B8E" w:rsidRPr="00330234">
        <w:t>Het product kan klachten en symptomen van acute infecties verminderen, en daarmee de diagnose vertragen</w:t>
      </w:r>
    </w:p>
    <w:p w14:paraId="22B34A54" w14:textId="645CE199" w:rsidR="00436DAA" w:rsidRPr="00330234" w:rsidRDefault="005328BF" w:rsidP="00150AA8">
      <w:pPr>
        <w:pStyle w:val="bullet"/>
      </w:pPr>
      <w:r w:rsidRPr="00330234">
        <w:rPr>
          <w:rFonts w:eastAsia="Symbol"/>
        </w:rPr>
        <w:tab/>
      </w:r>
      <w:r w:rsidR="009B4B8E" w:rsidRPr="00330234">
        <w:t>Risico van levertoxiciteit</w:t>
      </w:r>
    </w:p>
    <w:p w14:paraId="07FB514D" w14:textId="6098C3EB" w:rsidR="00436DAA" w:rsidRPr="00330234" w:rsidRDefault="005328BF" w:rsidP="00150AA8">
      <w:pPr>
        <w:pStyle w:val="bullet"/>
        <w:ind w:left="1134"/>
      </w:pPr>
      <w:r w:rsidRPr="00330234">
        <w:rPr>
          <w:rFonts w:eastAsia="Symbol"/>
        </w:rPr>
        <w:tab/>
      </w:r>
      <w:r w:rsidR="009B4B8E" w:rsidRPr="00330234">
        <w:t>Voorzichtigheid is geboden wanneer wordt overwogen de behandeling met tocilizumab te starten bij patiënten met verhoogde ALAT- en ASAT-waarden</w:t>
      </w:r>
      <w:r w:rsidR="00150AA8" w:rsidRPr="00330234">
        <w:t xml:space="preserve"> </w:t>
      </w:r>
      <w:r w:rsidR="009B4B8E" w:rsidRPr="00330234">
        <w:t>&gt;1,5x ULN. Behandeling wordt afgeraden bij patiënten met verhoogde ALAT- of ASAT-waarden &gt;5x ULN.</w:t>
      </w:r>
    </w:p>
    <w:p w14:paraId="4F6AAA13" w14:textId="3EB0AE69" w:rsidR="00436DAA" w:rsidRPr="00330234" w:rsidRDefault="005328BF" w:rsidP="00150AA8">
      <w:pPr>
        <w:pStyle w:val="bullet"/>
        <w:ind w:left="1134"/>
      </w:pPr>
      <w:r w:rsidRPr="00330234">
        <w:rPr>
          <w:rFonts w:eastAsia="Symbol"/>
        </w:rPr>
        <w:tab/>
      </w:r>
      <w:r w:rsidR="009B4B8E" w:rsidRPr="00330234">
        <w:t>Bij patiënten met RA, GCA, pJIA en sJIA moeten de ALAT/ASAT-waarden elke 4 tot 8</w:t>
      </w:r>
      <w:r w:rsidR="00150AA8" w:rsidRPr="00330234">
        <w:t> </w:t>
      </w:r>
      <w:r w:rsidR="009B4B8E" w:rsidRPr="00330234">
        <w:t>weken worden gecontroleerd tijdens de eerste 6 maanden van de behandeling en daarna elke 12 weken. De aanbevolen dosisaanpassingen, inclusief staken van de behandeling met tocilizumab, op basis van levertransaminasenspiegels volgens SmPC rubriek 4.2</w:t>
      </w:r>
    </w:p>
    <w:p w14:paraId="33D836B7" w14:textId="2A898565" w:rsidR="00436DAA" w:rsidRPr="00330234" w:rsidRDefault="005328BF" w:rsidP="00150AA8">
      <w:pPr>
        <w:pStyle w:val="bullet"/>
      </w:pPr>
      <w:r w:rsidRPr="00330234">
        <w:rPr>
          <w:rFonts w:eastAsia="Symbol"/>
        </w:rPr>
        <w:tab/>
      </w:r>
      <w:r w:rsidR="009B4B8E" w:rsidRPr="00330234">
        <w:t>Risico op gastro-intestinale perforaties, in het bijzonder bij patiënten met een voorgeschiedenis van diverticulitis of intestinale ulcera.</w:t>
      </w:r>
    </w:p>
    <w:p w14:paraId="08B7D6D6" w14:textId="78CF316E" w:rsidR="00436DAA" w:rsidRPr="00330234" w:rsidRDefault="005328BF" w:rsidP="00150AA8">
      <w:pPr>
        <w:pStyle w:val="bullet"/>
      </w:pPr>
      <w:r w:rsidRPr="00330234">
        <w:rPr>
          <w:rFonts w:eastAsia="Symbol"/>
        </w:rPr>
        <w:tab/>
      </w:r>
      <w:r w:rsidR="009B4B8E" w:rsidRPr="00330234">
        <w:t>Informatie over hoe ernstige bijwerkingen gerapporteerd moeten worden</w:t>
      </w:r>
    </w:p>
    <w:p w14:paraId="0FB986BE" w14:textId="3FA83C93" w:rsidR="00436DAA" w:rsidRPr="00330234" w:rsidRDefault="005328BF" w:rsidP="00150AA8">
      <w:pPr>
        <w:pStyle w:val="bullet"/>
      </w:pPr>
      <w:r w:rsidRPr="00330234">
        <w:rPr>
          <w:rFonts w:eastAsia="Symbol"/>
        </w:rPr>
        <w:tab/>
      </w:r>
      <w:r w:rsidR="009B4B8E" w:rsidRPr="00330234">
        <w:t>Het patiënteninformatiepakket (dient door de behandelaar aan de patiënt te worden gegeven)</w:t>
      </w:r>
    </w:p>
    <w:p w14:paraId="5B72E6F0" w14:textId="3428B7BB" w:rsidR="00436DAA" w:rsidRPr="00330234" w:rsidRDefault="005328BF" w:rsidP="00150AA8">
      <w:pPr>
        <w:pStyle w:val="bullet"/>
      </w:pPr>
      <w:r w:rsidRPr="00330234">
        <w:rPr>
          <w:rFonts w:eastAsia="Symbol"/>
        </w:rPr>
        <w:tab/>
      </w:r>
      <w:r w:rsidR="009B4B8E" w:rsidRPr="00330234">
        <w:t>Instructies over het diagnosticeren van het macrofaagactivatiesyndroom bij sJIA-patiënten</w:t>
      </w:r>
    </w:p>
    <w:p w14:paraId="62125CB4" w14:textId="191D6318" w:rsidR="00436DAA" w:rsidRPr="00330234" w:rsidRDefault="005328BF" w:rsidP="00150AA8">
      <w:pPr>
        <w:pStyle w:val="bullet"/>
      </w:pPr>
      <w:r w:rsidRPr="00330234">
        <w:rPr>
          <w:rFonts w:eastAsia="Symbol"/>
        </w:rPr>
        <w:tab/>
      </w:r>
      <w:r w:rsidR="009B4B8E" w:rsidRPr="00330234">
        <w:t>Aanbevelingen voor onderbrekingen van de behandeling bij sJIA- en pJIA-patiënten</w:t>
      </w:r>
    </w:p>
    <w:p w14:paraId="2E880CB8" w14:textId="77777777" w:rsidR="00150AA8" w:rsidRPr="00330234" w:rsidRDefault="00150AA8" w:rsidP="00BD109B">
      <w:pPr>
        <w:pStyle w:val="a3"/>
        <w:widowControl/>
        <w:ind w:left="0"/>
      </w:pPr>
    </w:p>
    <w:p w14:paraId="757B4539" w14:textId="1B1FD055" w:rsidR="00436DAA" w:rsidRPr="00330234" w:rsidRDefault="009B4B8E" w:rsidP="00BD109B">
      <w:pPr>
        <w:pStyle w:val="a3"/>
        <w:widowControl/>
        <w:ind w:left="0"/>
      </w:pPr>
      <w:r w:rsidRPr="00330234">
        <w:t>Het verpleegkundigeninformatiepakket dient de volgende hoofdelementen te bevatten:</w:t>
      </w:r>
    </w:p>
    <w:p w14:paraId="151B81C3" w14:textId="10C19997" w:rsidR="00436DAA" w:rsidRPr="00330234" w:rsidRDefault="005328BF" w:rsidP="00150AA8">
      <w:pPr>
        <w:pStyle w:val="bullet"/>
      </w:pPr>
      <w:r w:rsidRPr="00330234">
        <w:rPr>
          <w:rFonts w:eastAsia="Symbol"/>
        </w:rPr>
        <w:tab/>
      </w:r>
      <w:r w:rsidR="009B4B8E" w:rsidRPr="00330234">
        <w:t>Preventie van medische fouten en injectie-/infusiegerelateerde reacties</w:t>
      </w:r>
    </w:p>
    <w:p w14:paraId="5B4DD89A" w14:textId="2C572C3A" w:rsidR="00436DAA" w:rsidRPr="00330234" w:rsidRDefault="005328BF" w:rsidP="00150AA8">
      <w:pPr>
        <w:pStyle w:val="bullet"/>
        <w:ind w:left="1134"/>
      </w:pPr>
      <w:r w:rsidRPr="00330234">
        <w:rPr>
          <w:rFonts w:eastAsia="Symbol"/>
        </w:rPr>
        <w:tab/>
      </w:r>
      <w:r w:rsidR="009B4B8E" w:rsidRPr="00330234">
        <w:t>Bereiding van de injectie/infusie</w:t>
      </w:r>
    </w:p>
    <w:p w14:paraId="547B5FB7" w14:textId="274873E1" w:rsidR="00436DAA" w:rsidRPr="00330234" w:rsidRDefault="005328BF" w:rsidP="00150AA8">
      <w:pPr>
        <w:pStyle w:val="bullet"/>
        <w:ind w:left="1134"/>
      </w:pPr>
      <w:r w:rsidRPr="00330234">
        <w:rPr>
          <w:rFonts w:eastAsia="Symbol"/>
        </w:rPr>
        <w:tab/>
      </w:r>
      <w:r w:rsidR="009B4B8E" w:rsidRPr="00330234">
        <w:t>Infusiesnelheid</w:t>
      </w:r>
    </w:p>
    <w:p w14:paraId="1C13CC2B" w14:textId="20AE92AF" w:rsidR="00436DAA" w:rsidRPr="00330234" w:rsidRDefault="005328BF" w:rsidP="00150AA8">
      <w:pPr>
        <w:pStyle w:val="bullet"/>
      </w:pPr>
      <w:r w:rsidRPr="00330234">
        <w:rPr>
          <w:rFonts w:eastAsia="Symbol"/>
        </w:rPr>
        <w:tab/>
      </w:r>
      <w:r w:rsidR="009B4B8E" w:rsidRPr="00330234">
        <w:t>Controle van de patiënten op injectie-/infusiegerelateerde reacties</w:t>
      </w:r>
    </w:p>
    <w:p w14:paraId="3E8C5B8C" w14:textId="643DF447" w:rsidR="00436DAA" w:rsidRPr="00330234" w:rsidRDefault="005328BF" w:rsidP="00150AA8">
      <w:pPr>
        <w:pStyle w:val="bullet"/>
      </w:pPr>
      <w:r w:rsidRPr="00330234">
        <w:rPr>
          <w:rFonts w:eastAsia="Symbol"/>
        </w:rPr>
        <w:tab/>
      </w:r>
      <w:r w:rsidR="009B4B8E" w:rsidRPr="00330234">
        <w:t>Informatie over hoe ernstige bijwerkingen gerapporteerd moeten worden</w:t>
      </w:r>
    </w:p>
    <w:p w14:paraId="37E663F3" w14:textId="77777777" w:rsidR="00150AA8" w:rsidRPr="00330234" w:rsidRDefault="00150AA8" w:rsidP="00BD109B">
      <w:pPr>
        <w:pStyle w:val="a3"/>
        <w:widowControl/>
        <w:ind w:left="0"/>
      </w:pPr>
    </w:p>
    <w:p w14:paraId="29A0E01B" w14:textId="6CDB6609" w:rsidR="00436DAA" w:rsidRPr="00330234" w:rsidRDefault="009B4B8E" w:rsidP="001B3E1E">
      <w:pPr>
        <w:pStyle w:val="a3"/>
        <w:keepNext/>
        <w:keepLines/>
        <w:widowControl/>
        <w:ind w:left="0"/>
      </w:pPr>
      <w:r w:rsidRPr="00330234">
        <w:lastRenderedPageBreak/>
        <w:t>Het patiënteninformatiepakket dient de volgende hoofdelementen te bevatten:</w:t>
      </w:r>
    </w:p>
    <w:p w14:paraId="1BC221E9" w14:textId="5F3C9A9B" w:rsidR="00436DAA" w:rsidRPr="00330234" w:rsidRDefault="005328BF" w:rsidP="001B3E1E">
      <w:pPr>
        <w:pStyle w:val="bullet"/>
        <w:keepNext/>
        <w:keepLines/>
      </w:pPr>
      <w:r w:rsidRPr="00330234">
        <w:rPr>
          <w:rFonts w:eastAsia="Symbol"/>
        </w:rPr>
        <w:tab/>
      </w:r>
      <w:r w:rsidR="009B4B8E" w:rsidRPr="00330234">
        <w:t>Bijsluiter (met instructies voor s.c. gebruik) (bijvoorbeeld een link naar de EMA-website)</w:t>
      </w:r>
    </w:p>
    <w:p w14:paraId="019BA0AB" w14:textId="33040DDE" w:rsidR="00436DAA" w:rsidRPr="00330234" w:rsidRDefault="005328BF" w:rsidP="00150AA8">
      <w:pPr>
        <w:pStyle w:val="bullet"/>
      </w:pPr>
      <w:r w:rsidRPr="00330234">
        <w:rPr>
          <w:rFonts w:eastAsia="Symbol"/>
        </w:rPr>
        <w:tab/>
      </w:r>
      <w:r w:rsidR="009B4B8E" w:rsidRPr="00330234">
        <w:t>Patiëntenwaarschuwingskaart</w:t>
      </w:r>
    </w:p>
    <w:p w14:paraId="4A6F7C5D" w14:textId="77D028BF" w:rsidR="00436DAA" w:rsidRPr="00330234" w:rsidRDefault="005328BF" w:rsidP="001B3E1E">
      <w:pPr>
        <w:pStyle w:val="bullet"/>
        <w:numPr>
          <w:ilvl w:val="0"/>
          <w:numId w:val="76"/>
        </w:numPr>
        <w:ind w:left="1134" w:hanging="567"/>
      </w:pPr>
      <w:r w:rsidRPr="00330234">
        <w:rPr>
          <w:rFonts w:eastAsia="Symbol"/>
        </w:rPr>
        <w:tab/>
      </w:r>
      <w:r w:rsidR="009B4B8E" w:rsidRPr="00330234">
        <w:t>om het risico aan de orde te stellen op het krijgen van infecties die ernstig kunnen worden indien niet behandeld. Daarnaast kunnen sommige voorgaande infecties terugkeren.</w:t>
      </w:r>
    </w:p>
    <w:p w14:paraId="3202D720" w14:textId="59A4E6D5" w:rsidR="00436DAA" w:rsidRPr="00330234" w:rsidRDefault="005328BF" w:rsidP="001B3E1E">
      <w:pPr>
        <w:pStyle w:val="bullet"/>
        <w:numPr>
          <w:ilvl w:val="0"/>
          <w:numId w:val="76"/>
        </w:numPr>
        <w:ind w:left="1134" w:hanging="567"/>
      </w:pPr>
      <w:r w:rsidRPr="00330234">
        <w:rPr>
          <w:rFonts w:eastAsia="Symbol"/>
        </w:rPr>
        <w:tab/>
      </w:r>
      <w:r w:rsidR="009B4B8E" w:rsidRPr="00330234">
        <w:t xml:space="preserve">om het risico aan de orde te stellen dat patiënten die </w:t>
      </w:r>
      <w:r w:rsidR="007A197C" w:rsidRPr="00330234">
        <w:t>Avtozma</w:t>
      </w:r>
      <w:r w:rsidR="009B4B8E" w:rsidRPr="00330234">
        <w:t xml:space="preserve"> gebruiken complicaties van divertikelontsteking kunnen ontwikkelen die ernstig kunnen worden indien niet behandeld.</w:t>
      </w:r>
    </w:p>
    <w:p w14:paraId="3203B5AD" w14:textId="26386A13" w:rsidR="00436DAA" w:rsidRPr="00330234" w:rsidRDefault="005328BF" w:rsidP="001B3E1E">
      <w:pPr>
        <w:pStyle w:val="bullet"/>
        <w:numPr>
          <w:ilvl w:val="0"/>
          <w:numId w:val="76"/>
        </w:numPr>
        <w:ind w:left="1134" w:hanging="567"/>
      </w:pPr>
      <w:r w:rsidRPr="00330234">
        <w:rPr>
          <w:rFonts w:eastAsia="Symbol"/>
        </w:rPr>
        <w:tab/>
      </w:r>
      <w:r w:rsidR="009B4B8E" w:rsidRPr="00330234">
        <w:t xml:space="preserve">om het risico aan de orde te stellen dat patiënten die </w:t>
      </w:r>
      <w:r w:rsidR="007A197C" w:rsidRPr="00330234">
        <w:t>Avtozma</w:t>
      </w:r>
      <w:r w:rsidR="009B4B8E" w:rsidRPr="00330234">
        <w:t xml:space="preserve"> gebruiken ernstige leverschade kunnen ontwikkelen. Patiënten worden gecontroleerd met behulp van leverfunctietesten. Patiënten moeten onmiddellijk contact met hun arts opnemen bij verschijnselen van levertoxiciteit waaronder vermoeidheid, buikpijn en geelzucht.</w:t>
      </w:r>
    </w:p>
    <w:p w14:paraId="01E878E4" w14:textId="77777777" w:rsidR="00150AA8" w:rsidRPr="00330234" w:rsidRDefault="00150AA8" w:rsidP="00BD109B">
      <w:pPr>
        <w:widowControl/>
      </w:pPr>
    </w:p>
    <w:p w14:paraId="6D65D120" w14:textId="5D5ADD4B" w:rsidR="00150AA8" w:rsidRPr="00330234" w:rsidRDefault="00150AA8" w:rsidP="00BD109B">
      <w:pPr>
        <w:widowControl/>
      </w:pPr>
      <w:r w:rsidRPr="00330234">
        <w:br w:type="page"/>
      </w:r>
    </w:p>
    <w:p w14:paraId="27154F3B" w14:textId="77777777" w:rsidR="00436DAA" w:rsidRPr="00330234" w:rsidRDefault="00436DAA" w:rsidP="00BD109B">
      <w:pPr>
        <w:widowControl/>
      </w:pPr>
    </w:p>
    <w:p w14:paraId="440BF50D" w14:textId="77777777" w:rsidR="00436DAA" w:rsidRPr="00330234" w:rsidRDefault="00436DAA" w:rsidP="00BD109B">
      <w:pPr>
        <w:pStyle w:val="a3"/>
        <w:widowControl/>
        <w:ind w:left="0"/>
      </w:pPr>
    </w:p>
    <w:p w14:paraId="19C4D8BB" w14:textId="77777777" w:rsidR="00436DAA" w:rsidRPr="00330234" w:rsidRDefault="00436DAA" w:rsidP="00BD109B">
      <w:pPr>
        <w:pStyle w:val="a3"/>
        <w:widowControl/>
        <w:ind w:left="0"/>
      </w:pPr>
    </w:p>
    <w:p w14:paraId="2FBB2BB7" w14:textId="77777777" w:rsidR="00436DAA" w:rsidRPr="00330234" w:rsidRDefault="00436DAA" w:rsidP="00BD109B">
      <w:pPr>
        <w:pStyle w:val="a3"/>
        <w:widowControl/>
        <w:ind w:left="0"/>
      </w:pPr>
    </w:p>
    <w:p w14:paraId="3A88E4A5" w14:textId="77777777" w:rsidR="00436DAA" w:rsidRPr="00330234" w:rsidRDefault="00436DAA" w:rsidP="00BD109B">
      <w:pPr>
        <w:pStyle w:val="a3"/>
        <w:widowControl/>
        <w:ind w:left="0"/>
      </w:pPr>
    </w:p>
    <w:p w14:paraId="30B86DA0" w14:textId="77777777" w:rsidR="00436DAA" w:rsidRPr="00330234" w:rsidRDefault="00436DAA" w:rsidP="00BD109B">
      <w:pPr>
        <w:pStyle w:val="a3"/>
        <w:widowControl/>
        <w:ind w:left="0"/>
      </w:pPr>
    </w:p>
    <w:p w14:paraId="2E526B3E" w14:textId="77777777" w:rsidR="00436DAA" w:rsidRPr="00330234" w:rsidRDefault="00436DAA" w:rsidP="00BD109B">
      <w:pPr>
        <w:pStyle w:val="a3"/>
        <w:widowControl/>
        <w:ind w:left="0"/>
      </w:pPr>
    </w:p>
    <w:p w14:paraId="2AE8F461" w14:textId="77777777" w:rsidR="00436DAA" w:rsidRPr="00330234" w:rsidRDefault="00436DAA" w:rsidP="00BD109B">
      <w:pPr>
        <w:pStyle w:val="a3"/>
        <w:widowControl/>
        <w:ind w:left="0"/>
      </w:pPr>
    </w:p>
    <w:p w14:paraId="45F3F252" w14:textId="77777777" w:rsidR="00436DAA" w:rsidRPr="00330234" w:rsidRDefault="00436DAA" w:rsidP="00BD109B">
      <w:pPr>
        <w:pStyle w:val="a3"/>
        <w:widowControl/>
        <w:ind w:left="0"/>
      </w:pPr>
    </w:p>
    <w:p w14:paraId="3AA41FC3" w14:textId="77777777" w:rsidR="00436DAA" w:rsidRPr="00330234" w:rsidRDefault="00436DAA" w:rsidP="00BD109B">
      <w:pPr>
        <w:pStyle w:val="a3"/>
        <w:widowControl/>
        <w:ind w:left="0"/>
      </w:pPr>
    </w:p>
    <w:p w14:paraId="45634BDD" w14:textId="77777777" w:rsidR="00436DAA" w:rsidRPr="00330234" w:rsidRDefault="00436DAA" w:rsidP="00BD109B">
      <w:pPr>
        <w:pStyle w:val="a3"/>
        <w:widowControl/>
        <w:ind w:left="0"/>
      </w:pPr>
    </w:p>
    <w:p w14:paraId="0BDE18D1" w14:textId="77777777" w:rsidR="00436DAA" w:rsidRPr="00330234" w:rsidRDefault="00436DAA" w:rsidP="00BD109B">
      <w:pPr>
        <w:pStyle w:val="a3"/>
        <w:widowControl/>
        <w:ind w:left="0"/>
      </w:pPr>
    </w:p>
    <w:p w14:paraId="626ACD6F" w14:textId="77777777" w:rsidR="00436DAA" w:rsidRPr="00330234" w:rsidRDefault="00436DAA" w:rsidP="00BD109B">
      <w:pPr>
        <w:pStyle w:val="a3"/>
        <w:widowControl/>
        <w:ind w:left="0"/>
      </w:pPr>
    </w:p>
    <w:p w14:paraId="36580E6A" w14:textId="77777777" w:rsidR="00436DAA" w:rsidRPr="00330234" w:rsidRDefault="00436DAA" w:rsidP="00BD109B">
      <w:pPr>
        <w:pStyle w:val="a3"/>
        <w:widowControl/>
        <w:ind w:left="0"/>
      </w:pPr>
    </w:p>
    <w:p w14:paraId="6B2DD258" w14:textId="77777777" w:rsidR="00436DAA" w:rsidRPr="00330234" w:rsidRDefault="00436DAA" w:rsidP="00BD109B">
      <w:pPr>
        <w:pStyle w:val="a3"/>
        <w:widowControl/>
        <w:ind w:left="0"/>
      </w:pPr>
    </w:p>
    <w:p w14:paraId="57EB7201" w14:textId="77777777" w:rsidR="00436DAA" w:rsidRPr="00330234" w:rsidRDefault="00436DAA" w:rsidP="00BD109B">
      <w:pPr>
        <w:pStyle w:val="a3"/>
        <w:widowControl/>
        <w:ind w:left="0"/>
      </w:pPr>
    </w:p>
    <w:p w14:paraId="7E8169E6" w14:textId="77777777" w:rsidR="00436DAA" w:rsidRPr="00330234" w:rsidRDefault="00436DAA" w:rsidP="00BD109B">
      <w:pPr>
        <w:pStyle w:val="a3"/>
        <w:widowControl/>
        <w:ind w:left="0"/>
      </w:pPr>
    </w:p>
    <w:p w14:paraId="45C89F14" w14:textId="77777777" w:rsidR="00436DAA" w:rsidRPr="00330234" w:rsidRDefault="00436DAA" w:rsidP="00BD109B">
      <w:pPr>
        <w:pStyle w:val="a3"/>
        <w:widowControl/>
        <w:ind w:left="0"/>
      </w:pPr>
    </w:p>
    <w:p w14:paraId="3C8BAC4A" w14:textId="77777777" w:rsidR="00436DAA" w:rsidRPr="00330234" w:rsidRDefault="00436DAA" w:rsidP="00BD109B">
      <w:pPr>
        <w:pStyle w:val="a3"/>
        <w:widowControl/>
        <w:ind w:left="0"/>
      </w:pPr>
    </w:p>
    <w:p w14:paraId="156CE92B" w14:textId="77777777" w:rsidR="00150AA8" w:rsidRPr="00330234" w:rsidRDefault="00150AA8" w:rsidP="00BD109B">
      <w:pPr>
        <w:pStyle w:val="a3"/>
        <w:widowControl/>
        <w:ind w:left="0"/>
      </w:pPr>
    </w:p>
    <w:p w14:paraId="5A4A2FE8" w14:textId="77777777" w:rsidR="00150AA8" w:rsidRPr="00330234" w:rsidRDefault="00150AA8" w:rsidP="00BD109B">
      <w:pPr>
        <w:pStyle w:val="a3"/>
        <w:widowControl/>
        <w:ind w:left="0"/>
      </w:pPr>
    </w:p>
    <w:p w14:paraId="4A5B9A8D" w14:textId="77777777" w:rsidR="00150AA8" w:rsidRPr="00330234" w:rsidRDefault="00150AA8" w:rsidP="00BD109B">
      <w:pPr>
        <w:pStyle w:val="a3"/>
        <w:widowControl/>
        <w:ind w:left="0"/>
      </w:pPr>
    </w:p>
    <w:p w14:paraId="34E30F1A" w14:textId="77777777" w:rsidR="00150AA8" w:rsidRPr="00330234" w:rsidRDefault="009B4B8E" w:rsidP="00150AA8">
      <w:pPr>
        <w:pStyle w:val="1"/>
        <w:jc w:val="center"/>
      </w:pPr>
      <w:r w:rsidRPr="00330234">
        <w:t>BIJLAGE III</w:t>
      </w:r>
    </w:p>
    <w:p w14:paraId="4670A5BA" w14:textId="77777777" w:rsidR="00150AA8" w:rsidRPr="00330234" w:rsidRDefault="00150AA8" w:rsidP="000571FE"/>
    <w:p w14:paraId="555D6D8C" w14:textId="05EB748E" w:rsidR="00436DAA" w:rsidRPr="00330234" w:rsidRDefault="009B4B8E" w:rsidP="00150AA8">
      <w:pPr>
        <w:pStyle w:val="1"/>
        <w:jc w:val="center"/>
      </w:pPr>
      <w:r w:rsidRPr="00330234">
        <w:t>ETIKETTERING EN BIJSLUITER</w:t>
      </w:r>
    </w:p>
    <w:p w14:paraId="60DC8A17" w14:textId="77777777" w:rsidR="00150AA8" w:rsidRPr="00330234" w:rsidRDefault="00150AA8" w:rsidP="00BD109B">
      <w:pPr>
        <w:widowControl/>
      </w:pPr>
    </w:p>
    <w:p w14:paraId="7C406574" w14:textId="355CEBC5" w:rsidR="00150AA8" w:rsidRPr="00330234" w:rsidRDefault="00150AA8" w:rsidP="00BD109B">
      <w:pPr>
        <w:widowControl/>
      </w:pPr>
      <w:r w:rsidRPr="00330234">
        <w:br w:type="page"/>
      </w:r>
    </w:p>
    <w:p w14:paraId="4D810BED" w14:textId="77777777" w:rsidR="00436DAA" w:rsidRPr="00330234" w:rsidRDefault="00436DAA" w:rsidP="00BD109B">
      <w:pPr>
        <w:pStyle w:val="a3"/>
        <w:widowControl/>
        <w:ind w:left="0"/>
        <w:rPr>
          <w:bCs/>
        </w:rPr>
      </w:pPr>
    </w:p>
    <w:p w14:paraId="6AB35571" w14:textId="77777777" w:rsidR="00436DAA" w:rsidRPr="00330234" w:rsidRDefault="00436DAA" w:rsidP="00BD109B">
      <w:pPr>
        <w:pStyle w:val="a3"/>
        <w:widowControl/>
        <w:ind w:left="0"/>
        <w:rPr>
          <w:bCs/>
        </w:rPr>
      </w:pPr>
    </w:p>
    <w:p w14:paraId="7CE1C1CA" w14:textId="77777777" w:rsidR="00436DAA" w:rsidRPr="00330234" w:rsidRDefault="00436DAA" w:rsidP="00BD109B">
      <w:pPr>
        <w:pStyle w:val="a3"/>
        <w:widowControl/>
        <w:ind w:left="0"/>
        <w:rPr>
          <w:bCs/>
        </w:rPr>
      </w:pPr>
    </w:p>
    <w:p w14:paraId="7BD4583E" w14:textId="77777777" w:rsidR="00436DAA" w:rsidRPr="00330234" w:rsidRDefault="00436DAA" w:rsidP="00BD109B">
      <w:pPr>
        <w:pStyle w:val="a3"/>
        <w:widowControl/>
        <w:ind w:left="0"/>
        <w:rPr>
          <w:bCs/>
        </w:rPr>
      </w:pPr>
    </w:p>
    <w:p w14:paraId="1C4A3817" w14:textId="77777777" w:rsidR="00436DAA" w:rsidRPr="00330234" w:rsidRDefault="00436DAA" w:rsidP="00BD109B">
      <w:pPr>
        <w:pStyle w:val="a3"/>
        <w:widowControl/>
        <w:ind w:left="0"/>
        <w:rPr>
          <w:bCs/>
        </w:rPr>
      </w:pPr>
    </w:p>
    <w:p w14:paraId="66567DAE" w14:textId="77777777" w:rsidR="00436DAA" w:rsidRPr="00330234" w:rsidRDefault="00436DAA" w:rsidP="00BD109B">
      <w:pPr>
        <w:pStyle w:val="a3"/>
        <w:widowControl/>
        <w:ind w:left="0"/>
        <w:rPr>
          <w:bCs/>
        </w:rPr>
      </w:pPr>
    </w:p>
    <w:p w14:paraId="1F206650" w14:textId="77777777" w:rsidR="00436DAA" w:rsidRPr="00330234" w:rsidRDefault="00436DAA" w:rsidP="00BD109B">
      <w:pPr>
        <w:pStyle w:val="a3"/>
        <w:widowControl/>
        <w:ind w:left="0"/>
        <w:rPr>
          <w:bCs/>
        </w:rPr>
      </w:pPr>
    </w:p>
    <w:p w14:paraId="3901C655" w14:textId="77777777" w:rsidR="00436DAA" w:rsidRPr="00330234" w:rsidRDefault="00436DAA" w:rsidP="00BD109B">
      <w:pPr>
        <w:pStyle w:val="a3"/>
        <w:widowControl/>
        <w:ind w:left="0"/>
        <w:rPr>
          <w:bCs/>
        </w:rPr>
      </w:pPr>
    </w:p>
    <w:p w14:paraId="1422785C" w14:textId="77777777" w:rsidR="00436DAA" w:rsidRPr="00330234" w:rsidRDefault="00436DAA" w:rsidP="00BD109B">
      <w:pPr>
        <w:pStyle w:val="a3"/>
        <w:widowControl/>
        <w:ind w:left="0"/>
        <w:rPr>
          <w:bCs/>
        </w:rPr>
      </w:pPr>
    </w:p>
    <w:p w14:paraId="2AD05963" w14:textId="77777777" w:rsidR="00436DAA" w:rsidRPr="00330234" w:rsidRDefault="00436DAA" w:rsidP="00BD109B">
      <w:pPr>
        <w:pStyle w:val="a3"/>
        <w:widowControl/>
        <w:ind w:left="0"/>
        <w:rPr>
          <w:bCs/>
        </w:rPr>
      </w:pPr>
    </w:p>
    <w:p w14:paraId="1601E1BE" w14:textId="77777777" w:rsidR="00436DAA" w:rsidRPr="00330234" w:rsidRDefault="00436DAA" w:rsidP="00BD109B">
      <w:pPr>
        <w:pStyle w:val="a3"/>
        <w:widowControl/>
        <w:ind w:left="0"/>
        <w:rPr>
          <w:bCs/>
        </w:rPr>
      </w:pPr>
    </w:p>
    <w:p w14:paraId="613DE108" w14:textId="77777777" w:rsidR="00436DAA" w:rsidRPr="00330234" w:rsidRDefault="00436DAA" w:rsidP="00BD109B">
      <w:pPr>
        <w:pStyle w:val="a3"/>
        <w:widowControl/>
        <w:ind w:left="0"/>
        <w:rPr>
          <w:bCs/>
        </w:rPr>
      </w:pPr>
    </w:p>
    <w:p w14:paraId="1DEED3CA" w14:textId="77777777" w:rsidR="00436DAA" w:rsidRPr="00330234" w:rsidRDefault="00436DAA" w:rsidP="00BD109B">
      <w:pPr>
        <w:pStyle w:val="a3"/>
        <w:widowControl/>
        <w:ind w:left="0"/>
        <w:rPr>
          <w:bCs/>
        </w:rPr>
      </w:pPr>
    </w:p>
    <w:p w14:paraId="6E3FA4BA" w14:textId="77777777" w:rsidR="00436DAA" w:rsidRPr="00330234" w:rsidRDefault="00436DAA" w:rsidP="00BD109B">
      <w:pPr>
        <w:pStyle w:val="a3"/>
        <w:widowControl/>
        <w:ind w:left="0"/>
        <w:rPr>
          <w:bCs/>
        </w:rPr>
      </w:pPr>
    </w:p>
    <w:p w14:paraId="1A9F6431" w14:textId="77777777" w:rsidR="00436DAA" w:rsidRPr="00330234" w:rsidRDefault="00436DAA" w:rsidP="00BD109B">
      <w:pPr>
        <w:pStyle w:val="a3"/>
        <w:widowControl/>
        <w:ind w:left="0"/>
        <w:rPr>
          <w:bCs/>
        </w:rPr>
      </w:pPr>
    </w:p>
    <w:p w14:paraId="6FD35F93" w14:textId="77777777" w:rsidR="00436DAA" w:rsidRPr="00330234" w:rsidRDefault="00436DAA" w:rsidP="00BD109B">
      <w:pPr>
        <w:pStyle w:val="a3"/>
        <w:widowControl/>
        <w:ind w:left="0"/>
        <w:rPr>
          <w:bCs/>
        </w:rPr>
      </w:pPr>
    </w:p>
    <w:p w14:paraId="1B0677F3" w14:textId="77777777" w:rsidR="00436DAA" w:rsidRPr="00330234" w:rsidRDefault="00436DAA" w:rsidP="00BD109B">
      <w:pPr>
        <w:pStyle w:val="a3"/>
        <w:widowControl/>
        <w:ind w:left="0"/>
        <w:rPr>
          <w:bCs/>
        </w:rPr>
      </w:pPr>
    </w:p>
    <w:p w14:paraId="62346E55" w14:textId="77777777" w:rsidR="00436DAA" w:rsidRPr="00330234" w:rsidRDefault="00436DAA" w:rsidP="00BD109B">
      <w:pPr>
        <w:pStyle w:val="a3"/>
        <w:widowControl/>
        <w:ind w:left="0"/>
        <w:rPr>
          <w:bCs/>
        </w:rPr>
      </w:pPr>
    </w:p>
    <w:p w14:paraId="47BF2ACA" w14:textId="77777777" w:rsidR="00150AA8" w:rsidRPr="00330234" w:rsidRDefault="00150AA8" w:rsidP="00BD109B">
      <w:pPr>
        <w:pStyle w:val="a3"/>
        <w:widowControl/>
        <w:ind w:left="0"/>
        <w:rPr>
          <w:bCs/>
        </w:rPr>
      </w:pPr>
    </w:p>
    <w:p w14:paraId="2EEF084F" w14:textId="77777777" w:rsidR="00150AA8" w:rsidRPr="00330234" w:rsidRDefault="00150AA8" w:rsidP="00BD109B">
      <w:pPr>
        <w:pStyle w:val="a3"/>
        <w:widowControl/>
        <w:ind w:left="0"/>
        <w:rPr>
          <w:bCs/>
        </w:rPr>
      </w:pPr>
    </w:p>
    <w:p w14:paraId="66B5047A" w14:textId="77777777" w:rsidR="00150AA8" w:rsidRPr="00330234" w:rsidRDefault="00150AA8" w:rsidP="00BD109B">
      <w:pPr>
        <w:pStyle w:val="a3"/>
        <w:widowControl/>
        <w:ind w:left="0"/>
        <w:rPr>
          <w:bCs/>
        </w:rPr>
      </w:pPr>
    </w:p>
    <w:p w14:paraId="5B79526C" w14:textId="77777777" w:rsidR="00150AA8" w:rsidRPr="00330234" w:rsidRDefault="00150AA8" w:rsidP="00BD109B">
      <w:pPr>
        <w:pStyle w:val="a3"/>
        <w:widowControl/>
        <w:ind w:left="0"/>
        <w:rPr>
          <w:bCs/>
        </w:rPr>
      </w:pPr>
    </w:p>
    <w:p w14:paraId="1079908B" w14:textId="6DDA2108" w:rsidR="00436DAA" w:rsidRPr="000571FE" w:rsidRDefault="005328BF" w:rsidP="000571FE">
      <w:pPr>
        <w:pStyle w:val="1"/>
        <w:jc w:val="center"/>
      </w:pPr>
      <w:bookmarkStart w:id="41" w:name="A._ETIKETTERING"/>
      <w:bookmarkEnd w:id="41"/>
      <w:r w:rsidRPr="00330234">
        <w:t>A.</w:t>
      </w:r>
      <w:r w:rsidR="000571FE">
        <w:rPr>
          <w:rFonts w:eastAsia="맑은 고딕" w:hint="eastAsia"/>
          <w:lang w:eastAsia="ko-KR"/>
        </w:rPr>
        <w:t xml:space="preserve"> </w:t>
      </w:r>
      <w:r w:rsidR="009B4B8E" w:rsidRPr="00330234">
        <w:t>ETIKETTERING</w:t>
      </w:r>
    </w:p>
    <w:p w14:paraId="6813E9D5" w14:textId="77777777" w:rsidR="00436DAA" w:rsidRPr="00330234" w:rsidRDefault="00436DAA" w:rsidP="00BD109B">
      <w:pPr>
        <w:widowControl/>
      </w:pPr>
    </w:p>
    <w:p w14:paraId="46C79943" w14:textId="5D4A1592" w:rsidR="00580327" w:rsidRPr="00330234" w:rsidRDefault="00150AA8" w:rsidP="001B3E1E">
      <w:pPr>
        <w:widowControl/>
        <w:pBdr>
          <w:top w:val="single" w:sz="4" w:space="1" w:color="auto"/>
          <w:left w:val="single" w:sz="4" w:space="4" w:color="auto"/>
          <w:bottom w:val="single" w:sz="4" w:space="1" w:color="auto"/>
          <w:right w:val="single" w:sz="4" w:space="4" w:color="auto"/>
        </w:pBdr>
        <w:rPr>
          <w:b/>
        </w:rPr>
      </w:pPr>
      <w:r w:rsidRPr="00330234">
        <w:br w:type="page"/>
      </w:r>
      <w:r w:rsidR="00580327" w:rsidRPr="00330234">
        <w:rPr>
          <w:b/>
        </w:rPr>
        <w:lastRenderedPageBreak/>
        <w:t>GEGEVENS</w:t>
      </w:r>
      <w:r w:rsidR="00580327" w:rsidRPr="00330234">
        <w:rPr>
          <w:b/>
          <w:spacing w:val="-4"/>
        </w:rPr>
        <w:t xml:space="preserve"> </w:t>
      </w:r>
      <w:r w:rsidR="00580327" w:rsidRPr="00330234">
        <w:rPr>
          <w:b/>
        </w:rPr>
        <w:t>DIE</w:t>
      </w:r>
      <w:r w:rsidR="00580327" w:rsidRPr="00330234">
        <w:rPr>
          <w:b/>
          <w:spacing w:val="-6"/>
        </w:rPr>
        <w:t xml:space="preserve"> </w:t>
      </w:r>
      <w:r w:rsidR="00580327" w:rsidRPr="00330234">
        <w:rPr>
          <w:b/>
        </w:rPr>
        <w:t>OP</w:t>
      </w:r>
      <w:r w:rsidR="00580327" w:rsidRPr="00330234">
        <w:rPr>
          <w:b/>
          <w:spacing w:val="-4"/>
        </w:rPr>
        <w:t xml:space="preserve"> </w:t>
      </w:r>
      <w:r w:rsidR="00580327" w:rsidRPr="00330234">
        <w:rPr>
          <w:b/>
        </w:rPr>
        <w:t>DE</w:t>
      </w:r>
      <w:r w:rsidR="00580327" w:rsidRPr="00330234">
        <w:rPr>
          <w:b/>
          <w:spacing w:val="-9"/>
        </w:rPr>
        <w:t xml:space="preserve"> </w:t>
      </w:r>
      <w:r w:rsidR="00580327" w:rsidRPr="00330234">
        <w:rPr>
          <w:b/>
        </w:rPr>
        <w:t>BUITENVERPAKKING</w:t>
      </w:r>
      <w:r w:rsidR="00580327" w:rsidRPr="00330234">
        <w:rPr>
          <w:b/>
          <w:spacing w:val="-9"/>
        </w:rPr>
        <w:t xml:space="preserve"> </w:t>
      </w:r>
      <w:r w:rsidR="00580327" w:rsidRPr="00330234">
        <w:rPr>
          <w:b/>
        </w:rPr>
        <w:t>MOETEN</w:t>
      </w:r>
      <w:r w:rsidR="00580327" w:rsidRPr="00330234">
        <w:rPr>
          <w:b/>
          <w:spacing w:val="-6"/>
        </w:rPr>
        <w:t xml:space="preserve"> </w:t>
      </w:r>
      <w:r w:rsidR="00580327" w:rsidRPr="00330234">
        <w:rPr>
          <w:b/>
        </w:rPr>
        <w:t>WORDEN</w:t>
      </w:r>
      <w:r w:rsidR="00580327" w:rsidRPr="00330234">
        <w:rPr>
          <w:b/>
          <w:spacing w:val="-6"/>
        </w:rPr>
        <w:t xml:space="preserve"> </w:t>
      </w:r>
      <w:r w:rsidR="00580327" w:rsidRPr="00330234">
        <w:rPr>
          <w:b/>
          <w:spacing w:val="-2"/>
        </w:rPr>
        <w:t>VERMELD</w:t>
      </w:r>
    </w:p>
    <w:p w14:paraId="724F744E" w14:textId="77777777" w:rsidR="00580327" w:rsidRPr="00330234" w:rsidRDefault="00580327" w:rsidP="006542D9">
      <w:pPr>
        <w:pStyle w:val="a3"/>
        <w:pBdr>
          <w:top w:val="single" w:sz="4" w:space="1" w:color="auto"/>
          <w:left w:val="single" w:sz="4" w:space="4" w:color="auto"/>
          <w:bottom w:val="single" w:sz="4" w:space="1" w:color="auto"/>
          <w:right w:val="single" w:sz="4" w:space="4" w:color="auto"/>
        </w:pBdr>
        <w:ind w:left="0"/>
        <w:rPr>
          <w:b/>
        </w:rPr>
      </w:pPr>
    </w:p>
    <w:p w14:paraId="6D2DD3C9" w14:textId="77777777" w:rsidR="00580327" w:rsidRPr="00330234" w:rsidRDefault="00580327" w:rsidP="006542D9">
      <w:pPr>
        <w:pBdr>
          <w:top w:val="single" w:sz="4" w:space="1" w:color="auto"/>
          <w:left w:val="single" w:sz="4" w:space="4" w:color="auto"/>
          <w:bottom w:val="single" w:sz="4" w:space="1" w:color="auto"/>
          <w:right w:val="single" w:sz="4" w:space="4" w:color="auto"/>
        </w:pBdr>
        <w:rPr>
          <w:b/>
        </w:rPr>
      </w:pPr>
      <w:r w:rsidRPr="00330234">
        <w:rPr>
          <w:b/>
          <w:spacing w:val="-2"/>
        </w:rPr>
        <w:t>BUITENVERPAKKING</w:t>
      </w:r>
    </w:p>
    <w:p w14:paraId="0F76F9C5" w14:textId="5E1AD76F" w:rsidR="00436DAA" w:rsidRPr="00330234" w:rsidRDefault="00436DAA" w:rsidP="009B0E27">
      <w:pPr>
        <w:pStyle w:val="a3"/>
        <w:widowControl/>
        <w:ind w:left="0"/>
      </w:pPr>
    </w:p>
    <w:p w14:paraId="3EBC3D56" w14:textId="77777777" w:rsidR="00F4240D" w:rsidRPr="00330234" w:rsidRDefault="00F4240D" w:rsidP="009B0E27">
      <w:pPr>
        <w:pStyle w:val="a3"/>
        <w:widowControl/>
        <w:ind w:left="0"/>
      </w:pPr>
    </w:p>
    <w:p w14:paraId="392A5A08" w14:textId="77777777" w:rsidR="00580327" w:rsidRPr="00330234" w:rsidRDefault="00580327" w:rsidP="008F1910">
      <w:pPr>
        <w:pBdr>
          <w:top w:val="single" w:sz="4" w:space="1" w:color="auto"/>
          <w:left w:val="single" w:sz="4" w:space="4" w:color="auto"/>
          <w:bottom w:val="single" w:sz="4" w:space="1" w:color="auto"/>
          <w:right w:val="single" w:sz="4" w:space="4" w:color="auto"/>
        </w:pBdr>
        <w:ind w:left="567" w:hanging="567"/>
        <w:rPr>
          <w:b/>
        </w:rPr>
      </w:pPr>
      <w:r w:rsidRPr="00330234">
        <w:rPr>
          <w:b/>
          <w:spacing w:val="-5"/>
        </w:rPr>
        <w:t>1.</w:t>
      </w:r>
      <w:r w:rsidRPr="00330234">
        <w:rPr>
          <w:b/>
        </w:rPr>
        <w:tab/>
        <w:t>NAAM</w:t>
      </w:r>
      <w:r w:rsidRPr="00330234">
        <w:rPr>
          <w:b/>
          <w:spacing w:val="-4"/>
        </w:rPr>
        <w:t xml:space="preserve"> </w:t>
      </w:r>
      <w:r w:rsidRPr="00330234">
        <w:rPr>
          <w:b/>
        </w:rPr>
        <w:t>VAN</w:t>
      </w:r>
      <w:r w:rsidRPr="00330234">
        <w:rPr>
          <w:b/>
          <w:spacing w:val="-4"/>
        </w:rPr>
        <w:t xml:space="preserve"> </w:t>
      </w:r>
      <w:r w:rsidRPr="00330234">
        <w:rPr>
          <w:b/>
        </w:rPr>
        <w:t>HET</w:t>
      </w:r>
      <w:r w:rsidRPr="00330234">
        <w:rPr>
          <w:b/>
          <w:spacing w:val="-4"/>
        </w:rPr>
        <w:t xml:space="preserve"> </w:t>
      </w:r>
      <w:r w:rsidRPr="00330234">
        <w:rPr>
          <w:b/>
          <w:spacing w:val="-2"/>
        </w:rPr>
        <w:t>GENEESMIDDEL</w:t>
      </w:r>
    </w:p>
    <w:p w14:paraId="6258B589" w14:textId="1D14E9F1" w:rsidR="00436DAA" w:rsidRPr="00330234" w:rsidRDefault="00436DAA" w:rsidP="009B0E27">
      <w:pPr>
        <w:pStyle w:val="a3"/>
        <w:widowControl/>
        <w:ind w:left="0"/>
        <w:rPr>
          <w:bCs/>
        </w:rPr>
      </w:pPr>
    </w:p>
    <w:p w14:paraId="44DEBECA" w14:textId="7E2A647E" w:rsidR="00F4240D" w:rsidRPr="00330234" w:rsidRDefault="007A197C" w:rsidP="009B0E27">
      <w:pPr>
        <w:pStyle w:val="a3"/>
        <w:widowControl/>
        <w:ind w:left="0"/>
      </w:pPr>
      <w:r w:rsidRPr="00330234">
        <w:t>Avtozma</w:t>
      </w:r>
      <w:r w:rsidR="009B4B8E" w:rsidRPr="00330234">
        <w:t xml:space="preserve"> 20 mg/ml concentraat voor oplossing voor infusie</w:t>
      </w:r>
    </w:p>
    <w:p w14:paraId="003920BD" w14:textId="054F0E28" w:rsidR="00436DAA" w:rsidRPr="00330234" w:rsidRDefault="009B4B8E" w:rsidP="009B0E27">
      <w:pPr>
        <w:pStyle w:val="a3"/>
        <w:widowControl/>
        <w:ind w:left="0"/>
      </w:pPr>
      <w:r w:rsidRPr="00330234">
        <w:t>tocilizumab</w:t>
      </w:r>
    </w:p>
    <w:p w14:paraId="2AA9AF94" w14:textId="77777777" w:rsidR="00436DAA" w:rsidRPr="00330234" w:rsidRDefault="00436DAA" w:rsidP="009B0E27">
      <w:pPr>
        <w:pStyle w:val="a3"/>
        <w:widowControl/>
        <w:ind w:left="0"/>
      </w:pPr>
    </w:p>
    <w:p w14:paraId="2A122FE5" w14:textId="77777777" w:rsidR="00F4240D" w:rsidRPr="00330234" w:rsidRDefault="00F4240D" w:rsidP="009B0E27">
      <w:pPr>
        <w:pStyle w:val="a3"/>
        <w:widowControl/>
        <w:ind w:left="0"/>
      </w:pPr>
    </w:p>
    <w:p w14:paraId="75E68273"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2.</w:t>
      </w:r>
      <w:r w:rsidRPr="00330234">
        <w:rPr>
          <w:b/>
        </w:rPr>
        <w:tab/>
        <w:t>GEHALTE</w:t>
      </w:r>
      <w:r w:rsidRPr="00330234">
        <w:rPr>
          <w:b/>
          <w:spacing w:val="-7"/>
        </w:rPr>
        <w:t xml:space="preserve"> </w:t>
      </w:r>
      <w:r w:rsidRPr="00330234">
        <w:rPr>
          <w:b/>
        </w:rPr>
        <w:t>AAN</w:t>
      </w:r>
      <w:r w:rsidRPr="00330234">
        <w:rPr>
          <w:b/>
          <w:spacing w:val="-7"/>
        </w:rPr>
        <w:t xml:space="preserve"> </w:t>
      </w:r>
      <w:r w:rsidRPr="00330234">
        <w:rPr>
          <w:b/>
        </w:rPr>
        <w:t>WERKZAME</w:t>
      </w:r>
      <w:r w:rsidRPr="00330234">
        <w:rPr>
          <w:b/>
          <w:spacing w:val="-7"/>
        </w:rPr>
        <w:t xml:space="preserve"> </w:t>
      </w:r>
      <w:r w:rsidRPr="00330234">
        <w:rPr>
          <w:b/>
          <w:spacing w:val="-2"/>
        </w:rPr>
        <w:t>STOF(FEN)</w:t>
      </w:r>
    </w:p>
    <w:p w14:paraId="4AC18E18" w14:textId="465F8B4E" w:rsidR="00436DAA" w:rsidRPr="00330234" w:rsidRDefault="00436DAA" w:rsidP="009B0E27">
      <w:pPr>
        <w:pStyle w:val="a3"/>
        <w:widowControl/>
        <w:ind w:left="0"/>
      </w:pPr>
    </w:p>
    <w:p w14:paraId="7E7501F6" w14:textId="77777777" w:rsidR="00436DAA" w:rsidRPr="00330234" w:rsidRDefault="009B4B8E" w:rsidP="009B0E27">
      <w:pPr>
        <w:pStyle w:val="a3"/>
        <w:widowControl/>
        <w:ind w:left="0"/>
      </w:pPr>
      <w:r w:rsidRPr="00330234">
        <w:t>1 injectieflacon bevat 80 mg tocilizumab.</w:t>
      </w:r>
    </w:p>
    <w:p w14:paraId="69D93300" w14:textId="77777777" w:rsidR="00436DAA" w:rsidRPr="00330234" w:rsidRDefault="00436DAA" w:rsidP="009B0E27">
      <w:pPr>
        <w:pStyle w:val="a3"/>
        <w:widowControl/>
        <w:ind w:left="0"/>
      </w:pPr>
    </w:p>
    <w:p w14:paraId="7EA6EBF1" w14:textId="77777777" w:rsidR="00F4240D" w:rsidRPr="00330234" w:rsidRDefault="00F4240D" w:rsidP="009B0E27">
      <w:pPr>
        <w:pStyle w:val="a3"/>
        <w:widowControl/>
        <w:ind w:left="0"/>
      </w:pPr>
    </w:p>
    <w:p w14:paraId="0FB4B587"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3.</w:t>
      </w:r>
      <w:r w:rsidRPr="00330234">
        <w:rPr>
          <w:b/>
        </w:rPr>
        <w:tab/>
        <w:t>LIJST</w:t>
      </w:r>
      <w:r w:rsidRPr="00330234">
        <w:rPr>
          <w:b/>
          <w:spacing w:val="-4"/>
        </w:rPr>
        <w:t xml:space="preserve"> </w:t>
      </w:r>
      <w:r w:rsidRPr="00330234">
        <w:rPr>
          <w:b/>
        </w:rPr>
        <w:t>VAN</w:t>
      </w:r>
      <w:r w:rsidRPr="00330234">
        <w:rPr>
          <w:b/>
          <w:spacing w:val="-4"/>
        </w:rPr>
        <w:t xml:space="preserve"> </w:t>
      </w:r>
      <w:r w:rsidRPr="00330234">
        <w:rPr>
          <w:b/>
          <w:spacing w:val="-2"/>
        </w:rPr>
        <w:t>HULPSTOFFEN</w:t>
      </w:r>
    </w:p>
    <w:p w14:paraId="4C8671EC" w14:textId="5A70177C" w:rsidR="00436DAA" w:rsidRPr="00330234" w:rsidRDefault="00436DAA" w:rsidP="009B0E27">
      <w:pPr>
        <w:pStyle w:val="a3"/>
        <w:widowControl/>
        <w:ind w:left="0"/>
      </w:pPr>
    </w:p>
    <w:p w14:paraId="53062213" w14:textId="7DBA9C45" w:rsidR="00F21655" w:rsidRPr="00330234" w:rsidRDefault="00F21655" w:rsidP="009B0E27">
      <w:pPr>
        <w:pStyle w:val="a3"/>
        <w:widowControl/>
        <w:ind w:left="0"/>
      </w:pPr>
      <w:r w:rsidRPr="00330234">
        <w:t xml:space="preserve">Hulpstoffen: L-histidine, </w:t>
      </w:r>
      <w:r w:rsidR="0065408F" w:rsidRPr="0065408F">
        <w:rPr>
          <w:rFonts w:hint="eastAsia"/>
        </w:rPr>
        <w:t>L-histidine monohydrochloride monohydraat</w:t>
      </w:r>
      <w:r w:rsidR="00545170">
        <w:rPr>
          <w:rFonts w:eastAsia="맑은 고딕" w:hint="eastAsia"/>
          <w:lang w:eastAsia="ko-KR"/>
        </w:rPr>
        <w:t xml:space="preserve">, </w:t>
      </w:r>
      <w:r w:rsidRPr="00330234">
        <w:t>L-threonine, L-methionine, polysorbaat 80 en water voor injecties.</w:t>
      </w:r>
    </w:p>
    <w:p w14:paraId="5CCD4C4A" w14:textId="2A2E7333" w:rsidR="00436DAA" w:rsidRPr="00330234" w:rsidRDefault="009B4B8E" w:rsidP="009B0E27">
      <w:pPr>
        <w:pStyle w:val="a3"/>
        <w:widowControl/>
        <w:ind w:left="0"/>
      </w:pPr>
      <w:r w:rsidRPr="00330234">
        <w:t>Zie bijsluiter voor meer informatie.</w:t>
      </w:r>
    </w:p>
    <w:p w14:paraId="4AF49FC1" w14:textId="77777777" w:rsidR="00436DAA" w:rsidRPr="00330234" w:rsidRDefault="00436DAA" w:rsidP="009B0E27">
      <w:pPr>
        <w:pStyle w:val="a3"/>
        <w:widowControl/>
        <w:ind w:left="0"/>
      </w:pPr>
    </w:p>
    <w:p w14:paraId="4627DD84" w14:textId="77777777" w:rsidR="00F4240D" w:rsidRPr="00330234" w:rsidRDefault="00F4240D" w:rsidP="009B0E27">
      <w:pPr>
        <w:pStyle w:val="a3"/>
        <w:widowControl/>
        <w:ind w:left="0"/>
      </w:pPr>
    </w:p>
    <w:p w14:paraId="45A50AFC"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4.</w:t>
      </w:r>
      <w:r w:rsidRPr="00330234">
        <w:rPr>
          <w:b/>
        </w:rPr>
        <w:tab/>
        <w:t>FARMACEUTISCHE</w:t>
      </w:r>
      <w:r w:rsidRPr="00330234">
        <w:rPr>
          <w:b/>
          <w:spacing w:val="-8"/>
        </w:rPr>
        <w:t xml:space="preserve"> </w:t>
      </w:r>
      <w:r w:rsidRPr="00330234">
        <w:rPr>
          <w:b/>
        </w:rPr>
        <w:t>VORM</w:t>
      </w:r>
      <w:r w:rsidRPr="00330234">
        <w:rPr>
          <w:b/>
          <w:spacing w:val="-6"/>
        </w:rPr>
        <w:t xml:space="preserve"> </w:t>
      </w:r>
      <w:r w:rsidRPr="00330234">
        <w:rPr>
          <w:b/>
        </w:rPr>
        <w:t>EN</w:t>
      </w:r>
      <w:r w:rsidRPr="00330234">
        <w:rPr>
          <w:b/>
          <w:spacing w:val="-7"/>
        </w:rPr>
        <w:t xml:space="preserve"> </w:t>
      </w:r>
      <w:r w:rsidRPr="00330234">
        <w:rPr>
          <w:b/>
          <w:spacing w:val="-2"/>
        </w:rPr>
        <w:t>INHOUD</w:t>
      </w:r>
    </w:p>
    <w:p w14:paraId="25A18608" w14:textId="1941DC52" w:rsidR="00436DAA" w:rsidRPr="00330234" w:rsidRDefault="00436DAA" w:rsidP="009B0E27">
      <w:pPr>
        <w:pStyle w:val="a3"/>
        <w:widowControl/>
        <w:ind w:left="0"/>
      </w:pPr>
    </w:p>
    <w:p w14:paraId="69EE3F61" w14:textId="77777777" w:rsidR="00F4240D" w:rsidRPr="00330234" w:rsidRDefault="009B4B8E" w:rsidP="009B0E27">
      <w:pPr>
        <w:pStyle w:val="a3"/>
        <w:widowControl/>
        <w:ind w:left="0"/>
      </w:pPr>
      <w:r w:rsidRPr="00330234">
        <w:t>Concentraat voor oplossing voor infusie</w:t>
      </w:r>
    </w:p>
    <w:p w14:paraId="409FAF5B" w14:textId="373E3E71" w:rsidR="00436DAA" w:rsidRPr="00330234" w:rsidRDefault="009B4B8E" w:rsidP="009B0E27">
      <w:pPr>
        <w:pStyle w:val="a3"/>
        <w:widowControl/>
        <w:ind w:left="0"/>
      </w:pPr>
      <w:r w:rsidRPr="00330234">
        <w:t>80 mg/4 ml</w:t>
      </w:r>
    </w:p>
    <w:p w14:paraId="491716B7" w14:textId="77777777" w:rsidR="00436DAA" w:rsidRPr="00330234" w:rsidRDefault="009B4B8E" w:rsidP="009B0E27">
      <w:pPr>
        <w:pStyle w:val="a3"/>
        <w:widowControl/>
        <w:ind w:left="0"/>
      </w:pPr>
      <w:r w:rsidRPr="00330234">
        <w:t>1 injectieflacon van 4 ml</w:t>
      </w:r>
    </w:p>
    <w:p w14:paraId="15CF5076" w14:textId="77777777" w:rsidR="00436DAA" w:rsidRPr="00330234" w:rsidRDefault="009B4B8E" w:rsidP="009B0E27">
      <w:pPr>
        <w:pStyle w:val="a3"/>
        <w:widowControl/>
        <w:ind w:left="0"/>
      </w:pPr>
      <w:r w:rsidRPr="00330234">
        <w:t>4 injectieflacons van 4 ml</w:t>
      </w:r>
    </w:p>
    <w:p w14:paraId="4D4E7A82" w14:textId="77777777" w:rsidR="00436DAA" w:rsidRPr="00330234" w:rsidRDefault="00436DAA" w:rsidP="009B0E27">
      <w:pPr>
        <w:pStyle w:val="a3"/>
        <w:widowControl/>
        <w:ind w:left="0"/>
      </w:pPr>
    </w:p>
    <w:p w14:paraId="1ACDAAD2" w14:textId="77777777" w:rsidR="00F4240D" w:rsidRPr="00330234" w:rsidRDefault="00F4240D" w:rsidP="009B0E27">
      <w:pPr>
        <w:pStyle w:val="a3"/>
        <w:widowControl/>
        <w:ind w:left="0"/>
      </w:pPr>
    </w:p>
    <w:p w14:paraId="3D588800"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5.</w:t>
      </w:r>
      <w:r w:rsidRPr="00330234">
        <w:rPr>
          <w:b/>
        </w:rPr>
        <w:tab/>
        <w:t>WIJZE</w:t>
      </w:r>
      <w:r w:rsidRPr="00330234">
        <w:rPr>
          <w:b/>
          <w:spacing w:val="-5"/>
        </w:rPr>
        <w:t xml:space="preserve"> </w:t>
      </w:r>
      <w:r w:rsidRPr="00330234">
        <w:rPr>
          <w:b/>
        </w:rPr>
        <w:t>VAN</w:t>
      </w:r>
      <w:r w:rsidRPr="00330234">
        <w:rPr>
          <w:b/>
          <w:spacing w:val="-5"/>
        </w:rPr>
        <w:t xml:space="preserve"> </w:t>
      </w:r>
      <w:r w:rsidRPr="00330234">
        <w:rPr>
          <w:b/>
        </w:rPr>
        <w:t>GEBRUIK</w:t>
      </w:r>
      <w:r w:rsidRPr="00330234">
        <w:rPr>
          <w:b/>
          <w:spacing w:val="-3"/>
        </w:rPr>
        <w:t xml:space="preserve"> </w:t>
      </w:r>
      <w:r w:rsidRPr="00330234">
        <w:rPr>
          <w:b/>
        </w:rPr>
        <w:t>EN</w:t>
      </w:r>
      <w:r w:rsidRPr="00330234">
        <w:rPr>
          <w:b/>
          <w:spacing w:val="-4"/>
        </w:rPr>
        <w:t xml:space="preserve"> </w:t>
      </w:r>
      <w:r w:rsidRPr="00330234">
        <w:rPr>
          <w:b/>
          <w:spacing w:val="-2"/>
        </w:rPr>
        <w:t>TOEDIENINGSWEG(EN)</w:t>
      </w:r>
    </w:p>
    <w:p w14:paraId="56BEBD8B" w14:textId="23F8DBCC" w:rsidR="00436DAA" w:rsidRPr="00330234" w:rsidRDefault="00436DAA" w:rsidP="009B0E27">
      <w:pPr>
        <w:pStyle w:val="a3"/>
        <w:widowControl/>
        <w:ind w:left="0"/>
      </w:pPr>
    </w:p>
    <w:p w14:paraId="68105D6B" w14:textId="77777777" w:rsidR="00436DAA" w:rsidRPr="00330234" w:rsidRDefault="009B4B8E" w:rsidP="009B0E27">
      <w:pPr>
        <w:pStyle w:val="a3"/>
        <w:widowControl/>
        <w:ind w:left="0"/>
      </w:pPr>
      <w:r w:rsidRPr="00330234">
        <w:t>Voor intraveneuze infusie na verdunning</w:t>
      </w:r>
    </w:p>
    <w:p w14:paraId="4A5B049F" w14:textId="77777777" w:rsidR="00F4240D" w:rsidRPr="00330234" w:rsidRDefault="009B4B8E" w:rsidP="009B0E27">
      <w:pPr>
        <w:pStyle w:val="a3"/>
        <w:widowControl/>
        <w:ind w:left="0"/>
      </w:pPr>
      <w:r w:rsidRPr="00330234">
        <w:t>Het verdunde product dient onmiddellijk te worden gebruikt</w:t>
      </w:r>
    </w:p>
    <w:p w14:paraId="56DCC3D6" w14:textId="44995B94" w:rsidR="00436DAA" w:rsidRPr="00330234" w:rsidRDefault="009B4B8E" w:rsidP="009B0E27">
      <w:pPr>
        <w:pStyle w:val="a3"/>
        <w:widowControl/>
        <w:ind w:left="0"/>
        <w:rPr>
          <w:rFonts w:eastAsia="SimSun"/>
          <w:lang w:eastAsia="zh-CN"/>
        </w:rPr>
      </w:pPr>
      <w:r w:rsidRPr="00330234">
        <w:t>Lees voor het gebruik de bijsluiter</w:t>
      </w:r>
    </w:p>
    <w:p w14:paraId="6E51CD25" w14:textId="77777777" w:rsidR="00436DAA" w:rsidRPr="00330234" w:rsidRDefault="00436DAA" w:rsidP="009B0E27">
      <w:pPr>
        <w:pStyle w:val="a3"/>
        <w:widowControl/>
        <w:ind w:left="0"/>
      </w:pPr>
    </w:p>
    <w:p w14:paraId="79AB75D0" w14:textId="77777777" w:rsidR="00F4240D" w:rsidRPr="00330234" w:rsidRDefault="00F4240D" w:rsidP="009B0E27">
      <w:pPr>
        <w:pStyle w:val="a3"/>
        <w:widowControl/>
        <w:ind w:left="0"/>
      </w:pPr>
    </w:p>
    <w:p w14:paraId="459621CE" w14:textId="376B073D"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bCs/>
        </w:rPr>
        <w:t>6</w:t>
      </w:r>
      <w:r w:rsidR="001734EA" w:rsidRPr="00330234">
        <w:rPr>
          <w:b/>
          <w:bCs/>
        </w:rPr>
        <w:t>.</w:t>
      </w:r>
      <w:r w:rsidRPr="00330234">
        <w:tab/>
      </w:r>
      <w:r w:rsidRPr="00330234">
        <w:tab/>
      </w:r>
      <w:r w:rsidRPr="00330234">
        <w:rPr>
          <w:b/>
        </w:rPr>
        <w:t>EEN</w:t>
      </w:r>
      <w:r w:rsidRPr="00330234">
        <w:rPr>
          <w:b/>
          <w:spacing w:val="-5"/>
        </w:rPr>
        <w:t xml:space="preserve"> </w:t>
      </w:r>
      <w:r w:rsidRPr="00330234">
        <w:rPr>
          <w:b/>
        </w:rPr>
        <w:t>SPECIALE</w:t>
      </w:r>
      <w:r w:rsidRPr="00330234">
        <w:rPr>
          <w:b/>
          <w:spacing w:val="-5"/>
        </w:rPr>
        <w:t xml:space="preserve"> </w:t>
      </w:r>
      <w:r w:rsidRPr="00330234">
        <w:rPr>
          <w:b/>
        </w:rPr>
        <w:t>WAARSCHUWING</w:t>
      </w:r>
      <w:r w:rsidRPr="00330234">
        <w:rPr>
          <w:b/>
          <w:spacing w:val="-6"/>
        </w:rPr>
        <w:t xml:space="preserve"> </w:t>
      </w:r>
      <w:r w:rsidRPr="00330234">
        <w:rPr>
          <w:b/>
        </w:rPr>
        <w:t>DAT</w:t>
      </w:r>
      <w:r w:rsidRPr="00330234">
        <w:rPr>
          <w:b/>
          <w:spacing w:val="-5"/>
        </w:rPr>
        <w:t xml:space="preserve"> </w:t>
      </w:r>
      <w:r w:rsidRPr="00330234">
        <w:rPr>
          <w:b/>
        </w:rPr>
        <w:t>HET</w:t>
      </w:r>
      <w:r w:rsidRPr="00330234">
        <w:rPr>
          <w:b/>
          <w:spacing w:val="-8"/>
        </w:rPr>
        <w:t xml:space="preserve"> </w:t>
      </w:r>
      <w:r w:rsidRPr="00330234">
        <w:rPr>
          <w:b/>
        </w:rPr>
        <w:t>GENEESMIDDEL</w:t>
      </w:r>
      <w:r w:rsidRPr="00330234">
        <w:rPr>
          <w:b/>
          <w:spacing w:val="-5"/>
        </w:rPr>
        <w:t xml:space="preserve"> </w:t>
      </w:r>
      <w:r w:rsidRPr="00330234">
        <w:rPr>
          <w:b/>
        </w:rPr>
        <w:t>BUITEN</w:t>
      </w:r>
      <w:r w:rsidRPr="00330234">
        <w:rPr>
          <w:b/>
          <w:spacing w:val="-5"/>
        </w:rPr>
        <w:t xml:space="preserve"> </w:t>
      </w:r>
      <w:r w:rsidRPr="00330234">
        <w:rPr>
          <w:b/>
        </w:rPr>
        <w:t>HET ZICHT EN BEREIK VAN KINDEREN DIENT TE WORDEN GEHOUDEN</w:t>
      </w:r>
    </w:p>
    <w:p w14:paraId="5337ED91" w14:textId="2B9BC1E4" w:rsidR="00436DAA" w:rsidRPr="00330234" w:rsidRDefault="00436DAA" w:rsidP="009B0E27">
      <w:pPr>
        <w:pStyle w:val="a3"/>
        <w:widowControl/>
        <w:ind w:left="0"/>
      </w:pPr>
    </w:p>
    <w:p w14:paraId="23A1A786" w14:textId="77777777" w:rsidR="00436DAA" w:rsidRPr="00330234" w:rsidRDefault="009B4B8E" w:rsidP="009B0E27">
      <w:pPr>
        <w:pStyle w:val="a3"/>
        <w:widowControl/>
        <w:ind w:left="0"/>
      </w:pPr>
      <w:r w:rsidRPr="00330234">
        <w:t>Buiten het zicht en bereik van kinderen houden</w:t>
      </w:r>
    </w:p>
    <w:p w14:paraId="0BA47CF9" w14:textId="77777777" w:rsidR="00436DAA" w:rsidRPr="00330234" w:rsidRDefault="00436DAA" w:rsidP="009B0E27">
      <w:pPr>
        <w:pStyle w:val="a3"/>
        <w:widowControl/>
        <w:ind w:left="0"/>
      </w:pPr>
    </w:p>
    <w:p w14:paraId="6CE037AE" w14:textId="77777777" w:rsidR="00F4240D" w:rsidRPr="00330234" w:rsidRDefault="00F4240D" w:rsidP="009B0E27">
      <w:pPr>
        <w:pStyle w:val="a3"/>
        <w:widowControl/>
        <w:ind w:left="0"/>
      </w:pPr>
    </w:p>
    <w:p w14:paraId="0BB36ACC"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7.</w:t>
      </w:r>
      <w:r w:rsidRPr="00330234">
        <w:rPr>
          <w:b/>
        </w:rPr>
        <w:tab/>
        <w:t>ANDERE</w:t>
      </w:r>
      <w:r w:rsidRPr="00330234">
        <w:rPr>
          <w:b/>
          <w:spacing w:val="-13"/>
        </w:rPr>
        <w:t xml:space="preserve"> </w:t>
      </w:r>
      <w:r w:rsidRPr="00330234">
        <w:rPr>
          <w:b/>
        </w:rPr>
        <w:t>SPECIALE</w:t>
      </w:r>
      <w:r w:rsidRPr="00330234">
        <w:rPr>
          <w:b/>
          <w:spacing w:val="-11"/>
        </w:rPr>
        <w:t xml:space="preserve"> </w:t>
      </w:r>
      <w:r w:rsidRPr="00330234">
        <w:rPr>
          <w:b/>
        </w:rPr>
        <w:t>WAARSCHUWING(EN),</w:t>
      </w:r>
      <w:r w:rsidRPr="00330234">
        <w:rPr>
          <w:b/>
          <w:spacing w:val="-10"/>
        </w:rPr>
        <w:t xml:space="preserve"> </w:t>
      </w:r>
      <w:r w:rsidRPr="00330234">
        <w:rPr>
          <w:b/>
        </w:rPr>
        <w:t>INDIEN</w:t>
      </w:r>
      <w:r w:rsidRPr="00330234">
        <w:rPr>
          <w:b/>
          <w:spacing w:val="-10"/>
        </w:rPr>
        <w:t xml:space="preserve"> </w:t>
      </w:r>
      <w:r w:rsidRPr="00330234">
        <w:rPr>
          <w:b/>
          <w:spacing w:val="-2"/>
        </w:rPr>
        <w:t>NODIG</w:t>
      </w:r>
    </w:p>
    <w:p w14:paraId="405B2643" w14:textId="7D14DB37" w:rsidR="00436DAA" w:rsidRPr="00330234" w:rsidRDefault="00436DAA" w:rsidP="009B0E27">
      <w:pPr>
        <w:pStyle w:val="a3"/>
        <w:widowControl/>
        <w:ind w:left="0"/>
      </w:pPr>
    </w:p>
    <w:p w14:paraId="03D7AEF6" w14:textId="77777777" w:rsidR="00436DAA" w:rsidRPr="00330234" w:rsidRDefault="00436DAA" w:rsidP="009B0E27">
      <w:pPr>
        <w:pStyle w:val="a3"/>
        <w:widowControl/>
        <w:ind w:left="0"/>
      </w:pPr>
    </w:p>
    <w:p w14:paraId="6C3E66A7"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8.</w:t>
      </w:r>
      <w:r w:rsidRPr="00330234">
        <w:rPr>
          <w:b/>
        </w:rPr>
        <w:tab/>
        <w:t>UITERSTE</w:t>
      </w:r>
      <w:r w:rsidRPr="00330234">
        <w:rPr>
          <w:b/>
          <w:spacing w:val="-9"/>
        </w:rPr>
        <w:t xml:space="preserve"> </w:t>
      </w:r>
      <w:r w:rsidRPr="00330234">
        <w:rPr>
          <w:b/>
          <w:spacing w:val="-2"/>
        </w:rPr>
        <w:t>GEBRUIKSDATUM</w:t>
      </w:r>
    </w:p>
    <w:p w14:paraId="045FC5F3" w14:textId="30F504D6" w:rsidR="00436DAA" w:rsidRPr="00330234" w:rsidRDefault="00436DAA" w:rsidP="009B0E27">
      <w:pPr>
        <w:pStyle w:val="a3"/>
        <w:widowControl/>
        <w:ind w:left="0"/>
      </w:pPr>
    </w:p>
    <w:p w14:paraId="69399FB1" w14:textId="77777777" w:rsidR="00436DAA" w:rsidRPr="00330234" w:rsidRDefault="009B4B8E" w:rsidP="009B0E27">
      <w:pPr>
        <w:pStyle w:val="a3"/>
        <w:widowControl/>
        <w:ind w:left="0"/>
      </w:pPr>
      <w:r w:rsidRPr="00330234">
        <w:t>EXP</w:t>
      </w:r>
    </w:p>
    <w:p w14:paraId="7531EE3B" w14:textId="77777777" w:rsidR="00436DAA" w:rsidRPr="00330234" w:rsidRDefault="00436DAA" w:rsidP="009B0E27">
      <w:pPr>
        <w:widowControl/>
      </w:pPr>
    </w:p>
    <w:p w14:paraId="50290876" w14:textId="77777777" w:rsidR="00F4240D" w:rsidRPr="00330234" w:rsidRDefault="00F4240D" w:rsidP="009B0E27">
      <w:pPr>
        <w:widowControl/>
      </w:pPr>
    </w:p>
    <w:p w14:paraId="34CC332B" w14:textId="77777777" w:rsidR="00580327" w:rsidRPr="00330234" w:rsidRDefault="00580327" w:rsidP="00F4240D">
      <w:pPr>
        <w:keepNext/>
        <w:keepLines/>
        <w:pBdr>
          <w:top w:val="single" w:sz="4" w:space="1" w:color="auto"/>
          <w:left w:val="single" w:sz="4" w:space="4" w:color="auto"/>
          <w:bottom w:val="single" w:sz="4" w:space="1" w:color="auto"/>
          <w:right w:val="single" w:sz="4" w:space="4" w:color="auto"/>
        </w:pBdr>
        <w:tabs>
          <w:tab w:val="left" w:pos="674"/>
        </w:tabs>
        <w:ind w:left="567" w:hanging="567"/>
        <w:rPr>
          <w:b/>
        </w:rPr>
      </w:pPr>
      <w:r w:rsidRPr="00330234">
        <w:rPr>
          <w:b/>
          <w:spacing w:val="-5"/>
        </w:rPr>
        <w:lastRenderedPageBreak/>
        <w:t>9.</w:t>
      </w:r>
      <w:r w:rsidRPr="00330234">
        <w:rPr>
          <w:b/>
        </w:rPr>
        <w:tab/>
        <w:t>BIJZONDERE</w:t>
      </w:r>
      <w:r w:rsidRPr="00330234">
        <w:rPr>
          <w:b/>
          <w:spacing w:val="-12"/>
        </w:rPr>
        <w:t xml:space="preserve"> </w:t>
      </w:r>
      <w:r w:rsidRPr="00330234">
        <w:rPr>
          <w:b/>
        </w:rPr>
        <w:t>VOORZORGSMAATREGELEN</w:t>
      </w:r>
      <w:r w:rsidRPr="00330234">
        <w:rPr>
          <w:b/>
          <w:spacing w:val="-8"/>
        </w:rPr>
        <w:t xml:space="preserve"> </w:t>
      </w:r>
      <w:r w:rsidRPr="00330234">
        <w:rPr>
          <w:b/>
        </w:rPr>
        <w:t>VOOR</w:t>
      </w:r>
      <w:r w:rsidRPr="00330234">
        <w:rPr>
          <w:b/>
          <w:spacing w:val="-9"/>
        </w:rPr>
        <w:t xml:space="preserve"> </w:t>
      </w:r>
      <w:r w:rsidRPr="00330234">
        <w:rPr>
          <w:b/>
        </w:rPr>
        <w:t>DE</w:t>
      </w:r>
      <w:r w:rsidRPr="00330234">
        <w:rPr>
          <w:b/>
          <w:spacing w:val="-12"/>
        </w:rPr>
        <w:t xml:space="preserve"> </w:t>
      </w:r>
      <w:r w:rsidRPr="00330234">
        <w:rPr>
          <w:b/>
          <w:spacing w:val="-2"/>
        </w:rPr>
        <w:t>BEWARING</w:t>
      </w:r>
    </w:p>
    <w:p w14:paraId="385B582C" w14:textId="77777777" w:rsidR="00580327" w:rsidRPr="00330234" w:rsidRDefault="00580327" w:rsidP="00F4240D">
      <w:pPr>
        <w:keepNext/>
        <w:keepLines/>
        <w:widowControl/>
      </w:pPr>
    </w:p>
    <w:p w14:paraId="58BCBE8E" w14:textId="77777777" w:rsidR="00F4240D" w:rsidRPr="00330234" w:rsidRDefault="009B4B8E" w:rsidP="00F4240D">
      <w:pPr>
        <w:pStyle w:val="a3"/>
        <w:keepNext/>
        <w:keepLines/>
        <w:widowControl/>
        <w:ind w:left="0"/>
      </w:pPr>
      <w:r w:rsidRPr="00330234">
        <w:t>Bewaren in de koelkast</w:t>
      </w:r>
    </w:p>
    <w:p w14:paraId="72FC749C" w14:textId="32C20814" w:rsidR="00436DAA" w:rsidRPr="00330234" w:rsidRDefault="009B4B8E" w:rsidP="00F4240D">
      <w:pPr>
        <w:pStyle w:val="a3"/>
        <w:keepNext/>
        <w:keepLines/>
        <w:widowControl/>
        <w:ind w:left="0"/>
      </w:pPr>
      <w:r w:rsidRPr="00330234">
        <w:t>Niet invriezen</w:t>
      </w:r>
    </w:p>
    <w:p w14:paraId="5A128818" w14:textId="77777777" w:rsidR="00436DAA" w:rsidRPr="00330234" w:rsidRDefault="009B4B8E" w:rsidP="00F4240D">
      <w:pPr>
        <w:pStyle w:val="a3"/>
        <w:keepNext/>
        <w:keepLines/>
        <w:widowControl/>
        <w:ind w:left="0"/>
      </w:pPr>
      <w:r w:rsidRPr="00330234">
        <w:t>Houd de injectieflacon in de buitenverpakking, ter bescherming tegen licht</w:t>
      </w:r>
    </w:p>
    <w:p w14:paraId="13FBF1A4" w14:textId="77777777" w:rsidR="00436DAA" w:rsidRPr="00330234" w:rsidRDefault="00436DAA" w:rsidP="00F4240D">
      <w:pPr>
        <w:pStyle w:val="a3"/>
        <w:keepNext/>
        <w:keepLines/>
        <w:widowControl/>
        <w:ind w:left="0"/>
      </w:pPr>
    </w:p>
    <w:p w14:paraId="516409CA" w14:textId="77777777" w:rsidR="00F4240D" w:rsidRPr="00330234" w:rsidRDefault="00F4240D" w:rsidP="009B0E27">
      <w:pPr>
        <w:pStyle w:val="a3"/>
        <w:widowControl/>
        <w:ind w:left="0"/>
      </w:pPr>
    </w:p>
    <w:p w14:paraId="0BEC69C7"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10.</w:t>
      </w:r>
      <w:r w:rsidRPr="00330234">
        <w:rPr>
          <w:b/>
        </w:rPr>
        <w:tab/>
        <w:t>BIJZONDERE</w:t>
      </w:r>
      <w:r w:rsidRPr="00330234">
        <w:rPr>
          <w:b/>
          <w:spacing w:val="-8"/>
        </w:rPr>
        <w:t xml:space="preserve"> </w:t>
      </w:r>
      <w:r w:rsidRPr="00330234">
        <w:rPr>
          <w:b/>
        </w:rPr>
        <w:t>VOORZORGSMAATREGELEN</w:t>
      </w:r>
      <w:r w:rsidRPr="00330234">
        <w:rPr>
          <w:b/>
          <w:spacing w:val="-7"/>
        </w:rPr>
        <w:t xml:space="preserve"> </w:t>
      </w:r>
      <w:r w:rsidRPr="00330234">
        <w:rPr>
          <w:b/>
        </w:rPr>
        <w:t>VOOR</w:t>
      </w:r>
      <w:r w:rsidRPr="00330234">
        <w:rPr>
          <w:b/>
          <w:spacing w:val="-11"/>
        </w:rPr>
        <w:t xml:space="preserve"> </w:t>
      </w:r>
      <w:r w:rsidRPr="00330234">
        <w:rPr>
          <w:b/>
        </w:rPr>
        <w:t>HET</w:t>
      </w:r>
      <w:r w:rsidRPr="00330234">
        <w:rPr>
          <w:b/>
          <w:spacing w:val="-8"/>
        </w:rPr>
        <w:t xml:space="preserve"> </w:t>
      </w:r>
      <w:r w:rsidRPr="00330234">
        <w:rPr>
          <w:b/>
        </w:rPr>
        <w:t>VERWIJDEREN</w:t>
      </w:r>
      <w:r w:rsidRPr="00330234">
        <w:rPr>
          <w:b/>
          <w:spacing w:val="-8"/>
        </w:rPr>
        <w:t xml:space="preserve"> </w:t>
      </w:r>
      <w:r w:rsidRPr="00330234">
        <w:rPr>
          <w:b/>
        </w:rPr>
        <w:t>VAN NIET-GEBRUIKTE GENEESMIDDELEN OF DAARVAN AFGELEIDE AFVALSTOFFEN (INDIEN VAN TOEPASSING)</w:t>
      </w:r>
    </w:p>
    <w:p w14:paraId="4371C9CA" w14:textId="0B2C4E55" w:rsidR="00436DAA" w:rsidRPr="00330234" w:rsidRDefault="00436DAA" w:rsidP="009B0E27">
      <w:pPr>
        <w:pStyle w:val="a3"/>
        <w:widowControl/>
        <w:ind w:left="0"/>
      </w:pPr>
    </w:p>
    <w:p w14:paraId="7F572079" w14:textId="77777777" w:rsidR="00436DAA" w:rsidRPr="00330234" w:rsidRDefault="00436DAA" w:rsidP="009B0E27">
      <w:pPr>
        <w:pStyle w:val="a3"/>
        <w:widowControl/>
        <w:ind w:left="0"/>
      </w:pPr>
    </w:p>
    <w:p w14:paraId="5B3BCBE8"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11.</w:t>
      </w:r>
      <w:r w:rsidRPr="00330234">
        <w:rPr>
          <w:b/>
        </w:rPr>
        <w:tab/>
        <w:t>NAAM</w:t>
      </w:r>
      <w:r w:rsidRPr="00330234">
        <w:rPr>
          <w:b/>
          <w:spacing w:val="-3"/>
        </w:rPr>
        <w:t xml:space="preserve"> </w:t>
      </w:r>
      <w:r w:rsidRPr="00330234">
        <w:rPr>
          <w:b/>
        </w:rPr>
        <w:t>EN</w:t>
      </w:r>
      <w:r w:rsidRPr="00330234">
        <w:rPr>
          <w:b/>
          <w:spacing w:val="-4"/>
        </w:rPr>
        <w:t xml:space="preserve"> </w:t>
      </w:r>
      <w:r w:rsidRPr="00330234">
        <w:rPr>
          <w:b/>
        </w:rPr>
        <w:t>ADRES</w:t>
      </w:r>
      <w:r w:rsidRPr="00330234">
        <w:rPr>
          <w:b/>
          <w:spacing w:val="-4"/>
        </w:rPr>
        <w:t xml:space="preserve"> </w:t>
      </w:r>
      <w:r w:rsidRPr="00330234">
        <w:rPr>
          <w:b/>
        </w:rPr>
        <w:t>VAN</w:t>
      </w:r>
      <w:r w:rsidRPr="00330234">
        <w:rPr>
          <w:b/>
          <w:spacing w:val="-2"/>
        </w:rPr>
        <w:t xml:space="preserve"> </w:t>
      </w:r>
      <w:r w:rsidRPr="00330234">
        <w:rPr>
          <w:b/>
        </w:rPr>
        <w:t>DE</w:t>
      </w:r>
      <w:r w:rsidRPr="00330234">
        <w:rPr>
          <w:b/>
          <w:spacing w:val="-4"/>
        </w:rPr>
        <w:t xml:space="preserve"> </w:t>
      </w:r>
      <w:r w:rsidRPr="00330234">
        <w:rPr>
          <w:b/>
        </w:rPr>
        <w:t>HOUDER</w:t>
      </w:r>
      <w:r w:rsidRPr="00330234">
        <w:rPr>
          <w:b/>
          <w:spacing w:val="-4"/>
        </w:rPr>
        <w:t xml:space="preserve"> </w:t>
      </w:r>
      <w:r w:rsidRPr="00330234">
        <w:rPr>
          <w:b/>
        </w:rPr>
        <w:t>VAN</w:t>
      </w:r>
      <w:r w:rsidRPr="00330234">
        <w:rPr>
          <w:b/>
          <w:spacing w:val="-4"/>
        </w:rPr>
        <w:t xml:space="preserve"> </w:t>
      </w:r>
      <w:r w:rsidRPr="00330234">
        <w:rPr>
          <w:b/>
        </w:rPr>
        <w:t>DE</w:t>
      </w:r>
      <w:r w:rsidRPr="00330234">
        <w:rPr>
          <w:b/>
          <w:spacing w:val="-4"/>
        </w:rPr>
        <w:t xml:space="preserve"> </w:t>
      </w:r>
      <w:r w:rsidRPr="00330234">
        <w:rPr>
          <w:b/>
        </w:rPr>
        <w:t>VERGUNNING</w:t>
      </w:r>
      <w:r w:rsidRPr="00330234">
        <w:rPr>
          <w:b/>
          <w:spacing w:val="-2"/>
        </w:rPr>
        <w:t xml:space="preserve"> </w:t>
      </w:r>
      <w:r w:rsidRPr="00330234">
        <w:rPr>
          <w:b/>
        </w:rPr>
        <w:t>VOOR</w:t>
      </w:r>
      <w:r w:rsidRPr="00330234">
        <w:rPr>
          <w:b/>
          <w:spacing w:val="-4"/>
        </w:rPr>
        <w:t xml:space="preserve"> </w:t>
      </w:r>
      <w:r w:rsidRPr="00330234">
        <w:rPr>
          <w:b/>
        </w:rPr>
        <w:t>HET</w:t>
      </w:r>
      <w:r w:rsidRPr="00330234">
        <w:rPr>
          <w:b/>
          <w:spacing w:val="-4"/>
        </w:rPr>
        <w:t xml:space="preserve"> </w:t>
      </w:r>
      <w:r w:rsidRPr="00330234">
        <w:rPr>
          <w:b/>
        </w:rPr>
        <w:t>IN</w:t>
      </w:r>
      <w:r w:rsidRPr="00330234">
        <w:rPr>
          <w:b/>
          <w:spacing w:val="-4"/>
        </w:rPr>
        <w:t xml:space="preserve"> </w:t>
      </w:r>
      <w:r w:rsidRPr="00330234">
        <w:rPr>
          <w:b/>
        </w:rPr>
        <w:t>DE HANDEL BRENGEN</w:t>
      </w:r>
    </w:p>
    <w:p w14:paraId="4C85B6D8" w14:textId="200A5FF8" w:rsidR="00436DAA" w:rsidRPr="00330234" w:rsidRDefault="00436DAA" w:rsidP="009B0E27">
      <w:pPr>
        <w:pStyle w:val="a3"/>
        <w:widowControl/>
        <w:ind w:left="0"/>
      </w:pPr>
    </w:p>
    <w:p w14:paraId="24ACC5A0" w14:textId="72916877" w:rsidR="00F21655" w:rsidRPr="00330234" w:rsidRDefault="00F21655" w:rsidP="00F21655">
      <w:pPr>
        <w:keepNext/>
      </w:pPr>
      <w:r w:rsidRPr="00330234">
        <w:t>Celltrion Healthcare Hungary Kft.</w:t>
      </w:r>
    </w:p>
    <w:p w14:paraId="1326627F" w14:textId="77777777" w:rsidR="00F21655" w:rsidRPr="00330234" w:rsidRDefault="00F21655" w:rsidP="00F21655">
      <w:pPr>
        <w:keepNext/>
      </w:pPr>
      <w:r w:rsidRPr="00330234">
        <w:t>1062 Budapest</w:t>
      </w:r>
    </w:p>
    <w:p w14:paraId="429D4DAC" w14:textId="77777777" w:rsidR="00F21655" w:rsidRPr="00330234" w:rsidRDefault="00F21655" w:rsidP="00F21655">
      <w:pPr>
        <w:keepNext/>
      </w:pPr>
      <w:r w:rsidRPr="00330234">
        <w:t>Váci út 1-3. WestEnd Office Building B torony</w:t>
      </w:r>
    </w:p>
    <w:p w14:paraId="27B9876B" w14:textId="7B8CFC69" w:rsidR="00F21655" w:rsidRPr="00330234" w:rsidRDefault="00F21655" w:rsidP="00F21655">
      <w:r w:rsidRPr="00330234">
        <w:t>Hongarije</w:t>
      </w:r>
    </w:p>
    <w:p w14:paraId="5641BFC8" w14:textId="77777777" w:rsidR="00436DAA" w:rsidRPr="00330234" w:rsidRDefault="00436DAA" w:rsidP="009B0E27">
      <w:pPr>
        <w:pStyle w:val="a3"/>
        <w:widowControl/>
        <w:ind w:left="0"/>
      </w:pPr>
    </w:p>
    <w:p w14:paraId="0A28BD1A" w14:textId="77777777" w:rsidR="00F4240D" w:rsidRPr="00330234" w:rsidRDefault="00F4240D" w:rsidP="009B0E27">
      <w:pPr>
        <w:pStyle w:val="a3"/>
        <w:widowControl/>
        <w:ind w:left="0"/>
      </w:pPr>
    </w:p>
    <w:p w14:paraId="41022CE9"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12.</w:t>
      </w:r>
      <w:r w:rsidRPr="00330234">
        <w:rPr>
          <w:b/>
        </w:rPr>
        <w:tab/>
        <w:t>NUMMER(S)</w:t>
      </w:r>
      <w:r w:rsidRPr="00330234">
        <w:rPr>
          <w:b/>
          <w:spacing w:val="-6"/>
        </w:rPr>
        <w:t xml:space="preserve"> </w:t>
      </w:r>
      <w:r w:rsidRPr="00330234">
        <w:rPr>
          <w:b/>
        </w:rPr>
        <w:t>VAN</w:t>
      </w:r>
      <w:r w:rsidRPr="00330234">
        <w:rPr>
          <w:b/>
          <w:spacing w:val="-5"/>
        </w:rPr>
        <w:t xml:space="preserve"> </w:t>
      </w:r>
      <w:r w:rsidRPr="00330234">
        <w:rPr>
          <w:b/>
        </w:rPr>
        <w:t>DE</w:t>
      </w:r>
      <w:r w:rsidRPr="00330234">
        <w:rPr>
          <w:b/>
          <w:spacing w:val="-6"/>
        </w:rPr>
        <w:t xml:space="preserve"> </w:t>
      </w:r>
      <w:r w:rsidRPr="00330234">
        <w:rPr>
          <w:b/>
        </w:rPr>
        <w:t>VERGUNNING</w:t>
      </w:r>
      <w:r w:rsidRPr="00330234">
        <w:rPr>
          <w:b/>
          <w:spacing w:val="-3"/>
        </w:rPr>
        <w:t xml:space="preserve"> </w:t>
      </w:r>
      <w:r w:rsidRPr="00330234">
        <w:rPr>
          <w:b/>
        </w:rPr>
        <w:t>VOOR</w:t>
      </w:r>
      <w:r w:rsidRPr="00330234">
        <w:rPr>
          <w:b/>
          <w:spacing w:val="-6"/>
        </w:rPr>
        <w:t xml:space="preserve"> </w:t>
      </w:r>
      <w:r w:rsidRPr="00330234">
        <w:rPr>
          <w:b/>
        </w:rPr>
        <w:t>HET</w:t>
      </w:r>
      <w:r w:rsidRPr="00330234">
        <w:rPr>
          <w:b/>
          <w:spacing w:val="-5"/>
        </w:rPr>
        <w:t xml:space="preserve"> </w:t>
      </w:r>
      <w:r w:rsidRPr="00330234">
        <w:rPr>
          <w:b/>
        </w:rPr>
        <w:t>IN</w:t>
      </w:r>
      <w:r w:rsidRPr="00330234">
        <w:rPr>
          <w:b/>
          <w:spacing w:val="-6"/>
        </w:rPr>
        <w:t xml:space="preserve"> </w:t>
      </w:r>
      <w:r w:rsidRPr="00330234">
        <w:rPr>
          <w:b/>
        </w:rPr>
        <w:t>DE</w:t>
      </w:r>
      <w:r w:rsidRPr="00330234">
        <w:rPr>
          <w:b/>
          <w:spacing w:val="-5"/>
        </w:rPr>
        <w:t xml:space="preserve"> </w:t>
      </w:r>
      <w:r w:rsidRPr="00330234">
        <w:rPr>
          <w:b/>
        </w:rPr>
        <w:t>HANDEL</w:t>
      </w:r>
      <w:r w:rsidRPr="00330234">
        <w:rPr>
          <w:b/>
          <w:spacing w:val="-5"/>
        </w:rPr>
        <w:t xml:space="preserve"> </w:t>
      </w:r>
      <w:r w:rsidRPr="00330234">
        <w:rPr>
          <w:b/>
          <w:spacing w:val="-2"/>
        </w:rPr>
        <w:t>BRENGEN</w:t>
      </w:r>
    </w:p>
    <w:p w14:paraId="33674874" w14:textId="0B81C608" w:rsidR="00436DAA" w:rsidRPr="00330234" w:rsidRDefault="00436DAA" w:rsidP="009B0E27">
      <w:pPr>
        <w:pStyle w:val="a3"/>
        <w:widowControl/>
        <w:ind w:left="0"/>
      </w:pPr>
    </w:p>
    <w:p w14:paraId="68932286" w14:textId="0E0D78F4" w:rsidR="00F4240D" w:rsidRPr="00330234" w:rsidRDefault="009B4B8E" w:rsidP="009B0E27">
      <w:pPr>
        <w:pStyle w:val="a3"/>
        <w:widowControl/>
        <w:ind w:left="0"/>
      </w:pPr>
      <w:r w:rsidRPr="00330234">
        <w:t>EU</w:t>
      </w:r>
      <w:r w:rsidR="00F21655" w:rsidRPr="00330234">
        <w:t>/</w:t>
      </w:r>
      <w:r w:rsidR="000E4D64" w:rsidRPr="00F458BB">
        <w:rPr>
          <w:spacing w:val="-1"/>
          <w:lang w:val="pt-BR"/>
        </w:rPr>
        <w:t>1/24/1896/00</w:t>
      </w:r>
      <w:r w:rsidR="000E4D64">
        <w:rPr>
          <w:rFonts w:eastAsia="맑은 고딕" w:hint="eastAsia"/>
          <w:spacing w:val="-1"/>
          <w:lang w:val="pt-BR" w:eastAsia="ko-KR"/>
        </w:rPr>
        <w:t>1</w:t>
      </w:r>
      <w:r w:rsidR="000E4D64">
        <w:rPr>
          <w:rFonts w:hint="eastAsia"/>
          <w:spacing w:val="-1"/>
          <w:lang w:val="pt-BR" w:eastAsia="ko-KR"/>
        </w:rPr>
        <w:t xml:space="preserve"> </w:t>
      </w:r>
      <w:r w:rsidR="000E4D64">
        <w:rPr>
          <w:spacing w:val="-1"/>
          <w:lang w:val="pt-BR" w:eastAsia="ko-KR"/>
        </w:rPr>
        <w:t>1 injectieflacon</w:t>
      </w:r>
    </w:p>
    <w:p w14:paraId="44B3F6ED" w14:textId="35E5D78C" w:rsidR="00436DAA" w:rsidRPr="00330234" w:rsidRDefault="009B4B8E" w:rsidP="009B0E27">
      <w:pPr>
        <w:pStyle w:val="a3"/>
        <w:widowControl/>
        <w:ind w:left="0"/>
      </w:pPr>
      <w:r w:rsidRPr="00330234">
        <w:t>EU</w:t>
      </w:r>
      <w:r w:rsidR="00F21655" w:rsidRPr="00330234">
        <w:t>/</w:t>
      </w:r>
      <w:r w:rsidR="000E4D64" w:rsidRPr="00F458BB">
        <w:rPr>
          <w:spacing w:val="-1"/>
          <w:lang w:val="pt-BR"/>
        </w:rPr>
        <w:t>1/24/1896/00</w:t>
      </w:r>
      <w:r w:rsidR="000E4D64">
        <w:rPr>
          <w:rFonts w:eastAsia="맑은 고딕" w:hint="eastAsia"/>
          <w:spacing w:val="-1"/>
          <w:lang w:val="pt-BR" w:eastAsia="ko-KR"/>
        </w:rPr>
        <w:t>2</w:t>
      </w:r>
      <w:r w:rsidR="000E4D64">
        <w:rPr>
          <w:rFonts w:hint="eastAsia"/>
          <w:spacing w:val="-1"/>
          <w:lang w:val="pt-BR" w:eastAsia="ko-KR"/>
        </w:rPr>
        <w:t xml:space="preserve"> </w:t>
      </w:r>
      <w:r w:rsidR="000E4D64">
        <w:rPr>
          <w:spacing w:val="-1"/>
          <w:lang w:val="pt-BR" w:eastAsia="ko-KR"/>
        </w:rPr>
        <w:t>4 injectieflacon</w:t>
      </w:r>
      <w:r w:rsidR="000E4D64">
        <w:t>s</w:t>
      </w:r>
    </w:p>
    <w:p w14:paraId="4714C261" w14:textId="77777777" w:rsidR="00436DAA" w:rsidRPr="00330234" w:rsidRDefault="00436DAA" w:rsidP="009B0E27">
      <w:pPr>
        <w:pStyle w:val="a3"/>
        <w:widowControl/>
        <w:ind w:left="0"/>
      </w:pPr>
    </w:p>
    <w:p w14:paraId="78A82752" w14:textId="77777777" w:rsidR="00F4240D" w:rsidRPr="00330234" w:rsidRDefault="00F4240D" w:rsidP="009B0E27">
      <w:pPr>
        <w:pStyle w:val="a3"/>
        <w:widowControl/>
        <w:ind w:left="0"/>
      </w:pPr>
    </w:p>
    <w:p w14:paraId="585A0D07"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13.</w:t>
      </w:r>
      <w:r w:rsidRPr="00330234">
        <w:rPr>
          <w:b/>
        </w:rPr>
        <w:tab/>
      </w:r>
      <w:r w:rsidRPr="00330234">
        <w:rPr>
          <w:b/>
          <w:spacing w:val="-2"/>
        </w:rPr>
        <w:t>PARTIJNUMMER</w:t>
      </w:r>
    </w:p>
    <w:p w14:paraId="0271ECBE" w14:textId="1E675B0C" w:rsidR="00436DAA" w:rsidRPr="00330234" w:rsidRDefault="00436DAA" w:rsidP="009B0E27">
      <w:pPr>
        <w:pStyle w:val="a3"/>
        <w:widowControl/>
        <w:ind w:left="0"/>
      </w:pPr>
    </w:p>
    <w:p w14:paraId="6793DEE8" w14:textId="213D5FD6" w:rsidR="00436DAA" w:rsidRPr="00330234" w:rsidRDefault="00F21655" w:rsidP="009B0E27">
      <w:pPr>
        <w:pStyle w:val="a3"/>
        <w:widowControl/>
        <w:ind w:left="0"/>
      </w:pPr>
      <w:r w:rsidRPr="00330234">
        <w:t>Lot</w:t>
      </w:r>
    </w:p>
    <w:p w14:paraId="2FA7F366" w14:textId="77777777" w:rsidR="00F4240D" w:rsidRPr="00330234" w:rsidRDefault="00F4240D" w:rsidP="009B0E27">
      <w:pPr>
        <w:pStyle w:val="a3"/>
        <w:widowControl/>
        <w:ind w:left="0"/>
      </w:pPr>
    </w:p>
    <w:p w14:paraId="56007BA6" w14:textId="77777777" w:rsidR="00F4240D" w:rsidRPr="00330234" w:rsidRDefault="00F4240D" w:rsidP="009B0E27">
      <w:pPr>
        <w:pStyle w:val="a3"/>
        <w:widowControl/>
        <w:ind w:left="0"/>
      </w:pPr>
    </w:p>
    <w:p w14:paraId="44C11AD3"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14.</w:t>
      </w:r>
      <w:r w:rsidRPr="00330234">
        <w:rPr>
          <w:b/>
        </w:rPr>
        <w:tab/>
        <w:t>ALGEMENE</w:t>
      </w:r>
      <w:r w:rsidRPr="00330234">
        <w:rPr>
          <w:b/>
          <w:spacing w:val="-6"/>
        </w:rPr>
        <w:t xml:space="preserve"> </w:t>
      </w:r>
      <w:r w:rsidRPr="00330234">
        <w:rPr>
          <w:b/>
        </w:rPr>
        <w:t>INDELING</w:t>
      </w:r>
      <w:r w:rsidRPr="00330234">
        <w:rPr>
          <w:b/>
          <w:spacing w:val="-4"/>
        </w:rPr>
        <w:t xml:space="preserve"> </w:t>
      </w:r>
      <w:r w:rsidRPr="00330234">
        <w:rPr>
          <w:b/>
        </w:rPr>
        <w:t>VOOR</w:t>
      </w:r>
      <w:r w:rsidRPr="00330234">
        <w:rPr>
          <w:b/>
          <w:spacing w:val="-6"/>
        </w:rPr>
        <w:t xml:space="preserve"> </w:t>
      </w:r>
      <w:r w:rsidRPr="00330234">
        <w:rPr>
          <w:b/>
        </w:rPr>
        <w:t>DE</w:t>
      </w:r>
      <w:r w:rsidRPr="00330234">
        <w:rPr>
          <w:b/>
          <w:spacing w:val="-5"/>
        </w:rPr>
        <w:t xml:space="preserve"> </w:t>
      </w:r>
      <w:r w:rsidRPr="00330234">
        <w:rPr>
          <w:b/>
          <w:spacing w:val="-2"/>
        </w:rPr>
        <w:t>AFLEVERING</w:t>
      </w:r>
    </w:p>
    <w:p w14:paraId="2FE7BE60" w14:textId="5265973A" w:rsidR="00436DAA" w:rsidRPr="00330234" w:rsidRDefault="00436DAA" w:rsidP="009B0E27">
      <w:pPr>
        <w:pStyle w:val="a3"/>
        <w:widowControl/>
        <w:ind w:left="0"/>
      </w:pPr>
    </w:p>
    <w:p w14:paraId="687F2471" w14:textId="77777777" w:rsidR="00436DAA" w:rsidRPr="00330234" w:rsidRDefault="009B4B8E" w:rsidP="009B0E27">
      <w:pPr>
        <w:pStyle w:val="a3"/>
        <w:widowControl/>
        <w:ind w:left="0"/>
      </w:pPr>
      <w:r>
        <w:rPr>
          <w:highlight w:val="lightGray"/>
        </w:rPr>
        <w:t>Geneesmiddel op medisch voorschrift</w:t>
      </w:r>
    </w:p>
    <w:p w14:paraId="70A5EC66" w14:textId="77777777" w:rsidR="00436DAA" w:rsidRPr="00330234" w:rsidRDefault="00436DAA" w:rsidP="009B0E27">
      <w:pPr>
        <w:pStyle w:val="a3"/>
        <w:widowControl/>
        <w:ind w:left="0"/>
      </w:pPr>
    </w:p>
    <w:p w14:paraId="63E64AD5" w14:textId="77777777" w:rsidR="0018660B" w:rsidRPr="00330234" w:rsidRDefault="0018660B" w:rsidP="009B0E27">
      <w:pPr>
        <w:pStyle w:val="a3"/>
        <w:widowControl/>
        <w:ind w:left="0"/>
      </w:pPr>
    </w:p>
    <w:p w14:paraId="52F249F1"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15.</w:t>
      </w:r>
      <w:r w:rsidRPr="00330234">
        <w:rPr>
          <w:b/>
        </w:rPr>
        <w:tab/>
        <w:t>INSTRUCTIES</w:t>
      </w:r>
      <w:r w:rsidRPr="00330234">
        <w:rPr>
          <w:b/>
          <w:spacing w:val="-7"/>
        </w:rPr>
        <w:t xml:space="preserve"> </w:t>
      </w:r>
      <w:r w:rsidRPr="00330234">
        <w:rPr>
          <w:b/>
        </w:rPr>
        <w:t>VOOR</w:t>
      </w:r>
      <w:r w:rsidRPr="00330234">
        <w:rPr>
          <w:b/>
          <w:spacing w:val="-7"/>
        </w:rPr>
        <w:t xml:space="preserve"> </w:t>
      </w:r>
      <w:r w:rsidRPr="00330234">
        <w:rPr>
          <w:b/>
          <w:spacing w:val="-2"/>
        </w:rPr>
        <w:t>GEBRUIK</w:t>
      </w:r>
    </w:p>
    <w:p w14:paraId="286AEDBB" w14:textId="2E88D524" w:rsidR="00436DAA" w:rsidRPr="00330234" w:rsidRDefault="00436DAA" w:rsidP="009B0E27">
      <w:pPr>
        <w:pStyle w:val="a3"/>
        <w:widowControl/>
        <w:ind w:left="0"/>
      </w:pPr>
    </w:p>
    <w:p w14:paraId="292EEF55" w14:textId="77777777" w:rsidR="00436DAA" w:rsidRPr="00330234" w:rsidRDefault="00436DAA" w:rsidP="009B0E27">
      <w:pPr>
        <w:pStyle w:val="a3"/>
        <w:widowControl/>
        <w:ind w:left="0"/>
      </w:pPr>
    </w:p>
    <w:p w14:paraId="387CB65B"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16.</w:t>
      </w:r>
      <w:r w:rsidRPr="00330234">
        <w:rPr>
          <w:b/>
        </w:rPr>
        <w:tab/>
        <w:t>INFORMATIE</w:t>
      </w:r>
      <w:r w:rsidRPr="00330234">
        <w:rPr>
          <w:b/>
          <w:spacing w:val="-5"/>
        </w:rPr>
        <w:t xml:space="preserve"> </w:t>
      </w:r>
      <w:r w:rsidRPr="00330234">
        <w:rPr>
          <w:b/>
        </w:rPr>
        <w:t>IN</w:t>
      </w:r>
      <w:r w:rsidRPr="00330234">
        <w:rPr>
          <w:b/>
          <w:spacing w:val="-7"/>
        </w:rPr>
        <w:t xml:space="preserve"> </w:t>
      </w:r>
      <w:r w:rsidRPr="00330234">
        <w:rPr>
          <w:b/>
          <w:spacing w:val="-2"/>
        </w:rPr>
        <w:t>BRAILLE</w:t>
      </w:r>
    </w:p>
    <w:p w14:paraId="08A065E6" w14:textId="0D206329" w:rsidR="00436DAA" w:rsidRPr="00330234" w:rsidRDefault="00436DAA" w:rsidP="009B0E27">
      <w:pPr>
        <w:pStyle w:val="a3"/>
        <w:widowControl/>
        <w:ind w:left="0"/>
      </w:pPr>
    </w:p>
    <w:p w14:paraId="0A154DEC" w14:textId="77777777" w:rsidR="00436DAA" w:rsidRPr="00330234" w:rsidRDefault="009B4B8E" w:rsidP="009B0E27">
      <w:pPr>
        <w:pStyle w:val="a3"/>
        <w:widowControl/>
        <w:ind w:left="0"/>
      </w:pPr>
      <w:r>
        <w:rPr>
          <w:highlight w:val="lightGray"/>
        </w:rPr>
        <w:t>Rechtvaardiging voor uitzondering van braille is aanvaardbaar</w:t>
      </w:r>
    </w:p>
    <w:p w14:paraId="6E5B11DA" w14:textId="77777777" w:rsidR="00436DAA" w:rsidRPr="00330234" w:rsidRDefault="00436DAA" w:rsidP="009B0E27">
      <w:pPr>
        <w:pStyle w:val="a3"/>
        <w:widowControl/>
        <w:ind w:left="0"/>
      </w:pPr>
    </w:p>
    <w:p w14:paraId="4B4232EB" w14:textId="77777777" w:rsidR="0018660B" w:rsidRPr="00330234" w:rsidRDefault="0018660B" w:rsidP="009B0E27">
      <w:pPr>
        <w:pStyle w:val="a3"/>
        <w:widowControl/>
        <w:ind w:left="0"/>
      </w:pPr>
    </w:p>
    <w:p w14:paraId="61EADB2E"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17.</w:t>
      </w:r>
      <w:r w:rsidRPr="00330234">
        <w:rPr>
          <w:b/>
        </w:rPr>
        <w:tab/>
        <w:t>UNIEK</w:t>
      </w:r>
      <w:r w:rsidRPr="00330234">
        <w:rPr>
          <w:b/>
          <w:spacing w:val="-8"/>
        </w:rPr>
        <w:t xml:space="preserve"> </w:t>
      </w:r>
      <w:r w:rsidRPr="00330234">
        <w:rPr>
          <w:b/>
        </w:rPr>
        <w:t>IDENTIFICATIEKENMERK</w:t>
      </w:r>
      <w:r w:rsidRPr="00330234">
        <w:rPr>
          <w:b/>
          <w:spacing w:val="-7"/>
        </w:rPr>
        <w:t xml:space="preserve"> </w:t>
      </w:r>
      <w:r w:rsidRPr="00330234">
        <w:rPr>
          <w:b/>
        </w:rPr>
        <w:t>-</w:t>
      </w:r>
      <w:r w:rsidRPr="00330234">
        <w:rPr>
          <w:b/>
          <w:spacing w:val="-5"/>
        </w:rPr>
        <w:t xml:space="preserve"> </w:t>
      </w:r>
      <w:r w:rsidRPr="00330234">
        <w:rPr>
          <w:b/>
        </w:rPr>
        <w:t>2D</w:t>
      </w:r>
      <w:r w:rsidRPr="00330234">
        <w:rPr>
          <w:b/>
          <w:spacing w:val="-7"/>
        </w:rPr>
        <w:t xml:space="preserve"> </w:t>
      </w:r>
      <w:r w:rsidRPr="00330234">
        <w:rPr>
          <w:b/>
          <w:spacing w:val="-2"/>
        </w:rPr>
        <w:t>MATRIXCODE</w:t>
      </w:r>
    </w:p>
    <w:p w14:paraId="36C8BE19" w14:textId="09E76528" w:rsidR="00436DAA" w:rsidRPr="00330234" w:rsidRDefault="00436DAA" w:rsidP="009B0E27">
      <w:pPr>
        <w:pStyle w:val="a3"/>
        <w:widowControl/>
        <w:ind w:left="0"/>
      </w:pPr>
    </w:p>
    <w:p w14:paraId="60D89356" w14:textId="77777777" w:rsidR="00436DAA" w:rsidRPr="00330234" w:rsidRDefault="009B4B8E" w:rsidP="009B0E27">
      <w:pPr>
        <w:pStyle w:val="a3"/>
        <w:widowControl/>
        <w:ind w:left="0"/>
      </w:pPr>
      <w:r>
        <w:rPr>
          <w:color w:val="000000"/>
          <w:highlight w:val="lightGray"/>
          <w:shd w:val="pct35" w:color="auto" w:fill="auto"/>
        </w:rPr>
        <w:t>2D matrixcode met het unieke identificatiekenmerk.</w:t>
      </w:r>
    </w:p>
    <w:p w14:paraId="027D7EAC" w14:textId="77777777" w:rsidR="00436DAA" w:rsidRPr="00330234" w:rsidRDefault="00436DAA" w:rsidP="009B0E27">
      <w:pPr>
        <w:widowControl/>
      </w:pPr>
    </w:p>
    <w:p w14:paraId="638F65CB" w14:textId="77777777" w:rsidR="0018660B" w:rsidRPr="00330234" w:rsidRDefault="0018660B" w:rsidP="009B0E27">
      <w:pPr>
        <w:widowControl/>
      </w:pPr>
    </w:p>
    <w:p w14:paraId="457268F9"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18.</w:t>
      </w:r>
      <w:r w:rsidRPr="00330234">
        <w:rPr>
          <w:b/>
        </w:rPr>
        <w:tab/>
        <w:t>UNIEK</w:t>
      </w:r>
      <w:r w:rsidRPr="00330234">
        <w:rPr>
          <w:b/>
          <w:spacing w:val="-11"/>
        </w:rPr>
        <w:t xml:space="preserve"> </w:t>
      </w:r>
      <w:r w:rsidRPr="00330234">
        <w:rPr>
          <w:b/>
        </w:rPr>
        <w:t>IDENTIFICATIEKENMERK</w:t>
      </w:r>
      <w:r w:rsidRPr="00330234">
        <w:rPr>
          <w:b/>
          <w:spacing w:val="-8"/>
        </w:rPr>
        <w:t xml:space="preserve"> </w:t>
      </w:r>
      <w:r w:rsidRPr="00330234">
        <w:rPr>
          <w:b/>
        </w:rPr>
        <w:t>-</w:t>
      </w:r>
      <w:r w:rsidRPr="00330234">
        <w:rPr>
          <w:b/>
          <w:spacing w:val="-6"/>
        </w:rPr>
        <w:t xml:space="preserve"> </w:t>
      </w:r>
      <w:r w:rsidRPr="00330234">
        <w:rPr>
          <w:b/>
        </w:rPr>
        <w:t>VOOR</w:t>
      </w:r>
      <w:r w:rsidRPr="00330234">
        <w:rPr>
          <w:b/>
          <w:spacing w:val="-8"/>
        </w:rPr>
        <w:t xml:space="preserve"> </w:t>
      </w:r>
      <w:r w:rsidRPr="00330234">
        <w:rPr>
          <w:b/>
        </w:rPr>
        <w:t>MENSEN</w:t>
      </w:r>
      <w:r w:rsidRPr="00330234">
        <w:rPr>
          <w:b/>
          <w:spacing w:val="-8"/>
        </w:rPr>
        <w:t xml:space="preserve"> </w:t>
      </w:r>
      <w:r w:rsidRPr="00330234">
        <w:rPr>
          <w:b/>
        </w:rPr>
        <w:t>LEESBARE</w:t>
      </w:r>
      <w:r w:rsidRPr="00330234">
        <w:rPr>
          <w:b/>
          <w:spacing w:val="-8"/>
        </w:rPr>
        <w:t xml:space="preserve"> </w:t>
      </w:r>
      <w:r w:rsidRPr="00330234">
        <w:rPr>
          <w:b/>
          <w:spacing w:val="-2"/>
        </w:rPr>
        <w:t>GEGEVENS</w:t>
      </w:r>
    </w:p>
    <w:p w14:paraId="703678DE" w14:textId="77777777" w:rsidR="00580327" w:rsidRPr="00330234" w:rsidRDefault="00580327" w:rsidP="009B0E27">
      <w:pPr>
        <w:widowControl/>
      </w:pPr>
    </w:p>
    <w:p w14:paraId="7417AD8C" w14:textId="77777777" w:rsidR="0018660B" w:rsidRPr="00330234" w:rsidRDefault="009B4B8E" w:rsidP="009B0E27">
      <w:pPr>
        <w:pStyle w:val="a3"/>
        <w:widowControl/>
        <w:ind w:left="0"/>
      </w:pPr>
      <w:r w:rsidRPr="00330234">
        <w:t>PC</w:t>
      </w:r>
    </w:p>
    <w:p w14:paraId="29C72AB6" w14:textId="77777777" w:rsidR="0018660B" w:rsidRPr="00330234" w:rsidRDefault="009B4B8E" w:rsidP="009B0E27">
      <w:pPr>
        <w:pStyle w:val="a3"/>
        <w:widowControl/>
        <w:ind w:left="0"/>
      </w:pPr>
      <w:r w:rsidRPr="00330234">
        <w:t>SN</w:t>
      </w:r>
    </w:p>
    <w:p w14:paraId="14E17E95" w14:textId="77777777" w:rsidR="00F76AA1" w:rsidRPr="00330234" w:rsidRDefault="00F76AA1" w:rsidP="00F76AA1">
      <w:pPr>
        <w:pStyle w:val="a3"/>
        <w:widowControl/>
        <w:ind w:left="0"/>
      </w:pPr>
      <w:r w:rsidRPr="00F76AA1">
        <w:rPr>
          <w:highlight w:val="lightGray"/>
        </w:rPr>
        <w:t>NN</w:t>
      </w:r>
    </w:p>
    <w:p w14:paraId="46BD3848" w14:textId="4A925122" w:rsidR="00580327" w:rsidRPr="00330234" w:rsidRDefault="00580327" w:rsidP="001B3E1E">
      <w:pPr>
        <w:pStyle w:val="a3"/>
        <w:widowControl/>
        <w:pBdr>
          <w:top w:val="single" w:sz="4" w:space="1" w:color="auto"/>
          <w:left w:val="single" w:sz="4" w:space="4" w:color="auto"/>
          <w:bottom w:val="single" w:sz="4" w:space="1" w:color="auto"/>
          <w:right w:val="single" w:sz="4" w:space="4" w:color="auto"/>
        </w:pBdr>
        <w:ind w:left="0"/>
        <w:rPr>
          <w:b/>
        </w:rPr>
      </w:pPr>
      <w:r w:rsidRPr="00330234">
        <w:br w:type="page"/>
      </w:r>
      <w:r w:rsidRPr="00330234">
        <w:rPr>
          <w:b/>
        </w:rPr>
        <w:lastRenderedPageBreak/>
        <w:t>GEGEVENS</w:t>
      </w:r>
      <w:r w:rsidRPr="00330234">
        <w:rPr>
          <w:b/>
          <w:spacing w:val="-4"/>
        </w:rPr>
        <w:t xml:space="preserve"> </w:t>
      </w:r>
      <w:r w:rsidRPr="00330234">
        <w:rPr>
          <w:b/>
        </w:rPr>
        <w:t>DIE</w:t>
      </w:r>
      <w:r w:rsidRPr="00330234">
        <w:rPr>
          <w:b/>
          <w:spacing w:val="-6"/>
        </w:rPr>
        <w:t xml:space="preserve"> </w:t>
      </w:r>
      <w:r w:rsidRPr="00330234">
        <w:rPr>
          <w:b/>
        </w:rPr>
        <w:t>OP</w:t>
      </w:r>
      <w:r w:rsidRPr="00330234">
        <w:rPr>
          <w:b/>
          <w:spacing w:val="-4"/>
        </w:rPr>
        <w:t xml:space="preserve"> </w:t>
      </w:r>
      <w:r w:rsidRPr="00330234">
        <w:rPr>
          <w:b/>
        </w:rPr>
        <w:t>DE</w:t>
      </w:r>
      <w:r w:rsidRPr="00330234">
        <w:rPr>
          <w:b/>
          <w:spacing w:val="-9"/>
        </w:rPr>
        <w:t xml:space="preserve"> </w:t>
      </w:r>
      <w:r w:rsidRPr="00330234">
        <w:rPr>
          <w:b/>
        </w:rPr>
        <w:t>BUITENVERPAKKING</w:t>
      </w:r>
      <w:r w:rsidRPr="00330234">
        <w:rPr>
          <w:b/>
          <w:spacing w:val="-9"/>
        </w:rPr>
        <w:t xml:space="preserve"> </w:t>
      </w:r>
      <w:r w:rsidRPr="00330234">
        <w:rPr>
          <w:b/>
        </w:rPr>
        <w:t>MOETEN</w:t>
      </w:r>
      <w:r w:rsidRPr="00330234">
        <w:rPr>
          <w:b/>
          <w:spacing w:val="-6"/>
        </w:rPr>
        <w:t xml:space="preserve"> </w:t>
      </w:r>
      <w:r w:rsidRPr="00330234">
        <w:rPr>
          <w:b/>
        </w:rPr>
        <w:t>WORDEN</w:t>
      </w:r>
      <w:r w:rsidRPr="00330234">
        <w:rPr>
          <w:b/>
          <w:spacing w:val="-6"/>
        </w:rPr>
        <w:t xml:space="preserve"> </w:t>
      </w:r>
      <w:r w:rsidRPr="00330234">
        <w:rPr>
          <w:b/>
          <w:spacing w:val="-2"/>
        </w:rPr>
        <w:t>VERMELD</w:t>
      </w:r>
    </w:p>
    <w:p w14:paraId="64250FA0" w14:textId="77777777" w:rsidR="00580327" w:rsidRPr="00330234" w:rsidRDefault="00580327" w:rsidP="006542D9">
      <w:pPr>
        <w:pStyle w:val="a3"/>
        <w:pBdr>
          <w:top w:val="single" w:sz="4" w:space="1" w:color="auto"/>
          <w:left w:val="single" w:sz="4" w:space="4" w:color="auto"/>
          <w:bottom w:val="single" w:sz="4" w:space="1" w:color="auto"/>
          <w:right w:val="single" w:sz="4" w:space="4" w:color="auto"/>
        </w:pBdr>
        <w:ind w:left="0"/>
        <w:rPr>
          <w:b/>
        </w:rPr>
      </w:pPr>
    </w:p>
    <w:p w14:paraId="7CD5556C" w14:textId="77777777" w:rsidR="00580327" w:rsidRPr="00330234" w:rsidRDefault="00580327" w:rsidP="006542D9">
      <w:pPr>
        <w:pBdr>
          <w:top w:val="single" w:sz="4" w:space="1" w:color="auto"/>
          <w:left w:val="single" w:sz="4" w:space="4" w:color="auto"/>
          <w:bottom w:val="single" w:sz="4" w:space="1" w:color="auto"/>
          <w:right w:val="single" w:sz="4" w:space="4" w:color="auto"/>
        </w:pBdr>
        <w:rPr>
          <w:b/>
        </w:rPr>
      </w:pPr>
      <w:r w:rsidRPr="00330234">
        <w:rPr>
          <w:b/>
          <w:spacing w:val="-2"/>
        </w:rPr>
        <w:t>BUITENVERPAKKING</w:t>
      </w:r>
    </w:p>
    <w:p w14:paraId="0707D98A" w14:textId="2D3F050C" w:rsidR="00436DAA" w:rsidRPr="00330234" w:rsidRDefault="00436DAA" w:rsidP="009B0E27">
      <w:pPr>
        <w:pStyle w:val="a3"/>
        <w:widowControl/>
        <w:ind w:left="0"/>
      </w:pPr>
    </w:p>
    <w:p w14:paraId="4D37653B" w14:textId="77777777" w:rsidR="0018660B" w:rsidRPr="00330234" w:rsidRDefault="0018660B" w:rsidP="009B0E27">
      <w:pPr>
        <w:pStyle w:val="a3"/>
        <w:widowControl/>
        <w:ind w:left="0"/>
      </w:pPr>
    </w:p>
    <w:p w14:paraId="73E8ED6D"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w:t>
      </w:r>
      <w:r w:rsidRPr="00330234">
        <w:rPr>
          <w:b/>
        </w:rPr>
        <w:tab/>
        <w:t>NAAM</w:t>
      </w:r>
      <w:r w:rsidRPr="00330234">
        <w:rPr>
          <w:b/>
          <w:spacing w:val="-4"/>
        </w:rPr>
        <w:t xml:space="preserve"> </w:t>
      </w:r>
      <w:r w:rsidRPr="00330234">
        <w:rPr>
          <w:b/>
        </w:rPr>
        <w:t>VAN</w:t>
      </w:r>
      <w:r w:rsidRPr="00330234">
        <w:rPr>
          <w:b/>
          <w:spacing w:val="-4"/>
        </w:rPr>
        <w:t xml:space="preserve"> </w:t>
      </w:r>
      <w:r w:rsidRPr="00330234">
        <w:rPr>
          <w:b/>
        </w:rPr>
        <w:t>HET</w:t>
      </w:r>
      <w:r w:rsidRPr="00330234">
        <w:rPr>
          <w:b/>
          <w:spacing w:val="-4"/>
        </w:rPr>
        <w:t xml:space="preserve"> </w:t>
      </w:r>
      <w:r w:rsidRPr="00330234">
        <w:rPr>
          <w:b/>
          <w:spacing w:val="-2"/>
        </w:rPr>
        <w:t>GENEESMIDDEL</w:t>
      </w:r>
    </w:p>
    <w:p w14:paraId="1A32CCE5" w14:textId="77777777" w:rsidR="00580327" w:rsidRPr="00330234" w:rsidRDefault="00580327" w:rsidP="009B0E27">
      <w:pPr>
        <w:pStyle w:val="a3"/>
        <w:widowControl/>
        <w:ind w:left="0"/>
      </w:pPr>
    </w:p>
    <w:p w14:paraId="11725B6D" w14:textId="6A3F6EA0" w:rsidR="0018660B" w:rsidRPr="00330234" w:rsidRDefault="007A197C" w:rsidP="009B0E27">
      <w:pPr>
        <w:pStyle w:val="a3"/>
        <w:widowControl/>
        <w:ind w:left="0"/>
      </w:pPr>
      <w:r w:rsidRPr="00330234">
        <w:t>Avtozma</w:t>
      </w:r>
      <w:r w:rsidR="009B4B8E" w:rsidRPr="00330234">
        <w:t xml:space="preserve"> 20 mg/ml concentraat voor oplossing voor infusie</w:t>
      </w:r>
    </w:p>
    <w:p w14:paraId="5331339C" w14:textId="1BEA9567" w:rsidR="00436DAA" w:rsidRPr="00330234" w:rsidRDefault="009B4B8E" w:rsidP="009B0E27">
      <w:pPr>
        <w:pStyle w:val="a3"/>
        <w:widowControl/>
        <w:ind w:left="0"/>
      </w:pPr>
      <w:r w:rsidRPr="00330234">
        <w:t>tocilizumab</w:t>
      </w:r>
    </w:p>
    <w:p w14:paraId="2195D585" w14:textId="77777777" w:rsidR="00436DAA" w:rsidRPr="00330234" w:rsidRDefault="00436DAA" w:rsidP="009B0E27">
      <w:pPr>
        <w:pStyle w:val="a3"/>
        <w:widowControl/>
        <w:ind w:left="0"/>
      </w:pPr>
    </w:p>
    <w:p w14:paraId="0DE02B7D" w14:textId="77777777" w:rsidR="0018660B" w:rsidRPr="00330234" w:rsidRDefault="0018660B" w:rsidP="009B0E27">
      <w:pPr>
        <w:pStyle w:val="a3"/>
        <w:widowControl/>
        <w:ind w:left="0"/>
      </w:pPr>
    </w:p>
    <w:p w14:paraId="55561D1A"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2.</w:t>
      </w:r>
      <w:r w:rsidRPr="00330234">
        <w:rPr>
          <w:b/>
        </w:rPr>
        <w:tab/>
        <w:t>GEHALTE</w:t>
      </w:r>
      <w:r w:rsidRPr="00330234">
        <w:rPr>
          <w:b/>
          <w:spacing w:val="-7"/>
        </w:rPr>
        <w:t xml:space="preserve"> </w:t>
      </w:r>
      <w:r w:rsidRPr="00330234">
        <w:rPr>
          <w:b/>
        </w:rPr>
        <w:t>AAN</w:t>
      </w:r>
      <w:r w:rsidRPr="00330234">
        <w:rPr>
          <w:b/>
          <w:spacing w:val="-7"/>
        </w:rPr>
        <w:t xml:space="preserve"> </w:t>
      </w:r>
      <w:r w:rsidRPr="00330234">
        <w:rPr>
          <w:b/>
        </w:rPr>
        <w:t>WERKZAME</w:t>
      </w:r>
      <w:r w:rsidRPr="00330234">
        <w:rPr>
          <w:b/>
          <w:spacing w:val="-7"/>
        </w:rPr>
        <w:t xml:space="preserve"> </w:t>
      </w:r>
      <w:r w:rsidRPr="00330234">
        <w:rPr>
          <w:b/>
          <w:spacing w:val="-2"/>
        </w:rPr>
        <w:t>STOF(FEN)</w:t>
      </w:r>
    </w:p>
    <w:p w14:paraId="0C2D0DBC" w14:textId="65B16A02" w:rsidR="00436DAA" w:rsidRPr="00330234" w:rsidRDefault="00436DAA" w:rsidP="009B0E27">
      <w:pPr>
        <w:pStyle w:val="a3"/>
        <w:widowControl/>
        <w:ind w:left="0"/>
      </w:pPr>
    </w:p>
    <w:p w14:paraId="3774A48A" w14:textId="77777777" w:rsidR="00436DAA" w:rsidRPr="00330234" w:rsidRDefault="009B4B8E" w:rsidP="009B0E27">
      <w:pPr>
        <w:pStyle w:val="a3"/>
        <w:widowControl/>
        <w:ind w:left="0"/>
      </w:pPr>
      <w:r w:rsidRPr="00330234">
        <w:t>1 injectieflacon bevat 200 mg tocilizumab.</w:t>
      </w:r>
    </w:p>
    <w:p w14:paraId="10D9014D" w14:textId="77777777" w:rsidR="00436DAA" w:rsidRPr="00330234" w:rsidRDefault="00436DAA" w:rsidP="009B0E27">
      <w:pPr>
        <w:pStyle w:val="a3"/>
        <w:widowControl/>
        <w:ind w:left="0"/>
      </w:pPr>
    </w:p>
    <w:p w14:paraId="47E4CE58" w14:textId="77777777" w:rsidR="0018660B" w:rsidRPr="00330234" w:rsidRDefault="0018660B" w:rsidP="009B0E27">
      <w:pPr>
        <w:pStyle w:val="a3"/>
        <w:widowControl/>
        <w:ind w:left="0"/>
      </w:pPr>
    </w:p>
    <w:p w14:paraId="6DDC14E9"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3.</w:t>
      </w:r>
      <w:r w:rsidRPr="00330234">
        <w:rPr>
          <w:b/>
        </w:rPr>
        <w:tab/>
        <w:t>LIJST</w:t>
      </w:r>
      <w:r w:rsidRPr="00330234">
        <w:rPr>
          <w:b/>
          <w:spacing w:val="-4"/>
        </w:rPr>
        <w:t xml:space="preserve"> </w:t>
      </w:r>
      <w:r w:rsidRPr="00330234">
        <w:rPr>
          <w:b/>
        </w:rPr>
        <w:t>VAN</w:t>
      </w:r>
      <w:r w:rsidRPr="00330234">
        <w:rPr>
          <w:b/>
          <w:spacing w:val="-4"/>
        </w:rPr>
        <w:t xml:space="preserve"> </w:t>
      </w:r>
      <w:r w:rsidRPr="00330234">
        <w:rPr>
          <w:b/>
          <w:spacing w:val="-2"/>
        </w:rPr>
        <w:t>HULPSTOFFEN</w:t>
      </w:r>
    </w:p>
    <w:p w14:paraId="70139F2B" w14:textId="623CC7F5" w:rsidR="00436DAA" w:rsidRPr="00330234" w:rsidRDefault="00436DAA" w:rsidP="009B0E27">
      <w:pPr>
        <w:pStyle w:val="a3"/>
        <w:widowControl/>
        <w:ind w:left="0"/>
      </w:pPr>
    </w:p>
    <w:p w14:paraId="3675D821" w14:textId="480CF855" w:rsidR="00F21655" w:rsidRPr="00330234" w:rsidRDefault="00F21655" w:rsidP="00F21655">
      <w:pPr>
        <w:pStyle w:val="a3"/>
        <w:widowControl/>
        <w:ind w:left="0"/>
      </w:pPr>
      <w:r w:rsidRPr="00330234">
        <w:t>Hulpstoffen: L-histidine</w:t>
      </w:r>
      <w:r w:rsidR="0065408F" w:rsidRPr="0065408F">
        <w:rPr>
          <w:rFonts w:hint="eastAsia"/>
          <w:sz w:val="20"/>
          <w:szCs w:val="20"/>
        </w:rPr>
        <w:t xml:space="preserve"> </w:t>
      </w:r>
      <w:r w:rsidR="0065408F" w:rsidRPr="0065408F">
        <w:rPr>
          <w:rFonts w:hint="eastAsia"/>
        </w:rPr>
        <w:t>L-histidine monohydrochloride monohydraat</w:t>
      </w:r>
      <w:r w:rsidR="00545170" w:rsidRPr="00545170">
        <w:t xml:space="preserve">, </w:t>
      </w:r>
      <w:r w:rsidRPr="00330234">
        <w:t>L-threonine, L-methionine, polysorbaat 80 en water voor injecties.</w:t>
      </w:r>
    </w:p>
    <w:p w14:paraId="3BCE174D" w14:textId="1E83D1D5" w:rsidR="00436DAA" w:rsidRPr="00330234" w:rsidRDefault="009B4B8E" w:rsidP="009B0E27">
      <w:pPr>
        <w:pStyle w:val="a3"/>
        <w:widowControl/>
        <w:ind w:left="0"/>
      </w:pPr>
      <w:r w:rsidRPr="00330234">
        <w:t>Zie bijsluiter voor meer informatie.</w:t>
      </w:r>
    </w:p>
    <w:p w14:paraId="6C60C75A" w14:textId="77777777" w:rsidR="00436DAA" w:rsidRPr="00330234" w:rsidRDefault="00436DAA" w:rsidP="009B0E27">
      <w:pPr>
        <w:pStyle w:val="a3"/>
        <w:widowControl/>
        <w:ind w:left="0"/>
      </w:pPr>
    </w:p>
    <w:p w14:paraId="26BBFA71" w14:textId="77777777" w:rsidR="006542D9" w:rsidRPr="00330234" w:rsidRDefault="006542D9" w:rsidP="009B0E27">
      <w:pPr>
        <w:pStyle w:val="a3"/>
        <w:widowControl/>
        <w:ind w:left="0"/>
      </w:pPr>
    </w:p>
    <w:p w14:paraId="387FCD89"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4.</w:t>
      </w:r>
      <w:r w:rsidRPr="00330234">
        <w:rPr>
          <w:b/>
        </w:rPr>
        <w:tab/>
        <w:t>FARMACEUTISCHE</w:t>
      </w:r>
      <w:r w:rsidRPr="00330234">
        <w:rPr>
          <w:b/>
          <w:spacing w:val="-8"/>
        </w:rPr>
        <w:t xml:space="preserve"> </w:t>
      </w:r>
      <w:r w:rsidRPr="00330234">
        <w:rPr>
          <w:b/>
        </w:rPr>
        <w:t>VORM</w:t>
      </w:r>
      <w:r w:rsidRPr="00330234">
        <w:rPr>
          <w:b/>
          <w:spacing w:val="-6"/>
        </w:rPr>
        <w:t xml:space="preserve"> </w:t>
      </w:r>
      <w:r w:rsidRPr="00330234">
        <w:rPr>
          <w:b/>
        </w:rPr>
        <w:t>EN</w:t>
      </w:r>
      <w:r w:rsidRPr="00330234">
        <w:rPr>
          <w:b/>
          <w:spacing w:val="-7"/>
        </w:rPr>
        <w:t xml:space="preserve"> </w:t>
      </w:r>
      <w:r w:rsidRPr="00330234">
        <w:rPr>
          <w:b/>
          <w:spacing w:val="-2"/>
        </w:rPr>
        <w:t>INHOUD</w:t>
      </w:r>
    </w:p>
    <w:p w14:paraId="57CCB47D" w14:textId="50CFFE29" w:rsidR="00436DAA" w:rsidRPr="00330234" w:rsidRDefault="00436DAA" w:rsidP="009B0E27">
      <w:pPr>
        <w:pStyle w:val="a3"/>
        <w:widowControl/>
        <w:ind w:left="0"/>
      </w:pPr>
    </w:p>
    <w:p w14:paraId="429E5B6A" w14:textId="77777777" w:rsidR="0018660B" w:rsidRPr="00330234" w:rsidRDefault="009B4B8E" w:rsidP="009B0E27">
      <w:pPr>
        <w:pStyle w:val="a3"/>
        <w:widowControl/>
        <w:ind w:left="0"/>
      </w:pPr>
      <w:r w:rsidRPr="00330234">
        <w:t>Concentraat voor oplossing voor infusie</w:t>
      </w:r>
    </w:p>
    <w:p w14:paraId="633515B8" w14:textId="4215ACD3" w:rsidR="00436DAA" w:rsidRPr="00330234" w:rsidRDefault="009B4B8E" w:rsidP="009B0E27">
      <w:pPr>
        <w:pStyle w:val="a3"/>
        <w:widowControl/>
        <w:ind w:left="0"/>
      </w:pPr>
      <w:r w:rsidRPr="00330234">
        <w:t>200 mg/10 ml</w:t>
      </w:r>
    </w:p>
    <w:p w14:paraId="068F2CC8" w14:textId="77777777" w:rsidR="00436DAA" w:rsidRPr="00330234" w:rsidRDefault="009B4B8E" w:rsidP="009B0E27">
      <w:pPr>
        <w:pStyle w:val="a3"/>
        <w:widowControl/>
        <w:ind w:left="0"/>
      </w:pPr>
      <w:r w:rsidRPr="00330234">
        <w:t>1 injectieflacon van 10 ml</w:t>
      </w:r>
    </w:p>
    <w:p w14:paraId="3DB5AE94" w14:textId="77777777" w:rsidR="00436DAA" w:rsidRPr="00330234" w:rsidRDefault="009B4B8E" w:rsidP="009B0E27">
      <w:pPr>
        <w:pStyle w:val="a3"/>
        <w:widowControl/>
        <w:ind w:left="0"/>
      </w:pPr>
      <w:r w:rsidRPr="00330234">
        <w:t>4 injectieflacons van 10 ml</w:t>
      </w:r>
    </w:p>
    <w:p w14:paraId="7DF726E6" w14:textId="77777777" w:rsidR="00436DAA" w:rsidRPr="00330234" w:rsidRDefault="00436DAA" w:rsidP="009B0E27">
      <w:pPr>
        <w:pStyle w:val="a3"/>
        <w:widowControl/>
        <w:ind w:left="0"/>
      </w:pPr>
    </w:p>
    <w:p w14:paraId="6059E963" w14:textId="77777777" w:rsidR="0018660B" w:rsidRPr="00330234" w:rsidRDefault="0018660B" w:rsidP="009B0E27">
      <w:pPr>
        <w:pStyle w:val="a3"/>
        <w:widowControl/>
        <w:ind w:left="0"/>
      </w:pPr>
    </w:p>
    <w:p w14:paraId="36FBE212"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5.</w:t>
      </w:r>
      <w:r w:rsidRPr="00330234">
        <w:rPr>
          <w:b/>
        </w:rPr>
        <w:tab/>
        <w:t>WIJZE</w:t>
      </w:r>
      <w:r w:rsidRPr="00330234">
        <w:rPr>
          <w:b/>
          <w:spacing w:val="-5"/>
        </w:rPr>
        <w:t xml:space="preserve"> </w:t>
      </w:r>
      <w:r w:rsidRPr="00330234">
        <w:rPr>
          <w:b/>
        </w:rPr>
        <w:t>VAN</w:t>
      </w:r>
      <w:r w:rsidRPr="00330234">
        <w:rPr>
          <w:b/>
          <w:spacing w:val="-5"/>
        </w:rPr>
        <w:t xml:space="preserve"> </w:t>
      </w:r>
      <w:r w:rsidRPr="00330234">
        <w:rPr>
          <w:b/>
        </w:rPr>
        <w:t>GEBRUIK</w:t>
      </w:r>
      <w:r w:rsidRPr="00330234">
        <w:rPr>
          <w:b/>
          <w:spacing w:val="-3"/>
        </w:rPr>
        <w:t xml:space="preserve"> </w:t>
      </w:r>
      <w:r w:rsidRPr="00330234">
        <w:rPr>
          <w:b/>
        </w:rPr>
        <w:t>EN</w:t>
      </w:r>
      <w:r w:rsidRPr="00330234">
        <w:rPr>
          <w:b/>
          <w:spacing w:val="-4"/>
        </w:rPr>
        <w:t xml:space="preserve"> </w:t>
      </w:r>
      <w:r w:rsidRPr="00330234">
        <w:rPr>
          <w:b/>
          <w:spacing w:val="-2"/>
        </w:rPr>
        <w:t>TOEDIENINGSWEG(EN)</w:t>
      </w:r>
    </w:p>
    <w:p w14:paraId="0D9C3C2B" w14:textId="565643E9" w:rsidR="00436DAA" w:rsidRPr="00330234" w:rsidRDefault="00436DAA" w:rsidP="009B0E27">
      <w:pPr>
        <w:pStyle w:val="a3"/>
        <w:widowControl/>
        <w:ind w:left="0"/>
      </w:pPr>
    </w:p>
    <w:p w14:paraId="17937A10" w14:textId="77777777" w:rsidR="00436DAA" w:rsidRPr="00330234" w:rsidRDefault="009B4B8E" w:rsidP="009B0E27">
      <w:pPr>
        <w:pStyle w:val="a3"/>
        <w:widowControl/>
        <w:ind w:left="0"/>
      </w:pPr>
      <w:r w:rsidRPr="00330234">
        <w:t>Voor intraveneuze infusie na verdunning</w:t>
      </w:r>
    </w:p>
    <w:p w14:paraId="71C88311" w14:textId="77777777" w:rsidR="0018660B" w:rsidRPr="00330234" w:rsidRDefault="009B4B8E" w:rsidP="009B0E27">
      <w:pPr>
        <w:pStyle w:val="a3"/>
        <w:widowControl/>
        <w:ind w:left="0"/>
      </w:pPr>
      <w:r w:rsidRPr="00330234">
        <w:t>Het verdunde product dient onmiddellijk te worden gebruikt</w:t>
      </w:r>
    </w:p>
    <w:p w14:paraId="0FBE7854" w14:textId="5271C612" w:rsidR="00436DAA" w:rsidRPr="00330234" w:rsidRDefault="009B4B8E" w:rsidP="009B0E27">
      <w:pPr>
        <w:pStyle w:val="a3"/>
        <w:widowControl/>
        <w:ind w:left="0"/>
      </w:pPr>
      <w:r w:rsidRPr="00330234">
        <w:t>Lees voor het gebruik de bijsluiter</w:t>
      </w:r>
    </w:p>
    <w:p w14:paraId="191AF10E" w14:textId="77777777" w:rsidR="00436DAA" w:rsidRPr="00330234" w:rsidRDefault="00436DAA" w:rsidP="009B0E27">
      <w:pPr>
        <w:pStyle w:val="a3"/>
        <w:widowControl/>
        <w:ind w:left="0"/>
      </w:pPr>
    </w:p>
    <w:p w14:paraId="5580E0CC" w14:textId="77777777" w:rsidR="0018660B" w:rsidRPr="00330234" w:rsidRDefault="0018660B" w:rsidP="009B0E27">
      <w:pPr>
        <w:pStyle w:val="a3"/>
        <w:widowControl/>
        <w:ind w:left="0"/>
      </w:pPr>
    </w:p>
    <w:p w14:paraId="64BDD6A5" w14:textId="724FBC51"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rPr>
        <w:t>6.</w:t>
      </w:r>
      <w:r w:rsidRPr="00330234">
        <w:rPr>
          <w:b/>
        </w:rPr>
        <w:tab/>
        <w:t>EEN</w:t>
      </w:r>
      <w:r w:rsidRPr="00330234">
        <w:rPr>
          <w:b/>
          <w:spacing w:val="-5"/>
        </w:rPr>
        <w:t xml:space="preserve"> </w:t>
      </w:r>
      <w:r w:rsidRPr="00330234">
        <w:rPr>
          <w:b/>
        </w:rPr>
        <w:t>SPECIALE</w:t>
      </w:r>
      <w:r w:rsidRPr="00330234">
        <w:rPr>
          <w:b/>
          <w:spacing w:val="-5"/>
        </w:rPr>
        <w:t xml:space="preserve"> </w:t>
      </w:r>
      <w:r w:rsidRPr="00330234">
        <w:rPr>
          <w:b/>
        </w:rPr>
        <w:t>WAARSCHUWING</w:t>
      </w:r>
      <w:r w:rsidRPr="00330234">
        <w:rPr>
          <w:b/>
          <w:spacing w:val="-6"/>
        </w:rPr>
        <w:t xml:space="preserve"> </w:t>
      </w:r>
      <w:r w:rsidRPr="00330234">
        <w:rPr>
          <w:b/>
        </w:rPr>
        <w:t>DAT</w:t>
      </w:r>
      <w:r w:rsidRPr="00330234">
        <w:rPr>
          <w:b/>
          <w:spacing w:val="-5"/>
        </w:rPr>
        <w:t xml:space="preserve"> </w:t>
      </w:r>
      <w:r w:rsidRPr="00330234">
        <w:rPr>
          <w:b/>
        </w:rPr>
        <w:t>HET</w:t>
      </w:r>
      <w:r w:rsidRPr="00330234">
        <w:rPr>
          <w:b/>
          <w:spacing w:val="-8"/>
        </w:rPr>
        <w:t xml:space="preserve"> </w:t>
      </w:r>
      <w:r w:rsidRPr="00330234">
        <w:rPr>
          <w:b/>
        </w:rPr>
        <w:t>GENEESMIDDEL</w:t>
      </w:r>
      <w:r w:rsidRPr="00330234">
        <w:rPr>
          <w:b/>
          <w:spacing w:val="-5"/>
        </w:rPr>
        <w:t xml:space="preserve"> </w:t>
      </w:r>
      <w:r w:rsidRPr="00330234">
        <w:rPr>
          <w:b/>
        </w:rPr>
        <w:t>BUITEN</w:t>
      </w:r>
      <w:r w:rsidRPr="00330234">
        <w:rPr>
          <w:b/>
          <w:spacing w:val="-5"/>
        </w:rPr>
        <w:t xml:space="preserve"> </w:t>
      </w:r>
      <w:r w:rsidRPr="00330234">
        <w:rPr>
          <w:b/>
        </w:rPr>
        <w:t>HET ZICHT EN BEREIK VAN KINDEREN DIENT TE WORDEN GEHOUDEN</w:t>
      </w:r>
    </w:p>
    <w:p w14:paraId="399E64F4" w14:textId="3C6D4FFC" w:rsidR="00436DAA" w:rsidRPr="00330234" w:rsidRDefault="00436DAA" w:rsidP="009B0E27">
      <w:pPr>
        <w:pStyle w:val="a3"/>
        <w:widowControl/>
        <w:ind w:left="0"/>
      </w:pPr>
    </w:p>
    <w:p w14:paraId="0C93A755" w14:textId="77777777" w:rsidR="00436DAA" w:rsidRPr="00330234" w:rsidRDefault="009B4B8E" w:rsidP="009B0E27">
      <w:pPr>
        <w:pStyle w:val="a3"/>
        <w:widowControl/>
        <w:ind w:left="0"/>
      </w:pPr>
      <w:r w:rsidRPr="00330234">
        <w:t>Buiten het zicht en bereik van kinderen houden</w:t>
      </w:r>
    </w:p>
    <w:p w14:paraId="17870E52" w14:textId="77777777" w:rsidR="00436DAA" w:rsidRPr="00330234" w:rsidRDefault="00436DAA" w:rsidP="009B0E27">
      <w:pPr>
        <w:pStyle w:val="a3"/>
        <w:widowControl/>
        <w:ind w:left="0"/>
      </w:pPr>
    </w:p>
    <w:p w14:paraId="59DD3B80" w14:textId="77777777" w:rsidR="0018660B" w:rsidRPr="00330234" w:rsidRDefault="0018660B" w:rsidP="009B0E27">
      <w:pPr>
        <w:pStyle w:val="a3"/>
        <w:widowControl/>
        <w:ind w:left="0"/>
      </w:pPr>
    </w:p>
    <w:p w14:paraId="56F8C1A8"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7.</w:t>
      </w:r>
      <w:r w:rsidRPr="00330234">
        <w:rPr>
          <w:b/>
        </w:rPr>
        <w:tab/>
        <w:t>ANDERE</w:t>
      </w:r>
      <w:r w:rsidRPr="00330234">
        <w:rPr>
          <w:b/>
          <w:spacing w:val="-13"/>
        </w:rPr>
        <w:t xml:space="preserve"> </w:t>
      </w:r>
      <w:r w:rsidRPr="00330234">
        <w:rPr>
          <w:b/>
        </w:rPr>
        <w:t>SPECIALE</w:t>
      </w:r>
      <w:r w:rsidRPr="00330234">
        <w:rPr>
          <w:b/>
          <w:spacing w:val="-11"/>
        </w:rPr>
        <w:t xml:space="preserve"> </w:t>
      </w:r>
      <w:r w:rsidRPr="00330234">
        <w:rPr>
          <w:b/>
        </w:rPr>
        <w:t>WAARSCHUWING(EN),</w:t>
      </w:r>
      <w:r w:rsidRPr="00330234">
        <w:rPr>
          <w:b/>
          <w:spacing w:val="-10"/>
        </w:rPr>
        <w:t xml:space="preserve"> </w:t>
      </w:r>
      <w:r w:rsidRPr="00330234">
        <w:rPr>
          <w:b/>
        </w:rPr>
        <w:t>INDIEN</w:t>
      </w:r>
      <w:r w:rsidRPr="00330234">
        <w:rPr>
          <w:b/>
          <w:spacing w:val="-10"/>
        </w:rPr>
        <w:t xml:space="preserve"> </w:t>
      </w:r>
      <w:r w:rsidRPr="00330234">
        <w:rPr>
          <w:b/>
          <w:spacing w:val="-2"/>
        </w:rPr>
        <w:t>NODIG</w:t>
      </w:r>
    </w:p>
    <w:p w14:paraId="333D1A3C" w14:textId="46781364" w:rsidR="00436DAA" w:rsidRPr="00330234" w:rsidRDefault="00436DAA" w:rsidP="009B0E27">
      <w:pPr>
        <w:pStyle w:val="a3"/>
        <w:widowControl/>
        <w:ind w:left="0"/>
      </w:pPr>
    </w:p>
    <w:p w14:paraId="4A243D59" w14:textId="77777777" w:rsidR="00436DAA" w:rsidRPr="00330234" w:rsidRDefault="00436DAA" w:rsidP="009B0E27">
      <w:pPr>
        <w:pStyle w:val="a3"/>
        <w:widowControl/>
        <w:ind w:left="0"/>
      </w:pPr>
    </w:p>
    <w:p w14:paraId="7116B771" w14:textId="77777777" w:rsidR="00580327" w:rsidRPr="00330234" w:rsidRDefault="00580327" w:rsidP="00F4240D">
      <w:pPr>
        <w:pBdr>
          <w:top w:val="single" w:sz="4" w:space="1" w:color="auto"/>
          <w:left w:val="single" w:sz="4" w:space="4" w:color="auto"/>
          <w:bottom w:val="single" w:sz="4" w:space="1" w:color="auto"/>
          <w:right w:val="single" w:sz="4" w:space="4" w:color="auto"/>
        </w:pBdr>
        <w:tabs>
          <w:tab w:val="left" w:pos="674"/>
        </w:tabs>
        <w:ind w:left="567" w:hanging="567"/>
        <w:rPr>
          <w:b/>
        </w:rPr>
      </w:pPr>
      <w:r w:rsidRPr="00330234">
        <w:rPr>
          <w:b/>
          <w:spacing w:val="-5"/>
        </w:rPr>
        <w:t>8.</w:t>
      </w:r>
      <w:r w:rsidRPr="00330234">
        <w:rPr>
          <w:b/>
        </w:rPr>
        <w:tab/>
        <w:t>UITERSTE</w:t>
      </w:r>
      <w:r w:rsidRPr="00330234">
        <w:rPr>
          <w:b/>
          <w:spacing w:val="-9"/>
        </w:rPr>
        <w:t xml:space="preserve"> </w:t>
      </w:r>
      <w:r w:rsidRPr="00330234">
        <w:rPr>
          <w:b/>
          <w:spacing w:val="-2"/>
        </w:rPr>
        <w:t>GEBRUIKSDATUM</w:t>
      </w:r>
    </w:p>
    <w:p w14:paraId="6B525918" w14:textId="078CC3B1" w:rsidR="00436DAA" w:rsidRPr="00330234" w:rsidRDefault="00436DAA" w:rsidP="009B0E27">
      <w:pPr>
        <w:pStyle w:val="a3"/>
        <w:widowControl/>
        <w:ind w:left="0"/>
      </w:pPr>
    </w:p>
    <w:p w14:paraId="5130DEC9" w14:textId="77777777" w:rsidR="00436DAA" w:rsidRPr="00330234" w:rsidRDefault="009B4B8E" w:rsidP="009B0E27">
      <w:pPr>
        <w:pStyle w:val="a3"/>
        <w:widowControl/>
        <w:ind w:left="0"/>
      </w:pPr>
      <w:r w:rsidRPr="00330234">
        <w:t>EXP</w:t>
      </w:r>
    </w:p>
    <w:p w14:paraId="0ED6AF59" w14:textId="77777777" w:rsidR="00436DAA" w:rsidRPr="00330234" w:rsidRDefault="00436DAA" w:rsidP="009B0E27">
      <w:pPr>
        <w:widowControl/>
      </w:pPr>
    </w:p>
    <w:p w14:paraId="204BA97A" w14:textId="77777777" w:rsidR="0018660B" w:rsidRPr="00330234" w:rsidRDefault="0018660B" w:rsidP="009B0E27">
      <w:pPr>
        <w:widowControl/>
      </w:pPr>
    </w:p>
    <w:p w14:paraId="6068C218" w14:textId="77777777" w:rsidR="00580327" w:rsidRPr="00330234" w:rsidRDefault="00580327" w:rsidP="0018660B">
      <w:pPr>
        <w:keepNext/>
        <w:keepLines/>
        <w:pBdr>
          <w:top w:val="single" w:sz="4" w:space="1" w:color="auto"/>
          <w:left w:val="single" w:sz="4" w:space="4" w:color="auto"/>
          <w:bottom w:val="single" w:sz="4" w:space="1" w:color="auto"/>
          <w:right w:val="single" w:sz="4" w:space="4" w:color="auto"/>
        </w:pBdr>
        <w:ind w:left="567" w:hanging="567"/>
        <w:rPr>
          <w:b/>
        </w:rPr>
      </w:pPr>
      <w:r w:rsidRPr="00330234">
        <w:rPr>
          <w:b/>
          <w:spacing w:val="-5"/>
        </w:rPr>
        <w:lastRenderedPageBreak/>
        <w:t>9.</w:t>
      </w:r>
      <w:r w:rsidRPr="00330234">
        <w:rPr>
          <w:b/>
        </w:rPr>
        <w:tab/>
        <w:t>BIJZONDERE</w:t>
      </w:r>
      <w:r w:rsidRPr="00330234">
        <w:rPr>
          <w:b/>
          <w:spacing w:val="-12"/>
        </w:rPr>
        <w:t xml:space="preserve"> </w:t>
      </w:r>
      <w:r w:rsidRPr="00330234">
        <w:rPr>
          <w:b/>
        </w:rPr>
        <w:t>VOORZORGSMAATREGELEN</w:t>
      </w:r>
      <w:r w:rsidRPr="00330234">
        <w:rPr>
          <w:b/>
          <w:spacing w:val="-8"/>
        </w:rPr>
        <w:t xml:space="preserve"> </w:t>
      </w:r>
      <w:r w:rsidRPr="00330234">
        <w:rPr>
          <w:b/>
        </w:rPr>
        <w:t>VOOR</w:t>
      </w:r>
      <w:r w:rsidRPr="00330234">
        <w:rPr>
          <w:b/>
          <w:spacing w:val="-9"/>
        </w:rPr>
        <w:t xml:space="preserve"> </w:t>
      </w:r>
      <w:r w:rsidRPr="00330234">
        <w:rPr>
          <w:b/>
        </w:rPr>
        <w:t>DE</w:t>
      </w:r>
      <w:r w:rsidRPr="00330234">
        <w:rPr>
          <w:b/>
          <w:spacing w:val="-12"/>
        </w:rPr>
        <w:t xml:space="preserve"> </w:t>
      </w:r>
      <w:r w:rsidRPr="00330234">
        <w:rPr>
          <w:b/>
          <w:spacing w:val="-2"/>
        </w:rPr>
        <w:t>BEWARING</w:t>
      </w:r>
    </w:p>
    <w:p w14:paraId="5C9522E6" w14:textId="77777777" w:rsidR="00580327" w:rsidRPr="00330234" w:rsidRDefault="00580327" w:rsidP="0018660B">
      <w:pPr>
        <w:keepNext/>
        <w:keepLines/>
        <w:widowControl/>
      </w:pPr>
    </w:p>
    <w:p w14:paraId="5A8D0741" w14:textId="77777777" w:rsidR="0018660B" w:rsidRPr="00330234" w:rsidRDefault="009B4B8E" w:rsidP="0018660B">
      <w:pPr>
        <w:pStyle w:val="a3"/>
        <w:keepNext/>
        <w:keepLines/>
        <w:widowControl/>
        <w:ind w:left="0"/>
      </w:pPr>
      <w:r w:rsidRPr="00330234">
        <w:t>Bewaren in de koelkast</w:t>
      </w:r>
    </w:p>
    <w:p w14:paraId="23956225" w14:textId="5EE38C5F" w:rsidR="00436DAA" w:rsidRPr="00330234" w:rsidRDefault="009B4B8E" w:rsidP="0018660B">
      <w:pPr>
        <w:pStyle w:val="a3"/>
        <w:keepNext/>
        <w:keepLines/>
        <w:widowControl/>
        <w:ind w:left="0"/>
      </w:pPr>
      <w:r w:rsidRPr="00330234">
        <w:t>Niet invriezen</w:t>
      </w:r>
    </w:p>
    <w:p w14:paraId="34E2E009" w14:textId="77777777" w:rsidR="00436DAA" w:rsidRPr="00330234" w:rsidRDefault="009B4B8E" w:rsidP="0018660B">
      <w:pPr>
        <w:pStyle w:val="a3"/>
        <w:keepNext/>
        <w:keepLines/>
        <w:widowControl/>
        <w:ind w:left="0"/>
      </w:pPr>
      <w:r w:rsidRPr="00330234">
        <w:t>Houd de injectieflacon in de buitenverpakking, ter bescherming tegen licht</w:t>
      </w:r>
    </w:p>
    <w:p w14:paraId="7EB994C1" w14:textId="77777777" w:rsidR="00436DAA" w:rsidRPr="00330234" w:rsidRDefault="00436DAA" w:rsidP="0018660B">
      <w:pPr>
        <w:pStyle w:val="a3"/>
        <w:keepNext/>
        <w:keepLines/>
        <w:widowControl/>
        <w:ind w:left="0"/>
      </w:pPr>
    </w:p>
    <w:p w14:paraId="3F4EAF09" w14:textId="77777777" w:rsidR="0018660B" w:rsidRPr="00330234" w:rsidRDefault="0018660B" w:rsidP="009B0E27">
      <w:pPr>
        <w:pStyle w:val="a3"/>
        <w:widowControl/>
        <w:ind w:left="0"/>
      </w:pPr>
    </w:p>
    <w:p w14:paraId="6DE03CE7"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10.</w:t>
      </w:r>
      <w:r w:rsidRPr="00330234">
        <w:rPr>
          <w:b/>
        </w:rPr>
        <w:tab/>
        <w:t>BIJZONDERE</w:t>
      </w:r>
      <w:r w:rsidRPr="00330234">
        <w:rPr>
          <w:b/>
          <w:spacing w:val="-8"/>
        </w:rPr>
        <w:t xml:space="preserve"> </w:t>
      </w:r>
      <w:r w:rsidRPr="00330234">
        <w:rPr>
          <w:b/>
        </w:rPr>
        <w:t>VOORZORGSMAATREGELEN</w:t>
      </w:r>
      <w:r w:rsidRPr="00330234">
        <w:rPr>
          <w:b/>
          <w:spacing w:val="-7"/>
        </w:rPr>
        <w:t xml:space="preserve"> </w:t>
      </w:r>
      <w:r w:rsidRPr="00330234">
        <w:rPr>
          <w:b/>
        </w:rPr>
        <w:t>VOOR</w:t>
      </w:r>
      <w:r w:rsidRPr="00330234">
        <w:rPr>
          <w:b/>
          <w:spacing w:val="-11"/>
        </w:rPr>
        <w:t xml:space="preserve"> </w:t>
      </w:r>
      <w:r w:rsidRPr="00330234">
        <w:rPr>
          <w:b/>
        </w:rPr>
        <w:t>HET</w:t>
      </w:r>
      <w:r w:rsidRPr="00330234">
        <w:rPr>
          <w:b/>
          <w:spacing w:val="-8"/>
        </w:rPr>
        <w:t xml:space="preserve"> </w:t>
      </w:r>
      <w:r w:rsidRPr="00330234">
        <w:rPr>
          <w:b/>
        </w:rPr>
        <w:t>VERWIJDEREN</w:t>
      </w:r>
      <w:r w:rsidRPr="00330234">
        <w:rPr>
          <w:b/>
          <w:spacing w:val="-8"/>
        </w:rPr>
        <w:t xml:space="preserve"> </w:t>
      </w:r>
      <w:r w:rsidRPr="00330234">
        <w:rPr>
          <w:b/>
        </w:rPr>
        <w:t>VAN NIET-GEBRUIKTE GENEESMIDDELEN OF DAARVAN AFGELEIDE AFVALSTOFFEN (INDIEN VAN TOEPASSING)</w:t>
      </w:r>
    </w:p>
    <w:p w14:paraId="308CA800" w14:textId="4E8D66D3" w:rsidR="00436DAA" w:rsidRPr="00330234" w:rsidRDefault="00436DAA" w:rsidP="009B0E27">
      <w:pPr>
        <w:pStyle w:val="a3"/>
        <w:widowControl/>
        <w:ind w:left="0"/>
      </w:pPr>
    </w:p>
    <w:p w14:paraId="1F15D375" w14:textId="77777777" w:rsidR="00436DAA" w:rsidRPr="00330234" w:rsidRDefault="00436DAA" w:rsidP="009B0E27">
      <w:pPr>
        <w:pStyle w:val="a3"/>
        <w:widowControl/>
        <w:ind w:left="0"/>
      </w:pPr>
    </w:p>
    <w:p w14:paraId="228E272D"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11.</w:t>
      </w:r>
      <w:r w:rsidRPr="00330234">
        <w:rPr>
          <w:b/>
        </w:rPr>
        <w:tab/>
        <w:t>NAAM</w:t>
      </w:r>
      <w:r w:rsidRPr="00330234">
        <w:rPr>
          <w:b/>
          <w:spacing w:val="-3"/>
        </w:rPr>
        <w:t xml:space="preserve"> </w:t>
      </w:r>
      <w:r w:rsidRPr="00330234">
        <w:rPr>
          <w:b/>
        </w:rPr>
        <w:t>EN</w:t>
      </w:r>
      <w:r w:rsidRPr="00330234">
        <w:rPr>
          <w:b/>
          <w:spacing w:val="-4"/>
        </w:rPr>
        <w:t xml:space="preserve"> </w:t>
      </w:r>
      <w:r w:rsidRPr="00330234">
        <w:rPr>
          <w:b/>
        </w:rPr>
        <w:t>ADRES</w:t>
      </w:r>
      <w:r w:rsidRPr="00330234">
        <w:rPr>
          <w:b/>
          <w:spacing w:val="-4"/>
        </w:rPr>
        <w:t xml:space="preserve"> </w:t>
      </w:r>
      <w:r w:rsidRPr="00330234">
        <w:rPr>
          <w:b/>
        </w:rPr>
        <w:t>VAN</w:t>
      </w:r>
      <w:r w:rsidRPr="00330234">
        <w:rPr>
          <w:b/>
          <w:spacing w:val="-2"/>
        </w:rPr>
        <w:t xml:space="preserve"> </w:t>
      </w:r>
      <w:r w:rsidRPr="00330234">
        <w:rPr>
          <w:b/>
        </w:rPr>
        <w:t>DE</w:t>
      </w:r>
      <w:r w:rsidRPr="00330234">
        <w:rPr>
          <w:b/>
          <w:spacing w:val="-4"/>
        </w:rPr>
        <w:t xml:space="preserve"> </w:t>
      </w:r>
      <w:r w:rsidRPr="00330234">
        <w:rPr>
          <w:b/>
        </w:rPr>
        <w:t>HOUDER</w:t>
      </w:r>
      <w:r w:rsidRPr="00330234">
        <w:rPr>
          <w:b/>
          <w:spacing w:val="-4"/>
        </w:rPr>
        <w:t xml:space="preserve"> </w:t>
      </w:r>
      <w:r w:rsidRPr="00330234">
        <w:rPr>
          <w:b/>
        </w:rPr>
        <w:t>VAN</w:t>
      </w:r>
      <w:r w:rsidRPr="00330234">
        <w:rPr>
          <w:b/>
          <w:spacing w:val="-4"/>
        </w:rPr>
        <w:t xml:space="preserve"> </w:t>
      </w:r>
      <w:r w:rsidRPr="00330234">
        <w:rPr>
          <w:b/>
        </w:rPr>
        <w:t>DE</w:t>
      </w:r>
      <w:r w:rsidRPr="00330234">
        <w:rPr>
          <w:b/>
          <w:spacing w:val="-4"/>
        </w:rPr>
        <w:t xml:space="preserve"> </w:t>
      </w:r>
      <w:r w:rsidRPr="00330234">
        <w:rPr>
          <w:b/>
        </w:rPr>
        <w:t>VERGUNNING</w:t>
      </w:r>
      <w:r w:rsidRPr="00330234">
        <w:rPr>
          <w:b/>
          <w:spacing w:val="-2"/>
        </w:rPr>
        <w:t xml:space="preserve"> </w:t>
      </w:r>
      <w:r w:rsidRPr="00330234">
        <w:rPr>
          <w:b/>
        </w:rPr>
        <w:t>VOOR</w:t>
      </w:r>
      <w:r w:rsidRPr="00330234">
        <w:rPr>
          <w:b/>
          <w:spacing w:val="-4"/>
        </w:rPr>
        <w:t xml:space="preserve"> </w:t>
      </w:r>
      <w:r w:rsidRPr="00330234">
        <w:rPr>
          <w:b/>
        </w:rPr>
        <w:t>HET</w:t>
      </w:r>
      <w:r w:rsidRPr="00330234">
        <w:rPr>
          <w:b/>
          <w:spacing w:val="-4"/>
        </w:rPr>
        <w:t xml:space="preserve"> </w:t>
      </w:r>
      <w:r w:rsidRPr="00330234">
        <w:rPr>
          <w:b/>
        </w:rPr>
        <w:t>IN</w:t>
      </w:r>
      <w:r w:rsidRPr="00330234">
        <w:rPr>
          <w:b/>
          <w:spacing w:val="-4"/>
        </w:rPr>
        <w:t xml:space="preserve"> </w:t>
      </w:r>
      <w:r w:rsidRPr="00330234">
        <w:rPr>
          <w:b/>
        </w:rPr>
        <w:t>DE HANDEL BRENGEN</w:t>
      </w:r>
    </w:p>
    <w:p w14:paraId="235DDF9C" w14:textId="4281B6F9" w:rsidR="00436DAA" w:rsidRPr="00330234" w:rsidRDefault="00436DAA" w:rsidP="009B0E27">
      <w:pPr>
        <w:pStyle w:val="a3"/>
        <w:widowControl/>
        <w:ind w:left="0"/>
      </w:pPr>
    </w:p>
    <w:p w14:paraId="05CB02F4" w14:textId="06B55F6D" w:rsidR="001F54AC" w:rsidRPr="00330234" w:rsidRDefault="001F54AC" w:rsidP="001F54AC">
      <w:pPr>
        <w:keepNext/>
      </w:pPr>
      <w:r w:rsidRPr="00330234">
        <w:t>Celltrion Healthcare Hungary Kft.</w:t>
      </w:r>
    </w:p>
    <w:p w14:paraId="583D0A8E" w14:textId="77777777" w:rsidR="001F54AC" w:rsidRPr="00330234" w:rsidRDefault="001F54AC" w:rsidP="001F54AC">
      <w:pPr>
        <w:keepNext/>
      </w:pPr>
      <w:r w:rsidRPr="00330234">
        <w:t>1062 Budapest</w:t>
      </w:r>
    </w:p>
    <w:p w14:paraId="38CAC11A" w14:textId="77777777" w:rsidR="001F54AC" w:rsidRPr="00330234" w:rsidRDefault="001F54AC" w:rsidP="001F54AC">
      <w:pPr>
        <w:keepNext/>
      </w:pPr>
      <w:r w:rsidRPr="00330234">
        <w:t>Váci út 1-3. WestEnd Office Building B torony</w:t>
      </w:r>
    </w:p>
    <w:p w14:paraId="555EE247" w14:textId="5E3212E5" w:rsidR="001F54AC" w:rsidRPr="00330234" w:rsidRDefault="001F54AC" w:rsidP="001F54AC">
      <w:r w:rsidRPr="00330234">
        <w:t>Hongarije</w:t>
      </w:r>
    </w:p>
    <w:p w14:paraId="24CDA961" w14:textId="77777777" w:rsidR="00436DAA" w:rsidRPr="00330234" w:rsidRDefault="00436DAA" w:rsidP="009B0E27">
      <w:pPr>
        <w:pStyle w:val="a3"/>
        <w:widowControl/>
        <w:ind w:left="0"/>
      </w:pPr>
    </w:p>
    <w:p w14:paraId="497A1BF5" w14:textId="77777777" w:rsidR="0018660B" w:rsidRPr="00330234" w:rsidRDefault="0018660B" w:rsidP="009B0E27">
      <w:pPr>
        <w:pStyle w:val="a3"/>
        <w:widowControl/>
        <w:ind w:left="0"/>
      </w:pPr>
    </w:p>
    <w:p w14:paraId="0A2C7A7E"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12.</w:t>
      </w:r>
      <w:r w:rsidRPr="00330234">
        <w:rPr>
          <w:b/>
        </w:rPr>
        <w:tab/>
        <w:t>NUMMER(S)</w:t>
      </w:r>
      <w:r w:rsidRPr="00330234">
        <w:rPr>
          <w:b/>
          <w:spacing w:val="-6"/>
        </w:rPr>
        <w:t xml:space="preserve"> </w:t>
      </w:r>
      <w:r w:rsidRPr="00330234">
        <w:rPr>
          <w:b/>
        </w:rPr>
        <w:t>VAN</w:t>
      </w:r>
      <w:r w:rsidRPr="00330234">
        <w:rPr>
          <w:b/>
          <w:spacing w:val="-5"/>
        </w:rPr>
        <w:t xml:space="preserve"> </w:t>
      </w:r>
      <w:r w:rsidRPr="00330234">
        <w:rPr>
          <w:b/>
        </w:rPr>
        <w:t>DE</w:t>
      </w:r>
      <w:r w:rsidRPr="00330234">
        <w:rPr>
          <w:b/>
          <w:spacing w:val="-6"/>
        </w:rPr>
        <w:t xml:space="preserve"> </w:t>
      </w:r>
      <w:r w:rsidRPr="00330234">
        <w:rPr>
          <w:b/>
        </w:rPr>
        <w:t>VERGUNNING</w:t>
      </w:r>
      <w:r w:rsidRPr="00330234">
        <w:rPr>
          <w:b/>
          <w:spacing w:val="-3"/>
        </w:rPr>
        <w:t xml:space="preserve"> </w:t>
      </w:r>
      <w:r w:rsidRPr="00330234">
        <w:rPr>
          <w:b/>
        </w:rPr>
        <w:t>VOOR</w:t>
      </w:r>
      <w:r w:rsidRPr="00330234">
        <w:rPr>
          <w:b/>
          <w:spacing w:val="-6"/>
        </w:rPr>
        <w:t xml:space="preserve"> </w:t>
      </w:r>
      <w:r w:rsidRPr="00330234">
        <w:rPr>
          <w:b/>
        </w:rPr>
        <w:t>HET</w:t>
      </w:r>
      <w:r w:rsidRPr="00330234">
        <w:rPr>
          <w:b/>
          <w:spacing w:val="-5"/>
        </w:rPr>
        <w:t xml:space="preserve"> </w:t>
      </w:r>
      <w:r w:rsidRPr="00330234">
        <w:rPr>
          <w:b/>
        </w:rPr>
        <w:t>IN</w:t>
      </w:r>
      <w:r w:rsidRPr="00330234">
        <w:rPr>
          <w:b/>
          <w:spacing w:val="-6"/>
        </w:rPr>
        <w:t xml:space="preserve"> </w:t>
      </w:r>
      <w:r w:rsidRPr="00330234">
        <w:rPr>
          <w:b/>
        </w:rPr>
        <w:t>DE</w:t>
      </w:r>
      <w:r w:rsidRPr="00330234">
        <w:rPr>
          <w:b/>
          <w:spacing w:val="-5"/>
        </w:rPr>
        <w:t xml:space="preserve"> </w:t>
      </w:r>
      <w:r w:rsidRPr="00330234">
        <w:rPr>
          <w:b/>
        </w:rPr>
        <w:t>HANDEL</w:t>
      </w:r>
      <w:r w:rsidRPr="00330234">
        <w:rPr>
          <w:b/>
          <w:spacing w:val="-5"/>
        </w:rPr>
        <w:t xml:space="preserve"> </w:t>
      </w:r>
      <w:r w:rsidRPr="00330234">
        <w:rPr>
          <w:b/>
          <w:spacing w:val="-2"/>
        </w:rPr>
        <w:t>BRENGEN</w:t>
      </w:r>
    </w:p>
    <w:p w14:paraId="00E7BF04" w14:textId="2F250669" w:rsidR="00436DAA" w:rsidRPr="00330234" w:rsidRDefault="00436DAA" w:rsidP="009B0E27">
      <w:pPr>
        <w:pStyle w:val="a3"/>
        <w:widowControl/>
        <w:ind w:left="0"/>
      </w:pPr>
    </w:p>
    <w:p w14:paraId="72AAB290" w14:textId="4D8AE475" w:rsidR="0018660B" w:rsidRPr="00330234" w:rsidRDefault="009B4B8E" w:rsidP="009B0E27">
      <w:pPr>
        <w:pStyle w:val="a3"/>
        <w:widowControl/>
        <w:ind w:left="0"/>
      </w:pPr>
      <w:r w:rsidRPr="00330234">
        <w:t>EU</w:t>
      </w:r>
      <w:r w:rsidR="001F54AC" w:rsidRPr="00330234">
        <w:t>/</w:t>
      </w:r>
      <w:r w:rsidR="000E4D64" w:rsidRPr="00F458BB">
        <w:rPr>
          <w:spacing w:val="-1"/>
          <w:lang w:val="pt-BR"/>
        </w:rPr>
        <w:t>1/24/1896/00</w:t>
      </w:r>
      <w:r w:rsidR="000E4D64">
        <w:rPr>
          <w:rFonts w:eastAsia="맑은 고딕"/>
          <w:spacing w:val="-1"/>
          <w:lang w:val="pt-BR" w:eastAsia="ko-KR"/>
        </w:rPr>
        <w:t>3</w:t>
      </w:r>
      <w:r w:rsidR="000E4D64">
        <w:rPr>
          <w:rFonts w:hint="eastAsia"/>
          <w:spacing w:val="-1"/>
          <w:lang w:val="pt-BR" w:eastAsia="ko-KR"/>
        </w:rPr>
        <w:t xml:space="preserve"> </w:t>
      </w:r>
      <w:r w:rsidR="000E4D64">
        <w:rPr>
          <w:spacing w:val="-1"/>
          <w:lang w:val="pt-BR" w:eastAsia="ko-KR"/>
        </w:rPr>
        <w:t>1 injectieflacon</w:t>
      </w:r>
    </w:p>
    <w:p w14:paraId="362B5BCF" w14:textId="646B4B19" w:rsidR="00436DAA" w:rsidRPr="00330234" w:rsidRDefault="009B4B8E" w:rsidP="009B0E27">
      <w:pPr>
        <w:pStyle w:val="a3"/>
        <w:widowControl/>
        <w:ind w:left="0"/>
      </w:pPr>
      <w:r w:rsidRPr="00330234">
        <w:t>EU</w:t>
      </w:r>
      <w:r w:rsidR="001F54AC" w:rsidRPr="00330234">
        <w:t>/</w:t>
      </w:r>
      <w:r w:rsidR="000E4D64" w:rsidRPr="00F458BB">
        <w:rPr>
          <w:spacing w:val="-1"/>
          <w:lang w:val="pt-BR"/>
        </w:rPr>
        <w:t>1/24/1896/00</w:t>
      </w:r>
      <w:r w:rsidR="000E4D64">
        <w:rPr>
          <w:rFonts w:eastAsia="맑은 고딕"/>
          <w:spacing w:val="-1"/>
          <w:lang w:val="pt-BR" w:eastAsia="ko-KR"/>
        </w:rPr>
        <w:t>4</w:t>
      </w:r>
      <w:r w:rsidR="000E4D64">
        <w:rPr>
          <w:rFonts w:hint="eastAsia"/>
          <w:spacing w:val="-1"/>
          <w:lang w:val="pt-BR" w:eastAsia="ko-KR"/>
        </w:rPr>
        <w:t xml:space="preserve"> </w:t>
      </w:r>
      <w:r w:rsidR="000E4D64">
        <w:rPr>
          <w:spacing w:val="-1"/>
          <w:lang w:val="pt-BR" w:eastAsia="ko-KR"/>
        </w:rPr>
        <w:t>4 injectieflacons</w:t>
      </w:r>
    </w:p>
    <w:p w14:paraId="386DE6EC" w14:textId="77777777" w:rsidR="00436DAA" w:rsidRPr="00330234" w:rsidRDefault="00436DAA" w:rsidP="009B0E27">
      <w:pPr>
        <w:pStyle w:val="a3"/>
        <w:widowControl/>
        <w:ind w:left="0"/>
      </w:pPr>
    </w:p>
    <w:p w14:paraId="6FFEEEFA" w14:textId="77777777" w:rsidR="0018660B" w:rsidRPr="00330234" w:rsidRDefault="0018660B" w:rsidP="009B0E27">
      <w:pPr>
        <w:pStyle w:val="a3"/>
        <w:widowControl/>
        <w:ind w:left="0"/>
      </w:pPr>
    </w:p>
    <w:p w14:paraId="62CFBEC1"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13.</w:t>
      </w:r>
      <w:r w:rsidRPr="00330234">
        <w:rPr>
          <w:b/>
        </w:rPr>
        <w:tab/>
      </w:r>
      <w:r w:rsidRPr="00330234">
        <w:rPr>
          <w:b/>
          <w:spacing w:val="-2"/>
        </w:rPr>
        <w:t>PARTIJNUMMER</w:t>
      </w:r>
    </w:p>
    <w:p w14:paraId="6B40B397" w14:textId="3A73C87B" w:rsidR="00436DAA" w:rsidRPr="00330234" w:rsidRDefault="00436DAA" w:rsidP="009B0E27">
      <w:pPr>
        <w:pStyle w:val="a3"/>
        <w:widowControl/>
        <w:ind w:left="0"/>
      </w:pPr>
    </w:p>
    <w:p w14:paraId="2C36891D" w14:textId="6F4E719C" w:rsidR="00436DAA" w:rsidRPr="00330234" w:rsidRDefault="001F54AC" w:rsidP="009B0E27">
      <w:pPr>
        <w:pStyle w:val="a3"/>
        <w:widowControl/>
        <w:ind w:left="0"/>
      </w:pPr>
      <w:r w:rsidRPr="00330234">
        <w:t>Lot</w:t>
      </w:r>
    </w:p>
    <w:p w14:paraId="4336EEAF" w14:textId="77777777" w:rsidR="00436DAA" w:rsidRPr="00330234" w:rsidRDefault="00436DAA" w:rsidP="009B0E27">
      <w:pPr>
        <w:pStyle w:val="a3"/>
        <w:widowControl/>
        <w:ind w:left="0"/>
      </w:pPr>
    </w:p>
    <w:p w14:paraId="2E650E1A" w14:textId="77777777" w:rsidR="0018660B" w:rsidRPr="00330234" w:rsidRDefault="0018660B" w:rsidP="009B0E27">
      <w:pPr>
        <w:pStyle w:val="a3"/>
        <w:widowControl/>
        <w:ind w:left="0"/>
      </w:pPr>
    </w:p>
    <w:p w14:paraId="3208C567"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14.</w:t>
      </w:r>
      <w:r w:rsidRPr="00330234">
        <w:rPr>
          <w:b/>
        </w:rPr>
        <w:tab/>
        <w:t>ALGEMENE</w:t>
      </w:r>
      <w:r w:rsidRPr="00330234">
        <w:rPr>
          <w:b/>
          <w:spacing w:val="-6"/>
        </w:rPr>
        <w:t xml:space="preserve"> </w:t>
      </w:r>
      <w:r w:rsidRPr="00330234">
        <w:rPr>
          <w:b/>
        </w:rPr>
        <w:t>INDELING</w:t>
      </w:r>
      <w:r w:rsidRPr="00330234">
        <w:rPr>
          <w:b/>
          <w:spacing w:val="-4"/>
        </w:rPr>
        <w:t xml:space="preserve"> </w:t>
      </w:r>
      <w:r w:rsidRPr="00330234">
        <w:rPr>
          <w:b/>
        </w:rPr>
        <w:t>VOOR</w:t>
      </w:r>
      <w:r w:rsidRPr="00330234">
        <w:rPr>
          <w:b/>
          <w:spacing w:val="-6"/>
        </w:rPr>
        <w:t xml:space="preserve"> </w:t>
      </w:r>
      <w:r w:rsidRPr="00330234">
        <w:rPr>
          <w:b/>
        </w:rPr>
        <w:t>DE</w:t>
      </w:r>
      <w:r w:rsidRPr="00330234">
        <w:rPr>
          <w:b/>
          <w:spacing w:val="-5"/>
        </w:rPr>
        <w:t xml:space="preserve"> </w:t>
      </w:r>
      <w:r w:rsidRPr="00330234">
        <w:rPr>
          <w:b/>
          <w:spacing w:val="-2"/>
        </w:rPr>
        <w:t>AFLEVERING</w:t>
      </w:r>
    </w:p>
    <w:p w14:paraId="2D6F7E8D" w14:textId="06DEE477" w:rsidR="00436DAA" w:rsidRPr="00330234" w:rsidRDefault="00436DAA" w:rsidP="009B0E27">
      <w:pPr>
        <w:pStyle w:val="a3"/>
        <w:widowControl/>
        <w:ind w:left="0"/>
      </w:pPr>
    </w:p>
    <w:p w14:paraId="2956ABEF" w14:textId="77777777" w:rsidR="00436DAA" w:rsidRPr="00330234" w:rsidRDefault="009B4B8E" w:rsidP="009B0E27">
      <w:pPr>
        <w:pStyle w:val="a3"/>
        <w:widowControl/>
        <w:ind w:left="0"/>
      </w:pPr>
      <w:r>
        <w:rPr>
          <w:highlight w:val="lightGray"/>
        </w:rPr>
        <w:t>Geneesmiddel op medisch voorschrift</w:t>
      </w:r>
    </w:p>
    <w:p w14:paraId="7D0EB8F3" w14:textId="77777777" w:rsidR="00436DAA" w:rsidRPr="00330234" w:rsidRDefault="00436DAA" w:rsidP="009B0E27">
      <w:pPr>
        <w:pStyle w:val="a3"/>
        <w:widowControl/>
        <w:ind w:left="0"/>
      </w:pPr>
    </w:p>
    <w:p w14:paraId="6474E2E0" w14:textId="77777777" w:rsidR="0018660B" w:rsidRPr="00330234" w:rsidRDefault="0018660B" w:rsidP="009B0E27">
      <w:pPr>
        <w:pStyle w:val="a3"/>
        <w:widowControl/>
        <w:ind w:left="0"/>
      </w:pPr>
    </w:p>
    <w:p w14:paraId="41EBE956"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15.</w:t>
      </w:r>
      <w:r w:rsidRPr="00330234">
        <w:rPr>
          <w:b/>
        </w:rPr>
        <w:tab/>
        <w:t>INSTRUCTIES</w:t>
      </w:r>
      <w:r w:rsidRPr="00330234">
        <w:rPr>
          <w:b/>
          <w:spacing w:val="-7"/>
        </w:rPr>
        <w:t xml:space="preserve"> </w:t>
      </w:r>
      <w:r w:rsidRPr="00330234">
        <w:rPr>
          <w:b/>
        </w:rPr>
        <w:t>VOOR</w:t>
      </w:r>
      <w:r w:rsidRPr="00330234">
        <w:rPr>
          <w:b/>
          <w:spacing w:val="-7"/>
        </w:rPr>
        <w:t xml:space="preserve"> </w:t>
      </w:r>
      <w:r w:rsidRPr="00330234">
        <w:rPr>
          <w:b/>
          <w:spacing w:val="-2"/>
        </w:rPr>
        <w:t>GEBRUIK</w:t>
      </w:r>
    </w:p>
    <w:p w14:paraId="38DA4D45" w14:textId="2FEF4B2D" w:rsidR="00436DAA" w:rsidRPr="00330234" w:rsidRDefault="00436DAA" w:rsidP="009B0E27">
      <w:pPr>
        <w:pStyle w:val="a3"/>
        <w:widowControl/>
        <w:ind w:left="0"/>
      </w:pPr>
    </w:p>
    <w:p w14:paraId="29D327CF" w14:textId="77777777" w:rsidR="00436DAA" w:rsidRPr="00330234" w:rsidRDefault="00436DAA" w:rsidP="009B0E27">
      <w:pPr>
        <w:pStyle w:val="a3"/>
        <w:widowControl/>
        <w:ind w:left="0"/>
      </w:pPr>
    </w:p>
    <w:p w14:paraId="00B24A87"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16.</w:t>
      </w:r>
      <w:r w:rsidRPr="00330234">
        <w:rPr>
          <w:b/>
        </w:rPr>
        <w:tab/>
        <w:t>INFORMATIE</w:t>
      </w:r>
      <w:r w:rsidRPr="00330234">
        <w:rPr>
          <w:b/>
          <w:spacing w:val="-5"/>
        </w:rPr>
        <w:t xml:space="preserve"> </w:t>
      </w:r>
      <w:r w:rsidRPr="00330234">
        <w:rPr>
          <w:b/>
        </w:rPr>
        <w:t>IN</w:t>
      </w:r>
      <w:r w:rsidRPr="00330234">
        <w:rPr>
          <w:b/>
          <w:spacing w:val="-7"/>
        </w:rPr>
        <w:t xml:space="preserve"> </w:t>
      </w:r>
      <w:r w:rsidRPr="00330234">
        <w:rPr>
          <w:b/>
          <w:spacing w:val="-2"/>
        </w:rPr>
        <w:t>BRAILLE</w:t>
      </w:r>
    </w:p>
    <w:p w14:paraId="24AAFE94" w14:textId="0A23BBB1" w:rsidR="00436DAA" w:rsidRPr="00330234" w:rsidRDefault="00436DAA" w:rsidP="009B0E27">
      <w:pPr>
        <w:pStyle w:val="a3"/>
        <w:widowControl/>
        <w:ind w:left="0"/>
      </w:pPr>
    </w:p>
    <w:p w14:paraId="2DE98775" w14:textId="77777777" w:rsidR="00436DAA" w:rsidRPr="00330234" w:rsidRDefault="009B4B8E" w:rsidP="009B0E27">
      <w:pPr>
        <w:pStyle w:val="a3"/>
        <w:widowControl/>
        <w:ind w:left="0"/>
      </w:pPr>
      <w:r>
        <w:rPr>
          <w:highlight w:val="lightGray"/>
        </w:rPr>
        <w:t>Rechtvaardiging voor uitzondering van braille is aanvaardbaar</w:t>
      </w:r>
    </w:p>
    <w:p w14:paraId="72FE4EC5" w14:textId="77777777" w:rsidR="00436DAA" w:rsidRPr="00330234" w:rsidRDefault="00436DAA" w:rsidP="009B0E27">
      <w:pPr>
        <w:pStyle w:val="a3"/>
        <w:widowControl/>
        <w:ind w:left="0"/>
      </w:pPr>
    </w:p>
    <w:p w14:paraId="29398C38" w14:textId="77777777" w:rsidR="0018660B" w:rsidRPr="00330234" w:rsidRDefault="0018660B" w:rsidP="009B0E27">
      <w:pPr>
        <w:pStyle w:val="a3"/>
        <w:widowControl/>
        <w:ind w:left="0"/>
      </w:pPr>
    </w:p>
    <w:p w14:paraId="529EBF7D"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17.</w:t>
      </w:r>
      <w:r w:rsidRPr="00330234">
        <w:rPr>
          <w:b/>
        </w:rPr>
        <w:tab/>
        <w:t>UNIEK</w:t>
      </w:r>
      <w:r w:rsidRPr="00330234">
        <w:rPr>
          <w:b/>
          <w:spacing w:val="-8"/>
        </w:rPr>
        <w:t xml:space="preserve"> </w:t>
      </w:r>
      <w:r w:rsidRPr="00330234">
        <w:rPr>
          <w:b/>
        </w:rPr>
        <w:t>IDENTIFICATIEKENMERK</w:t>
      </w:r>
      <w:r w:rsidRPr="00330234">
        <w:rPr>
          <w:b/>
          <w:spacing w:val="-7"/>
        </w:rPr>
        <w:t xml:space="preserve"> </w:t>
      </w:r>
      <w:r w:rsidRPr="00330234">
        <w:rPr>
          <w:b/>
        </w:rPr>
        <w:t>-</w:t>
      </w:r>
      <w:r w:rsidRPr="00330234">
        <w:rPr>
          <w:b/>
          <w:spacing w:val="-5"/>
        </w:rPr>
        <w:t xml:space="preserve"> </w:t>
      </w:r>
      <w:r w:rsidRPr="00330234">
        <w:rPr>
          <w:b/>
        </w:rPr>
        <w:t>2D</w:t>
      </w:r>
      <w:r w:rsidRPr="00330234">
        <w:rPr>
          <w:b/>
          <w:spacing w:val="-7"/>
        </w:rPr>
        <w:t xml:space="preserve"> </w:t>
      </w:r>
      <w:r w:rsidRPr="00330234">
        <w:rPr>
          <w:b/>
          <w:spacing w:val="-2"/>
        </w:rPr>
        <w:t>MATRIXCODE</w:t>
      </w:r>
    </w:p>
    <w:p w14:paraId="2120CF68" w14:textId="17E42D93" w:rsidR="00436DAA" w:rsidRPr="00330234" w:rsidRDefault="00436DAA" w:rsidP="009B0E27">
      <w:pPr>
        <w:pStyle w:val="a3"/>
        <w:widowControl/>
        <w:ind w:left="0"/>
      </w:pPr>
    </w:p>
    <w:p w14:paraId="58800B55" w14:textId="77777777" w:rsidR="00436DAA" w:rsidRPr="00330234" w:rsidRDefault="009B4B8E" w:rsidP="009B0E27">
      <w:pPr>
        <w:pStyle w:val="a3"/>
        <w:widowControl/>
        <w:ind w:left="0"/>
      </w:pPr>
      <w:r>
        <w:rPr>
          <w:color w:val="000000"/>
          <w:highlight w:val="lightGray"/>
          <w:shd w:val="pct35" w:color="auto" w:fill="auto"/>
        </w:rPr>
        <w:t>2D matrixcode met het unieke identificatiekenmerk.</w:t>
      </w:r>
    </w:p>
    <w:p w14:paraId="6B26F51F" w14:textId="77777777" w:rsidR="00436DAA" w:rsidRPr="00330234" w:rsidRDefault="00436DAA" w:rsidP="009B0E27">
      <w:pPr>
        <w:widowControl/>
      </w:pPr>
    </w:p>
    <w:p w14:paraId="67A14DB6" w14:textId="77777777" w:rsidR="0018660B" w:rsidRPr="00330234" w:rsidRDefault="0018660B" w:rsidP="009B0E27">
      <w:pPr>
        <w:widowControl/>
      </w:pPr>
    </w:p>
    <w:p w14:paraId="7BB1617D"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18.</w:t>
      </w:r>
      <w:r w:rsidRPr="00330234">
        <w:rPr>
          <w:b/>
        </w:rPr>
        <w:tab/>
        <w:t>UNIEK</w:t>
      </w:r>
      <w:r w:rsidRPr="00330234">
        <w:rPr>
          <w:b/>
          <w:spacing w:val="-11"/>
        </w:rPr>
        <w:t xml:space="preserve"> </w:t>
      </w:r>
      <w:r w:rsidRPr="00330234">
        <w:rPr>
          <w:b/>
        </w:rPr>
        <w:t>IDENTIFICATIEKENMERK</w:t>
      </w:r>
      <w:r w:rsidRPr="00330234">
        <w:rPr>
          <w:b/>
          <w:spacing w:val="-8"/>
        </w:rPr>
        <w:t xml:space="preserve"> </w:t>
      </w:r>
      <w:r w:rsidRPr="00330234">
        <w:rPr>
          <w:b/>
        </w:rPr>
        <w:t>-</w:t>
      </w:r>
      <w:r w:rsidRPr="00330234">
        <w:rPr>
          <w:b/>
          <w:spacing w:val="-6"/>
        </w:rPr>
        <w:t xml:space="preserve"> </w:t>
      </w:r>
      <w:r w:rsidRPr="00330234">
        <w:rPr>
          <w:b/>
        </w:rPr>
        <w:t>VOOR</w:t>
      </w:r>
      <w:r w:rsidRPr="00330234">
        <w:rPr>
          <w:b/>
          <w:spacing w:val="-8"/>
        </w:rPr>
        <w:t xml:space="preserve"> </w:t>
      </w:r>
      <w:r w:rsidRPr="00330234">
        <w:rPr>
          <w:b/>
        </w:rPr>
        <w:t>MENSEN</w:t>
      </w:r>
      <w:r w:rsidRPr="00330234">
        <w:rPr>
          <w:b/>
          <w:spacing w:val="-8"/>
        </w:rPr>
        <w:t xml:space="preserve"> </w:t>
      </w:r>
      <w:r w:rsidRPr="00330234">
        <w:rPr>
          <w:b/>
        </w:rPr>
        <w:t>LEESBARE</w:t>
      </w:r>
      <w:r w:rsidRPr="00330234">
        <w:rPr>
          <w:b/>
          <w:spacing w:val="-8"/>
        </w:rPr>
        <w:t xml:space="preserve"> </w:t>
      </w:r>
      <w:r w:rsidRPr="00330234">
        <w:rPr>
          <w:b/>
          <w:spacing w:val="-2"/>
        </w:rPr>
        <w:t>GEGEVENS</w:t>
      </w:r>
    </w:p>
    <w:p w14:paraId="5458C4A3" w14:textId="77777777" w:rsidR="00580327" w:rsidRPr="00330234" w:rsidRDefault="00580327" w:rsidP="009B0E27">
      <w:pPr>
        <w:widowControl/>
      </w:pPr>
    </w:p>
    <w:p w14:paraId="582E5305" w14:textId="77777777" w:rsidR="0018660B" w:rsidRPr="00330234" w:rsidRDefault="009B4B8E" w:rsidP="009B0E27">
      <w:pPr>
        <w:pStyle w:val="a3"/>
        <w:widowControl/>
        <w:ind w:left="0"/>
      </w:pPr>
      <w:r w:rsidRPr="00330234">
        <w:t>PC</w:t>
      </w:r>
    </w:p>
    <w:p w14:paraId="3F2D3BA6" w14:textId="77777777" w:rsidR="0018660B" w:rsidRPr="00330234" w:rsidRDefault="009B4B8E" w:rsidP="009B0E27">
      <w:pPr>
        <w:pStyle w:val="a3"/>
        <w:widowControl/>
        <w:ind w:left="0"/>
      </w:pPr>
      <w:r w:rsidRPr="00330234">
        <w:t>SN</w:t>
      </w:r>
    </w:p>
    <w:p w14:paraId="333F4BBD" w14:textId="77777777" w:rsidR="00F76AA1" w:rsidRPr="00330234" w:rsidRDefault="00F76AA1" w:rsidP="00F76AA1">
      <w:pPr>
        <w:pStyle w:val="a3"/>
        <w:widowControl/>
        <w:ind w:left="0"/>
      </w:pPr>
      <w:r w:rsidRPr="00F76AA1">
        <w:rPr>
          <w:highlight w:val="lightGray"/>
        </w:rPr>
        <w:t>NN</w:t>
      </w:r>
    </w:p>
    <w:p w14:paraId="4E56C6E0" w14:textId="2F695812" w:rsidR="00580327" w:rsidRPr="00330234" w:rsidRDefault="00580327" w:rsidP="001B3E1E">
      <w:pPr>
        <w:pStyle w:val="a3"/>
        <w:widowControl/>
        <w:pBdr>
          <w:top w:val="single" w:sz="4" w:space="1" w:color="auto"/>
          <w:left w:val="single" w:sz="4" w:space="4" w:color="auto"/>
          <w:bottom w:val="single" w:sz="4" w:space="1" w:color="auto"/>
          <w:right w:val="single" w:sz="4" w:space="4" w:color="auto"/>
        </w:pBdr>
        <w:ind w:left="0"/>
        <w:rPr>
          <w:b/>
        </w:rPr>
      </w:pPr>
      <w:r w:rsidRPr="00330234">
        <w:br w:type="page"/>
      </w:r>
      <w:r w:rsidRPr="00330234">
        <w:rPr>
          <w:b/>
        </w:rPr>
        <w:lastRenderedPageBreak/>
        <w:t>GEGEVENS</w:t>
      </w:r>
      <w:r w:rsidRPr="00330234">
        <w:rPr>
          <w:b/>
          <w:spacing w:val="-4"/>
        </w:rPr>
        <w:t xml:space="preserve"> </w:t>
      </w:r>
      <w:r w:rsidRPr="00330234">
        <w:rPr>
          <w:b/>
        </w:rPr>
        <w:t>DIE</w:t>
      </w:r>
      <w:r w:rsidRPr="00330234">
        <w:rPr>
          <w:b/>
          <w:spacing w:val="-6"/>
        </w:rPr>
        <w:t xml:space="preserve"> </w:t>
      </w:r>
      <w:r w:rsidRPr="00330234">
        <w:rPr>
          <w:b/>
        </w:rPr>
        <w:t>OP</w:t>
      </w:r>
      <w:r w:rsidRPr="00330234">
        <w:rPr>
          <w:b/>
          <w:spacing w:val="-4"/>
        </w:rPr>
        <w:t xml:space="preserve"> </w:t>
      </w:r>
      <w:r w:rsidRPr="00330234">
        <w:rPr>
          <w:b/>
        </w:rPr>
        <w:t>DE</w:t>
      </w:r>
      <w:r w:rsidRPr="00330234">
        <w:rPr>
          <w:b/>
          <w:spacing w:val="-9"/>
        </w:rPr>
        <w:t xml:space="preserve"> </w:t>
      </w:r>
      <w:r w:rsidRPr="00330234">
        <w:rPr>
          <w:b/>
        </w:rPr>
        <w:t>BUITENVERPAKKING</w:t>
      </w:r>
      <w:r w:rsidRPr="00330234">
        <w:rPr>
          <w:b/>
          <w:spacing w:val="-9"/>
        </w:rPr>
        <w:t xml:space="preserve"> </w:t>
      </w:r>
      <w:r w:rsidRPr="00330234">
        <w:rPr>
          <w:b/>
        </w:rPr>
        <w:t>MOETEN</w:t>
      </w:r>
      <w:r w:rsidRPr="00330234">
        <w:rPr>
          <w:b/>
          <w:spacing w:val="-6"/>
        </w:rPr>
        <w:t xml:space="preserve"> </w:t>
      </w:r>
      <w:r w:rsidRPr="00330234">
        <w:rPr>
          <w:b/>
        </w:rPr>
        <w:t>WORDEN</w:t>
      </w:r>
      <w:r w:rsidRPr="00330234">
        <w:rPr>
          <w:b/>
          <w:spacing w:val="-6"/>
        </w:rPr>
        <w:t xml:space="preserve"> </w:t>
      </w:r>
      <w:r w:rsidRPr="00330234">
        <w:rPr>
          <w:b/>
          <w:spacing w:val="-2"/>
        </w:rPr>
        <w:t>VERMELD</w:t>
      </w:r>
    </w:p>
    <w:p w14:paraId="72186E57" w14:textId="77777777" w:rsidR="00580327" w:rsidRPr="00330234" w:rsidRDefault="00580327" w:rsidP="006542D9">
      <w:pPr>
        <w:pStyle w:val="a3"/>
        <w:pBdr>
          <w:top w:val="single" w:sz="4" w:space="1" w:color="auto"/>
          <w:left w:val="single" w:sz="4" w:space="4" w:color="auto"/>
          <w:bottom w:val="single" w:sz="4" w:space="1" w:color="auto"/>
          <w:right w:val="single" w:sz="4" w:space="4" w:color="auto"/>
        </w:pBdr>
        <w:ind w:left="0"/>
        <w:rPr>
          <w:b/>
        </w:rPr>
      </w:pPr>
    </w:p>
    <w:p w14:paraId="2E4E002F" w14:textId="77777777" w:rsidR="00580327" w:rsidRPr="00330234" w:rsidRDefault="00580327" w:rsidP="006542D9">
      <w:pPr>
        <w:pBdr>
          <w:top w:val="single" w:sz="4" w:space="1" w:color="auto"/>
          <w:left w:val="single" w:sz="4" w:space="4" w:color="auto"/>
          <w:bottom w:val="single" w:sz="4" w:space="1" w:color="auto"/>
          <w:right w:val="single" w:sz="4" w:space="4" w:color="auto"/>
        </w:pBdr>
        <w:rPr>
          <w:b/>
        </w:rPr>
      </w:pPr>
      <w:r w:rsidRPr="00330234">
        <w:rPr>
          <w:b/>
          <w:spacing w:val="-2"/>
        </w:rPr>
        <w:t>BUITENVERPAKKING</w:t>
      </w:r>
    </w:p>
    <w:p w14:paraId="2E8CF9A1" w14:textId="5C589B9D" w:rsidR="00436DAA" w:rsidRPr="00330234" w:rsidRDefault="00436DAA" w:rsidP="009B0E27">
      <w:pPr>
        <w:pStyle w:val="a3"/>
        <w:widowControl/>
        <w:ind w:left="0"/>
      </w:pPr>
    </w:p>
    <w:p w14:paraId="3BE0B3AF" w14:textId="77777777" w:rsidR="0018660B" w:rsidRPr="00330234" w:rsidRDefault="0018660B" w:rsidP="009B0E27">
      <w:pPr>
        <w:pStyle w:val="a3"/>
        <w:widowControl/>
        <w:ind w:left="0"/>
      </w:pPr>
    </w:p>
    <w:p w14:paraId="49A783A8"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w:t>
      </w:r>
      <w:r w:rsidRPr="00330234">
        <w:rPr>
          <w:b/>
        </w:rPr>
        <w:tab/>
        <w:t>NAAM</w:t>
      </w:r>
      <w:r w:rsidRPr="00330234">
        <w:rPr>
          <w:b/>
          <w:spacing w:val="-4"/>
        </w:rPr>
        <w:t xml:space="preserve"> </w:t>
      </w:r>
      <w:r w:rsidRPr="00330234">
        <w:rPr>
          <w:b/>
        </w:rPr>
        <w:t>VAN</w:t>
      </w:r>
      <w:r w:rsidRPr="00330234">
        <w:rPr>
          <w:b/>
          <w:spacing w:val="-4"/>
        </w:rPr>
        <w:t xml:space="preserve"> </w:t>
      </w:r>
      <w:r w:rsidRPr="00330234">
        <w:rPr>
          <w:b/>
        </w:rPr>
        <w:t>HET</w:t>
      </w:r>
      <w:r w:rsidRPr="00330234">
        <w:rPr>
          <w:b/>
          <w:spacing w:val="-4"/>
        </w:rPr>
        <w:t xml:space="preserve"> </w:t>
      </w:r>
      <w:r w:rsidRPr="00330234">
        <w:rPr>
          <w:b/>
          <w:spacing w:val="-2"/>
        </w:rPr>
        <w:t>GENEESMIDDEL</w:t>
      </w:r>
    </w:p>
    <w:p w14:paraId="71516A74" w14:textId="0CC88E60" w:rsidR="00436DAA" w:rsidRPr="00330234" w:rsidRDefault="00436DAA" w:rsidP="009B0E27">
      <w:pPr>
        <w:pStyle w:val="a3"/>
        <w:widowControl/>
        <w:ind w:left="0"/>
      </w:pPr>
    </w:p>
    <w:p w14:paraId="167DFA28" w14:textId="776481AD" w:rsidR="0018660B" w:rsidRPr="00330234" w:rsidRDefault="007A197C" w:rsidP="009B0E27">
      <w:pPr>
        <w:pStyle w:val="a3"/>
        <w:widowControl/>
        <w:ind w:left="0"/>
      </w:pPr>
      <w:r w:rsidRPr="00330234">
        <w:t>Avtozma</w:t>
      </w:r>
      <w:r w:rsidR="009B4B8E" w:rsidRPr="00330234">
        <w:t xml:space="preserve"> 20 mg/ml concentraat voor oplossing voor infusie</w:t>
      </w:r>
    </w:p>
    <w:p w14:paraId="5B6DE398" w14:textId="7D969FD0" w:rsidR="00436DAA" w:rsidRPr="00330234" w:rsidRDefault="009B4B8E" w:rsidP="009B0E27">
      <w:pPr>
        <w:pStyle w:val="a3"/>
        <w:widowControl/>
        <w:ind w:left="0"/>
      </w:pPr>
      <w:r w:rsidRPr="00330234">
        <w:t>tocilizumab</w:t>
      </w:r>
    </w:p>
    <w:p w14:paraId="21C11703" w14:textId="77777777" w:rsidR="00436DAA" w:rsidRPr="00330234" w:rsidRDefault="00436DAA" w:rsidP="009B0E27">
      <w:pPr>
        <w:pStyle w:val="a3"/>
        <w:widowControl/>
        <w:ind w:left="0"/>
      </w:pPr>
    </w:p>
    <w:p w14:paraId="370DC4B4" w14:textId="77777777" w:rsidR="0018660B" w:rsidRPr="00330234" w:rsidRDefault="0018660B" w:rsidP="009B0E27">
      <w:pPr>
        <w:pStyle w:val="a3"/>
        <w:widowControl/>
        <w:ind w:left="0"/>
      </w:pPr>
    </w:p>
    <w:p w14:paraId="3B513D81"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2.</w:t>
      </w:r>
      <w:r w:rsidRPr="00330234">
        <w:rPr>
          <w:b/>
        </w:rPr>
        <w:tab/>
        <w:t>GEHALTE</w:t>
      </w:r>
      <w:r w:rsidRPr="00330234">
        <w:rPr>
          <w:b/>
          <w:spacing w:val="-7"/>
        </w:rPr>
        <w:t xml:space="preserve"> </w:t>
      </w:r>
      <w:r w:rsidRPr="00330234">
        <w:rPr>
          <w:b/>
        </w:rPr>
        <w:t>AAN</w:t>
      </w:r>
      <w:r w:rsidRPr="00330234">
        <w:rPr>
          <w:b/>
          <w:spacing w:val="-7"/>
        </w:rPr>
        <w:t xml:space="preserve"> </w:t>
      </w:r>
      <w:r w:rsidRPr="00330234">
        <w:rPr>
          <w:b/>
        </w:rPr>
        <w:t>WERKZAME</w:t>
      </w:r>
      <w:r w:rsidRPr="00330234">
        <w:rPr>
          <w:b/>
          <w:spacing w:val="-7"/>
        </w:rPr>
        <w:t xml:space="preserve"> </w:t>
      </w:r>
      <w:r w:rsidRPr="00330234">
        <w:rPr>
          <w:b/>
          <w:spacing w:val="-2"/>
        </w:rPr>
        <w:t>STOF(FEN)</w:t>
      </w:r>
    </w:p>
    <w:p w14:paraId="079C8AEF" w14:textId="02518784" w:rsidR="00436DAA" w:rsidRPr="00330234" w:rsidRDefault="00436DAA" w:rsidP="009B0E27">
      <w:pPr>
        <w:pStyle w:val="a3"/>
        <w:widowControl/>
        <w:ind w:left="0"/>
      </w:pPr>
    </w:p>
    <w:p w14:paraId="1B8AB92F" w14:textId="77777777" w:rsidR="00436DAA" w:rsidRPr="00330234" w:rsidRDefault="009B4B8E" w:rsidP="009B0E27">
      <w:pPr>
        <w:pStyle w:val="a3"/>
        <w:widowControl/>
        <w:ind w:left="0"/>
      </w:pPr>
      <w:r w:rsidRPr="00330234">
        <w:t>1 injectieflacon bevat 400 mg tocilizumab.</w:t>
      </w:r>
    </w:p>
    <w:p w14:paraId="33EF090E" w14:textId="77777777" w:rsidR="00436DAA" w:rsidRPr="00330234" w:rsidRDefault="00436DAA" w:rsidP="009B0E27">
      <w:pPr>
        <w:pStyle w:val="a3"/>
        <w:widowControl/>
        <w:ind w:left="0"/>
      </w:pPr>
    </w:p>
    <w:p w14:paraId="6A097804" w14:textId="77777777" w:rsidR="0018660B" w:rsidRPr="00330234" w:rsidRDefault="0018660B" w:rsidP="009B0E27">
      <w:pPr>
        <w:pStyle w:val="a3"/>
        <w:widowControl/>
        <w:ind w:left="0"/>
      </w:pPr>
    </w:p>
    <w:p w14:paraId="02A51FD1"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3.</w:t>
      </w:r>
      <w:r w:rsidRPr="00330234">
        <w:rPr>
          <w:b/>
        </w:rPr>
        <w:tab/>
        <w:t>LIJST</w:t>
      </w:r>
      <w:r w:rsidRPr="00330234">
        <w:rPr>
          <w:b/>
          <w:spacing w:val="-4"/>
        </w:rPr>
        <w:t xml:space="preserve"> </w:t>
      </w:r>
      <w:r w:rsidRPr="00330234">
        <w:rPr>
          <w:b/>
        </w:rPr>
        <w:t>VAN</w:t>
      </w:r>
      <w:r w:rsidRPr="00330234">
        <w:rPr>
          <w:b/>
          <w:spacing w:val="-4"/>
        </w:rPr>
        <w:t xml:space="preserve"> </w:t>
      </w:r>
      <w:r w:rsidRPr="00330234">
        <w:rPr>
          <w:b/>
          <w:spacing w:val="-2"/>
        </w:rPr>
        <w:t>HULPSTOFFEN</w:t>
      </w:r>
    </w:p>
    <w:p w14:paraId="743B34C6" w14:textId="6BE31961" w:rsidR="00436DAA" w:rsidRPr="00330234" w:rsidRDefault="00436DAA" w:rsidP="009B0E27">
      <w:pPr>
        <w:pStyle w:val="a3"/>
        <w:widowControl/>
        <w:ind w:left="0"/>
      </w:pPr>
    </w:p>
    <w:p w14:paraId="46983BE1" w14:textId="349FA188" w:rsidR="001F54AC" w:rsidRPr="00330234" w:rsidRDefault="001F54AC" w:rsidP="001F54AC">
      <w:pPr>
        <w:pStyle w:val="a3"/>
        <w:widowControl/>
        <w:ind w:left="0"/>
      </w:pPr>
      <w:r w:rsidRPr="00330234">
        <w:t xml:space="preserve">Hulpstoffen: L-histidine, </w:t>
      </w:r>
      <w:r w:rsidR="0065408F" w:rsidRPr="0065408F">
        <w:rPr>
          <w:rFonts w:hint="eastAsia"/>
        </w:rPr>
        <w:t>L-histidine monohydrochloride monohydraat</w:t>
      </w:r>
      <w:r w:rsidR="00545170" w:rsidRPr="00545170">
        <w:t xml:space="preserve">, </w:t>
      </w:r>
      <w:r w:rsidRPr="00330234">
        <w:t>L-threonine, L-methionine, polysorbaat 80 en water voor injecties.</w:t>
      </w:r>
    </w:p>
    <w:p w14:paraId="1E649634" w14:textId="65CFD390" w:rsidR="00436DAA" w:rsidRPr="00330234" w:rsidRDefault="009B4B8E" w:rsidP="009B0E27">
      <w:pPr>
        <w:pStyle w:val="a3"/>
        <w:widowControl/>
        <w:ind w:left="0"/>
      </w:pPr>
      <w:r w:rsidRPr="00330234">
        <w:t>Zie bijsluiter voor meer informatie.</w:t>
      </w:r>
    </w:p>
    <w:p w14:paraId="13E30F8D" w14:textId="77777777" w:rsidR="00436DAA" w:rsidRPr="00330234" w:rsidRDefault="00436DAA" w:rsidP="009B0E27">
      <w:pPr>
        <w:pStyle w:val="a3"/>
        <w:widowControl/>
        <w:ind w:left="0"/>
      </w:pPr>
    </w:p>
    <w:p w14:paraId="358708BF" w14:textId="77777777" w:rsidR="0018660B" w:rsidRPr="00330234" w:rsidRDefault="0018660B" w:rsidP="009B0E27">
      <w:pPr>
        <w:pStyle w:val="a3"/>
        <w:widowControl/>
        <w:ind w:left="0"/>
      </w:pPr>
    </w:p>
    <w:p w14:paraId="50AC87BF"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4.</w:t>
      </w:r>
      <w:r w:rsidRPr="00330234">
        <w:rPr>
          <w:b/>
        </w:rPr>
        <w:tab/>
        <w:t>FARMACEUTISCHE</w:t>
      </w:r>
      <w:r w:rsidRPr="00330234">
        <w:rPr>
          <w:b/>
          <w:spacing w:val="-8"/>
        </w:rPr>
        <w:t xml:space="preserve"> </w:t>
      </w:r>
      <w:r w:rsidRPr="00330234">
        <w:rPr>
          <w:b/>
        </w:rPr>
        <w:t>VORM</w:t>
      </w:r>
      <w:r w:rsidRPr="00330234">
        <w:rPr>
          <w:b/>
          <w:spacing w:val="-6"/>
        </w:rPr>
        <w:t xml:space="preserve"> </w:t>
      </w:r>
      <w:r w:rsidRPr="00330234">
        <w:rPr>
          <w:b/>
        </w:rPr>
        <w:t>EN</w:t>
      </w:r>
      <w:r w:rsidRPr="00330234">
        <w:rPr>
          <w:b/>
          <w:spacing w:val="-7"/>
        </w:rPr>
        <w:t xml:space="preserve"> </w:t>
      </w:r>
      <w:r w:rsidRPr="00330234">
        <w:rPr>
          <w:b/>
          <w:spacing w:val="-2"/>
        </w:rPr>
        <w:t>INHOUD</w:t>
      </w:r>
    </w:p>
    <w:p w14:paraId="08D852B7" w14:textId="2CCA6721" w:rsidR="00436DAA" w:rsidRPr="00330234" w:rsidRDefault="00436DAA" w:rsidP="009B0E27">
      <w:pPr>
        <w:pStyle w:val="a3"/>
        <w:widowControl/>
        <w:ind w:left="0"/>
      </w:pPr>
    </w:p>
    <w:p w14:paraId="41D418E6" w14:textId="77777777" w:rsidR="0018660B" w:rsidRPr="00330234" w:rsidRDefault="009B4B8E" w:rsidP="009B0E27">
      <w:pPr>
        <w:pStyle w:val="a3"/>
        <w:widowControl/>
        <w:ind w:left="0"/>
      </w:pPr>
      <w:r w:rsidRPr="00330234">
        <w:t>Concentraat voor oplossing voor infusie</w:t>
      </w:r>
    </w:p>
    <w:p w14:paraId="6DE9FCB0" w14:textId="65DBF1B2" w:rsidR="00436DAA" w:rsidRPr="00330234" w:rsidRDefault="009B4B8E" w:rsidP="009B0E27">
      <w:pPr>
        <w:pStyle w:val="a3"/>
        <w:widowControl/>
        <w:ind w:left="0"/>
      </w:pPr>
      <w:r w:rsidRPr="00330234">
        <w:t>400 mg/20 ml</w:t>
      </w:r>
    </w:p>
    <w:p w14:paraId="448FCD58" w14:textId="77777777" w:rsidR="00436DAA" w:rsidRPr="00330234" w:rsidRDefault="009B4B8E" w:rsidP="009B0E27">
      <w:pPr>
        <w:pStyle w:val="a3"/>
        <w:widowControl/>
        <w:ind w:left="0"/>
      </w:pPr>
      <w:r w:rsidRPr="00330234">
        <w:t>1 injectieflacon van 20 ml</w:t>
      </w:r>
    </w:p>
    <w:p w14:paraId="5BC587E7" w14:textId="77777777" w:rsidR="00436DAA" w:rsidRPr="00330234" w:rsidRDefault="009B4B8E" w:rsidP="009B0E27">
      <w:pPr>
        <w:pStyle w:val="a3"/>
        <w:widowControl/>
        <w:ind w:left="0"/>
      </w:pPr>
      <w:r w:rsidRPr="00330234">
        <w:t>4 injectieflacons van 20 ml</w:t>
      </w:r>
    </w:p>
    <w:p w14:paraId="43FB8814" w14:textId="77777777" w:rsidR="00436DAA" w:rsidRPr="00330234" w:rsidRDefault="00436DAA" w:rsidP="009B0E27">
      <w:pPr>
        <w:pStyle w:val="a3"/>
        <w:widowControl/>
        <w:ind w:left="0"/>
      </w:pPr>
    </w:p>
    <w:p w14:paraId="4F43942D" w14:textId="77777777" w:rsidR="0018660B" w:rsidRPr="00330234" w:rsidRDefault="0018660B" w:rsidP="009B0E27">
      <w:pPr>
        <w:pStyle w:val="a3"/>
        <w:widowControl/>
        <w:ind w:left="0"/>
      </w:pPr>
    </w:p>
    <w:p w14:paraId="26EACE9C"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5.</w:t>
      </w:r>
      <w:r w:rsidRPr="00330234">
        <w:rPr>
          <w:b/>
        </w:rPr>
        <w:tab/>
        <w:t>WIJZE</w:t>
      </w:r>
      <w:r w:rsidRPr="00330234">
        <w:rPr>
          <w:b/>
          <w:spacing w:val="-5"/>
        </w:rPr>
        <w:t xml:space="preserve"> </w:t>
      </w:r>
      <w:r w:rsidRPr="00330234">
        <w:rPr>
          <w:b/>
        </w:rPr>
        <w:t>VAN</w:t>
      </w:r>
      <w:r w:rsidRPr="00330234">
        <w:rPr>
          <w:b/>
          <w:spacing w:val="-5"/>
        </w:rPr>
        <w:t xml:space="preserve"> </w:t>
      </w:r>
      <w:r w:rsidRPr="00330234">
        <w:rPr>
          <w:b/>
        </w:rPr>
        <w:t>GEBRUIK</w:t>
      </w:r>
      <w:r w:rsidRPr="00330234">
        <w:rPr>
          <w:b/>
          <w:spacing w:val="-3"/>
        </w:rPr>
        <w:t xml:space="preserve"> </w:t>
      </w:r>
      <w:r w:rsidRPr="00330234">
        <w:rPr>
          <w:b/>
        </w:rPr>
        <w:t>EN</w:t>
      </w:r>
      <w:r w:rsidRPr="00330234">
        <w:rPr>
          <w:b/>
          <w:spacing w:val="-4"/>
        </w:rPr>
        <w:t xml:space="preserve"> </w:t>
      </w:r>
      <w:r w:rsidRPr="00330234">
        <w:rPr>
          <w:b/>
          <w:spacing w:val="-2"/>
        </w:rPr>
        <w:t>TOEDIENINGSWEG(EN)</w:t>
      </w:r>
    </w:p>
    <w:p w14:paraId="23A034F8" w14:textId="46E3D0B4" w:rsidR="00436DAA" w:rsidRPr="00330234" w:rsidRDefault="00436DAA" w:rsidP="009B0E27">
      <w:pPr>
        <w:pStyle w:val="a3"/>
        <w:widowControl/>
        <w:ind w:left="0"/>
      </w:pPr>
    </w:p>
    <w:p w14:paraId="704E97C8" w14:textId="77777777" w:rsidR="00436DAA" w:rsidRPr="00330234" w:rsidRDefault="009B4B8E" w:rsidP="009B0E27">
      <w:pPr>
        <w:pStyle w:val="a3"/>
        <w:widowControl/>
        <w:ind w:left="0"/>
      </w:pPr>
      <w:r w:rsidRPr="00330234">
        <w:t>Voor intraveneuze infusie na verdunning</w:t>
      </w:r>
    </w:p>
    <w:p w14:paraId="5B57F3B8" w14:textId="77777777" w:rsidR="0018660B" w:rsidRPr="00330234" w:rsidRDefault="009B4B8E" w:rsidP="009B0E27">
      <w:pPr>
        <w:pStyle w:val="a3"/>
        <w:widowControl/>
        <w:ind w:left="0"/>
      </w:pPr>
      <w:r w:rsidRPr="00330234">
        <w:t>Het verdunde product dient onmiddellijk te worden gebruikt</w:t>
      </w:r>
    </w:p>
    <w:p w14:paraId="6E2ECCE1" w14:textId="77777777" w:rsidR="0018660B" w:rsidRPr="00330234" w:rsidRDefault="0018660B" w:rsidP="009B0E27">
      <w:pPr>
        <w:pStyle w:val="a3"/>
        <w:widowControl/>
        <w:ind w:left="0"/>
      </w:pPr>
    </w:p>
    <w:p w14:paraId="1221D848" w14:textId="582DC015" w:rsidR="00436DAA" w:rsidRPr="00330234" w:rsidRDefault="009B4B8E" w:rsidP="009B0E27">
      <w:pPr>
        <w:pStyle w:val="a3"/>
        <w:widowControl/>
        <w:ind w:left="0"/>
      </w:pPr>
      <w:r w:rsidRPr="00330234">
        <w:t>Lees voor het gebruik de bijsluiter</w:t>
      </w:r>
    </w:p>
    <w:p w14:paraId="3773091D" w14:textId="77777777" w:rsidR="00436DAA" w:rsidRPr="00330234" w:rsidRDefault="00436DAA" w:rsidP="009B0E27">
      <w:pPr>
        <w:pStyle w:val="a3"/>
        <w:widowControl/>
        <w:ind w:left="0"/>
      </w:pPr>
    </w:p>
    <w:p w14:paraId="0702A4A0" w14:textId="40199C31"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rPr>
        <w:t>6.</w:t>
      </w:r>
      <w:r w:rsidRPr="00330234">
        <w:rPr>
          <w:b/>
        </w:rPr>
        <w:tab/>
        <w:t>EEN</w:t>
      </w:r>
      <w:r w:rsidRPr="00330234">
        <w:rPr>
          <w:b/>
          <w:spacing w:val="-5"/>
        </w:rPr>
        <w:t xml:space="preserve"> </w:t>
      </w:r>
      <w:r w:rsidRPr="00330234">
        <w:rPr>
          <w:b/>
        </w:rPr>
        <w:t>SPECIALE</w:t>
      </w:r>
      <w:r w:rsidRPr="00330234">
        <w:rPr>
          <w:b/>
          <w:spacing w:val="-5"/>
        </w:rPr>
        <w:t xml:space="preserve"> </w:t>
      </w:r>
      <w:r w:rsidRPr="00330234">
        <w:rPr>
          <w:b/>
        </w:rPr>
        <w:t>WAARSCHUWING</w:t>
      </w:r>
      <w:r w:rsidRPr="00330234">
        <w:rPr>
          <w:b/>
          <w:spacing w:val="-6"/>
        </w:rPr>
        <w:t xml:space="preserve"> </w:t>
      </w:r>
      <w:r w:rsidRPr="00330234">
        <w:rPr>
          <w:b/>
        </w:rPr>
        <w:t>DAT</w:t>
      </w:r>
      <w:r w:rsidRPr="00330234">
        <w:rPr>
          <w:b/>
          <w:spacing w:val="-5"/>
        </w:rPr>
        <w:t xml:space="preserve"> </w:t>
      </w:r>
      <w:r w:rsidRPr="00330234">
        <w:rPr>
          <w:b/>
        </w:rPr>
        <w:t>HET</w:t>
      </w:r>
      <w:r w:rsidRPr="00330234">
        <w:rPr>
          <w:b/>
          <w:spacing w:val="-8"/>
        </w:rPr>
        <w:t xml:space="preserve"> </w:t>
      </w:r>
      <w:r w:rsidRPr="00330234">
        <w:rPr>
          <w:b/>
        </w:rPr>
        <w:t>GENEESMIDDEL</w:t>
      </w:r>
      <w:r w:rsidRPr="00330234">
        <w:rPr>
          <w:b/>
          <w:spacing w:val="-5"/>
        </w:rPr>
        <w:t xml:space="preserve"> </w:t>
      </w:r>
      <w:r w:rsidRPr="00330234">
        <w:rPr>
          <w:b/>
        </w:rPr>
        <w:t>BUITEN</w:t>
      </w:r>
      <w:r w:rsidRPr="00330234">
        <w:rPr>
          <w:b/>
          <w:spacing w:val="-5"/>
        </w:rPr>
        <w:t xml:space="preserve"> </w:t>
      </w:r>
      <w:r w:rsidRPr="00330234">
        <w:rPr>
          <w:b/>
        </w:rPr>
        <w:t>HET ZICHT EN BEREIK VAN KINDEREN DIENT TE WORDEN GEHOUDEN</w:t>
      </w:r>
    </w:p>
    <w:p w14:paraId="533177E6" w14:textId="3189E4D6" w:rsidR="00436DAA" w:rsidRPr="00330234" w:rsidRDefault="00436DAA" w:rsidP="009B0E27">
      <w:pPr>
        <w:pStyle w:val="a3"/>
        <w:widowControl/>
        <w:ind w:left="0"/>
      </w:pPr>
    </w:p>
    <w:p w14:paraId="2BD18EA5" w14:textId="77777777" w:rsidR="00436DAA" w:rsidRPr="00330234" w:rsidRDefault="009B4B8E" w:rsidP="009B0E27">
      <w:pPr>
        <w:pStyle w:val="a3"/>
        <w:widowControl/>
        <w:ind w:left="0"/>
      </w:pPr>
      <w:r w:rsidRPr="00330234">
        <w:t>Buiten het zicht en bereik van kinderen houden</w:t>
      </w:r>
    </w:p>
    <w:p w14:paraId="215A0C7C" w14:textId="77777777" w:rsidR="00436DAA" w:rsidRPr="00330234" w:rsidRDefault="00436DAA" w:rsidP="009B0E27">
      <w:pPr>
        <w:pStyle w:val="a3"/>
        <w:widowControl/>
        <w:ind w:left="0"/>
      </w:pPr>
    </w:p>
    <w:p w14:paraId="29A88499" w14:textId="77777777" w:rsidR="0018660B" w:rsidRPr="00330234" w:rsidRDefault="0018660B" w:rsidP="009B0E27">
      <w:pPr>
        <w:pStyle w:val="a3"/>
        <w:widowControl/>
        <w:ind w:left="0"/>
      </w:pPr>
    </w:p>
    <w:p w14:paraId="1DD0C345"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7.</w:t>
      </w:r>
      <w:r w:rsidRPr="00330234">
        <w:rPr>
          <w:b/>
        </w:rPr>
        <w:tab/>
        <w:t>ANDERE</w:t>
      </w:r>
      <w:r w:rsidRPr="00330234">
        <w:rPr>
          <w:b/>
          <w:spacing w:val="-13"/>
        </w:rPr>
        <w:t xml:space="preserve"> </w:t>
      </w:r>
      <w:r w:rsidRPr="00330234">
        <w:rPr>
          <w:b/>
        </w:rPr>
        <w:t>SPECIALE</w:t>
      </w:r>
      <w:r w:rsidRPr="00330234">
        <w:rPr>
          <w:b/>
          <w:spacing w:val="-11"/>
        </w:rPr>
        <w:t xml:space="preserve"> </w:t>
      </w:r>
      <w:r w:rsidRPr="00330234">
        <w:rPr>
          <w:b/>
        </w:rPr>
        <w:t>WAARSCHUWING(EN),</w:t>
      </w:r>
      <w:r w:rsidRPr="00330234">
        <w:rPr>
          <w:b/>
          <w:spacing w:val="-10"/>
        </w:rPr>
        <w:t xml:space="preserve"> </w:t>
      </w:r>
      <w:r w:rsidRPr="00330234">
        <w:rPr>
          <w:b/>
        </w:rPr>
        <w:t>INDIEN</w:t>
      </w:r>
      <w:r w:rsidRPr="00330234">
        <w:rPr>
          <w:b/>
          <w:spacing w:val="-10"/>
        </w:rPr>
        <w:t xml:space="preserve"> </w:t>
      </w:r>
      <w:r w:rsidRPr="00330234">
        <w:rPr>
          <w:b/>
          <w:spacing w:val="-2"/>
        </w:rPr>
        <w:t>NODIG</w:t>
      </w:r>
    </w:p>
    <w:p w14:paraId="169DC1E6" w14:textId="7E20AEEE" w:rsidR="00436DAA" w:rsidRPr="00330234" w:rsidRDefault="00436DAA" w:rsidP="009B0E27">
      <w:pPr>
        <w:pStyle w:val="a3"/>
        <w:widowControl/>
        <w:ind w:left="0"/>
      </w:pPr>
    </w:p>
    <w:p w14:paraId="3D2447A8" w14:textId="77777777" w:rsidR="00436DAA" w:rsidRPr="00330234" w:rsidRDefault="00436DAA" w:rsidP="009B0E27">
      <w:pPr>
        <w:pStyle w:val="a3"/>
        <w:widowControl/>
        <w:ind w:left="0"/>
      </w:pPr>
    </w:p>
    <w:p w14:paraId="045AFC3E"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8.</w:t>
      </w:r>
      <w:r w:rsidRPr="00330234">
        <w:rPr>
          <w:b/>
        </w:rPr>
        <w:tab/>
        <w:t>UITERSTE</w:t>
      </w:r>
      <w:r w:rsidRPr="00330234">
        <w:rPr>
          <w:b/>
          <w:spacing w:val="-9"/>
        </w:rPr>
        <w:t xml:space="preserve"> </w:t>
      </w:r>
      <w:r w:rsidRPr="00330234">
        <w:rPr>
          <w:b/>
          <w:spacing w:val="-2"/>
        </w:rPr>
        <w:t>GEBRUIKSDATUM</w:t>
      </w:r>
    </w:p>
    <w:p w14:paraId="33DDCD3A" w14:textId="39FEC6E2" w:rsidR="00436DAA" w:rsidRPr="00330234" w:rsidRDefault="00436DAA" w:rsidP="009B0E27">
      <w:pPr>
        <w:pStyle w:val="a3"/>
        <w:widowControl/>
        <w:ind w:left="0"/>
      </w:pPr>
    </w:p>
    <w:p w14:paraId="5F16F1B3" w14:textId="77777777" w:rsidR="00436DAA" w:rsidRPr="00330234" w:rsidRDefault="009B4B8E" w:rsidP="009B0E27">
      <w:pPr>
        <w:pStyle w:val="a3"/>
        <w:widowControl/>
        <w:ind w:left="0"/>
      </w:pPr>
      <w:r w:rsidRPr="00330234">
        <w:t>EXP</w:t>
      </w:r>
    </w:p>
    <w:p w14:paraId="522888F0" w14:textId="77777777" w:rsidR="00436DAA" w:rsidRPr="00330234" w:rsidRDefault="00436DAA" w:rsidP="009B0E27">
      <w:pPr>
        <w:widowControl/>
      </w:pPr>
    </w:p>
    <w:p w14:paraId="5F44E89B" w14:textId="77777777" w:rsidR="0018660B" w:rsidRPr="00330234" w:rsidRDefault="0018660B" w:rsidP="009B0E27">
      <w:pPr>
        <w:widowControl/>
      </w:pPr>
    </w:p>
    <w:p w14:paraId="6A9438F4" w14:textId="77777777" w:rsidR="00580327" w:rsidRPr="00330234" w:rsidRDefault="00580327" w:rsidP="0018660B">
      <w:pPr>
        <w:keepNext/>
        <w:keepLines/>
        <w:pBdr>
          <w:top w:val="single" w:sz="4" w:space="1" w:color="auto"/>
          <w:left w:val="single" w:sz="4" w:space="4" w:color="auto"/>
          <w:bottom w:val="single" w:sz="4" w:space="1" w:color="auto"/>
          <w:right w:val="single" w:sz="4" w:space="4" w:color="auto"/>
        </w:pBdr>
        <w:ind w:left="567" w:hanging="567"/>
        <w:rPr>
          <w:b/>
        </w:rPr>
      </w:pPr>
      <w:r w:rsidRPr="00330234">
        <w:rPr>
          <w:b/>
          <w:spacing w:val="-5"/>
        </w:rPr>
        <w:lastRenderedPageBreak/>
        <w:t>9.</w:t>
      </w:r>
      <w:r w:rsidRPr="00330234">
        <w:rPr>
          <w:b/>
        </w:rPr>
        <w:tab/>
        <w:t>BIJZONDERE</w:t>
      </w:r>
      <w:r w:rsidRPr="00330234">
        <w:rPr>
          <w:b/>
          <w:spacing w:val="-12"/>
        </w:rPr>
        <w:t xml:space="preserve"> </w:t>
      </w:r>
      <w:r w:rsidRPr="00330234">
        <w:rPr>
          <w:b/>
        </w:rPr>
        <w:t>VOORZORGSMAATREGELEN</w:t>
      </w:r>
      <w:r w:rsidRPr="00330234">
        <w:rPr>
          <w:b/>
          <w:spacing w:val="-8"/>
        </w:rPr>
        <w:t xml:space="preserve"> </w:t>
      </w:r>
      <w:r w:rsidRPr="00330234">
        <w:rPr>
          <w:b/>
        </w:rPr>
        <w:t>VOOR</w:t>
      </w:r>
      <w:r w:rsidRPr="00330234">
        <w:rPr>
          <w:b/>
          <w:spacing w:val="-9"/>
        </w:rPr>
        <w:t xml:space="preserve"> </w:t>
      </w:r>
      <w:r w:rsidRPr="00330234">
        <w:rPr>
          <w:b/>
        </w:rPr>
        <w:t>DE</w:t>
      </w:r>
      <w:r w:rsidRPr="00330234">
        <w:rPr>
          <w:b/>
          <w:spacing w:val="-12"/>
        </w:rPr>
        <w:t xml:space="preserve"> </w:t>
      </w:r>
      <w:r w:rsidRPr="00330234">
        <w:rPr>
          <w:b/>
          <w:spacing w:val="-2"/>
        </w:rPr>
        <w:t>BEWARING</w:t>
      </w:r>
    </w:p>
    <w:p w14:paraId="2174EE6F" w14:textId="77777777" w:rsidR="00580327" w:rsidRPr="00330234" w:rsidRDefault="00580327" w:rsidP="0018660B">
      <w:pPr>
        <w:keepNext/>
        <w:keepLines/>
        <w:widowControl/>
      </w:pPr>
    </w:p>
    <w:p w14:paraId="09381678" w14:textId="77777777" w:rsidR="0018660B" w:rsidRPr="00330234" w:rsidRDefault="009B4B8E" w:rsidP="0018660B">
      <w:pPr>
        <w:pStyle w:val="a3"/>
        <w:keepNext/>
        <w:keepLines/>
        <w:widowControl/>
        <w:ind w:left="0"/>
      </w:pPr>
      <w:r w:rsidRPr="00330234">
        <w:t>Bewaren in de koelkast</w:t>
      </w:r>
    </w:p>
    <w:p w14:paraId="304935E1" w14:textId="19706DFC" w:rsidR="00436DAA" w:rsidRPr="00330234" w:rsidRDefault="009B4B8E" w:rsidP="0018660B">
      <w:pPr>
        <w:pStyle w:val="a3"/>
        <w:keepNext/>
        <w:keepLines/>
        <w:widowControl/>
        <w:ind w:left="0"/>
      </w:pPr>
      <w:r w:rsidRPr="00330234">
        <w:t>Niet invriezen</w:t>
      </w:r>
    </w:p>
    <w:p w14:paraId="03A4D042" w14:textId="77777777" w:rsidR="00436DAA" w:rsidRPr="00330234" w:rsidRDefault="009B4B8E" w:rsidP="0018660B">
      <w:pPr>
        <w:pStyle w:val="a3"/>
        <w:keepNext/>
        <w:keepLines/>
        <w:widowControl/>
        <w:ind w:left="0"/>
      </w:pPr>
      <w:r w:rsidRPr="00330234">
        <w:t>Houd de injectieflacon in de buitenverpakking, ter bescherming tegen licht</w:t>
      </w:r>
    </w:p>
    <w:p w14:paraId="64D62D72" w14:textId="77777777" w:rsidR="00436DAA" w:rsidRPr="00330234" w:rsidRDefault="00436DAA" w:rsidP="0018660B">
      <w:pPr>
        <w:pStyle w:val="a3"/>
        <w:keepNext/>
        <w:keepLines/>
        <w:widowControl/>
        <w:ind w:left="0"/>
      </w:pPr>
    </w:p>
    <w:p w14:paraId="14CF222F" w14:textId="77777777" w:rsidR="0018660B" w:rsidRPr="00330234" w:rsidRDefault="0018660B" w:rsidP="009B0E27">
      <w:pPr>
        <w:pStyle w:val="a3"/>
        <w:widowControl/>
        <w:ind w:left="0"/>
      </w:pPr>
    </w:p>
    <w:p w14:paraId="14D31D8F"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10.</w:t>
      </w:r>
      <w:r w:rsidRPr="00330234">
        <w:rPr>
          <w:b/>
        </w:rPr>
        <w:tab/>
        <w:t>BIJZONDERE</w:t>
      </w:r>
      <w:r w:rsidRPr="00330234">
        <w:rPr>
          <w:b/>
          <w:spacing w:val="-8"/>
        </w:rPr>
        <w:t xml:space="preserve"> </w:t>
      </w:r>
      <w:r w:rsidRPr="00330234">
        <w:rPr>
          <w:b/>
        </w:rPr>
        <w:t>VOORZORGSMAATREGELEN</w:t>
      </w:r>
      <w:r w:rsidRPr="00330234">
        <w:rPr>
          <w:b/>
          <w:spacing w:val="-7"/>
        </w:rPr>
        <w:t xml:space="preserve"> </w:t>
      </w:r>
      <w:r w:rsidRPr="00330234">
        <w:rPr>
          <w:b/>
        </w:rPr>
        <w:t>VOOR</w:t>
      </w:r>
      <w:r w:rsidRPr="00330234">
        <w:rPr>
          <w:b/>
          <w:spacing w:val="-11"/>
        </w:rPr>
        <w:t xml:space="preserve"> </w:t>
      </w:r>
      <w:r w:rsidRPr="00330234">
        <w:rPr>
          <w:b/>
        </w:rPr>
        <w:t>HET</w:t>
      </w:r>
      <w:r w:rsidRPr="00330234">
        <w:rPr>
          <w:b/>
          <w:spacing w:val="-8"/>
        </w:rPr>
        <w:t xml:space="preserve"> </w:t>
      </w:r>
      <w:r w:rsidRPr="00330234">
        <w:rPr>
          <w:b/>
        </w:rPr>
        <w:t>VERWIJDEREN</w:t>
      </w:r>
      <w:r w:rsidRPr="00330234">
        <w:rPr>
          <w:b/>
          <w:spacing w:val="-8"/>
        </w:rPr>
        <w:t xml:space="preserve"> </w:t>
      </w:r>
      <w:r w:rsidRPr="00330234">
        <w:rPr>
          <w:b/>
        </w:rPr>
        <w:t>VAN NIET-GEBRUIKTE GENEESMIDDELEN OF DAARVAN AFGELEIDE AFVALSTOFFEN (INDIEN VAN TOEPASSING)</w:t>
      </w:r>
    </w:p>
    <w:p w14:paraId="079A5478" w14:textId="77184856" w:rsidR="00436DAA" w:rsidRPr="00330234" w:rsidRDefault="00436DAA" w:rsidP="009B0E27">
      <w:pPr>
        <w:pStyle w:val="a3"/>
        <w:widowControl/>
        <w:ind w:left="0"/>
      </w:pPr>
    </w:p>
    <w:p w14:paraId="46A74234" w14:textId="77777777" w:rsidR="00436DAA" w:rsidRPr="00330234" w:rsidRDefault="00436DAA" w:rsidP="009B0E27">
      <w:pPr>
        <w:pStyle w:val="a3"/>
        <w:widowControl/>
        <w:ind w:left="0"/>
      </w:pPr>
    </w:p>
    <w:p w14:paraId="606DA0B5"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11.</w:t>
      </w:r>
      <w:r w:rsidRPr="00330234">
        <w:rPr>
          <w:b/>
        </w:rPr>
        <w:tab/>
        <w:t>NAAM</w:t>
      </w:r>
      <w:r w:rsidRPr="00330234">
        <w:rPr>
          <w:b/>
          <w:spacing w:val="-3"/>
        </w:rPr>
        <w:t xml:space="preserve"> </w:t>
      </w:r>
      <w:r w:rsidRPr="00330234">
        <w:rPr>
          <w:b/>
        </w:rPr>
        <w:t>EN</w:t>
      </w:r>
      <w:r w:rsidRPr="00330234">
        <w:rPr>
          <w:b/>
          <w:spacing w:val="-4"/>
        </w:rPr>
        <w:t xml:space="preserve"> </w:t>
      </w:r>
      <w:r w:rsidRPr="00330234">
        <w:rPr>
          <w:b/>
        </w:rPr>
        <w:t>ADRES</w:t>
      </w:r>
      <w:r w:rsidRPr="00330234">
        <w:rPr>
          <w:b/>
          <w:spacing w:val="-4"/>
        </w:rPr>
        <w:t xml:space="preserve"> </w:t>
      </w:r>
      <w:r w:rsidRPr="00330234">
        <w:rPr>
          <w:b/>
        </w:rPr>
        <w:t>VAN</w:t>
      </w:r>
      <w:r w:rsidRPr="00330234">
        <w:rPr>
          <w:b/>
          <w:spacing w:val="-2"/>
        </w:rPr>
        <w:t xml:space="preserve"> </w:t>
      </w:r>
      <w:r w:rsidRPr="00330234">
        <w:rPr>
          <w:b/>
        </w:rPr>
        <w:t>DE</w:t>
      </w:r>
      <w:r w:rsidRPr="00330234">
        <w:rPr>
          <w:b/>
          <w:spacing w:val="-4"/>
        </w:rPr>
        <w:t xml:space="preserve"> </w:t>
      </w:r>
      <w:r w:rsidRPr="00330234">
        <w:rPr>
          <w:b/>
        </w:rPr>
        <w:t>HOUDER</w:t>
      </w:r>
      <w:r w:rsidRPr="00330234">
        <w:rPr>
          <w:b/>
          <w:spacing w:val="-4"/>
        </w:rPr>
        <w:t xml:space="preserve"> </w:t>
      </w:r>
      <w:r w:rsidRPr="00330234">
        <w:rPr>
          <w:b/>
        </w:rPr>
        <w:t>VAN</w:t>
      </w:r>
      <w:r w:rsidRPr="00330234">
        <w:rPr>
          <w:b/>
          <w:spacing w:val="-4"/>
        </w:rPr>
        <w:t xml:space="preserve"> </w:t>
      </w:r>
      <w:r w:rsidRPr="00330234">
        <w:rPr>
          <w:b/>
        </w:rPr>
        <w:t>DE</w:t>
      </w:r>
      <w:r w:rsidRPr="00330234">
        <w:rPr>
          <w:b/>
          <w:spacing w:val="-4"/>
        </w:rPr>
        <w:t xml:space="preserve"> </w:t>
      </w:r>
      <w:r w:rsidRPr="00330234">
        <w:rPr>
          <w:b/>
        </w:rPr>
        <w:t>VERGUNNING</w:t>
      </w:r>
      <w:r w:rsidRPr="00330234">
        <w:rPr>
          <w:b/>
          <w:spacing w:val="-2"/>
        </w:rPr>
        <w:t xml:space="preserve"> </w:t>
      </w:r>
      <w:r w:rsidRPr="00330234">
        <w:rPr>
          <w:b/>
        </w:rPr>
        <w:t>VOOR</w:t>
      </w:r>
      <w:r w:rsidRPr="00330234">
        <w:rPr>
          <w:b/>
          <w:spacing w:val="-4"/>
        </w:rPr>
        <w:t xml:space="preserve"> </w:t>
      </w:r>
      <w:r w:rsidRPr="00330234">
        <w:rPr>
          <w:b/>
        </w:rPr>
        <w:t>HET</w:t>
      </w:r>
      <w:r w:rsidRPr="00330234">
        <w:rPr>
          <w:b/>
          <w:spacing w:val="-4"/>
        </w:rPr>
        <w:t xml:space="preserve"> </w:t>
      </w:r>
      <w:r w:rsidRPr="00330234">
        <w:rPr>
          <w:b/>
        </w:rPr>
        <w:t>IN</w:t>
      </w:r>
      <w:r w:rsidRPr="00330234">
        <w:rPr>
          <w:b/>
          <w:spacing w:val="-4"/>
        </w:rPr>
        <w:t xml:space="preserve"> </w:t>
      </w:r>
      <w:r w:rsidRPr="00330234">
        <w:rPr>
          <w:b/>
        </w:rPr>
        <w:t>DE HANDEL BRENGEN</w:t>
      </w:r>
    </w:p>
    <w:p w14:paraId="19A3B117" w14:textId="799BFA0F" w:rsidR="00436DAA" w:rsidRPr="00330234" w:rsidRDefault="00436DAA" w:rsidP="009B0E27">
      <w:pPr>
        <w:pStyle w:val="a3"/>
        <w:widowControl/>
        <w:ind w:left="0"/>
      </w:pPr>
    </w:p>
    <w:p w14:paraId="5B934B69" w14:textId="0D4CEAFA" w:rsidR="001F54AC" w:rsidRPr="00330234" w:rsidRDefault="001F54AC" w:rsidP="001F54AC">
      <w:pPr>
        <w:keepNext/>
      </w:pPr>
      <w:r w:rsidRPr="00330234">
        <w:t>Celltrion Healthcare Hungary Kft.</w:t>
      </w:r>
    </w:p>
    <w:p w14:paraId="3CC0EC10" w14:textId="77777777" w:rsidR="001F54AC" w:rsidRPr="00330234" w:rsidRDefault="001F54AC" w:rsidP="001F54AC">
      <w:pPr>
        <w:keepNext/>
      </w:pPr>
      <w:r w:rsidRPr="00330234">
        <w:t>1062 Budapest</w:t>
      </w:r>
    </w:p>
    <w:p w14:paraId="502CF163" w14:textId="77777777" w:rsidR="001F54AC" w:rsidRPr="00330234" w:rsidRDefault="001F54AC" w:rsidP="001F54AC">
      <w:pPr>
        <w:keepNext/>
      </w:pPr>
      <w:r w:rsidRPr="00330234">
        <w:t>Váci út 1-3. WestEnd Office Building B torony</w:t>
      </w:r>
    </w:p>
    <w:p w14:paraId="6735390E" w14:textId="5AA70ECF" w:rsidR="001F54AC" w:rsidRPr="00330234" w:rsidRDefault="001F54AC" w:rsidP="001F54AC">
      <w:r w:rsidRPr="00330234">
        <w:t>Hongarije</w:t>
      </w:r>
    </w:p>
    <w:p w14:paraId="6A8B2EEE" w14:textId="77777777" w:rsidR="00436DAA" w:rsidRPr="00330234" w:rsidRDefault="00436DAA" w:rsidP="009B0E27">
      <w:pPr>
        <w:pStyle w:val="a3"/>
        <w:widowControl/>
        <w:ind w:left="0"/>
      </w:pPr>
    </w:p>
    <w:p w14:paraId="199499F4" w14:textId="77777777" w:rsidR="0018660B" w:rsidRPr="00330234" w:rsidRDefault="0018660B" w:rsidP="009B0E27">
      <w:pPr>
        <w:pStyle w:val="a3"/>
        <w:widowControl/>
        <w:ind w:left="0"/>
      </w:pPr>
    </w:p>
    <w:p w14:paraId="5EA23EF7"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12.</w:t>
      </w:r>
      <w:r w:rsidRPr="00330234">
        <w:rPr>
          <w:b/>
        </w:rPr>
        <w:tab/>
        <w:t>NUMMER(S)</w:t>
      </w:r>
      <w:r w:rsidRPr="00330234">
        <w:rPr>
          <w:b/>
          <w:spacing w:val="-6"/>
        </w:rPr>
        <w:t xml:space="preserve"> </w:t>
      </w:r>
      <w:r w:rsidRPr="00330234">
        <w:rPr>
          <w:b/>
        </w:rPr>
        <w:t>VAN</w:t>
      </w:r>
      <w:r w:rsidRPr="00330234">
        <w:rPr>
          <w:b/>
          <w:spacing w:val="-5"/>
        </w:rPr>
        <w:t xml:space="preserve"> </w:t>
      </w:r>
      <w:r w:rsidRPr="00330234">
        <w:rPr>
          <w:b/>
        </w:rPr>
        <w:t>DE</w:t>
      </w:r>
      <w:r w:rsidRPr="00330234">
        <w:rPr>
          <w:b/>
          <w:spacing w:val="-6"/>
        </w:rPr>
        <w:t xml:space="preserve"> </w:t>
      </w:r>
      <w:r w:rsidRPr="00330234">
        <w:rPr>
          <w:b/>
        </w:rPr>
        <w:t>VERGUNNING</w:t>
      </w:r>
      <w:r w:rsidRPr="00330234">
        <w:rPr>
          <w:b/>
          <w:spacing w:val="-3"/>
        </w:rPr>
        <w:t xml:space="preserve"> </w:t>
      </w:r>
      <w:r w:rsidRPr="00330234">
        <w:rPr>
          <w:b/>
        </w:rPr>
        <w:t>VOOR</w:t>
      </w:r>
      <w:r w:rsidRPr="00330234">
        <w:rPr>
          <w:b/>
          <w:spacing w:val="-6"/>
        </w:rPr>
        <w:t xml:space="preserve"> </w:t>
      </w:r>
      <w:r w:rsidRPr="00330234">
        <w:rPr>
          <w:b/>
        </w:rPr>
        <w:t>HET</w:t>
      </w:r>
      <w:r w:rsidRPr="00330234">
        <w:rPr>
          <w:b/>
          <w:spacing w:val="-5"/>
        </w:rPr>
        <w:t xml:space="preserve"> </w:t>
      </w:r>
      <w:r w:rsidRPr="00330234">
        <w:rPr>
          <w:b/>
        </w:rPr>
        <w:t>IN</w:t>
      </w:r>
      <w:r w:rsidRPr="00330234">
        <w:rPr>
          <w:b/>
          <w:spacing w:val="-6"/>
        </w:rPr>
        <w:t xml:space="preserve"> </w:t>
      </w:r>
      <w:r w:rsidRPr="00330234">
        <w:rPr>
          <w:b/>
        </w:rPr>
        <w:t>DE</w:t>
      </w:r>
      <w:r w:rsidRPr="00330234">
        <w:rPr>
          <w:b/>
          <w:spacing w:val="-5"/>
        </w:rPr>
        <w:t xml:space="preserve"> </w:t>
      </w:r>
      <w:r w:rsidRPr="00330234">
        <w:rPr>
          <w:b/>
        </w:rPr>
        <w:t>HANDEL</w:t>
      </w:r>
      <w:r w:rsidRPr="00330234">
        <w:rPr>
          <w:b/>
          <w:spacing w:val="-5"/>
        </w:rPr>
        <w:t xml:space="preserve"> </w:t>
      </w:r>
      <w:r w:rsidRPr="00330234">
        <w:rPr>
          <w:b/>
          <w:spacing w:val="-2"/>
        </w:rPr>
        <w:t>BRENGEN</w:t>
      </w:r>
    </w:p>
    <w:p w14:paraId="78943FC4" w14:textId="6FD50429" w:rsidR="00436DAA" w:rsidRPr="00330234" w:rsidRDefault="00436DAA" w:rsidP="009B0E27">
      <w:pPr>
        <w:pStyle w:val="a3"/>
        <w:widowControl/>
        <w:ind w:left="0"/>
      </w:pPr>
    </w:p>
    <w:p w14:paraId="7DD4C076" w14:textId="032CDBD2" w:rsidR="0018660B" w:rsidRPr="00330234" w:rsidRDefault="009B4B8E" w:rsidP="009B0E27">
      <w:pPr>
        <w:pStyle w:val="a3"/>
        <w:widowControl/>
        <w:ind w:left="0"/>
      </w:pPr>
      <w:r w:rsidRPr="00330234">
        <w:t>EU</w:t>
      </w:r>
      <w:r w:rsidR="001F54AC" w:rsidRPr="00330234">
        <w:t>/</w:t>
      </w:r>
      <w:r w:rsidR="000E4D64" w:rsidRPr="00F458BB">
        <w:rPr>
          <w:spacing w:val="-1"/>
          <w:lang w:val="pt-BR"/>
        </w:rPr>
        <w:t>1/24/1896/00</w:t>
      </w:r>
      <w:r w:rsidR="000E4D64">
        <w:rPr>
          <w:rFonts w:eastAsia="맑은 고딕"/>
          <w:spacing w:val="-1"/>
          <w:lang w:val="pt-BR" w:eastAsia="ko-KR"/>
        </w:rPr>
        <w:t>5</w:t>
      </w:r>
      <w:r w:rsidR="000E4D64">
        <w:rPr>
          <w:rFonts w:hint="eastAsia"/>
          <w:spacing w:val="-1"/>
          <w:lang w:val="pt-BR" w:eastAsia="ko-KR"/>
        </w:rPr>
        <w:t xml:space="preserve"> </w:t>
      </w:r>
      <w:r w:rsidR="000E4D64">
        <w:rPr>
          <w:spacing w:val="-1"/>
          <w:lang w:val="pt-BR" w:eastAsia="ko-KR"/>
        </w:rPr>
        <w:t>1 injectieflacon</w:t>
      </w:r>
    </w:p>
    <w:p w14:paraId="63C85E6C" w14:textId="6AF9C3AE" w:rsidR="00436DAA" w:rsidRPr="00330234" w:rsidRDefault="009B4B8E" w:rsidP="009B0E27">
      <w:pPr>
        <w:pStyle w:val="a3"/>
        <w:widowControl/>
        <w:ind w:left="0"/>
      </w:pPr>
      <w:r w:rsidRPr="00330234">
        <w:t>EU</w:t>
      </w:r>
      <w:r w:rsidR="001F54AC" w:rsidRPr="00330234">
        <w:t>/</w:t>
      </w:r>
      <w:r w:rsidR="000E4D64" w:rsidRPr="00F458BB">
        <w:rPr>
          <w:spacing w:val="-1"/>
          <w:lang w:val="pt-BR"/>
        </w:rPr>
        <w:t>1/24/1896/00</w:t>
      </w:r>
      <w:r w:rsidR="000E4D64">
        <w:rPr>
          <w:rFonts w:eastAsia="맑은 고딕"/>
          <w:spacing w:val="-1"/>
          <w:lang w:val="pt-BR" w:eastAsia="ko-KR"/>
        </w:rPr>
        <w:t>6</w:t>
      </w:r>
      <w:r w:rsidR="000E4D64">
        <w:rPr>
          <w:rFonts w:hint="eastAsia"/>
          <w:spacing w:val="-1"/>
          <w:lang w:val="pt-BR" w:eastAsia="ko-KR"/>
        </w:rPr>
        <w:t xml:space="preserve"> </w:t>
      </w:r>
      <w:r w:rsidR="000E4D64">
        <w:rPr>
          <w:spacing w:val="-1"/>
          <w:lang w:val="pt-BR" w:eastAsia="ko-KR"/>
        </w:rPr>
        <w:t>4 injectieflacons</w:t>
      </w:r>
    </w:p>
    <w:p w14:paraId="18DB45C8" w14:textId="77777777" w:rsidR="00436DAA" w:rsidRPr="00330234" w:rsidRDefault="00436DAA" w:rsidP="009B0E27">
      <w:pPr>
        <w:pStyle w:val="a3"/>
        <w:widowControl/>
        <w:ind w:left="0"/>
      </w:pPr>
    </w:p>
    <w:p w14:paraId="1E0019A2" w14:textId="77777777" w:rsidR="0018660B" w:rsidRPr="00330234" w:rsidRDefault="0018660B" w:rsidP="009B0E27">
      <w:pPr>
        <w:pStyle w:val="a3"/>
        <w:widowControl/>
        <w:ind w:left="0"/>
      </w:pPr>
    </w:p>
    <w:p w14:paraId="1E90821D"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13.</w:t>
      </w:r>
      <w:r w:rsidRPr="00330234">
        <w:rPr>
          <w:b/>
        </w:rPr>
        <w:tab/>
      </w:r>
      <w:r w:rsidRPr="00330234">
        <w:rPr>
          <w:b/>
          <w:spacing w:val="-2"/>
        </w:rPr>
        <w:t>PARTIJNUMMER</w:t>
      </w:r>
    </w:p>
    <w:p w14:paraId="2F10B664" w14:textId="5A0D9CB1" w:rsidR="00436DAA" w:rsidRPr="00330234" w:rsidRDefault="00436DAA" w:rsidP="009B0E27">
      <w:pPr>
        <w:pStyle w:val="a3"/>
        <w:widowControl/>
        <w:ind w:left="0"/>
      </w:pPr>
    </w:p>
    <w:p w14:paraId="2F31DEAA" w14:textId="2F07BBC1" w:rsidR="00436DAA" w:rsidRPr="00330234" w:rsidRDefault="001F54AC" w:rsidP="009B0E27">
      <w:pPr>
        <w:pStyle w:val="a3"/>
        <w:widowControl/>
        <w:ind w:left="0"/>
      </w:pPr>
      <w:r w:rsidRPr="00330234">
        <w:t>Lot</w:t>
      </w:r>
    </w:p>
    <w:p w14:paraId="2737EC69" w14:textId="77777777" w:rsidR="00436DAA" w:rsidRPr="00330234" w:rsidRDefault="00436DAA" w:rsidP="009B0E27">
      <w:pPr>
        <w:pStyle w:val="a3"/>
        <w:widowControl/>
        <w:ind w:left="0"/>
      </w:pPr>
    </w:p>
    <w:p w14:paraId="40E14500" w14:textId="77777777" w:rsidR="0018660B" w:rsidRPr="00330234" w:rsidRDefault="0018660B" w:rsidP="009B0E27">
      <w:pPr>
        <w:pStyle w:val="a3"/>
        <w:widowControl/>
        <w:ind w:left="0"/>
      </w:pPr>
    </w:p>
    <w:p w14:paraId="39BE0329"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14.</w:t>
      </w:r>
      <w:r w:rsidRPr="00330234">
        <w:rPr>
          <w:b/>
        </w:rPr>
        <w:tab/>
        <w:t>ALGEMENE</w:t>
      </w:r>
      <w:r w:rsidRPr="00330234">
        <w:rPr>
          <w:b/>
          <w:spacing w:val="-6"/>
        </w:rPr>
        <w:t xml:space="preserve"> </w:t>
      </w:r>
      <w:r w:rsidRPr="00330234">
        <w:rPr>
          <w:b/>
        </w:rPr>
        <w:t>INDELING</w:t>
      </w:r>
      <w:r w:rsidRPr="00330234">
        <w:rPr>
          <w:b/>
          <w:spacing w:val="-4"/>
        </w:rPr>
        <w:t xml:space="preserve"> </w:t>
      </w:r>
      <w:r w:rsidRPr="00330234">
        <w:rPr>
          <w:b/>
        </w:rPr>
        <w:t>VOOR</w:t>
      </w:r>
      <w:r w:rsidRPr="00330234">
        <w:rPr>
          <w:b/>
          <w:spacing w:val="-6"/>
        </w:rPr>
        <w:t xml:space="preserve"> </w:t>
      </w:r>
      <w:r w:rsidRPr="00330234">
        <w:rPr>
          <w:b/>
        </w:rPr>
        <w:t>DE</w:t>
      </w:r>
      <w:r w:rsidRPr="00330234">
        <w:rPr>
          <w:b/>
          <w:spacing w:val="-5"/>
        </w:rPr>
        <w:t xml:space="preserve"> </w:t>
      </w:r>
      <w:r w:rsidRPr="00330234">
        <w:rPr>
          <w:b/>
          <w:spacing w:val="-2"/>
        </w:rPr>
        <w:t>AFLEVERING</w:t>
      </w:r>
    </w:p>
    <w:p w14:paraId="27754B04" w14:textId="57411F9F" w:rsidR="00436DAA" w:rsidRPr="00330234" w:rsidRDefault="00436DAA" w:rsidP="009B0E27">
      <w:pPr>
        <w:pStyle w:val="a3"/>
        <w:widowControl/>
        <w:ind w:left="0"/>
      </w:pPr>
    </w:p>
    <w:p w14:paraId="59CBAE3F" w14:textId="77777777" w:rsidR="00436DAA" w:rsidRPr="00330234" w:rsidRDefault="009B4B8E" w:rsidP="009B0E27">
      <w:pPr>
        <w:pStyle w:val="a3"/>
        <w:widowControl/>
        <w:ind w:left="0"/>
      </w:pPr>
      <w:r>
        <w:rPr>
          <w:highlight w:val="lightGray"/>
        </w:rPr>
        <w:t>Geneesmiddel op medisch voorschrift</w:t>
      </w:r>
    </w:p>
    <w:p w14:paraId="75E87FE6" w14:textId="77777777" w:rsidR="00436DAA" w:rsidRPr="00330234" w:rsidRDefault="00436DAA" w:rsidP="009B0E27">
      <w:pPr>
        <w:pStyle w:val="a3"/>
        <w:widowControl/>
        <w:ind w:left="0"/>
      </w:pPr>
    </w:p>
    <w:p w14:paraId="12BE6D34" w14:textId="77777777" w:rsidR="0018660B" w:rsidRPr="00330234" w:rsidRDefault="0018660B" w:rsidP="009B0E27">
      <w:pPr>
        <w:pStyle w:val="a3"/>
        <w:widowControl/>
        <w:ind w:left="0"/>
      </w:pPr>
    </w:p>
    <w:p w14:paraId="7A061F0A"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15.</w:t>
      </w:r>
      <w:r w:rsidRPr="00330234">
        <w:rPr>
          <w:b/>
        </w:rPr>
        <w:tab/>
        <w:t>INSTRUCTIES</w:t>
      </w:r>
      <w:r w:rsidRPr="00330234">
        <w:rPr>
          <w:b/>
          <w:spacing w:val="-7"/>
        </w:rPr>
        <w:t xml:space="preserve"> </w:t>
      </w:r>
      <w:r w:rsidRPr="00330234">
        <w:rPr>
          <w:b/>
        </w:rPr>
        <w:t>VOOR</w:t>
      </w:r>
      <w:r w:rsidRPr="00330234">
        <w:rPr>
          <w:b/>
          <w:spacing w:val="-7"/>
        </w:rPr>
        <w:t xml:space="preserve"> </w:t>
      </w:r>
      <w:r w:rsidRPr="00330234">
        <w:rPr>
          <w:b/>
          <w:spacing w:val="-2"/>
        </w:rPr>
        <w:t>GEBRUIK</w:t>
      </w:r>
    </w:p>
    <w:p w14:paraId="737F92A9" w14:textId="7866F11F" w:rsidR="00436DAA" w:rsidRPr="00330234" w:rsidRDefault="00436DAA" w:rsidP="009B0E27">
      <w:pPr>
        <w:pStyle w:val="a3"/>
        <w:widowControl/>
        <w:ind w:left="0"/>
      </w:pPr>
    </w:p>
    <w:p w14:paraId="002A6432" w14:textId="77777777" w:rsidR="00436DAA" w:rsidRPr="00330234" w:rsidRDefault="00436DAA" w:rsidP="009B0E27">
      <w:pPr>
        <w:pStyle w:val="a3"/>
        <w:widowControl/>
        <w:ind w:left="0"/>
      </w:pPr>
    </w:p>
    <w:p w14:paraId="4441BBA7"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16.</w:t>
      </w:r>
      <w:r w:rsidRPr="00330234">
        <w:rPr>
          <w:b/>
        </w:rPr>
        <w:tab/>
        <w:t>INFORMATIE</w:t>
      </w:r>
      <w:r w:rsidRPr="00330234">
        <w:rPr>
          <w:b/>
          <w:spacing w:val="-5"/>
        </w:rPr>
        <w:t xml:space="preserve"> </w:t>
      </w:r>
      <w:r w:rsidRPr="00330234">
        <w:rPr>
          <w:b/>
        </w:rPr>
        <w:t>IN</w:t>
      </w:r>
      <w:r w:rsidRPr="00330234">
        <w:rPr>
          <w:b/>
          <w:spacing w:val="-7"/>
        </w:rPr>
        <w:t xml:space="preserve"> </w:t>
      </w:r>
      <w:r w:rsidRPr="00330234">
        <w:rPr>
          <w:b/>
          <w:spacing w:val="-2"/>
        </w:rPr>
        <w:t>BRAILLE</w:t>
      </w:r>
    </w:p>
    <w:p w14:paraId="75527CF2" w14:textId="203D34B7" w:rsidR="00436DAA" w:rsidRPr="00330234" w:rsidRDefault="00436DAA" w:rsidP="009B0E27">
      <w:pPr>
        <w:pStyle w:val="a3"/>
        <w:widowControl/>
        <w:ind w:left="0"/>
      </w:pPr>
    </w:p>
    <w:p w14:paraId="51BDA1B5" w14:textId="77777777" w:rsidR="00436DAA" w:rsidRPr="00330234" w:rsidRDefault="009B4B8E" w:rsidP="009B0E27">
      <w:pPr>
        <w:pStyle w:val="a3"/>
        <w:widowControl/>
        <w:ind w:left="0"/>
      </w:pPr>
      <w:r>
        <w:rPr>
          <w:highlight w:val="lightGray"/>
        </w:rPr>
        <w:t>Rechtvaardiging voor uitzondering van braille is aanvaardbaar</w:t>
      </w:r>
    </w:p>
    <w:p w14:paraId="72F18786" w14:textId="77777777" w:rsidR="00436DAA" w:rsidRPr="00330234" w:rsidRDefault="00436DAA" w:rsidP="009B0E27">
      <w:pPr>
        <w:pStyle w:val="a3"/>
        <w:widowControl/>
        <w:ind w:left="0"/>
      </w:pPr>
    </w:p>
    <w:p w14:paraId="1E375792" w14:textId="77777777" w:rsidR="0018660B" w:rsidRPr="00330234" w:rsidRDefault="0018660B" w:rsidP="009B0E27">
      <w:pPr>
        <w:pStyle w:val="a3"/>
        <w:widowControl/>
        <w:ind w:left="0"/>
      </w:pPr>
    </w:p>
    <w:p w14:paraId="66D7C0BA"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17.</w:t>
      </w:r>
      <w:r w:rsidRPr="00330234">
        <w:rPr>
          <w:b/>
        </w:rPr>
        <w:tab/>
        <w:t>UNIEK</w:t>
      </w:r>
      <w:r w:rsidRPr="00330234">
        <w:rPr>
          <w:b/>
          <w:spacing w:val="-8"/>
        </w:rPr>
        <w:t xml:space="preserve"> </w:t>
      </w:r>
      <w:r w:rsidRPr="00330234">
        <w:rPr>
          <w:b/>
        </w:rPr>
        <w:t>IDENTIFICATIEKENMERK</w:t>
      </w:r>
      <w:r w:rsidRPr="00330234">
        <w:rPr>
          <w:b/>
          <w:spacing w:val="-7"/>
        </w:rPr>
        <w:t xml:space="preserve"> </w:t>
      </w:r>
      <w:r w:rsidRPr="00330234">
        <w:rPr>
          <w:b/>
        </w:rPr>
        <w:t>-</w:t>
      </w:r>
      <w:r w:rsidRPr="00330234">
        <w:rPr>
          <w:b/>
          <w:spacing w:val="-5"/>
        </w:rPr>
        <w:t xml:space="preserve"> </w:t>
      </w:r>
      <w:r w:rsidRPr="00330234">
        <w:rPr>
          <w:b/>
        </w:rPr>
        <w:t>2D</w:t>
      </w:r>
      <w:r w:rsidRPr="00330234">
        <w:rPr>
          <w:b/>
          <w:spacing w:val="-7"/>
        </w:rPr>
        <w:t xml:space="preserve"> </w:t>
      </w:r>
      <w:r w:rsidRPr="00330234">
        <w:rPr>
          <w:b/>
          <w:spacing w:val="-2"/>
        </w:rPr>
        <w:t>MATRIXCODE</w:t>
      </w:r>
    </w:p>
    <w:p w14:paraId="36E919AA" w14:textId="671C0D18" w:rsidR="00436DAA" w:rsidRPr="00330234" w:rsidRDefault="00436DAA" w:rsidP="009B0E27">
      <w:pPr>
        <w:pStyle w:val="a3"/>
        <w:widowControl/>
        <w:ind w:left="0"/>
      </w:pPr>
    </w:p>
    <w:p w14:paraId="02321A66" w14:textId="77777777" w:rsidR="00436DAA" w:rsidRPr="00330234" w:rsidRDefault="009B4B8E" w:rsidP="009B0E27">
      <w:pPr>
        <w:pStyle w:val="a3"/>
        <w:widowControl/>
        <w:ind w:left="0"/>
      </w:pPr>
      <w:r>
        <w:rPr>
          <w:color w:val="000000"/>
          <w:highlight w:val="lightGray"/>
          <w:shd w:val="pct35" w:color="auto" w:fill="auto"/>
        </w:rPr>
        <w:t>2D matrixcode met het unieke identificatiekenmerk.</w:t>
      </w:r>
    </w:p>
    <w:p w14:paraId="4E7A8C2F" w14:textId="77777777" w:rsidR="00436DAA" w:rsidRPr="00330234" w:rsidRDefault="00436DAA" w:rsidP="009B0E27">
      <w:pPr>
        <w:widowControl/>
      </w:pPr>
    </w:p>
    <w:p w14:paraId="1A086214" w14:textId="77777777" w:rsidR="0018660B" w:rsidRPr="00330234" w:rsidRDefault="0018660B" w:rsidP="009B0E27">
      <w:pPr>
        <w:widowControl/>
      </w:pPr>
    </w:p>
    <w:p w14:paraId="16C545C6"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18.</w:t>
      </w:r>
      <w:r w:rsidRPr="00330234">
        <w:rPr>
          <w:b/>
        </w:rPr>
        <w:tab/>
        <w:t>UNIEK</w:t>
      </w:r>
      <w:r w:rsidRPr="00330234">
        <w:rPr>
          <w:b/>
          <w:spacing w:val="-11"/>
        </w:rPr>
        <w:t xml:space="preserve"> </w:t>
      </w:r>
      <w:r w:rsidRPr="00330234">
        <w:rPr>
          <w:b/>
        </w:rPr>
        <w:t>IDENTIFICATIEKENMERK</w:t>
      </w:r>
      <w:r w:rsidRPr="00330234">
        <w:rPr>
          <w:b/>
          <w:spacing w:val="-8"/>
        </w:rPr>
        <w:t xml:space="preserve"> </w:t>
      </w:r>
      <w:r w:rsidRPr="00330234">
        <w:rPr>
          <w:b/>
        </w:rPr>
        <w:t>-</w:t>
      </w:r>
      <w:r w:rsidRPr="00330234">
        <w:rPr>
          <w:b/>
          <w:spacing w:val="-6"/>
        </w:rPr>
        <w:t xml:space="preserve"> </w:t>
      </w:r>
      <w:r w:rsidRPr="00330234">
        <w:rPr>
          <w:b/>
        </w:rPr>
        <w:t>VOOR</w:t>
      </w:r>
      <w:r w:rsidRPr="00330234">
        <w:rPr>
          <w:b/>
          <w:spacing w:val="-8"/>
        </w:rPr>
        <w:t xml:space="preserve"> </w:t>
      </w:r>
      <w:r w:rsidRPr="00330234">
        <w:rPr>
          <w:b/>
        </w:rPr>
        <w:t>MENSEN</w:t>
      </w:r>
      <w:r w:rsidRPr="00330234">
        <w:rPr>
          <w:b/>
          <w:spacing w:val="-8"/>
        </w:rPr>
        <w:t xml:space="preserve"> </w:t>
      </w:r>
      <w:r w:rsidRPr="00330234">
        <w:rPr>
          <w:b/>
        </w:rPr>
        <w:t>LEESBARE</w:t>
      </w:r>
      <w:r w:rsidRPr="00330234">
        <w:rPr>
          <w:b/>
          <w:spacing w:val="-8"/>
        </w:rPr>
        <w:t xml:space="preserve"> </w:t>
      </w:r>
      <w:r w:rsidRPr="00330234">
        <w:rPr>
          <w:b/>
          <w:spacing w:val="-2"/>
        </w:rPr>
        <w:t>GEGEVENS</w:t>
      </w:r>
    </w:p>
    <w:p w14:paraId="71EF5601" w14:textId="77777777" w:rsidR="00580327" w:rsidRPr="00330234" w:rsidRDefault="00580327" w:rsidP="009B0E27">
      <w:pPr>
        <w:widowControl/>
      </w:pPr>
    </w:p>
    <w:p w14:paraId="27A4FDDD" w14:textId="77777777" w:rsidR="0018660B" w:rsidRPr="00330234" w:rsidRDefault="009B4B8E" w:rsidP="009B0E27">
      <w:pPr>
        <w:pStyle w:val="a3"/>
        <w:widowControl/>
        <w:ind w:left="0"/>
      </w:pPr>
      <w:r w:rsidRPr="00330234">
        <w:t>PC</w:t>
      </w:r>
    </w:p>
    <w:p w14:paraId="0DF60B17" w14:textId="77777777" w:rsidR="0018660B" w:rsidRPr="00330234" w:rsidRDefault="009B4B8E" w:rsidP="009B0E27">
      <w:pPr>
        <w:pStyle w:val="a3"/>
        <w:widowControl/>
        <w:ind w:left="0"/>
      </w:pPr>
      <w:r w:rsidRPr="00330234">
        <w:t>SN</w:t>
      </w:r>
    </w:p>
    <w:p w14:paraId="617DC228" w14:textId="77777777" w:rsidR="006542D9" w:rsidRPr="00330234" w:rsidRDefault="009B4B8E" w:rsidP="0018660B">
      <w:pPr>
        <w:pStyle w:val="a3"/>
        <w:widowControl/>
        <w:ind w:left="0"/>
      </w:pPr>
      <w:r w:rsidRPr="00143A85">
        <w:rPr>
          <w:highlight w:val="lightGray"/>
        </w:rPr>
        <w:t>NN</w:t>
      </w:r>
    </w:p>
    <w:p w14:paraId="716D841F" w14:textId="56BAAEA8" w:rsidR="00580327" w:rsidRPr="00330234" w:rsidRDefault="00580327" w:rsidP="001B3E1E">
      <w:pPr>
        <w:pStyle w:val="a3"/>
        <w:widowControl/>
        <w:pBdr>
          <w:top w:val="single" w:sz="4" w:space="1" w:color="auto"/>
          <w:left w:val="single" w:sz="4" w:space="4" w:color="auto"/>
          <w:bottom w:val="single" w:sz="4" w:space="1" w:color="auto"/>
          <w:right w:val="single" w:sz="4" w:space="4" w:color="auto"/>
        </w:pBdr>
        <w:ind w:left="0"/>
        <w:rPr>
          <w:b/>
        </w:rPr>
      </w:pPr>
      <w:r w:rsidRPr="00330234">
        <w:br w:type="page"/>
      </w:r>
      <w:r w:rsidRPr="00330234">
        <w:rPr>
          <w:b/>
        </w:rPr>
        <w:lastRenderedPageBreak/>
        <w:t>GEGEVENS</w:t>
      </w:r>
      <w:r w:rsidRPr="00330234">
        <w:rPr>
          <w:b/>
          <w:spacing w:val="-4"/>
        </w:rPr>
        <w:t xml:space="preserve"> </w:t>
      </w:r>
      <w:r w:rsidRPr="00330234">
        <w:rPr>
          <w:b/>
        </w:rPr>
        <w:t>DIE</w:t>
      </w:r>
      <w:r w:rsidRPr="00330234">
        <w:rPr>
          <w:b/>
          <w:spacing w:val="-6"/>
        </w:rPr>
        <w:t xml:space="preserve"> </w:t>
      </w:r>
      <w:r w:rsidRPr="00330234">
        <w:rPr>
          <w:b/>
        </w:rPr>
        <w:t>OP</w:t>
      </w:r>
      <w:r w:rsidRPr="00330234">
        <w:rPr>
          <w:b/>
          <w:spacing w:val="-4"/>
        </w:rPr>
        <w:t xml:space="preserve"> </w:t>
      </w:r>
      <w:r w:rsidRPr="00330234">
        <w:rPr>
          <w:b/>
        </w:rPr>
        <w:t>DE</w:t>
      </w:r>
      <w:r w:rsidRPr="00330234">
        <w:rPr>
          <w:b/>
          <w:spacing w:val="-9"/>
        </w:rPr>
        <w:t xml:space="preserve"> </w:t>
      </w:r>
      <w:r w:rsidRPr="00330234">
        <w:rPr>
          <w:b/>
        </w:rPr>
        <w:t>BUITENVERPAKKING</w:t>
      </w:r>
      <w:r w:rsidRPr="00330234">
        <w:rPr>
          <w:b/>
          <w:spacing w:val="-9"/>
        </w:rPr>
        <w:t xml:space="preserve"> </w:t>
      </w:r>
      <w:r w:rsidRPr="00330234">
        <w:rPr>
          <w:b/>
        </w:rPr>
        <w:t>MOETEN</w:t>
      </w:r>
      <w:r w:rsidRPr="00330234">
        <w:rPr>
          <w:b/>
          <w:spacing w:val="-6"/>
        </w:rPr>
        <w:t xml:space="preserve"> </w:t>
      </w:r>
      <w:r w:rsidRPr="00330234">
        <w:rPr>
          <w:b/>
        </w:rPr>
        <w:t>WORDEN</w:t>
      </w:r>
      <w:r w:rsidRPr="00330234">
        <w:rPr>
          <w:b/>
          <w:spacing w:val="-6"/>
        </w:rPr>
        <w:t xml:space="preserve"> </w:t>
      </w:r>
      <w:r w:rsidRPr="00330234">
        <w:rPr>
          <w:b/>
          <w:spacing w:val="-2"/>
        </w:rPr>
        <w:t>VERMELD</w:t>
      </w:r>
    </w:p>
    <w:p w14:paraId="11727CFF" w14:textId="77777777" w:rsidR="00580327" w:rsidRPr="00330234" w:rsidRDefault="00580327" w:rsidP="006542D9">
      <w:pPr>
        <w:pStyle w:val="a3"/>
        <w:pBdr>
          <w:top w:val="single" w:sz="4" w:space="1" w:color="auto"/>
          <w:left w:val="single" w:sz="4" w:space="4" w:color="auto"/>
          <w:bottom w:val="single" w:sz="4" w:space="1" w:color="auto"/>
          <w:right w:val="single" w:sz="4" w:space="4" w:color="auto"/>
        </w:pBdr>
        <w:ind w:left="0"/>
        <w:rPr>
          <w:b/>
        </w:rPr>
      </w:pPr>
    </w:p>
    <w:p w14:paraId="7031ED1E" w14:textId="77777777" w:rsidR="00580327" w:rsidRPr="00330234" w:rsidRDefault="00580327" w:rsidP="006542D9">
      <w:pPr>
        <w:pBdr>
          <w:top w:val="single" w:sz="4" w:space="1" w:color="auto"/>
          <w:left w:val="single" w:sz="4" w:space="4" w:color="auto"/>
          <w:bottom w:val="single" w:sz="4" w:space="1" w:color="auto"/>
          <w:right w:val="single" w:sz="4" w:space="4" w:color="auto"/>
        </w:pBdr>
        <w:rPr>
          <w:b/>
        </w:rPr>
      </w:pPr>
      <w:r w:rsidRPr="00330234">
        <w:rPr>
          <w:b/>
        </w:rPr>
        <w:t>VERPAKKING</w:t>
      </w:r>
      <w:r w:rsidRPr="00330234">
        <w:rPr>
          <w:b/>
          <w:spacing w:val="-9"/>
        </w:rPr>
        <w:t xml:space="preserve"> </w:t>
      </w:r>
      <w:r w:rsidRPr="00330234">
        <w:rPr>
          <w:b/>
        </w:rPr>
        <w:t>VOOR</w:t>
      </w:r>
      <w:r w:rsidRPr="00330234">
        <w:rPr>
          <w:b/>
          <w:spacing w:val="-7"/>
        </w:rPr>
        <w:t xml:space="preserve"> </w:t>
      </w:r>
      <w:r w:rsidRPr="00330234">
        <w:rPr>
          <w:b/>
        </w:rPr>
        <w:t>DE</w:t>
      </w:r>
      <w:r w:rsidRPr="00330234">
        <w:rPr>
          <w:b/>
          <w:spacing w:val="-8"/>
        </w:rPr>
        <w:t xml:space="preserve"> </w:t>
      </w:r>
      <w:r w:rsidRPr="00330234">
        <w:rPr>
          <w:b/>
        </w:rPr>
        <w:t>VOORGEVULDE</w:t>
      </w:r>
      <w:r w:rsidRPr="00330234">
        <w:rPr>
          <w:b/>
          <w:spacing w:val="-7"/>
        </w:rPr>
        <w:t xml:space="preserve"> </w:t>
      </w:r>
      <w:r w:rsidRPr="00330234">
        <w:rPr>
          <w:b/>
          <w:spacing w:val="-2"/>
        </w:rPr>
        <w:t>SPUIT</w:t>
      </w:r>
    </w:p>
    <w:p w14:paraId="574274D6" w14:textId="72F30E03" w:rsidR="00436DAA" w:rsidRPr="00330234" w:rsidRDefault="00436DAA" w:rsidP="009B0E27">
      <w:pPr>
        <w:pStyle w:val="a3"/>
        <w:widowControl/>
        <w:ind w:left="0"/>
      </w:pPr>
    </w:p>
    <w:p w14:paraId="01C8FDC1" w14:textId="77777777" w:rsidR="0018660B" w:rsidRPr="00330234" w:rsidRDefault="0018660B" w:rsidP="009B0E27">
      <w:pPr>
        <w:pStyle w:val="a3"/>
        <w:widowControl/>
        <w:ind w:left="0"/>
      </w:pPr>
    </w:p>
    <w:p w14:paraId="3994D994"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w:t>
      </w:r>
      <w:r w:rsidRPr="00330234">
        <w:rPr>
          <w:b/>
        </w:rPr>
        <w:tab/>
        <w:t>NAAM</w:t>
      </w:r>
      <w:r w:rsidRPr="00330234">
        <w:rPr>
          <w:b/>
          <w:spacing w:val="-4"/>
        </w:rPr>
        <w:t xml:space="preserve"> </w:t>
      </w:r>
      <w:r w:rsidRPr="00330234">
        <w:rPr>
          <w:b/>
        </w:rPr>
        <w:t>VAN</w:t>
      </w:r>
      <w:r w:rsidRPr="00330234">
        <w:rPr>
          <w:b/>
          <w:spacing w:val="-4"/>
        </w:rPr>
        <w:t xml:space="preserve"> </w:t>
      </w:r>
      <w:r w:rsidRPr="00330234">
        <w:rPr>
          <w:b/>
        </w:rPr>
        <w:t>HET</w:t>
      </w:r>
      <w:r w:rsidRPr="00330234">
        <w:rPr>
          <w:b/>
          <w:spacing w:val="-4"/>
        </w:rPr>
        <w:t xml:space="preserve"> </w:t>
      </w:r>
      <w:r w:rsidRPr="00330234">
        <w:rPr>
          <w:b/>
          <w:spacing w:val="-2"/>
        </w:rPr>
        <w:t>GENEESMIDDEL</w:t>
      </w:r>
    </w:p>
    <w:p w14:paraId="2B890E75" w14:textId="2DAB7959" w:rsidR="00436DAA" w:rsidRPr="00330234" w:rsidRDefault="00436DAA" w:rsidP="009B0E27">
      <w:pPr>
        <w:pStyle w:val="a3"/>
        <w:widowControl/>
        <w:ind w:left="0"/>
      </w:pPr>
    </w:p>
    <w:p w14:paraId="7D410C29" w14:textId="5CF605A3" w:rsidR="0018660B" w:rsidRPr="00330234" w:rsidRDefault="007A197C" w:rsidP="009B0E27">
      <w:pPr>
        <w:pStyle w:val="a3"/>
        <w:widowControl/>
        <w:ind w:left="0"/>
      </w:pPr>
      <w:r w:rsidRPr="00330234">
        <w:t>Avtozma</w:t>
      </w:r>
      <w:r w:rsidR="009B4B8E" w:rsidRPr="00330234">
        <w:t xml:space="preserve"> 162 mg oplossing voor injectie in voorgevulde spuit</w:t>
      </w:r>
    </w:p>
    <w:p w14:paraId="43FC7ABE" w14:textId="3A76DE75" w:rsidR="00436DAA" w:rsidRPr="00330234" w:rsidRDefault="009B4B8E" w:rsidP="009B0E27">
      <w:pPr>
        <w:pStyle w:val="a3"/>
        <w:widowControl/>
        <w:ind w:left="0"/>
      </w:pPr>
      <w:r w:rsidRPr="00330234">
        <w:t>tocilizumab</w:t>
      </w:r>
    </w:p>
    <w:p w14:paraId="34B5CC0C" w14:textId="77777777" w:rsidR="0018660B" w:rsidRPr="00330234" w:rsidRDefault="0018660B" w:rsidP="009B0E27">
      <w:pPr>
        <w:pStyle w:val="a3"/>
        <w:widowControl/>
        <w:ind w:left="0"/>
      </w:pPr>
    </w:p>
    <w:p w14:paraId="67D76D8E" w14:textId="77777777" w:rsidR="0018660B" w:rsidRPr="00330234" w:rsidRDefault="0018660B" w:rsidP="009B0E27">
      <w:pPr>
        <w:pStyle w:val="a3"/>
        <w:widowControl/>
        <w:ind w:left="0"/>
      </w:pPr>
    </w:p>
    <w:p w14:paraId="0D443D49"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2.</w:t>
      </w:r>
      <w:r w:rsidRPr="00330234">
        <w:rPr>
          <w:b/>
        </w:rPr>
        <w:tab/>
        <w:t>GEHALTE</w:t>
      </w:r>
      <w:r w:rsidRPr="00330234">
        <w:rPr>
          <w:b/>
          <w:spacing w:val="-7"/>
        </w:rPr>
        <w:t xml:space="preserve"> </w:t>
      </w:r>
      <w:r w:rsidRPr="00330234">
        <w:rPr>
          <w:b/>
        </w:rPr>
        <w:t>AAN</w:t>
      </w:r>
      <w:r w:rsidRPr="00330234">
        <w:rPr>
          <w:b/>
          <w:spacing w:val="-7"/>
        </w:rPr>
        <w:t xml:space="preserve"> </w:t>
      </w:r>
      <w:r w:rsidRPr="00330234">
        <w:rPr>
          <w:b/>
        </w:rPr>
        <w:t>WERKZAME</w:t>
      </w:r>
      <w:r w:rsidRPr="00330234">
        <w:rPr>
          <w:b/>
          <w:spacing w:val="-7"/>
        </w:rPr>
        <w:t xml:space="preserve"> </w:t>
      </w:r>
      <w:r w:rsidRPr="00330234">
        <w:rPr>
          <w:b/>
          <w:spacing w:val="-2"/>
        </w:rPr>
        <w:t>STOF(FEN)</w:t>
      </w:r>
    </w:p>
    <w:p w14:paraId="47FD9581" w14:textId="265B04CE" w:rsidR="00436DAA" w:rsidRPr="00330234" w:rsidRDefault="00436DAA" w:rsidP="009B0E27">
      <w:pPr>
        <w:pStyle w:val="a3"/>
        <w:widowControl/>
        <w:ind w:left="0"/>
      </w:pPr>
    </w:p>
    <w:p w14:paraId="665D3E77" w14:textId="77777777" w:rsidR="00436DAA" w:rsidRPr="00330234" w:rsidRDefault="009B4B8E" w:rsidP="009B0E27">
      <w:pPr>
        <w:pStyle w:val="a3"/>
        <w:widowControl/>
        <w:ind w:left="0"/>
      </w:pPr>
      <w:r w:rsidRPr="00330234">
        <w:t>1 voorgevulde spuit bevat 162 mg tocilizumab.</w:t>
      </w:r>
    </w:p>
    <w:p w14:paraId="22325BCF" w14:textId="77777777" w:rsidR="00436DAA" w:rsidRPr="00330234" w:rsidRDefault="00436DAA" w:rsidP="009B0E27">
      <w:pPr>
        <w:pStyle w:val="a3"/>
        <w:widowControl/>
        <w:ind w:left="0"/>
      </w:pPr>
    </w:p>
    <w:p w14:paraId="1ABC2A78" w14:textId="77777777" w:rsidR="0018660B" w:rsidRPr="00330234" w:rsidRDefault="0018660B" w:rsidP="009B0E27">
      <w:pPr>
        <w:pStyle w:val="a3"/>
        <w:widowControl/>
        <w:ind w:left="0"/>
      </w:pPr>
    </w:p>
    <w:p w14:paraId="05BB39A3"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3.</w:t>
      </w:r>
      <w:r w:rsidRPr="00330234">
        <w:rPr>
          <w:b/>
        </w:rPr>
        <w:tab/>
        <w:t>LIJST</w:t>
      </w:r>
      <w:r w:rsidRPr="00330234">
        <w:rPr>
          <w:b/>
          <w:spacing w:val="-4"/>
        </w:rPr>
        <w:t xml:space="preserve"> </w:t>
      </w:r>
      <w:r w:rsidRPr="00330234">
        <w:rPr>
          <w:b/>
        </w:rPr>
        <w:t>VAN</w:t>
      </w:r>
      <w:r w:rsidRPr="00330234">
        <w:rPr>
          <w:b/>
          <w:spacing w:val="-4"/>
        </w:rPr>
        <w:t xml:space="preserve"> </w:t>
      </w:r>
      <w:r w:rsidRPr="00330234">
        <w:rPr>
          <w:b/>
          <w:spacing w:val="-2"/>
        </w:rPr>
        <w:t>HULPSTOFFEN</w:t>
      </w:r>
    </w:p>
    <w:p w14:paraId="00F8E25B" w14:textId="0CD41287" w:rsidR="00436DAA" w:rsidRPr="00330234" w:rsidRDefault="00436DAA" w:rsidP="009B0E27">
      <w:pPr>
        <w:pStyle w:val="a3"/>
        <w:widowControl/>
        <w:ind w:left="0"/>
      </w:pPr>
    </w:p>
    <w:p w14:paraId="263AAD4D" w14:textId="6B04B146" w:rsidR="001F54AC" w:rsidRPr="00330234" w:rsidRDefault="001F54AC" w:rsidP="001F54AC">
      <w:pPr>
        <w:pStyle w:val="a3"/>
        <w:widowControl/>
        <w:ind w:left="0"/>
      </w:pPr>
      <w:r w:rsidRPr="00330234">
        <w:t xml:space="preserve">Hulpstoffen: L-histidine, </w:t>
      </w:r>
      <w:r w:rsidR="0065408F" w:rsidRPr="0065408F">
        <w:rPr>
          <w:rFonts w:hint="eastAsia"/>
        </w:rPr>
        <w:t>L-histidine monohydrochloride monohydraat</w:t>
      </w:r>
      <w:r w:rsidR="00545170" w:rsidRPr="00545170">
        <w:t xml:space="preserve">, </w:t>
      </w:r>
      <w:r w:rsidRPr="00330234">
        <w:t>L-threonine, L-methionine, polysorbaat 80 en water voor injecties.</w:t>
      </w:r>
    </w:p>
    <w:p w14:paraId="4E979A00" w14:textId="01F393F6" w:rsidR="001F54AC" w:rsidRPr="00330234" w:rsidRDefault="001F54AC" w:rsidP="001F54AC">
      <w:pPr>
        <w:pStyle w:val="a3"/>
        <w:widowControl/>
        <w:ind w:left="0"/>
      </w:pPr>
      <w:r w:rsidRPr="00330234">
        <w:t>Zie bijsluiter voor meer informatie.</w:t>
      </w:r>
    </w:p>
    <w:p w14:paraId="79924DC8" w14:textId="77777777" w:rsidR="00436DAA" w:rsidRPr="00330234" w:rsidRDefault="00436DAA" w:rsidP="009B0E27">
      <w:pPr>
        <w:pStyle w:val="a3"/>
        <w:widowControl/>
        <w:ind w:left="0"/>
      </w:pPr>
    </w:p>
    <w:p w14:paraId="4418D840" w14:textId="77777777" w:rsidR="0018660B" w:rsidRPr="00330234" w:rsidRDefault="0018660B" w:rsidP="009B0E27">
      <w:pPr>
        <w:pStyle w:val="a3"/>
        <w:widowControl/>
        <w:ind w:left="0"/>
      </w:pPr>
    </w:p>
    <w:p w14:paraId="6FA9F8AF"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4.</w:t>
      </w:r>
      <w:r w:rsidRPr="00330234">
        <w:rPr>
          <w:b/>
        </w:rPr>
        <w:tab/>
        <w:t>FARMACEUTISCHE</w:t>
      </w:r>
      <w:r w:rsidRPr="00330234">
        <w:rPr>
          <w:b/>
          <w:spacing w:val="-8"/>
        </w:rPr>
        <w:t xml:space="preserve"> </w:t>
      </w:r>
      <w:r w:rsidRPr="00330234">
        <w:rPr>
          <w:b/>
        </w:rPr>
        <w:t>VORM</w:t>
      </w:r>
      <w:r w:rsidRPr="00330234">
        <w:rPr>
          <w:b/>
          <w:spacing w:val="-6"/>
        </w:rPr>
        <w:t xml:space="preserve"> </w:t>
      </w:r>
      <w:r w:rsidRPr="00330234">
        <w:rPr>
          <w:b/>
        </w:rPr>
        <w:t>EN</w:t>
      </w:r>
      <w:r w:rsidRPr="00330234">
        <w:rPr>
          <w:b/>
          <w:spacing w:val="-7"/>
        </w:rPr>
        <w:t xml:space="preserve"> </w:t>
      </w:r>
      <w:r w:rsidRPr="00330234">
        <w:rPr>
          <w:b/>
          <w:spacing w:val="-2"/>
        </w:rPr>
        <w:t>INHOUD</w:t>
      </w:r>
    </w:p>
    <w:p w14:paraId="7CBEDDA0" w14:textId="3ED787A8" w:rsidR="00436DAA" w:rsidRPr="00330234" w:rsidRDefault="00436DAA" w:rsidP="009B0E27">
      <w:pPr>
        <w:pStyle w:val="a3"/>
        <w:widowControl/>
        <w:ind w:left="0"/>
      </w:pPr>
    </w:p>
    <w:p w14:paraId="197510D1" w14:textId="77777777" w:rsidR="0018660B" w:rsidRPr="00330234" w:rsidRDefault="009B4B8E" w:rsidP="009B0E27">
      <w:pPr>
        <w:pStyle w:val="a3"/>
        <w:widowControl/>
        <w:ind w:left="0"/>
      </w:pPr>
      <w:r w:rsidRPr="00330234">
        <w:t>Oplossing voor injectie in voorgevulde spuit</w:t>
      </w:r>
    </w:p>
    <w:p w14:paraId="48F7B194" w14:textId="3B9D7169" w:rsidR="001F54AC" w:rsidRPr="00330234" w:rsidRDefault="001F54AC" w:rsidP="009B0E27">
      <w:pPr>
        <w:pStyle w:val="a3"/>
        <w:widowControl/>
        <w:ind w:left="0"/>
      </w:pPr>
      <w:r w:rsidRPr="00330234">
        <w:t>1 voorgevulde spuit</w:t>
      </w:r>
    </w:p>
    <w:p w14:paraId="7B4B035E" w14:textId="77777777" w:rsidR="002C41D8" w:rsidRDefault="002C41D8" w:rsidP="009B0E27">
      <w:pPr>
        <w:pStyle w:val="a3"/>
        <w:widowControl/>
        <w:ind w:left="0"/>
        <w:rPr>
          <w:ins w:id="42" w:author="만든 이"/>
          <w:rFonts w:eastAsia="맑은 고딕"/>
          <w:lang w:eastAsia="ko-KR"/>
        </w:rPr>
      </w:pPr>
      <w:ins w:id="43" w:author="만든 이">
        <w:r>
          <w:rPr>
            <w:rFonts w:eastAsia="맑은 고딕" w:hint="eastAsia"/>
            <w:lang w:eastAsia="ko-KR"/>
          </w:rPr>
          <w:t>q</w:t>
        </w:r>
        <w:r w:rsidRPr="00330234">
          <w:t xml:space="preserve"> voorgevulde spuiten </w:t>
        </w:r>
      </w:ins>
    </w:p>
    <w:p w14:paraId="41493996" w14:textId="324E276B" w:rsidR="00436DAA" w:rsidRPr="00330234" w:rsidRDefault="009B4B8E" w:rsidP="009B0E27">
      <w:pPr>
        <w:pStyle w:val="a3"/>
        <w:widowControl/>
        <w:ind w:left="0"/>
      </w:pPr>
      <w:r w:rsidRPr="00330234">
        <w:t>4 voorgevulde spuiten</w:t>
      </w:r>
    </w:p>
    <w:p w14:paraId="31331013" w14:textId="77777777" w:rsidR="00436DAA" w:rsidRPr="00330234" w:rsidRDefault="009B4B8E" w:rsidP="009B0E27">
      <w:pPr>
        <w:pStyle w:val="a3"/>
        <w:widowControl/>
        <w:ind w:left="0"/>
      </w:pPr>
      <w:r w:rsidRPr="00330234">
        <w:t>162 mg/0,9 ml</w:t>
      </w:r>
    </w:p>
    <w:p w14:paraId="0EFC87EA" w14:textId="77777777" w:rsidR="00436DAA" w:rsidRPr="00330234" w:rsidRDefault="00436DAA" w:rsidP="009B0E27">
      <w:pPr>
        <w:pStyle w:val="a3"/>
        <w:widowControl/>
        <w:ind w:left="0"/>
      </w:pPr>
    </w:p>
    <w:p w14:paraId="3F6F7816" w14:textId="77777777" w:rsidR="0018660B" w:rsidRPr="00330234" w:rsidRDefault="0018660B" w:rsidP="009B0E27">
      <w:pPr>
        <w:pStyle w:val="a3"/>
        <w:widowControl/>
        <w:ind w:left="0"/>
      </w:pPr>
    </w:p>
    <w:p w14:paraId="220D48E5"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5.</w:t>
      </w:r>
      <w:r w:rsidRPr="00330234">
        <w:rPr>
          <w:b/>
        </w:rPr>
        <w:tab/>
        <w:t>WIJZE</w:t>
      </w:r>
      <w:r w:rsidRPr="00330234">
        <w:rPr>
          <w:b/>
          <w:spacing w:val="-5"/>
        </w:rPr>
        <w:t xml:space="preserve"> </w:t>
      </w:r>
      <w:r w:rsidRPr="00330234">
        <w:rPr>
          <w:b/>
        </w:rPr>
        <w:t>VAN</w:t>
      </w:r>
      <w:r w:rsidRPr="00330234">
        <w:rPr>
          <w:b/>
          <w:spacing w:val="-5"/>
        </w:rPr>
        <w:t xml:space="preserve"> </w:t>
      </w:r>
      <w:r w:rsidRPr="00330234">
        <w:rPr>
          <w:b/>
        </w:rPr>
        <w:t>GEBRUIK</w:t>
      </w:r>
      <w:r w:rsidRPr="00330234">
        <w:rPr>
          <w:b/>
          <w:spacing w:val="-3"/>
        </w:rPr>
        <w:t xml:space="preserve"> </w:t>
      </w:r>
      <w:r w:rsidRPr="00330234">
        <w:rPr>
          <w:b/>
        </w:rPr>
        <w:t>EN</w:t>
      </w:r>
      <w:r w:rsidRPr="00330234">
        <w:rPr>
          <w:b/>
          <w:spacing w:val="-4"/>
        </w:rPr>
        <w:t xml:space="preserve"> </w:t>
      </w:r>
      <w:r w:rsidRPr="00330234">
        <w:rPr>
          <w:b/>
          <w:spacing w:val="-2"/>
        </w:rPr>
        <w:t>TOEDIENINGSWEG(EN)</w:t>
      </w:r>
    </w:p>
    <w:p w14:paraId="08F6DBC7" w14:textId="6D7BFDDD" w:rsidR="00436DAA" w:rsidRPr="00330234" w:rsidRDefault="00436DAA" w:rsidP="009B0E27">
      <w:pPr>
        <w:pStyle w:val="a3"/>
        <w:widowControl/>
        <w:ind w:left="0"/>
      </w:pPr>
    </w:p>
    <w:p w14:paraId="756BD74D" w14:textId="77777777" w:rsidR="00436DAA" w:rsidRPr="00330234" w:rsidRDefault="009B4B8E" w:rsidP="009B0E27">
      <w:pPr>
        <w:pStyle w:val="a3"/>
        <w:widowControl/>
        <w:ind w:left="0"/>
      </w:pPr>
      <w:r w:rsidRPr="00330234">
        <w:t>Subcutaan gebruik</w:t>
      </w:r>
    </w:p>
    <w:p w14:paraId="452F8A47" w14:textId="77777777" w:rsidR="00436DAA" w:rsidRPr="00330234" w:rsidRDefault="009B4B8E" w:rsidP="009B0E27">
      <w:pPr>
        <w:pStyle w:val="a3"/>
        <w:widowControl/>
        <w:ind w:left="0"/>
      </w:pPr>
      <w:r w:rsidRPr="00330234">
        <w:t>Lees voor het gebruik de bijsluiter</w:t>
      </w:r>
    </w:p>
    <w:p w14:paraId="4BD89AFC" w14:textId="77777777" w:rsidR="00436DAA" w:rsidRPr="00330234" w:rsidRDefault="00436DAA" w:rsidP="009B0E27">
      <w:pPr>
        <w:pStyle w:val="a3"/>
        <w:widowControl/>
        <w:ind w:left="0"/>
      </w:pPr>
    </w:p>
    <w:p w14:paraId="5E2F8F77" w14:textId="77777777" w:rsidR="0018660B" w:rsidRPr="00330234" w:rsidRDefault="0018660B" w:rsidP="009B0E27">
      <w:pPr>
        <w:pStyle w:val="a3"/>
        <w:widowControl/>
        <w:ind w:left="0"/>
      </w:pPr>
    </w:p>
    <w:p w14:paraId="4E18494B" w14:textId="0B61B9CD"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rPr>
        <w:t>6.</w:t>
      </w:r>
      <w:r w:rsidRPr="00330234">
        <w:rPr>
          <w:b/>
        </w:rPr>
        <w:tab/>
        <w:t>EEN</w:t>
      </w:r>
      <w:r w:rsidRPr="00330234">
        <w:rPr>
          <w:b/>
          <w:spacing w:val="-5"/>
        </w:rPr>
        <w:t xml:space="preserve"> </w:t>
      </w:r>
      <w:r w:rsidRPr="00330234">
        <w:rPr>
          <w:b/>
        </w:rPr>
        <w:t>SPECIALE</w:t>
      </w:r>
      <w:r w:rsidRPr="00330234">
        <w:rPr>
          <w:b/>
          <w:spacing w:val="-5"/>
        </w:rPr>
        <w:t xml:space="preserve"> </w:t>
      </w:r>
      <w:r w:rsidRPr="00330234">
        <w:rPr>
          <w:b/>
        </w:rPr>
        <w:t>WAARSCHUWING</w:t>
      </w:r>
      <w:r w:rsidRPr="00330234">
        <w:rPr>
          <w:b/>
          <w:spacing w:val="-6"/>
        </w:rPr>
        <w:t xml:space="preserve"> </w:t>
      </w:r>
      <w:r w:rsidRPr="00330234">
        <w:rPr>
          <w:b/>
        </w:rPr>
        <w:t>DAT</w:t>
      </w:r>
      <w:r w:rsidRPr="00330234">
        <w:rPr>
          <w:b/>
          <w:spacing w:val="-5"/>
        </w:rPr>
        <w:t xml:space="preserve"> </w:t>
      </w:r>
      <w:r w:rsidRPr="00330234">
        <w:rPr>
          <w:b/>
        </w:rPr>
        <w:t>HET</w:t>
      </w:r>
      <w:r w:rsidRPr="00330234">
        <w:rPr>
          <w:b/>
          <w:spacing w:val="-8"/>
        </w:rPr>
        <w:t xml:space="preserve"> </w:t>
      </w:r>
      <w:r w:rsidRPr="00330234">
        <w:rPr>
          <w:b/>
        </w:rPr>
        <w:t>GENEESMIDDEL</w:t>
      </w:r>
      <w:r w:rsidRPr="00330234">
        <w:rPr>
          <w:b/>
          <w:spacing w:val="-5"/>
        </w:rPr>
        <w:t xml:space="preserve"> </w:t>
      </w:r>
      <w:r w:rsidRPr="00330234">
        <w:rPr>
          <w:b/>
        </w:rPr>
        <w:t>BUITEN</w:t>
      </w:r>
      <w:r w:rsidRPr="00330234">
        <w:rPr>
          <w:b/>
          <w:spacing w:val="-5"/>
        </w:rPr>
        <w:t xml:space="preserve"> </w:t>
      </w:r>
      <w:r w:rsidRPr="00330234">
        <w:rPr>
          <w:b/>
        </w:rPr>
        <w:t>HET ZICHT EN BEREIK VAN KINDEREN DIENT TE WORDEN GEHOUDEN</w:t>
      </w:r>
    </w:p>
    <w:p w14:paraId="4FBEA38A" w14:textId="74850205" w:rsidR="00436DAA" w:rsidRPr="00330234" w:rsidRDefault="00436DAA" w:rsidP="009B0E27">
      <w:pPr>
        <w:pStyle w:val="a3"/>
        <w:widowControl/>
        <w:ind w:left="0"/>
      </w:pPr>
    </w:p>
    <w:p w14:paraId="5F94D7D9" w14:textId="77777777" w:rsidR="00436DAA" w:rsidRPr="00330234" w:rsidRDefault="009B4B8E" w:rsidP="009B0E27">
      <w:pPr>
        <w:pStyle w:val="a3"/>
        <w:widowControl/>
        <w:ind w:left="0"/>
      </w:pPr>
      <w:r w:rsidRPr="00330234">
        <w:t>Buiten het zicht en bereik van kinderen houden</w:t>
      </w:r>
    </w:p>
    <w:p w14:paraId="6C297D31" w14:textId="77777777" w:rsidR="00436DAA" w:rsidRPr="00330234" w:rsidRDefault="00436DAA" w:rsidP="009B0E27">
      <w:pPr>
        <w:pStyle w:val="a3"/>
        <w:widowControl/>
        <w:ind w:left="0"/>
      </w:pPr>
    </w:p>
    <w:p w14:paraId="4715FBCF" w14:textId="77777777" w:rsidR="0018660B" w:rsidRPr="00330234" w:rsidRDefault="0018660B" w:rsidP="009B0E27">
      <w:pPr>
        <w:pStyle w:val="a3"/>
        <w:widowControl/>
        <w:ind w:left="0"/>
      </w:pPr>
    </w:p>
    <w:p w14:paraId="25C806B1"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7.</w:t>
      </w:r>
      <w:r w:rsidRPr="00330234">
        <w:rPr>
          <w:b/>
        </w:rPr>
        <w:tab/>
        <w:t>ANDERE</w:t>
      </w:r>
      <w:r w:rsidRPr="00330234">
        <w:rPr>
          <w:b/>
          <w:spacing w:val="-13"/>
        </w:rPr>
        <w:t xml:space="preserve"> </w:t>
      </w:r>
      <w:r w:rsidRPr="00330234">
        <w:rPr>
          <w:b/>
        </w:rPr>
        <w:t>SPECIALE</w:t>
      </w:r>
      <w:r w:rsidRPr="00330234">
        <w:rPr>
          <w:b/>
          <w:spacing w:val="-11"/>
        </w:rPr>
        <w:t xml:space="preserve"> </w:t>
      </w:r>
      <w:r w:rsidRPr="00330234">
        <w:rPr>
          <w:b/>
        </w:rPr>
        <w:t>WAARSCHUWING(EN),</w:t>
      </w:r>
      <w:r w:rsidRPr="00330234">
        <w:rPr>
          <w:b/>
          <w:spacing w:val="-10"/>
        </w:rPr>
        <w:t xml:space="preserve"> </w:t>
      </w:r>
      <w:r w:rsidRPr="00330234">
        <w:rPr>
          <w:b/>
        </w:rPr>
        <w:t>INDIEN</w:t>
      </w:r>
      <w:r w:rsidRPr="00330234">
        <w:rPr>
          <w:b/>
          <w:spacing w:val="-10"/>
        </w:rPr>
        <w:t xml:space="preserve"> </w:t>
      </w:r>
      <w:r w:rsidRPr="00330234">
        <w:rPr>
          <w:b/>
          <w:spacing w:val="-2"/>
        </w:rPr>
        <w:t>NODIG</w:t>
      </w:r>
    </w:p>
    <w:p w14:paraId="0EB4A715" w14:textId="41DE3DCE" w:rsidR="00436DAA" w:rsidRPr="00330234" w:rsidRDefault="00436DAA" w:rsidP="009B0E27">
      <w:pPr>
        <w:pStyle w:val="a3"/>
        <w:widowControl/>
        <w:ind w:left="0"/>
      </w:pPr>
    </w:p>
    <w:p w14:paraId="437A81DB" w14:textId="787FEABA" w:rsidR="00436DAA" w:rsidRPr="00330234" w:rsidRDefault="009B4B8E" w:rsidP="009B0E27">
      <w:pPr>
        <w:pStyle w:val="a3"/>
        <w:widowControl/>
        <w:ind w:left="0"/>
      </w:pPr>
      <w:r w:rsidRPr="00330234">
        <w:t>De spuit buiten de verpakking op kamertemperatuur laten komen gedurende 30 minuten voor gebruik</w:t>
      </w:r>
    </w:p>
    <w:p w14:paraId="4DD4955C" w14:textId="77777777" w:rsidR="00436DAA" w:rsidRPr="00330234" w:rsidRDefault="00436DAA" w:rsidP="009B0E27">
      <w:pPr>
        <w:pStyle w:val="a3"/>
        <w:widowControl/>
        <w:ind w:left="0"/>
      </w:pPr>
    </w:p>
    <w:p w14:paraId="4F0ACBE3" w14:textId="77777777" w:rsidR="0018660B" w:rsidRPr="00330234" w:rsidRDefault="0018660B" w:rsidP="009B0E27">
      <w:pPr>
        <w:pStyle w:val="a3"/>
        <w:widowControl/>
        <w:ind w:left="0"/>
      </w:pPr>
    </w:p>
    <w:p w14:paraId="504D6527"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8.</w:t>
      </w:r>
      <w:r w:rsidRPr="00330234">
        <w:rPr>
          <w:b/>
        </w:rPr>
        <w:tab/>
        <w:t>UITERSTE</w:t>
      </w:r>
      <w:r w:rsidRPr="00330234">
        <w:rPr>
          <w:b/>
          <w:spacing w:val="-9"/>
        </w:rPr>
        <w:t xml:space="preserve"> </w:t>
      </w:r>
      <w:r w:rsidRPr="00330234">
        <w:rPr>
          <w:b/>
          <w:spacing w:val="-2"/>
        </w:rPr>
        <w:t>GEBRUIKSDATUM</w:t>
      </w:r>
    </w:p>
    <w:p w14:paraId="6F72CC5A" w14:textId="442E5E23" w:rsidR="00436DAA" w:rsidRPr="00330234" w:rsidRDefault="00436DAA" w:rsidP="009B0E27">
      <w:pPr>
        <w:pStyle w:val="a3"/>
        <w:widowControl/>
        <w:ind w:left="0"/>
      </w:pPr>
    </w:p>
    <w:p w14:paraId="2216820C" w14:textId="77777777" w:rsidR="00436DAA" w:rsidRPr="00330234" w:rsidRDefault="009B4B8E" w:rsidP="009B0E27">
      <w:pPr>
        <w:pStyle w:val="a3"/>
        <w:widowControl/>
        <w:ind w:left="0"/>
      </w:pPr>
      <w:r w:rsidRPr="00330234">
        <w:t>EXP</w:t>
      </w:r>
    </w:p>
    <w:p w14:paraId="44B45D76" w14:textId="77777777" w:rsidR="00436DAA" w:rsidRPr="00330234" w:rsidRDefault="00436DAA" w:rsidP="009B0E27">
      <w:pPr>
        <w:widowControl/>
      </w:pPr>
    </w:p>
    <w:p w14:paraId="6DA7BCC8" w14:textId="77777777" w:rsidR="0018660B" w:rsidRPr="00330234" w:rsidRDefault="0018660B" w:rsidP="009B0E27">
      <w:pPr>
        <w:widowControl/>
      </w:pPr>
    </w:p>
    <w:p w14:paraId="7FB04497" w14:textId="77777777" w:rsidR="00580327" w:rsidRPr="00330234" w:rsidRDefault="00580327" w:rsidP="0018660B">
      <w:pPr>
        <w:keepNext/>
        <w:keepLines/>
        <w:pBdr>
          <w:top w:val="single" w:sz="4" w:space="1" w:color="auto"/>
          <w:left w:val="single" w:sz="4" w:space="4" w:color="auto"/>
          <w:bottom w:val="single" w:sz="4" w:space="1" w:color="auto"/>
          <w:right w:val="single" w:sz="4" w:space="4" w:color="auto"/>
        </w:pBdr>
        <w:ind w:left="567" w:hanging="567"/>
        <w:rPr>
          <w:b/>
        </w:rPr>
      </w:pPr>
      <w:r w:rsidRPr="00330234">
        <w:rPr>
          <w:b/>
          <w:spacing w:val="-5"/>
        </w:rPr>
        <w:lastRenderedPageBreak/>
        <w:t>9.</w:t>
      </w:r>
      <w:r w:rsidRPr="00330234">
        <w:rPr>
          <w:b/>
        </w:rPr>
        <w:tab/>
        <w:t>BIJZONDERE</w:t>
      </w:r>
      <w:r w:rsidRPr="00330234">
        <w:rPr>
          <w:b/>
          <w:spacing w:val="-12"/>
        </w:rPr>
        <w:t xml:space="preserve"> </w:t>
      </w:r>
      <w:r w:rsidRPr="00330234">
        <w:rPr>
          <w:b/>
        </w:rPr>
        <w:t>VOORZORGSMAATREGELEN</w:t>
      </w:r>
      <w:r w:rsidRPr="00330234">
        <w:rPr>
          <w:b/>
          <w:spacing w:val="-8"/>
        </w:rPr>
        <w:t xml:space="preserve"> </w:t>
      </w:r>
      <w:r w:rsidRPr="00330234">
        <w:rPr>
          <w:b/>
        </w:rPr>
        <w:t>VOOR</w:t>
      </w:r>
      <w:r w:rsidRPr="00330234">
        <w:rPr>
          <w:b/>
          <w:spacing w:val="-9"/>
        </w:rPr>
        <w:t xml:space="preserve"> </w:t>
      </w:r>
      <w:r w:rsidRPr="00330234">
        <w:rPr>
          <w:b/>
        </w:rPr>
        <w:t>DE</w:t>
      </w:r>
      <w:r w:rsidRPr="00330234">
        <w:rPr>
          <w:b/>
          <w:spacing w:val="-12"/>
        </w:rPr>
        <w:t xml:space="preserve"> </w:t>
      </w:r>
      <w:r w:rsidRPr="00330234">
        <w:rPr>
          <w:b/>
          <w:spacing w:val="-2"/>
        </w:rPr>
        <w:t>BEWARING</w:t>
      </w:r>
    </w:p>
    <w:p w14:paraId="5D54F1C0" w14:textId="77777777" w:rsidR="00580327" w:rsidRPr="00330234" w:rsidRDefault="00580327" w:rsidP="0018660B">
      <w:pPr>
        <w:keepNext/>
        <w:keepLines/>
        <w:widowControl/>
      </w:pPr>
    </w:p>
    <w:p w14:paraId="5AFA87D6" w14:textId="77777777" w:rsidR="0018660B" w:rsidRPr="00330234" w:rsidRDefault="009B4B8E" w:rsidP="0018660B">
      <w:pPr>
        <w:pStyle w:val="a3"/>
        <w:keepNext/>
        <w:keepLines/>
        <w:widowControl/>
        <w:ind w:left="0"/>
      </w:pPr>
      <w:r w:rsidRPr="00330234">
        <w:t>Bewaren in de koelkast</w:t>
      </w:r>
    </w:p>
    <w:p w14:paraId="64452E07" w14:textId="0855B482" w:rsidR="00436DAA" w:rsidRPr="00330234" w:rsidRDefault="009B4B8E" w:rsidP="0018660B">
      <w:pPr>
        <w:pStyle w:val="a3"/>
        <w:keepNext/>
        <w:keepLines/>
        <w:widowControl/>
        <w:ind w:left="0"/>
      </w:pPr>
      <w:r w:rsidRPr="00330234">
        <w:t>Niet in de vriezer bewaren</w:t>
      </w:r>
    </w:p>
    <w:p w14:paraId="4D03B568" w14:textId="5E5CE1C6" w:rsidR="00436DAA" w:rsidRPr="00330234" w:rsidRDefault="009B4B8E" w:rsidP="0018660B">
      <w:pPr>
        <w:pStyle w:val="a3"/>
        <w:keepNext/>
        <w:keepLines/>
        <w:widowControl/>
        <w:ind w:left="0"/>
      </w:pPr>
      <w:r w:rsidRPr="00330234">
        <w:t xml:space="preserve">Eenmaal uit de koelkast gehaald, kan de voorgevulde spuit tot </w:t>
      </w:r>
      <w:r w:rsidR="001F54AC" w:rsidRPr="00330234">
        <w:t>3 </w:t>
      </w:r>
      <w:r w:rsidRPr="00330234">
        <w:t>weken beneden 30°C worden bewaard De voorgevulde spuit in de buitenverpakking bewaren ter bescherming tegen licht en vocht</w:t>
      </w:r>
    </w:p>
    <w:p w14:paraId="22534215" w14:textId="77777777" w:rsidR="00436DAA" w:rsidRPr="00330234" w:rsidRDefault="00436DAA" w:rsidP="0018660B">
      <w:pPr>
        <w:pStyle w:val="a3"/>
        <w:keepNext/>
        <w:keepLines/>
        <w:widowControl/>
        <w:ind w:left="0"/>
      </w:pPr>
    </w:p>
    <w:p w14:paraId="454AA60E" w14:textId="77777777" w:rsidR="0018660B" w:rsidRPr="00330234" w:rsidRDefault="0018660B" w:rsidP="009B0E27">
      <w:pPr>
        <w:pStyle w:val="a3"/>
        <w:widowControl/>
        <w:ind w:left="0"/>
      </w:pPr>
    </w:p>
    <w:p w14:paraId="1C11F024"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10.</w:t>
      </w:r>
      <w:r w:rsidRPr="00330234">
        <w:rPr>
          <w:b/>
        </w:rPr>
        <w:tab/>
        <w:t>BIJZONDERE</w:t>
      </w:r>
      <w:r w:rsidRPr="00330234">
        <w:rPr>
          <w:b/>
          <w:spacing w:val="-8"/>
        </w:rPr>
        <w:t xml:space="preserve"> </w:t>
      </w:r>
      <w:r w:rsidRPr="00330234">
        <w:rPr>
          <w:b/>
        </w:rPr>
        <w:t>VOORZORGSMAATREGELEN</w:t>
      </w:r>
      <w:r w:rsidRPr="00330234">
        <w:rPr>
          <w:b/>
          <w:spacing w:val="-7"/>
        </w:rPr>
        <w:t xml:space="preserve"> </w:t>
      </w:r>
      <w:r w:rsidRPr="00330234">
        <w:rPr>
          <w:b/>
        </w:rPr>
        <w:t>VOOR</w:t>
      </w:r>
      <w:r w:rsidRPr="00330234">
        <w:rPr>
          <w:b/>
          <w:spacing w:val="-11"/>
        </w:rPr>
        <w:t xml:space="preserve"> </w:t>
      </w:r>
      <w:r w:rsidRPr="00330234">
        <w:rPr>
          <w:b/>
        </w:rPr>
        <w:t>HET</w:t>
      </w:r>
      <w:r w:rsidRPr="00330234">
        <w:rPr>
          <w:b/>
          <w:spacing w:val="-8"/>
        </w:rPr>
        <w:t xml:space="preserve"> </w:t>
      </w:r>
      <w:r w:rsidRPr="00330234">
        <w:rPr>
          <w:b/>
        </w:rPr>
        <w:t>VERWIJDEREN</w:t>
      </w:r>
      <w:r w:rsidRPr="00330234">
        <w:rPr>
          <w:b/>
          <w:spacing w:val="-8"/>
        </w:rPr>
        <w:t xml:space="preserve"> </w:t>
      </w:r>
      <w:r w:rsidRPr="00330234">
        <w:rPr>
          <w:b/>
        </w:rPr>
        <w:t>VAN NIET-GEBRUIKTE GENEESMIDDELEN OF DAARVAN AFGELEIDE AFVALSTOFFEN (INDIEN VAN TOEPASSING)</w:t>
      </w:r>
    </w:p>
    <w:p w14:paraId="6F1AD74C" w14:textId="52288145" w:rsidR="00436DAA" w:rsidRPr="00330234" w:rsidRDefault="00436DAA" w:rsidP="009B0E27">
      <w:pPr>
        <w:pStyle w:val="a3"/>
        <w:widowControl/>
        <w:ind w:left="0"/>
      </w:pPr>
    </w:p>
    <w:p w14:paraId="73C27D3C" w14:textId="77777777" w:rsidR="00436DAA" w:rsidRPr="00330234" w:rsidRDefault="00436DAA" w:rsidP="009B0E27">
      <w:pPr>
        <w:pStyle w:val="a3"/>
        <w:widowControl/>
        <w:ind w:left="0"/>
      </w:pPr>
    </w:p>
    <w:p w14:paraId="62A01B78"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11.</w:t>
      </w:r>
      <w:r w:rsidRPr="00330234">
        <w:rPr>
          <w:b/>
        </w:rPr>
        <w:tab/>
        <w:t>NAAM</w:t>
      </w:r>
      <w:r w:rsidRPr="00330234">
        <w:rPr>
          <w:b/>
          <w:spacing w:val="-3"/>
        </w:rPr>
        <w:t xml:space="preserve"> </w:t>
      </w:r>
      <w:r w:rsidRPr="00330234">
        <w:rPr>
          <w:b/>
        </w:rPr>
        <w:t>EN</w:t>
      </w:r>
      <w:r w:rsidRPr="00330234">
        <w:rPr>
          <w:b/>
          <w:spacing w:val="-4"/>
        </w:rPr>
        <w:t xml:space="preserve"> </w:t>
      </w:r>
      <w:r w:rsidRPr="00330234">
        <w:rPr>
          <w:b/>
        </w:rPr>
        <w:t>ADRES</w:t>
      </w:r>
      <w:r w:rsidRPr="00330234">
        <w:rPr>
          <w:b/>
          <w:spacing w:val="-4"/>
        </w:rPr>
        <w:t xml:space="preserve"> </w:t>
      </w:r>
      <w:r w:rsidRPr="00330234">
        <w:rPr>
          <w:b/>
        </w:rPr>
        <w:t>VAN</w:t>
      </w:r>
      <w:r w:rsidRPr="00330234">
        <w:rPr>
          <w:b/>
          <w:spacing w:val="-2"/>
        </w:rPr>
        <w:t xml:space="preserve"> </w:t>
      </w:r>
      <w:r w:rsidRPr="00330234">
        <w:rPr>
          <w:b/>
        </w:rPr>
        <w:t>DE</w:t>
      </w:r>
      <w:r w:rsidRPr="00330234">
        <w:rPr>
          <w:b/>
          <w:spacing w:val="-4"/>
        </w:rPr>
        <w:t xml:space="preserve"> </w:t>
      </w:r>
      <w:r w:rsidRPr="00330234">
        <w:rPr>
          <w:b/>
        </w:rPr>
        <w:t>HOUDER</w:t>
      </w:r>
      <w:r w:rsidRPr="00330234">
        <w:rPr>
          <w:b/>
          <w:spacing w:val="-4"/>
        </w:rPr>
        <w:t xml:space="preserve"> </w:t>
      </w:r>
      <w:r w:rsidRPr="00330234">
        <w:rPr>
          <w:b/>
        </w:rPr>
        <w:t>VAN</w:t>
      </w:r>
      <w:r w:rsidRPr="00330234">
        <w:rPr>
          <w:b/>
          <w:spacing w:val="-4"/>
        </w:rPr>
        <w:t xml:space="preserve"> </w:t>
      </w:r>
      <w:r w:rsidRPr="00330234">
        <w:rPr>
          <w:b/>
        </w:rPr>
        <w:t>DE</w:t>
      </w:r>
      <w:r w:rsidRPr="00330234">
        <w:rPr>
          <w:b/>
          <w:spacing w:val="-4"/>
        </w:rPr>
        <w:t xml:space="preserve"> </w:t>
      </w:r>
      <w:r w:rsidRPr="00330234">
        <w:rPr>
          <w:b/>
        </w:rPr>
        <w:t>VERGUNNING</w:t>
      </w:r>
      <w:r w:rsidRPr="00330234">
        <w:rPr>
          <w:b/>
          <w:spacing w:val="-2"/>
        </w:rPr>
        <w:t xml:space="preserve"> </w:t>
      </w:r>
      <w:r w:rsidRPr="00330234">
        <w:rPr>
          <w:b/>
        </w:rPr>
        <w:t>VOOR</w:t>
      </w:r>
      <w:r w:rsidRPr="00330234">
        <w:rPr>
          <w:b/>
          <w:spacing w:val="-4"/>
        </w:rPr>
        <w:t xml:space="preserve"> </w:t>
      </w:r>
      <w:r w:rsidRPr="00330234">
        <w:rPr>
          <w:b/>
        </w:rPr>
        <w:t>HET</w:t>
      </w:r>
      <w:r w:rsidRPr="00330234">
        <w:rPr>
          <w:b/>
          <w:spacing w:val="-3"/>
        </w:rPr>
        <w:t xml:space="preserve"> </w:t>
      </w:r>
      <w:r w:rsidRPr="00330234">
        <w:rPr>
          <w:b/>
        </w:rPr>
        <w:t>IN</w:t>
      </w:r>
      <w:r w:rsidRPr="00330234">
        <w:rPr>
          <w:b/>
          <w:spacing w:val="-4"/>
        </w:rPr>
        <w:t xml:space="preserve"> </w:t>
      </w:r>
      <w:r w:rsidRPr="00330234">
        <w:rPr>
          <w:b/>
        </w:rPr>
        <w:t>DE HANDEL BRENGEN</w:t>
      </w:r>
    </w:p>
    <w:p w14:paraId="074B661B" w14:textId="76F41D56" w:rsidR="00436DAA" w:rsidRPr="00330234" w:rsidRDefault="00436DAA" w:rsidP="009B0E27">
      <w:pPr>
        <w:pStyle w:val="a3"/>
        <w:widowControl/>
        <w:ind w:left="0"/>
      </w:pPr>
    </w:p>
    <w:p w14:paraId="35E1E1DF" w14:textId="00643E04" w:rsidR="001F54AC" w:rsidRPr="00330234" w:rsidRDefault="001F54AC" w:rsidP="001F54AC">
      <w:pPr>
        <w:keepNext/>
      </w:pPr>
      <w:r w:rsidRPr="00330234">
        <w:t>Celltrion Healthcare Hungary Kft.</w:t>
      </w:r>
    </w:p>
    <w:p w14:paraId="35A2FE41" w14:textId="77777777" w:rsidR="001F54AC" w:rsidRPr="00330234" w:rsidRDefault="001F54AC" w:rsidP="001F54AC">
      <w:pPr>
        <w:keepNext/>
      </w:pPr>
      <w:r w:rsidRPr="00330234">
        <w:t>1062 Budapest</w:t>
      </w:r>
    </w:p>
    <w:p w14:paraId="4900E013" w14:textId="77777777" w:rsidR="001F54AC" w:rsidRPr="00330234" w:rsidRDefault="001F54AC" w:rsidP="001F54AC">
      <w:pPr>
        <w:keepNext/>
      </w:pPr>
      <w:r w:rsidRPr="00330234">
        <w:t>Váci út 1-3. WestEnd Office Building B torony</w:t>
      </w:r>
    </w:p>
    <w:p w14:paraId="41A11849" w14:textId="7A1A2F49" w:rsidR="001F54AC" w:rsidRPr="00330234" w:rsidRDefault="001F54AC" w:rsidP="001F54AC">
      <w:r w:rsidRPr="00330234">
        <w:t>Hongarije</w:t>
      </w:r>
    </w:p>
    <w:p w14:paraId="0ED0E636" w14:textId="77777777" w:rsidR="00436DAA" w:rsidRPr="00330234" w:rsidRDefault="00436DAA" w:rsidP="009B0E27">
      <w:pPr>
        <w:pStyle w:val="a3"/>
        <w:widowControl/>
        <w:ind w:left="0"/>
      </w:pPr>
    </w:p>
    <w:p w14:paraId="28FE8BCE" w14:textId="77777777" w:rsidR="0018660B" w:rsidRPr="00330234" w:rsidRDefault="0018660B" w:rsidP="009B0E27">
      <w:pPr>
        <w:pStyle w:val="a3"/>
        <w:widowControl/>
        <w:ind w:left="0"/>
      </w:pPr>
    </w:p>
    <w:p w14:paraId="516F4AE7"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12.</w:t>
      </w:r>
      <w:r w:rsidRPr="00330234">
        <w:rPr>
          <w:b/>
        </w:rPr>
        <w:tab/>
        <w:t>NUMMER(S)</w:t>
      </w:r>
      <w:r w:rsidRPr="00330234">
        <w:rPr>
          <w:b/>
          <w:spacing w:val="-6"/>
        </w:rPr>
        <w:t xml:space="preserve"> </w:t>
      </w:r>
      <w:r w:rsidRPr="00330234">
        <w:rPr>
          <w:b/>
        </w:rPr>
        <w:t>VAN</w:t>
      </w:r>
      <w:r w:rsidRPr="00330234">
        <w:rPr>
          <w:b/>
          <w:spacing w:val="-5"/>
        </w:rPr>
        <w:t xml:space="preserve"> </w:t>
      </w:r>
      <w:r w:rsidRPr="00330234">
        <w:rPr>
          <w:b/>
        </w:rPr>
        <w:t>DE</w:t>
      </w:r>
      <w:r w:rsidRPr="00330234">
        <w:rPr>
          <w:b/>
          <w:spacing w:val="-6"/>
        </w:rPr>
        <w:t xml:space="preserve"> </w:t>
      </w:r>
      <w:r w:rsidRPr="00330234">
        <w:rPr>
          <w:b/>
        </w:rPr>
        <w:t>VERGUNNING</w:t>
      </w:r>
      <w:r w:rsidRPr="00330234">
        <w:rPr>
          <w:b/>
          <w:spacing w:val="-3"/>
        </w:rPr>
        <w:t xml:space="preserve"> </w:t>
      </w:r>
      <w:r w:rsidRPr="00330234">
        <w:rPr>
          <w:b/>
        </w:rPr>
        <w:t>VOOR</w:t>
      </w:r>
      <w:r w:rsidRPr="00330234">
        <w:rPr>
          <w:b/>
          <w:spacing w:val="-6"/>
        </w:rPr>
        <w:t xml:space="preserve"> </w:t>
      </w:r>
      <w:r w:rsidRPr="00330234">
        <w:rPr>
          <w:b/>
        </w:rPr>
        <w:t>HET</w:t>
      </w:r>
      <w:r w:rsidRPr="00330234">
        <w:rPr>
          <w:b/>
          <w:spacing w:val="-5"/>
        </w:rPr>
        <w:t xml:space="preserve"> </w:t>
      </w:r>
      <w:r w:rsidRPr="00330234">
        <w:rPr>
          <w:b/>
        </w:rPr>
        <w:t>IN</w:t>
      </w:r>
      <w:r w:rsidRPr="00330234">
        <w:rPr>
          <w:b/>
          <w:spacing w:val="-6"/>
        </w:rPr>
        <w:t xml:space="preserve"> </w:t>
      </w:r>
      <w:r w:rsidRPr="00330234">
        <w:rPr>
          <w:b/>
        </w:rPr>
        <w:t>DE</w:t>
      </w:r>
      <w:r w:rsidRPr="00330234">
        <w:rPr>
          <w:b/>
          <w:spacing w:val="-5"/>
        </w:rPr>
        <w:t xml:space="preserve"> </w:t>
      </w:r>
      <w:r w:rsidRPr="00330234">
        <w:rPr>
          <w:b/>
        </w:rPr>
        <w:t>HANDEL</w:t>
      </w:r>
      <w:r w:rsidRPr="00330234">
        <w:rPr>
          <w:b/>
          <w:spacing w:val="-5"/>
        </w:rPr>
        <w:t xml:space="preserve"> </w:t>
      </w:r>
      <w:r w:rsidRPr="00330234">
        <w:rPr>
          <w:b/>
          <w:spacing w:val="-2"/>
        </w:rPr>
        <w:t>BRENGEN</w:t>
      </w:r>
    </w:p>
    <w:p w14:paraId="7F1C5D36" w14:textId="36240494" w:rsidR="00436DAA" w:rsidRPr="00330234" w:rsidRDefault="00436DAA" w:rsidP="009B0E27">
      <w:pPr>
        <w:pStyle w:val="a3"/>
        <w:widowControl/>
        <w:ind w:left="0"/>
      </w:pPr>
    </w:p>
    <w:p w14:paraId="7E30D846" w14:textId="0AD4D37E" w:rsidR="00436DAA" w:rsidRPr="00330234" w:rsidRDefault="009B4B8E" w:rsidP="009B0E27">
      <w:pPr>
        <w:pStyle w:val="a3"/>
        <w:widowControl/>
        <w:ind w:left="0"/>
      </w:pPr>
      <w:r w:rsidRPr="00330234">
        <w:t>EU</w:t>
      </w:r>
      <w:r w:rsidR="001F54AC" w:rsidRPr="00330234">
        <w:t>/</w:t>
      </w:r>
      <w:r w:rsidR="000E4D64" w:rsidRPr="003672E9">
        <w:rPr>
          <w:spacing w:val="-1"/>
          <w:lang w:val="pt-BR"/>
        </w:rPr>
        <w:t>1/24/1896/00</w:t>
      </w:r>
      <w:r w:rsidR="000E4D64">
        <w:rPr>
          <w:rFonts w:eastAsia="맑은 고딕" w:hint="eastAsia"/>
          <w:spacing w:val="-1"/>
          <w:lang w:val="pt-BR" w:eastAsia="ko-KR"/>
        </w:rPr>
        <w:t>7</w:t>
      </w:r>
      <w:r w:rsidR="000E4D64">
        <w:rPr>
          <w:rFonts w:hint="eastAsia"/>
          <w:spacing w:val="-1"/>
          <w:lang w:val="pt-BR" w:eastAsia="ko-KR"/>
        </w:rPr>
        <w:t xml:space="preserve"> 1</w:t>
      </w:r>
      <w:r w:rsidR="000E4D64">
        <w:rPr>
          <w:spacing w:val="-1"/>
          <w:lang w:val="pt-BR" w:eastAsia="ko-KR"/>
        </w:rPr>
        <w:t> voorgevulde spuit</w:t>
      </w:r>
    </w:p>
    <w:p w14:paraId="19EDD73E" w14:textId="21C234C2" w:rsidR="001F54AC" w:rsidRPr="00330234" w:rsidRDefault="001F54AC" w:rsidP="009B0E27">
      <w:pPr>
        <w:pStyle w:val="a3"/>
        <w:widowControl/>
        <w:ind w:left="0"/>
      </w:pPr>
      <w:r w:rsidRPr="00330234">
        <w:t>EU/</w:t>
      </w:r>
      <w:r w:rsidR="000E4D64" w:rsidRPr="003672E9">
        <w:rPr>
          <w:spacing w:val="-1"/>
          <w:lang w:val="pt-BR"/>
        </w:rPr>
        <w:t>1/24/1896/00</w:t>
      </w:r>
      <w:r w:rsidR="000E4D64">
        <w:rPr>
          <w:rFonts w:eastAsia="맑은 고딕"/>
          <w:spacing w:val="-1"/>
          <w:lang w:val="pt-BR" w:eastAsia="ko-KR"/>
        </w:rPr>
        <w:t>8</w:t>
      </w:r>
      <w:r w:rsidR="000E4D64">
        <w:rPr>
          <w:rFonts w:hint="eastAsia"/>
          <w:spacing w:val="-1"/>
          <w:lang w:val="pt-BR" w:eastAsia="ko-KR"/>
        </w:rPr>
        <w:t xml:space="preserve"> </w:t>
      </w:r>
      <w:r w:rsidR="000E4D64">
        <w:rPr>
          <w:spacing w:val="-1"/>
          <w:lang w:val="pt-BR" w:eastAsia="ko-KR"/>
        </w:rPr>
        <w:t>4 voorgevulde spuiten</w:t>
      </w:r>
    </w:p>
    <w:p w14:paraId="4F3E2D40" w14:textId="1D20C5F3" w:rsidR="002C41D8" w:rsidRPr="00330234" w:rsidRDefault="002C41D8" w:rsidP="002C41D8">
      <w:pPr>
        <w:pStyle w:val="a3"/>
        <w:widowControl/>
        <w:ind w:left="0"/>
        <w:rPr>
          <w:ins w:id="44" w:author="만든 이"/>
        </w:rPr>
      </w:pPr>
      <w:ins w:id="45" w:author="만든 이">
        <w:r w:rsidRPr="00330234">
          <w:t>EU/</w:t>
        </w:r>
        <w:r w:rsidRPr="003672E9">
          <w:rPr>
            <w:spacing w:val="-1"/>
            <w:lang w:val="pt-BR"/>
          </w:rPr>
          <w:t>1/24/1896/</w:t>
        </w:r>
        <w:r w:rsidR="005A4B7E">
          <w:rPr>
            <w:rFonts w:eastAsia="맑은 고딕" w:hint="eastAsia"/>
            <w:spacing w:val="-1"/>
            <w:lang w:val="pt-BR" w:eastAsia="ko-KR"/>
          </w:rPr>
          <w:t>013</w:t>
        </w:r>
        <w:r>
          <w:rPr>
            <w:rFonts w:hint="eastAsia"/>
            <w:spacing w:val="-1"/>
            <w:lang w:val="pt-BR" w:eastAsia="ko-KR"/>
          </w:rPr>
          <w:t xml:space="preserve"> </w:t>
        </w:r>
        <w:r>
          <w:rPr>
            <w:rFonts w:eastAsia="맑은 고딕" w:hint="eastAsia"/>
            <w:spacing w:val="-1"/>
            <w:lang w:val="pt-BR" w:eastAsia="ko-KR"/>
          </w:rPr>
          <w:t>2</w:t>
        </w:r>
        <w:r>
          <w:rPr>
            <w:spacing w:val="-1"/>
            <w:lang w:val="pt-BR" w:eastAsia="ko-KR"/>
          </w:rPr>
          <w:t> voorgevulde spuiten</w:t>
        </w:r>
      </w:ins>
    </w:p>
    <w:p w14:paraId="32E5F8C8" w14:textId="77777777" w:rsidR="00436DAA" w:rsidRPr="00330234" w:rsidRDefault="00436DAA" w:rsidP="009B0E27">
      <w:pPr>
        <w:pStyle w:val="a3"/>
        <w:widowControl/>
        <w:ind w:left="0"/>
      </w:pPr>
    </w:p>
    <w:p w14:paraId="0DFA1563" w14:textId="77777777" w:rsidR="0018660B" w:rsidRPr="00330234" w:rsidRDefault="0018660B" w:rsidP="009B0E27">
      <w:pPr>
        <w:pStyle w:val="a3"/>
        <w:widowControl/>
        <w:ind w:left="0"/>
      </w:pPr>
    </w:p>
    <w:p w14:paraId="392F83B9"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13.</w:t>
      </w:r>
      <w:r w:rsidRPr="00330234">
        <w:rPr>
          <w:b/>
        </w:rPr>
        <w:tab/>
      </w:r>
      <w:r w:rsidRPr="00330234">
        <w:rPr>
          <w:b/>
          <w:spacing w:val="-2"/>
        </w:rPr>
        <w:t>PARTIJNUMMER</w:t>
      </w:r>
    </w:p>
    <w:p w14:paraId="3B85D42B" w14:textId="1ED0649B" w:rsidR="00436DAA" w:rsidRPr="00330234" w:rsidRDefault="00436DAA" w:rsidP="009B0E27">
      <w:pPr>
        <w:pStyle w:val="a3"/>
        <w:widowControl/>
        <w:ind w:left="0"/>
      </w:pPr>
    </w:p>
    <w:p w14:paraId="1829425A" w14:textId="40D630DC" w:rsidR="00436DAA" w:rsidRPr="00330234" w:rsidRDefault="001F54AC" w:rsidP="009B0E27">
      <w:pPr>
        <w:pStyle w:val="a3"/>
        <w:widowControl/>
        <w:ind w:left="0"/>
      </w:pPr>
      <w:r w:rsidRPr="00330234">
        <w:t>Lot</w:t>
      </w:r>
    </w:p>
    <w:p w14:paraId="01E32A2D" w14:textId="77777777" w:rsidR="00436DAA" w:rsidRPr="00330234" w:rsidRDefault="00436DAA" w:rsidP="009B0E27">
      <w:pPr>
        <w:pStyle w:val="a3"/>
        <w:widowControl/>
        <w:ind w:left="0"/>
      </w:pPr>
    </w:p>
    <w:p w14:paraId="52698A8A" w14:textId="77777777" w:rsidR="0018660B" w:rsidRPr="00330234" w:rsidRDefault="0018660B" w:rsidP="009B0E27">
      <w:pPr>
        <w:pStyle w:val="a3"/>
        <w:widowControl/>
        <w:ind w:left="0"/>
      </w:pPr>
    </w:p>
    <w:p w14:paraId="356168F8"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14.</w:t>
      </w:r>
      <w:r w:rsidRPr="00330234">
        <w:rPr>
          <w:b/>
        </w:rPr>
        <w:tab/>
        <w:t>ALGEMENE</w:t>
      </w:r>
      <w:r w:rsidRPr="00330234">
        <w:rPr>
          <w:b/>
          <w:spacing w:val="-6"/>
        </w:rPr>
        <w:t xml:space="preserve"> </w:t>
      </w:r>
      <w:r w:rsidRPr="00330234">
        <w:rPr>
          <w:b/>
        </w:rPr>
        <w:t>INDELING</w:t>
      </w:r>
      <w:r w:rsidRPr="00330234">
        <w:rPr>
          <w:b/>
          <w:spacing w:val="-4"/>
        </w:rPr>
        <w:t xml:space="preserve"> </w:t>
      </w:r>
      <w:r w:rsidRPr="00330234">
        <w:rPr>
          <w:b/>
        </w:rPr>
        <w:t>VOOR</w:t>
      </w:r>
      <w:r w:rsidRPr="00330234">
        <w:rPr>
          <w:b/>
          <w:spacing w:val="-6"/>
        </w:rPr>
        <w:t xml:space="preserve"> </w:t>
      </w:r>
      <w:r w:rsidRPr="00330234">
        <w:rPr>
          <w:b/>
        </w:rPr>
        <w:t>DE</w:t>
      </w:r>
      <w:r w:rsidRPr="00330234">
        <w:rPr>
          <w:b/>
          <w:spacing w:val="-5"/>
        </w:rPr>
        <w:t xml:space="preserve"> </w:t>
      </w:r>
      <w:r w:rsidRPr="00330234">
        <w:rPr>
          <w:b/>
          <w:spacing w:val="-2"/>
        </w:rPr>
        <w:t>AFLEVERING</w:t>
      </w:r>
    </w:p>
    <w:p w14:paraId="02D5ABA9" w14:textId="3BB042AF" w:rsidR="00436DAA" w:rsidRPr="00330234" w:rsidRDefault="00436DAA" w:rsidP="009B0E27">
      <w:pPr>
        <w:pStyle w:val="a3"/>
        <w:widowControl/>
        <w:ind w:left="0"/>
      </w:pPr>
    </w:p>
    <w:p w14:paraId="5A27256C" w14:textId="77777777" w:rsidR="00436DAA" w:rsidRPr="00330234" w:rsidRDefault="00436DAA" w:rsidP="009B0E27">
      <w:pPr>
        <w:pStyle w:val="a3"/>
        <w:widowControl/>
        <w:ind w:left="0"/>
      </w:pPr>
    </w:p>
    <w:p w14:paraId="396EC06B"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15.</w:t>
      </w:r>
      <w:r w:rsidRPr="00330234">
        <w:rPr>
          <w:b/>
        </w:rPr>
        <w:tab/>
        <w:t>INSTRUCTIES</w:t>
      </w:r>
      <w:r w:rsidRPr="00330234">
        <w:rPr>
          <w:b/>
          <w:spacing w:val="-7"/>
        </w:rPr>
        <w:t xml:space="preserve"> </w:t>
      </w:r>
      <w:r w:rsidRPr="00330234">
        <w:rPr>
          <w:b/>
        </w:rPr>
        <w:t>VOOR</w:t>
      </w:r>
      <w:r w:rsidRPr="00330234">
        <w:rPr>
          <w:b/>
          <w:spacing w:val="-7"/>
        </w:rPr>
        <w:t xml:space="preserve"> </w:t>
      </w:r>
      <w:r w:rsidRPr="00330234">
        <w:rPr>
          <w:b/>
          <w:spacing w:val="-2"/>
        </w:rPr>
        <w:t>GEBRUIK</w:t>
      </w:r>
    </w:p>
    <w:p w14:paraId="2AD38576" w14:textId="73FB0C23" w:rsidR="00436DAA" w:rsidRPr="00330234" w:rsidRDefault="00436DAA" w:rsidP="009B0E27">
      <w:pPr>
        <w:pStyle w:val="a3"/>
        <w:widowControl/>
        <w:ind w:left="0"/>
      </w:pPr>
    </w:p>
    <w:p w14:paraId="0FB3BAEA" w14:textId="77777777" w:rsidR="00436DAA" w:rsidRPr="00330234" w:rsidRDefault="00436DAA" w:rsidP="009B0E27">
      <w:pPr>
        <w:pStyle w:val="a3"/>
        <w:widowControl/>
        <w:ind w:left="0"/>
      </w:pPr>
    </w:p>
    <w:p w14:paraId="3B1087B2"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16.</w:t>
      </w:r>
      <w:r w:rsidRPr="00330234">
        <w:rPr>
          <w:b/>
        </w:rPr>
        <w:tab/>
        <w:t>INFORMATIE</w:t>
      </w:r>
      <w:r w:rsidRPr="00330234">
        <w:rPr>
          <w:b/>
          <w:spacing w:val="-5"/>
        </w:rPr>
        <w:t xml:space="preserve"> </w:t>
      </w:r>
      <w:r w:rsidRPr="00330234">
        <w:rPr>
          <w:b/>
        </w:rPr>
        <w:t>IN</w:t>
      </w:r>
      <w:r w:rsidRPr="00330234">
        <w:rPr>
          <w:b/>
          <w:spacing w:val="-7"/>
        </w:rPr>
        <w:t xml:space="preserve"> </w:t>
      </w:r>
      <w:r w:rsidRPr="00330234">
        <w:rPr>
          <w:b/>
          <w:spacing w:val="-2"/>
        </w:rPr>
        <w:t>BRAILLE</w:t>
      </w:r>
    </w:p>
    <w:p w14:paraId="7D165B93" w14:textId="010D8F62" w:rsidR="00436DAA" w:rsidRPr="00330234" w:rsidRDefault="00436DAA" w:rsidP="009B0E27">
      <w:pPr>
        <w:pStyle w:val="a3"/>
        <w:widowControl/>
        <w:ind w:left="0"/>
      </w:pPr>
    </w:p>
    <w:p w14:paraId="5DC41BEC" w14:textId="741D3C10" w:rsidR="00436DAA" w:rsidRPr="00330234" w:rsidRDefault="00B63E66" w:rsidP="009B0E27">
      <w:pPr>
        <w:pStyle w:val="a3"/>
        <w:widowControl/>
        <w:ind w:left="0"/>
      </w:pPr>
      <w:r w:rsidRPr="00330234">
        <w:t xml:space="preserve">avtozma </w:t>
      </w:r>
      <w:r w:rsidR="009B4B8E" w:rsidRPr="00330234">
        <w:t>162 mg</w:t>
      </w:r>
    </w:p>
    <w:p w14:paraId="477020F3" w14:textId="77777777" w:rsidR="00436DAA" w:rsidRPr="00330234" w:rsidRDefault="00436DAA" w:rsidP="009B0E27">
      <w:pPr>
        <w:pStyle w:val="a3"/>
        <w:widowControl/>
        <w:ind w:left="0"/>
      </w:pPr>
    </w:p>
    <w:p w14:paraId="0596EDBA" w14:textId="77777777" w:rsidR="0018660B" w:rsidRPr="00330234" w:rsidRDefault="0018660B" w:rsidP="009B0E27">
      <w:pPr>
        <w:pStyle w:val="a3"/>
        <w:widowControl/>
        <w:ind w:left="0"/>
      </w:pPr>
    </w:p>
    <w:p w14:paraId="32B336B8"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17.</w:t>
      </w:r>
      <w:r w:rsidRPr="00330234">
        <w:rPr>
          <w:b/>
        </w:rPr>
        <w:tab/>
        <w:t>UNIEK</w:t>
      </w:r>
      <w:r w:rsidRPr="00330234">
        <w:rPr>
          <w:b/>
          <w:spacing w:val="-8"/>
        </w:rPr>
        <w:t xml:space="preserve"> </w:t>
      </w:r>
      <w:r w:rsidRPr="00330234">
        <w:rPr>
          <w:b/>
        </w:rPr>
        <w:t>IDENTIFICATIEKENMERK</w:t>
      </w:r>
      <w:r w:rsidRPr="00330234">
        <w:rPr>
          <w:b/>
          <w:spacing w:val="-7"/>
        </w:rPr>
        <w:t xml:space="preserve"> </w:t>
      </w:r>
      <w:r w:rsidRPr="00330234">
        <w:rPr>
          <w:b/>
        </w:rPr>
        <w:t>-</w:t>
      </w:r>
      <w:r w:rsidRPr="00330234">
        <w:rPr>
          <w:b/>
          <w:spacing w:val="-5"/>
        </w:rPr>
        <w:t xml:space="preserve"> </w:t>
      </w:r>
      <w:r w:rsidRPr="00330234">
        <w:rPr>
          <w:b/>
        </w:rPr>
        <w:t>2D</w:t>
      </w:r>
      <w:r w:rsidRPr="00330234">
        <w:rPr>
          <w:b/>
          <w:spacing w:val="-7"/>
        </w:rPr>
        <w:t xml:space="preserve"> </w:t>
      </w:r>
      <w:r w:rsidRPr="00330234">
        <w:rPr>
          <w:b/>
          <w:spacing w:val="-2"/>
        </w:rPr>
        <w:t>MATRIXCODE</w:t>
      </w:r>
    </w:p>
    <w:p w14:paraId="33ACD98D" w14:textId="00424F0A" w:rsidR="00436DAA" w:rsidRPr="00330234" w:rsidRDefault="00436DAA" w:rsidP="009B0E27">
      <w:pPr>
        <w:pStyle w:val="a3"/>
        <w:widowControl/>
        <w:ind w:left="0"/>
      </w:pPr>
    </w:p>
    <w:p w14:paraId="18977BD9" w14:textId="77777777" w:rsidR="00436DAA" w:rsidRPr="00330234" w:rsidRDefault="009B4B8E" w:rsidP="009B0E27">
      <w:pPr>
        <w:pStyle w:val="a3"/>
        <w:widowControl/>
        <w:ind w:left="0"/>
      </w:pPr>
      <w:r w:rsidRPr="00143A85">
        <w:rPr>
          <w:color w:val="000000"/>
          <w:highlight w:val="lightGray"/>
          <w:shd w:val="pct35" w:color="auto" w:fill="auto"/>
        </w:rPr>
        <w:t>2D matrixcode met het unieke identificatiekenmerk</w:t>
      </w:r>
      <w:r w:rsidRPr="00330234">
        <w:rPr>
          <w:color w:val="000000"/>
          <w:shd w:val="pct35" w:color="auto" w:fill="auto"/>
        </w:rPr>
        <w:t>.</w:t>
      </w:r>
    </w:p>
    <w:p w14:paraId="0676F39A" w14:textId="77777777" w:rsidR="00436DAA" w:rsidRPr="00330234" w:rsidRDefault="00436DAA" w:rsidP="009B0E27">
      <w:pPr>
        <w:pStyle w:val="a3"/>
        <w:widowControl/>
        <w:ind w:left="0"/>
      </w:pPr>
    </w:p>
    <w:p w14:paraId="24C61B20" w14:textId="77777777" w:rsidR="0018660B" w:rsidRPr="00330234" w:rsidRDefault="0018660B" w:rsidP="009B0E27">
      <w:pPr>
        <w:pStyle w:val="a3"/>
        <w:widowControl/>
        <w:ind w:left="0"/>
      </w:pPr>
    </w:p>
    <w:p w14:paraId="11BDB70C"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18.</w:t>
      </w:r>
      <w:r w:rsidRPr="00330234">
        <w:rPr>
          <w:b/>
        </w:rPr>
        <w:tab/>
        <w:t>UNIEK</w:t>
      </w:r>
      <w:r w:rsidRPr="00330234">
        <w:rPr>
          <w:b/>
          <w:spacing w:val="-9"/>
        </w:rPr>
        <w:t xml:space="preserve"> </w:t>
      </w:r>
      <w:r w:rsidRPr="00330234">
        <w:rPr>
          <w:b/>
        </w:rPr>
        <w:t>IDENTIFICATIEKENMERK</w:t>
      </w:r>
      <w:r w:rsidRPr="00330234">
        <w:rPr>
          <w:b/>
          <w:spacing w:val="-8"/>
        </w:rPr>
        <w:t xml:space="preserve"> </w:t>
      </w:r>
      <w:r w:rsidRPr="00330234">
        <w:rPr>
          <w:b/>
        </w:rPr>
        <w:t>-</w:t>
      </w:r>
      <w:r w:rsidRPr="00330234">
        <w:rPr>
          <w:b/>
          <w:spacing w:val="-6"/>
        </w:rPr>
        <w:t xml:space="preserve"> </w:t>
      </w:r>
      <w:r w:rsidRPr="00330234">
        <w:rPr>
          <w:b/>
        </w:rPr>
        <w:t>VOOR</w:t>
      </w:r>
      <w:r w:rsidRPr="00330234">
        <w:rPr>
          <w:b/>
          <w:spacing w:val="-8"/>
        </w:rPr>
        <w:t xml:space="preserve"> </w:t>
      </w:r>
      <w:r w:rsidRPr="00330234">
        <w:rPr>
          <w:b/>
        </w:rPr>
        <w:t>MENSEN</w:t>
      </w:r>
      <w:r w:rsidRPr="00330234">
        <w:rPr>
          <w:b/>
          <w:spacing w:val="-8"/>
        </w:rPr>
        <w:t xml:space="preserve"> </w:t>
      </w:r>
      <w:r w:rsidRPr="00330234">
        <w:rPr>
          <w:b/>
        </w:rPr>
        <w:t>LEESBARE</w:t>
      </w:r>
      <w:r w:rsidRPr="00330234">
        <w:rPr>
          <w:b/>
          <w:spacing w:val="-8"/>
        </w:rPr>
        <w:t xml:space="preserve"> </w:t>
      </w:r>
      <w:r w:rsidRPr="00330234">
        <w:rPr>
          <w:b/>
          <w:spacing w:val="-2"/>
        </w:rPr>
        <w:t>GEGEVENS</w:t>
      </w:r>
    </w:p>
    <w:p w14:paraId="1C6BFE2A" w14:textId="0ADEDB19" w:rsidR="00436DAA" w:rsidRPr="00330234" w:rsidRDefault="00436DAA" w:rsidP="009B0E27">
      <w:pPr>
        <w:pStyle w:val="a3"/>
        <w:widowControl/>
        <w:ind w:left="0"/>
      </w:pPr>
    </w:p>
    <w:p w14:paraId="700CA9AF" w14:textId="77777777" w:rsidR="0018660B" w:rsidRPr="00330234" w:rsidRDefault="009B4B8E" w:rsidP="009B0E27">
      <w:pPr>
        <w:pStyle w:val="a3"/>
        <w:widowControl/>
        <w:ind w:left="0"/>
      </w:pPr>
      <w:r w:rsidRPr="00330234">
        <w:t>PC</w:t>
      </w:r>
    </w:p>
    <w:p w14:paraId="602D4EE2" w14:textId="77777777" w:rsidR="0018660B" w:rsidRPr="00330234" w:rsidRDefault="009B4B8E" w:rsidP="009B0E27">
      <w:pPr>
        <w:pStyle w:val="a3"/>
        <w:widowControl/>
        <w:ind w:left="0"/>
      </w:pPr>
      <w:r w:rsidRPr="00330234">
        <w:t>SN</w:t>
      </w:r>
    </w:p>
    <w:p w14:paraId="760252F8" w14:textId="3062FA69" w:rsidR="00436DAA" w:rsidRPr="00330234" w:rsidRDefault="009B4B8E" w:rsidP="009B0E27">
      <w:pPr>
        <w:pStyle w:val="a3"/>
        <w:widowControl/>
        <w:ind w:left="0"/>
      </w:pPr>
      <w:r w:rsidRPr="00143A85">
        <w:rPr>
          <w:highlight w:val="lightGray"/>
        </w:rPr>
        <w:t>NN</w:t>
      </w:r>
    </w:p>
    <w:p w14:paraId="03851BE0" w14:textId="20963158" w:rsidR="00580327" w:rsidRPr="00330234" w:rsidRDefault="00580327" w:rsidP="001B3E1E">
      <w:pPr>
        <w:widowControl/>
        <w:pBdr>
          <w:top w:val="single" w:sz="4" w:space="1" w:color="auto"/>
          <w:left w:val="single" w:sz="4" w:space="4" w:color="auto"/>
          <w:bottom w:val="single" w:sz="4" w:space="1" w:color="auto"/>
          <w:right w:val="single" w:sz="4" w:space="4" w:color="auto"/>
        </w:pBdr>
        <w:rPr>
          <w:b/>
        </w:rPr>
      </w:pPr>
      <w:r w:rsidRPr="00330234">
        <w:br w:type="page"/>
      </w:r>
      <w:r w:rsidRPr="00330234">
        <w:rPr>
          <w:b/>
        </w:rPr>
        <w:lastRenderedPageBreak/>
        <w:t>GEGEVENS</w:t>
      </w:r>
      <w:r w:rsidRPr="00330234">
        <w:rPr>
          <w:b/>
          <w:spacing w:val="-4"/>
        </w:rPr>
        <w:t xml:space="preserve"> </w:t>
      </w:r>
      <w:r w:rsidRPr="00330234">
        <w:rPr>
          <w:b/>
        </w:rPr>
        <w:t>DIE</w:t>
      </w:r>
      <w:r w:rsidRPr="00330234">
        <w:rPr>
          <w:b/>
          <w:spacing w:val="-6"/>
        </w:rPr>
        <w:t xml:space="preserve"> </w:t>
      </w:r>
      <w:r w:rsidRPr="00330234">
        <w:rPr>
          <w:b/>
        </w:rPr>
        <w:t>OP</w:t>
      </w:r>
      <w:r w:rsidRPr="00330234">
        <w:rPr>
          <w:b/>
          <w:spacing w:val="-4"/>
        </w:rPr>
        <w:t xml:space="preserve"> </w:t>
      </w:r>
      <w:r w:rsidRPr="00330234">
        <w:rPr>
          <w:b/>
        </w:rPr>
        <w:t>DE</w:t>
      </w:r>
      <w:r w:rsidRPr="00330234">
        <w:rPr>
          <w:b/>
          <w:spacing w:val="-9"/>
        </w:rPr>
        <w:t xml:space="preserve"> </w:t>
      </w:r>
      <w:r w:rsidRPr="00330234">
        <w:rPr>
          <w:b/>
        </w:rPr>
        <w:t>BUITENVERPAKKING</w:t>
      </w:r>
      <w:r w:rsidRPr="00330234">
        <w:rPr>
          <w:b/>
          <w:spacing w:val="-9"/>
        </w:rPr>
        <w:t xml:space="preserve"> </w:t>
      </w:r>
      <w:r w:rsidRPr="00330234">
        <w:rPr>
          <w:b/>
        </w:rPr>
        <w:t>MOETEN</w:t>
      </w:r>
      <w:r w:rsidRPr="00330234">
        <w:rPr>
          <w:b/>
          <w:spacing w:val="-6"/>
        </w:rPr>
        <w:t xml:space="preserve"> </w:t>
      </w:r>
      <w:r w:rsidRPr="00330234">
        <w:rPr>
          <w:b/>
        </w:rPr>
        <w:t>WORDEN</w:t>
      </w:r>
      <w:r w:rsidRPr="00330234">
        <w:rPr>
          <w:b/>
          <w:spacing w:val="-6"/>
        </w:rPr>
        <w:t xml:space="preserve"> </w:t>
      </w:r>
      <w:r w:rsidRPr="00330234">
        <w:rPr>
          <w:b/>
          <w:spacing w:val="-2"/>
        </w:rPr>
        <w:t>VERMELD</w:t>
      </w:r>
    </w:p>
    <w:p w14:paraId="248B14E7" w14:textId="77777777" w:rsidR="00580327" w:rsidRPr="00330234" w:rsidRDefault="00580327" w:rsidP="006542D9">
      <w:pPr>
        <w:pStyle w:val="a3"/>
        <w:pBdr>
          <w:top w:val="single" w:sz="4" w:space="1" w:color="auto"/>
          <w:left w:val="single" w:sz="4" w:space="4" w:color="auto"/>
          <w:bottom w:val="single" w:sz="4" w:space="1" w:color="auto"/>
          <w:right w:val="single" w:sz="4" w:space="4" w:color="auto"/>
        </w:pBdr>
        <w:ind w:left="0"/>
        <w:rPr>
          <w:b/>
        </w:rPr>
      </w:pPr>
    </w:p>
    <w:p w14:paraId="06ADA20F" w14:textId="77777777" w:rsidR="00580327" w:rsidRPr="00330234" w:rsidRDefault="00580327" w:rsidP="006542D9">
      <w:pPr>
        <w:pBdr>
          <w:top w:val="single" w:sz="4" w:space="1" w:color="auto"/>
          <w:left w:val="single" w:sz="4" w:space="4" w:color="auto"/>
          <w:bottom w:val="single" w:sz="4" w:space="1" w:color="auto"/>
          <w:right w:val="single" w:sz="4" w:space="4" w:color="auto"/>
        </w:pBdr>
        <w:rPr>
          <w:b/>
        </w:rPr>
      </w:pPr>
      <w:r w:rsidRPr="00330234">
        <w:rPr>
          <w:b/>
        </w:rPr>
        <w:t>VERPAKKING</w:t>
      </w:r>
      <w:r w:rsidRPr="00330234">
        <w:rPr>
          <w:b/>
          <w:spacing w:val="-8"/>
        </w:rPr>
        <w:t xml:space="preserve"> </w:t>
      </w:r>
      <w:r w:rsidRPr="00330234">
        <w:rPr>
          <w:b/>
        </w:rPr>
        <w:t>VOOR</w:t>
      </w:r>
      <w:r w:rsidRPr="00330234">
        <w:rPr>
          <w:b/>
          <w:spacing w:val="-5"/>
        </w:rPr>
        <w:t xml:space="preserve"> </w:t>
      </w:r>
      <w:r w:rsidRPr="00330234">
        <w:rPr>
          <w:b/>
        </w:rPr>
        <w:t>DE</w:t>
      </w:r>
      <w:r w:rsidRPr="00330234">
        <w:rPr>
          <w:b/>
          <w:spacing w:val="-6"/>
        </w:rPr>
        <w:t xml:space="preserve"> </w:t>
      </w:r>
      <w:r w:rsidRPr="00330234">
        <w:rPr>
          <w:b/>
        </w:rPr>
        <w:t>VOORGEVULDE</w:t>
      </w:r>
      <w:r w:rsidRPr="00330234">
        <w:rPr>
          <w:b/>
          <w:spacing w:val="-5"/>
        </w:rPr>
        <w:t xml:space="preserve"> </w:t>
      </w:r>
      <w:r w:rsidRPr="00330234">
        <w:rPr>
          <w:b/>
        </w:rPr>
        <w:t>SPUIT</w:t>
      </w:r>
      <w:r w:rsidRPr="00330234">
        <w:rPr>
          <w:b/>
          <w:spacing w:val="-5"/>
        </w:rPr>
        <w:t xml:space="preserve"> </w:t>
      </w:r>
      <w:r w:rsidRPr="00330234">
        <w:rPr>
          <w:b/>
        </w:rPr>
        <w:t>(MET</w:t>
      </w:r>
      <w:r w:rsidRPr="00330234">
        <w:rPr>
          <w:b/>
          <w:spacing w:val="-7"/>
        </w:rPr>
        <w:t xml:space="preserve"> </w:t>
      </w:r>
      <w:r w:rsidRPr="00330234">
        <w:rPr>
          <w:b/>
        </w:rPr>
        <w:t>BLUE</w:t>
      </w:r>
      <w:r w:rsidRPr="00330234">
        <w:rPr>
          <w:b/>
          <w:spacing w:val="-5"/>
        </w:rPr>
        <w:t xml:space="preserve"> </w:t>
      </w:r>
      <w:r w:rsidRPr="00330234">
        <w:rPr>
          <w:b/>
        </w:rPr>
        <w:t>BOX)</w:t>
      </w:r>
      <w:r w:rsidRPr="00330234">
        <w:rPr>
          <w:b/>
          <w:spacing w:val="-6"/>
        </w:rPr>
        <w:t xml:space="preserve"> </w:t>
      </w:r>
      <w:r w:rsidRPr="00330234">
        <w:rPr>
          <w:b/>
        </w:rPr>
        <w:t>-</w:t>
      </w:r>
      <w:r w:rsidRPr="00330234">
        <w:rPr>
          <w:b/>
          <w:spacing w:val="-5"/>
        </w:rPr>
        <w:t xml:space="preserve"> </w:t>
      </w:r>
      <w:r w:rsidRPr="00330234">
        <w:rPr>
          <w:b/>
        </w:rPr>
        <w:t>Multi-</w:t>
      </w:r>
      <w:r w:rsidRPr="00330234">
        <w:rPr>
          <w:b/>
          <w:spacing w:val="-4"/>
        </w:rPr>
        <w:t>pack</w:t>
      </w:r>
    </w:p>
    <w:p w14:paraId="76E1E7B5" w14:textId="5246DC7A" w:rsidR="00436DAA" w:rsidRPr="00330234" w:rsidRDefault="00436DAA" w:rsidP="009B0E27">
      <w:pPr>
        <w:pStyle w:val="a3"/>
        <w:widowControl/>
        <w:ind w:left="0"/>
      </w:pPr>
    </w:p>
    <w:p w14:paraId="036113A4" w14:textId="77777777" w:rsidR="0018660B" w:rsidRPr="00330234" w:rsidRDefault="0018660B" w:rsidP="009B0E27">
      <w:pPr>
        <w:pStyle w:val="a3"/>
        <w:widowControl/>
        <w:ind w:left="0"/>
      </w:pPr>
    </w:p>
    <w:p w14:paraId="1FE800D8"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w:t>
      </w:r>
      <w:r w:rsidRPr="00330234">
        <w:rPr>
          <w:b/>
        </w:rPr>
        <w:tab/>
        <w:t>NAAM</w:t>
      </w:r>
      <w:r w:rsidRPr="00330234">
        <w:rPr>
          <w:b/>
          <w:spacing w:val="-4"/>
        </w:rPr>
        <w:t xml:space="preserve"> </w:t>
      </w:r>
      <w:r w:rsidRPr="00330234">
        <w:rPr>
          <w:b/>
        </w:rPr>
        <w:t>VAN</w:t>
      </w:r>
      <w:r w:rsidRPr="00330234">
        <w:rPr>
          <w:b/>
          <w:spacing w:val="-4"/>
        </w:rPr>
        <w:t xml:space="preserve"> </w:t>
      </w:r>
      <w:r w:rsidRPr="00330234">
        <w:rPr>
          <w:b/>
        </w:rPr>
        <w:t>HET</w:t>
      </w:r>
      <w:r w:rsidRPr="00330234">
        <w:rPr>
          <w:b/>
          <w:spacing w:val="-4"/>
        </w:rPr>
        <w:t xml:space="preserve"> </w:t>
      </w:r>
      <w:r w:rsidRPr="00330234">
        <w:rPr>
          <w:b/>
          <w:spacing w:val="-2"/>
        </w:rPr>
        <w:t>GENEESMIDDEL</w:t>
      </w:r>
    </w:p>
    <w:p w14:paraId="5382F9CC" w14:textId="35CA5C86" w:rsidR="00436DAA" w:rsidRPr="00330234" w:rsidRDefault="00436DAA" w:rsidP="009B0E27">
      <w:pPr>
        <w:pStyle w:val="a3"/>
        <w:widowControl/>
        <w:ind w:left="0"/>
      </w:pPr>
    </w:p>
    <w:p w14:paraId="0FA56188" w14:textId="3CEFB670" w:rsidR="0018660B" w:rsidRPr="00330234" w:rsidRDefault="007A197C" w:rsidP="009B0E27">
      <w:pPr>
        <w:pStyle w:val="a3"/>
        <w:widowControl/>
        <w:ind w:left="0"/>
      </w:pPr>
      <w:r w:rsidRPr="00330234">
        <w:t>Avtozma</w:t>
      </w:r>
      <w:r w:rsidR="009B4B8E" w:rsidRPr="00330234">
        <w:t xml:space="preserve"> 162 mg oplossing voor injectie in voorgevulde spuit</w:t>
      </w:r>
    </w:p>
    <w:p w14:paraId="62B5E870" w14:textId="569B4A17" w:rsidR="00436DAA" w:rsidRPr="00330234" w:rsidRDefault="009B4B8E" w:rsidP="009B0E27">
      <w:pPr>
        <w:pStyle w:val="a3"/>
        <w:widowControl/>
        <w:ind w:left="0"/>
      </w:pPr>
      <w:r w:rsidRPr="00330234">
        <w:t>tocilizumab</w:t>
      </w:r>
    </w:p>
    <w:p w14:paraId="676D11E6" w14:textId="77777777" w:rsidR="00580327" w:rsidRPr="00330234" w:rsidRDefault="00580327" w:rsidP="009B0E27">
      <w:pPr>
        <w:pStyle w:val="a3"/>
        <w:widowControl/>
        <w:ind w:left="0"/>
      </w:pPr>
    </w:p>
    <w:p w14:paraId="7E65AC23" w14:textId="77777777" w:rsidR="0018660B" w:rsidRPr="00330234" w:rsidRDefault="0018660B" w:rsidP="009B0E27">
      <w:pPr>
        <w:pStyle w:val="a3"/>
        <w:widowControl/>
        <w:ind w:left="0"/>
      </w:pPr>
    </w:p>
    <w:p w14:paraId="5E5487A5"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2.</w:t>
      </w:r>
      <w:r w:rsidRPr="00330234">
        <w:rPr>
          <w:b/>
        </w:rPr>
        <w:tab/>
        <w:t>GEHALTE</w:t>
      </w:r>
      <w:r w:rsidRPr="00330234">
        <w:rPr>
          <w:b/>
          <w:spacing w:val="-7"/>
        </w:rPr>
        <w:t xml:space="preserve"> </w:t>
      </w:r>
      <w:r w:rsidRPr="00330234">
        <w:rPr>
          <w:b/>
        </w:rPr>
        <w:t>AAN</w:t>
      </w:r>
      <w:r w:rsidRPr="00330234">
        <w:rPr>
          <w:b/>
          <w:spacing w:val="-7"/>
        </w:rPr>
        <w:t xml:space="preserve"> </w:t>
      </w:r>
      <w:r w:rsidRPr="00330234">
        <w:rPr>
          <w:b/>
        </w:rPr>
        <w:t>WERKZAME</w:t>
      </w:r>
      <w:r w:rsidRPr="00330234">
        <w:rPr>
          <w:b/>
          <w:spacing w:val="-7"/>
        </w:rPr>
        <w:t xml:space="preserve"> </w:t>
      </w:r>
      <w:r w:rsidRPr="00330234">
        <w:rPr>
          <w:b/>
          <w:spacing w:val="-2"/>
        </w:rPr>
        <w:t>STOF(FEN)</w:t>
      </w:r>
    </w:p>
    <w:p w14:paraId="77A30F03" w14:textId="2F4C4192" w:rsidR="00436DAA" w:rsidRPr="00330234" w:rsidRDefault="00436DAA" w:rsidP="009B0E27">
      <w:pPr>
        <w:pStyle w:val="a3"/>
        <w:widowControl/>
        <w:ind w:left="0"/>
      </w:pPr>
    </w:p>
    <w:p w14:paraId="4583EFBC" w14:textId="77777777" w:rsidR="00436DAA" w:rsidRPr="00330234" w:rsidRDefault="009B4B8E" w:rsidP="009B0E27">
      <w:pPr>
        <w:pStyle w:val="a3"/>
        <w:widowControl/>
        <w:ind w:left="0"/>
      </w:pPr>
      <w:r w:rsidRPr="00330234">
        <w:t>1 voorgevulde spuit bevat 162 mg tocilizumab.</w:t>
      </w:r>
    </w:p>
    <w:p w14:paraId="7190CCB2" w14:textId="77777777" w:rsidR="00436DAA" w:rsidRPr="00330234" w:rsidRDefault="00436DAA" w:rsidP="009B0E27">
      <w:pPr>
        <w:pStyle w:val="a3"/>
        <w:widowControl/>
        <w:ind w:left="0"/>
      </w:pPr>
    </w:p>
    <w:p w14:paraId="1D73CFEE" w14:textId="77777777" w:rsidR="0018660B" w:rsidRPr="00330234" w:rsidRDefault="0018660B" w:rsidP="009B0E27">
      <w:pPr>
        <w:pStyle w:val="a3"/>
        <w:widowControl/>
        <w:ind w:left="0"/>
      </w:pPr>
    </w:p>
    <w:p w14:paraId="284581A3"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3.</w:t>
      </w:r>
      <w:r w:rsidRPr="00330234">
        <w:rPr>
          <w:b/>
        </w:rPr>
        <w:tab/>
        <w:t>LIJST</w:t>
      </w:r>
      <w:r w:rsidRPr="00330234">
        <w:rPr>
          <w:b/>
          <w:spacing w:val="-4"/>
        </w:rPr>
        <w:t xml:space="preserve"> </w:t>
      </w:r>
      <w:r w:rsidRPr="00330234">
        <w:rPr>
          <w:b/>
        </w:rPr>
        <w:t>VAN</w:t>
      </w:r>
      <w:r w:rsidRPr="00330234">
        <w:rPr>
          <w:b/>
          <w:spacing w:val="-4"/>
        </w:rPr>
        <w:t xml:space="preserve"> </w:t>
      </w:r>
      <w:r w:rsidRPr="00330234">
        <w:rPr>
          <w:b/>
          <w:spacing w:val="-2"/>
        </w:rPr>
        <w:t>HULPSTOFFEN</w:t>
      </w:r>
    </w:p>
    <w:p w14:paraId="5B09BADA" w14:textId="1B7C3D0E" w:rsidR="00436DAA" w:rsidRPr="00330234" w:rsidRDefault="00436DAA" w:rsidP="009B0E27">
      <w:pPr>
        <w:pStyle w:val="a3"/>
        <w:widowControl/>
        <w:ind w:left="0"/>
      </w:pPr>
    </w:p>
    <w:p w14:paraId="04CCAFC0" w14:textId="2E11C696" w:rsidR="00B63E66" w:rsidRPr="00330234" w:rsidRDefault="00B63E66" w:rsidP="00B63E66">
      <w:pPr>
        <w:pStyle w:val="a3"/>
        <w:widowControl/>
        <w:ind w:left="0"/>
      </w:pPr>
      <w:r w:rsidRPr="00330234">
        <w:t>Hulpstoffen: L-histidine,</w:t>
      </w:r>
      <w:r w:rsidR="00545170">
        <w:rPr>
          <w:rFonts w:eastAsia="맑은 고딕" w:hint="eastAsia"/>
          <w:lang w:eastAsia="ko-KR"/>
        </w:rPr>
        <w:t xml:space="preserve"> </w:t>
      </w:r>
      <w:r w:rsidR="0065408F" w:rsidRPr="0065408F">
        <w:rPr>
          <w:rFonts w:eastAsia="맑은 고딕" w:hint="eastAsia"/>
          <w:lang w:eastAsia="ko-KR"/>
        </w:rPr>
        <w:t>L-histidine monohydrochloride monohydraat</w:t>
      </w:r>
      <w:r w:rsidR="00545170" w:rsidRPr="00545170">
        <w:rPr>
          <w:rFonts w:eastAsia="맑은 고딕"/>
          <w:lang w:eastAsia="ko-KR"/>
        </w:rPr>
        <w:t>,</w:t>
      </w:r>
      <w:r w:rsidRPr="00330234">
        <w:t xml:space="preserve"> L-threonine, L-methionine, polysorbaat 80 en water voor injecties.</w:t>
      </w:r>
    </w:p>
    <w:p w14:paraId="3B7F13DE" w14:textId="77777777" w:rsidR="00B63E66" w:rsidRPr="00330234" w:rsidRDefault="00B63E66" w:rsidP="00B63E66">
      <w:pPr>
        <w:pStyle w:val="a3"/>
        <w:widowControl/>
        <w:ind w:left="0"/>
      </w:pPr>
      <w:r w:rsidRPr="00330234">
        <w:t>Zie bijsluiter voor meer informatie.</w:t>
      </w:r>
    </w:p>
    <w:p w14:paraId="3001CFA0" w14:textId="77777777" w:rsidR="00436DAA" w:rsidRPr="00330234" w:rsidRDefault="00436DAA" w:rsidP="009B0E27">
      <w:pPr>
        <w:pStyle w:val="a3"/>
        <w:widowControl/>
        <w:ind w:left="0"/>
      </w:pPr>
    </w:p>
    <w:p w14:paraId="3B598CF6" w14:textId="77777777" w:rsidR="0018660B" w:rsidRPr="00330234" w:rsidRDefault="0018660B" w:rsidP="009B0E27">
      <w:pPr>
        <w:pStyle w:val="a3"/>
        <w:widowControl/>
        <w:ind w:left="0"/>
      </w:pPr>
    </w:p>
    <w:p w14:paraId="374094D7"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4.</w:t>
      </w:r>
      <w:r w:rsidRPr="00330234">
        <w:rPr>
          <w:b/>
        </w:rPr>
        <w:tab/>
        <w:t>FARMACEUTISCHE</w:t>
      </w:r>
      <w:r w:rsidRPr="00330234">
        <w:rPr>
          <w:b/>
          <w:spacing w:val="-8"/>
        </w:rPr>
        <w:t xml:space="preserve"> </w:t>
      </w:r>
      <w:r w:rsidRPr="00330234">
        <w:rPr>
          <w:b/>
        </w:rPr>
        <w:t>VORM</w:t>
      </w:r>
      <w:r w:rsidRPr="00330234">
        <w:rPr>
          <w:b/>
          <w:spacing w:val="-6"/>
        </w:rPr>
        <w:t xml:space="preserve"> </w:t>
      </w:r>
      <w:r w:rsidRPr="00330234">
        <w:rPr>
          <w:b/>
        </w:rPr>
        <w:t>EN</w:t>
      </w:r>
      <w:r w:rsidRPr="00330234">
        <w:rPr>
          <w:b/>
          <w:spacing w:val="-7"/>
        </w:rPr>
        <w:t xml:space="preserve"> </w:t>
      </w:r>
      <w:r w:rsidRPr="00330234">
        <w:rPr>
          <w:b/>
          <w:spacing w:val="-2"/>
        </w:rPr>
        <w:t>INHOUD</w:t>
      </w:r>
    </w:p>
    <w:p w14:paraId="50870205" w14:textId="083F12B6" w:rsidR="00436DAA" w:rsidRPr="00330234" w:rsidRDefault="00436DAA" w:rsidP="009B0E27">
      <w:pPr>
        <w:pStyle w:val="a3"/>
        <w:widowControl/>
        <w:ind w:left="0"/>
      </w:pPr>
    </w:p>
    <w:p w14:paraId="66654BF0" w14:textId="77777777" w:rsidR="00436DAA" w:rsidRPr="00330234" w:rsidRDefault="009B4B8E" w:rsidP="009B0E27">
      <w:pPr>
        <w:pStyle w:val="a3"/>
        <w:widowControl/>
        <w:ind w:left="0"/>
      </w:pPr>
      <w:r w:rsidRPr="00330234">
        <w:t>Oplossing voor injectie in voorgevulde spuit</w:t>
      </w:r>
    </w:p>
    <w:p w14:paraId="571F1306" w14:textId="77777777" w:rsidR="00436DAA" w:rsidRPr="00330234" w:rsidRDefault="009B4B8E" w:rsidP="009B0E27">
      <w:pPr>
        <w:pStyle w:val="a3"/>
        <w:widowControl/>
        <w:ind w:left="0"/>
      </w:pPr>
      <w:r w:rsidRPr="00330234">
        <w:t>Multi-pack: 12 (3 verpakkingen van 4) voorgevulde spuiten</w:t>
      </w:r>
    </w:p>
    <w:p w14:paraId="5E29A90A" w14:textId="77777777" w:rsidR="00436DAA" w:rsidRPr="00330234" w:rsidRDefault="009B4B8E" w:rsidP="009B0E27">
      <w:pPr>
        <w:pStyle w:val="a3"/>
        <w:widowControl/>
        <w:ind w:left="0"/>
      </w:pPr>
      <w:r w:rsidRPr="00330234">
        <w:t>162 mg/0,9 ml</w:t>
      </w:r>
    </w:p>
    <w:p w14:paraId="7F46D8FE" w14:textId="77777777" w:rsidR="00436DAA" w:rsidRPr="00330234" w:rsidRDefault="00436DAA" w:rsidP="009B0E27">
      <w:pPr>
        <w:pStyle w:val="a3"/>
        <w:widowControl/>
        <w:ind w:left="0"/>
      </w:pPr>
    </w:p>
    <w:p w14:paraId="079A22B0" w14:textId="77777777" w:rsidR="0018660B" w:rsidRPr="00330234" w:rsidRDefault="0018660B" w:rsidP="009B0E27">
      <w:pPr>
        <w:pStyle w:val="a3"/>
        <w:widowControl/>
        <w:ind w:left="0"/>
      </w:pPr>
    </w:p>
    <w:p w14:paraId="334F5BC3"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5.</w:t>
      </w:r>
      <w:r w:rsidRPr="00330234">
        <w:rPr>
          <w:b/>
        </w:rPr>
        <w:tab/>
        <w:t>WIJZE</w:t>
      </w:r>
      <w:r w:rsidRPr="00330234">
        <w:rPr>
          <w:b/>
          <w:spacing w:val="-5"/>
        </w:rPr>
        <w:t xml:space="preserve"> </w:t>
      </w:r>
      <w:r w:rsidRPr="00330234">
        <w:rPr>
          <w:b/>
        </w:rPr>
        <w:t>VAN</w:t>
      </w:r>
      <w:r w:rsidRPr="00330234">
        <w:rPr>
          <w:b/>
          <w:spacing w:val="-5"/>
        </w:rPr>
        <w:t xml:space="preserve"> </w:t>
      </w:r>
      <w:r w:rsidRPr="00330234">
        <w:rPr>
          <w:b/>
        </w:rPr>
        <w:t>GEBRUIK</w:t>
      </w:r>
      <w:r w:rsidRPr="00330234">
        <w:rPr>
          <w:b/>
          <w:spacing w:val="-3"/>
        </w:rPr>
        <w:t xml:space="preserve"> </w:t>
      </w:r>
      <w:r w:rsidRPr="00330234">
        <w:rPr>
          <w:b/>
        </w:rPr>
        <w:t>EN</w:t>
      </w:r>
      <w:r w:rsidRPr="00330234">
        <w:rPr>
          <w:b/>
          <w:spacing w:val="-4"/>
        </w:rPr>
        <w:t xml:space="preserve"> </w:t>
      </w:r>
      <w:r w:rsidRPr="00330234">
        <w:rPr>
          <w:b/>
          <w:spacing w:val="-2"/>
        </w:rPr>
        <w:t>TOEDIENINGSWEG(EN)</w:t>
      </w:r>
    </w:p>
    <w:p w14:paraId="5BFF8BD9" w14:textId="76BD94AC" w:rsidR="00436DAA" w:rsidRPr="00330234" w:rsidRDefault="00436DAA" w:rsidP="009B0E27">
      <w:pPr>
        <w:pStyle w:val="a3"/>
        <w:widowControl/>
        <w:ind w:left="0"/>
      </w:pPr>
    </w:p>
    <w:p w14:paraId="509F63BE" w14:textId="77777777" w:rsidR="00436DAA" w:rsidRPr="00330234" w:rsidRDefault="009B4B8E" w:rsidP="009B0E27">
      <w:pPr>
        <w:pStyle w:val="a3"/>
        <w:widowControl/>
        <w:ind w:left="0"/>
      </w:pPr>
      <w:r w:rsidRPr="00330234">
        <w:t>Subcutaan gebruik</w:t>
      </w:r>
    </w:p>
    <w:p w14:paraId="0DC24F43" w14:textId="77777777" w:rsidR="00436DAA" w:rsidRPr="00330234" w:rsidRDefault="009B4B8E" w:rsidP="009B0E27">
      <w:pPr>
        <w:pStyle w:val="a3"/>
        <w:widowControl/>
        <w:ind w:left="0"/>
      </w:pPr>
      <w:r w:rsidRPr="00330234">
        <w:t>Lees voor het gebruik de bijsluiter</w:t>
      </w:r>
    </w:p>
    <w:p w14:paraId="72676BA5" w14:textId="77777777" w:rsidR="00436DAA" w:rsidRPr="00330234" w:rsidRDefault="00436DAA" w:rsidP="009B0E27">
      <w:pPr>
        <w:pStyle w:val="a3"/>
        <w:widowControl/>
        <w:ind w:left="0"/>
      </w:pPr>
    </w:p>
    <w:p w14:paraId="661CCEBB" w14:textId="77777777" w:rsidR="0018660B" w:rsidRPr="00330234" w:rsidRDefault="0018660B" w:rsidP="009B0E27">
      <w:pPr>
        <w:pStyle w:val="a3"/>
        <w:widowControl/>
        <w:ind w:left="0"/>
      </w:pPr>
    </w:p>
    <w:p w14:paraId="5BAC60CE" w14:textId="76F09A3A"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rPr>
        <w:t>6.</w:t>
      </w:r>
      <w:r w:rsidRPr="00330234">
        <w:rPr>
          <w:b/>
        </w:rPr>
        <w:tab/>
        <w:t>EEN</w:t>
      </w:r>
      <w:r w:rsidRPr="00330234">
        <w:rPr>
          <w:b/>
          <w:spacing w:val="-5"/>
        </w:rPr>
        <w:t xml:space="preserve"> </w:t>
      </w:r>
      <w:r w:rsidRPr="00330234">
        <w:rPr>
          <w:b/>
        </w:rPr>
        <w:t>SPECIALE</w:t>
      </w:r>
      <w:r w:rsidRPr="00330234">
        <w:rPr>
          <w:b/>
          <w:spacing w:val="-5"/>
        </w:rPr>
        <w:t xml:space="preserve"> </w:t>
      </w:r>
      <w:r w:rsidRPr="00330234">
        <w:rPr>
          <w:b/>
        </w:rPr>
        <w:t>WAARSCHUWING</w:t>
      </w:r>
      <w:r w:rsidRPr="00330234">
        <w:rPr>
          <w:b/>
          <w:spacing w:val="-6"/>
        </w:rPr>
        <w:t xml:space="preserve"> </w:t>
      </w:r>
      <w:r w:rsidRPr="00330234">
        <w:rPr>
          <w:b/>
        </w:rPr>
        <w:t>DAT</w:t>
      </w:r>
      <w:r w:rsidRPr="00330234">
        <w:rPr>
          <w:b/>
          <w:spacing w:val="-5"/>
        </w:rPr>
        <w:t xml:space="preserve"> </w:t>
      </w:r>
      <w:r w:rsidRPr="00330234">
        <w:rPr>
          <w:b/>
        </w:rPr>
        <w:t>HET</w:t>
      </w:r>
      <w:r w:rsidRPr="00330234">
        <w:rPr>
          <w:b/>
          <w:spacing w:val="-8"/>
        </w:rPr>
        <w:t xml:space="preserve"> </w:t>
      </w:r>
      <w:r w:rsidRPr="00330234">
        <w:rPr>
          <w:b/>
        </w:rPr>
        <w:t>GENEESMIDDEL</w:t>
      </w:r>
      <w:r w:rsidRPr="00330234">
        <w:rPr>
          <w:b/>
          <w:spacing w:val="-5"/>
        </w:rPr>
        <w:t xml:space="preserve"> </w:t>
      </w:r>
      <w:r w:rsidRPr="00330234">
        <w:rPr>
          <w:b/>
        </w:rPr>
        <w:t>BUITEN</w:t>
      </w:r>
      <w:r w:rsidRPr="00330234">
        <w:rPr>
          <w:b/>
          <w:spacing w:val="-5"/>
        </w:rPr>
        <w:t xml:space="preserve"> </w:t>
      </w:r>
      <w:r w:rsidRPr="00330234">
        <w:rPr>
          <w:b/>
        </w:rPr>
        <w:t>HET ZICHT EN BEREIK VAN KINDEREN DIENT TE WORDEN GEHOUDEN</w:t>
      </w:r>
    </w:p>
    <w:p w14:paraId="04997C86" w14:textId="61FD9267" w:rsidR="00436DAA" w:rsidRPr="00330234" w:rsidRDefault="00436DAA" w:rsidP="009B0E27">
      <w:pPr>
        <w:pStyle w:val="a3"/>
        <w:widowControl/>
        <w:ind w:left="0"/>
      </w:pPr>
    </w:p>
    <w:p w14:paraId="0F4AE398" w14:textId="77777777" w:rsidR="00436DAA" w:rsidRPr="00330234" w:rsidRDefault="009B4B8E" w:rsidP="009B0E27">
      <w:pPr>
        <w:pStyle w:val="a3"/>
        <w:widowControl/>
        <w:ind w:left="0"/>
      </w:pPr>
      <w:r w:rsidRPr="00330234">
        <w:t>Buiten het zicht en bereik van kinderen houden</w:t>
      </w:r>
    </w:p>
    <w:p w14:paraId="4709F990" w14:textId="77777777" w:rsidR="00436DAA" w:rsidRPr="00330234" w:rsidRDefault="00436DAA" w:rsidP="009B0E27">
      <w:pPr>
        <w:pStyle w:val="a3"/>
        <w:widowControl/>
        <w:ind w:left="0"/>
      </w:pPr>
    </w:p>
    <w:p w14:paraId="2E696C3D" w14:textId="77777777" w:rsidR="0018660B" w:rsidRPr="00330234" w:rsidRDefault="0018660B" w:rsidP="009B0E27">
      <w:pPr>
        <w:pStyle w:val="a3"/>
        <w:widowControl/>
        <w:ind w:left="0"/>
      </w:pPr>
    </w:p>
    <w:p w14:paraId="6005EB7A"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7.</w:t>
      </w:r>
      <w:r w:rsidRPr="00330234">
        <w:rPr>
          <w:b/>
        </w:rPr>
        <w:tab/>
        <w:t>ANDERE</w:t>
      </w:r>
      <w:r w:rsidRPr="00330234">
        <w:rPr>
          <w:b/>
          <w:spacing w:val="-13"/>
        </w:rPr>
        <w:t xml:space="preserve"> </w:t>
      </w:r>
      <w:r w:rsidRPr="00330234">
        <w:rPr>
          <w:b/>
        </w:rPr>
        <w:t>SPECIALE</w:t>
      </w:r>
      <w:r w:rsidRPr="00330234">
        <w:rPr>
          <w:b/>
          <w:spacing w:val="-11"/>
        </w:rPr>
        <w:t xml:space="preserve"> </w:t>
      </w:r>
      <w:r w:rsidRPr="00330234">
        <w:rPr>
          <w:b/>
        </w:rPr>
        <w:t>WAARSCHUWING(EN),</w:t>
      </w:r>
      <w:r w:rsidRPr="00330234">
        <w:rPr>
          <w:b/>
          <w:spacing w:val="-10"/>
        </w:rPr>
        <w:t xml:space="preserve"> </w:t>
      </w:r>
      <w:r w:rsidRPr="00330234">
        <w:rPr>
          <w:b/>
        </w:rPr>
        <w:t>INDIEN</w:t>
      </w:r>
      <w:r w:rsidRPr="00330234">
        <w:rPr>
          <w:b/>
          <w:spacing w:val="-10"/>
        </w:rPr>
        <w:t xml:space="preserve"> </w:t>
      </w:r>
      <w:r w:rsidRPr="00330234">
        <w:rPr>
          <w:b/>
          <w:spacing w:val="-2"/>
        </w:rPr>
        <w:t>NODIG</w:t>
      </w:r>
    </w:p>
    <w:p w14:paraId="64B7DDC1" w14:textId="57E66670" w:rsidR="00436DAA" w:rsidRPr="00330234" w:rsidRDefault="00436DAA" w:rsidP="009B0E27">
      <w:pPr>
        <w:pStyle w:val="a3"/>
        <w:widowControl/>
        <w:ind w:left="0"/>
      </w:pPr>
    </w:p>
    <w:p w14:paraId="7CC32A26" w14:textId="4C46EF0F" w:rsidR="00436DAA" w:rsidRPr="00330234" w:rsidRDefault="009B4B8E" w:rsidP="009B0E27">
      <w:pPr>
        <w:pStyle w:val="a3"/>
        <w:widowControl/>
        <w:ind w:left="0"/>
      </w:pPr>
      <w:r w:rsidRPr="00330234">
        <w:t>De spuit buiten de verpakking op kamertemperatuur laten komen gedurende 30 minuten voor gebruik</w:t>
      </w:r>
    </w:p>
    <w:p w14:paraId="6634E95D" w14:textId="77777777" w:rsidR="00436DAA" w:rsidRPr="00330234" w:rsidRDefault="00436DAA" w:rsidP="009B0E27">
      <w:pPr>
        <w:pStyle w:val="a3"/>
        <w:widowControl/>
        <w:ind w:left="0"/>
      </w:pPr>
    </w:p>
    <w:p w14:paraId="0DB8F543" w14:textId="77777777" w:rsidR="0018660B" w:rsidRPr="00330234" w:rsidRDefault="0018660B" w:rsidP="009B0E27">
      <w:pPr>
        <w:pStyle w:val="a3"/>
        <w:widowControl/>
        <w:ind w:left="0"/>
      </w:pPr>
    </w:p>
    <w:p w14:paraId="19B21F22"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8.</w:t>
      </w:r>
      <w:r w:rsidRPr="00330234">
        <w:rPr>
          <w:b/>
        </w:rPr>
        <w:tab/>
        <w:t>UITERSTE</w:t>
      </w:r>
      <w:r w:rsidRPr="00330234">
        <w:rPr>
          <w:b/>
          <w:spacing w:val="-9"/>
        </w:rPr>
        <w:t xml:space="preserve"> </w:t>
      </w:r>
      <w:r w:rsidRPr="00330234">
        <w:rPr>
          <w:b/>
          <w:spacing w:val="-2"/>
        </w:rPr>
        <w:t>GEBRUIKSDATUM</w:t>
      </w:r>
    </w:p>
    <w:p w14:paraId="16E994D7" w14:textId="3CF4BB8B" w:rsidR="00436DAA" w:rsidRPr="00330234" w:rsidRDefault="00436DAA" w:rsidP="009B0E27">
      <w:pPr>
        <w:pStyle w:val="a3"/>
        <w:widowControl/>
        <w:ind w:left="0"/>
      </w:pPr>
    </w:p>
    <w:p w14:paraId="19FFBFD8" w14:textId="77777777" w:rsidR="00436DAA" w:rsidRPr="00330234" w:rsidRDefault="009B4B8E" w:rsidP="009B0E27">
      <w:pPr>
        <w:pStyle w:val="a3"/>
        <w:widowControl/>
        <w:ind w:left="0"/>
      </w:pPr>
      <w:r w:rsidRPr="00330234">
        <w:t>EXP</w:t>
      </w:r>
    </w:p>
    <w:p w14:paraId="63CA8974" w14:textId="77777777" w:rsidR="00436DAA" w:rsidRPr="00330234" w:rsidRDefault="00436DAA" w:rsidP="009B0E27">
      <w:pPr>
        <w:widowControl/>
      </w:pPr>
    </w:p>
    <w:p w14:paraId="7405C205" w14:textId="77777777" w:rsidR="0018660B" w:rsidRPr="00330234" w:rsidRDefault="0018660B" w:rsidP="009B0E27">
      <w:pPr>
        <w:widowControl/>
      </w:pPr>
    </w:p>
    <w:p w14:paraId="21CAE8B4" w14:textId="77777777" w:rsidR="00580327" w:rsidRPr="00330234" w:rsidRDefault="00580327" w:rsidP="0018660B">
      <w:pPr>
        <w:keepNext/>
        <w:keepLines/>
        <w:pBdr>
          <w:top w:val="single" w:sz="4" w:space="1" w:color="auto"/>
          <w:left w:val="single" w:sz="4" w:space="4" w:color="auto"/>
          <w:bottom w:val="single" w:sz="4" w:space="1" w:color="auto"/>
          <w:right w:val="single" w:sz="4" w:space="4" w:color="auto"/>
        </w:pBdr>
        <w:ind w:left="567" w:hanging="567"/>
        <w:rPr>
          <w:b/>
        </w:rPr>
      </w:pPr>
      <w:r w:rsidRPr="00330234">
        <w:rPr>
          <w:b/>
          <w:spacing w:val="-5"/>
        </w:rPr>
        <w:lastRenderedPageBreak/>
        <w:t>9.</w:t>
      </w:r>
      <w:r w:rsidRPr="00330234">
        <w:rPr>
          <w:b/>
        </w:rPr>
        <w:tab/>
        <w:t>BIJZONDERE</w:t>
      </w:r>
      <w:r w:rsidRPr="00330234">
        <w:rPr>
          <w:b/>
          <w:spacing w:val="-12"/>
        </w:rPr>
        <w:t xml:space="preserve"> </w:t>
      </w:r>
      <w:r w:rsidRPr="00330234">
        <w:rPr>
          <w:b/>
        </w:rPr>
        <w:t>VOORZORGSMAATREGELEN</w:t>
      </w:r>
      <w:r w:rsidRPr="00330234">
        <w:rPr>
          <w:b/>
          <w:spacing w:val="-8"/>
        </w:rPr>
        <w:t xml:space="preserve"> </w:t>
      </w:r>
      <w:r w:rsidRPr="00330234">
        <w:rPr>
          <w:b/>
        </w:rPr>
        <w:t>VOOR</w:t>
      </w:r>
      <w:r w:rsidRPr="00330234">
        <w:rPr>
          <w:b/>
          <w:spacing w:val="-9"/>
        </w:rPr>
        <w:t xml:space="preserve"> </w:t>
      </w:r>
      <w:r w:rsidRPr="00330234">
        <w:rPr>
          <w:b/>
        </w:rPr>
        <w:t>DE</w:t>
      </w:r>
      <w:r w:rsidRPr="00330234">
        <w:rPr>
          <w:b/>
          <w:spacing w:val="-12"/>
        </w:rPr>
        <w:t xml:space="preserve"> </w:t>
      </w:r>
      <w:r w:rsidRPr="00330234">
        <w:rPr>
          <w:b/>
          <w:spacing w:val="-2"/>
        </w:rPr>
        <w:t>BEWARING</w:t>
      </w:r>
    </w:p>
    <w:p w14:paraId="67112C22" w14:textId="13CB89B5" w:rsidR="00436DAA" w:rsidRPr="00330234" w:rsidRDefault="00436DAA" w:rsidP="0018660B">
      <w:pPr>
        <w:pStyle w:val="a3"/>
        <w:keepNext/>
        <w:keepLines/>
        <w:widowControl/>
        <w:ind w:left="0"/>
      </w:pPr>
    </w:p>
    <w:p w14:paraId="393FCD2F" w14:textId="584DEFBC" w:rsidR="003003EB" w:rsidRPr="00330234" w:rsidRDefault="009B4B8E" w:rsidP="0018660B">
      <w:pPr>
        <w:pStyle w:val="a3"/>
        <w:keepNext/>
        <w:keepLines/>
        <w:widowControl/>
        <w:ind w:left="0"/>
      </w:pPr>
      <w:r w:rsidRPr="00330234">
        <w:t>Bewaren in de koelkast</w:t>
      </w:r>
    </w:p>
    <w:p w14:paraId="18D70D83" w14:textId="171C71A0" w:rsidR="00436DAA" w:rsidRPr="00330234" w:rsidRDefault="009B4B8E" w:rsidP="0018660B">
      <w:pPr>
        <w:pStyle w:val="a3"/>
        <w:keepNext/>
        <w:keepLines/>
        <w:widowControl/>
        <w:ind w:left="0"/>
      </w:pPr>
      <w:r w:rsidRPr="00330234">
        <w:t>Niet in de vriezer bewaren</w:t>
      </w:r>
    </w:p>
    <w:p w14:paraId="0D2E296B" w14:textId="40F2DE9B" w:rsidR="00436DAA" w:rsidRPr="00330234" w:rsidRDefault="009B4B8E" w:rsidP="0018660B">
      <w:pPr>
        <w:pStyle w:val="a3"/>
        <w:keepNext/>
        <w:keepLines/>
        <w:widowControl/>
        <w:ind w:left="0"/>
      </w:pPr>
      <w:r w:rsidRPr="00330234">
        <w:t xml:space="preserve">Eenmaal uit de koelkast gehaald, kan de voorgevulde spuit tot </w:t>
      </w:r>
      <w:r w:rsidR="00B63E66" w:rsidRPr="00330234">
        <w:t>3 </w:t>
      </w:r>
      <w:r w:rsidRPr="00330234">
        <w:t>weken beneden 30°C worden bewaard De voorgevulde spuit in de buitenverpakking bewaren ter bescherming tegen licht en vocht</w:t>
      </w:r>
    </w:p>
    <w:p w14:paraId="3EF7A4A5" w14:textId="77777777" w:rsidR="00436DAA" w:rsidRPr="00330234" w:rsidRDefault="00436DAA" w:rsidP="009B0E27">
      <w:pPr>
        <w:pStyle w:val="a3"/>
        <w:widowControl/>
        <w:ind w:left="0"/>
      </w:pPr>
    </w:p>
    <w:p w14:paraId="10F81BCF" w14:textId="77777777" w:rsidR="0018660B" w:rsidRPr="00330234" w:rsidRDefault="0018660B" w:rsidP="009B0E27">
      <w:pPr>
        <w:pStyle w:val="a3"/>
        <w:widowControl/>
        <w:ind w:left="0"/>
      </w:pPr>
    </w:p>
    <w:p w14:paraId="1A49ACFD"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10.</w:t>
      </w:r>
      <w:r w:rsidRPr="00330234">
        <w:rPr>
          <w:b/>
        </w:rPr>
        <w:tab/>
        <w:t>BIJZONDERE</w:t>
      </w:r>
      <w:r w:rsidRPr="00330234">
        <w:rPr>
          <w:b/>
          <w:spacing w:val="-8"/>
        </w:rPr>
        <w:t xml:space="preserve"> </w:t>
      </w:r>
      <w:r w:rsidRPr="00330234">
        <w:rPr>
          <w:b/>
        </w:rPr>
        <w:t>VOORZORGSMAATREGELEN</w:t>
      </w:r>
      <w:r w:rsidRPr="00330234">
        <w:rPr>
          <w:b/>
          <w:spacing w:val="-7"/>
        </w:rPr>
        <w:t xml:space="preserve"> </w:t>
      </w:r>
      <w:r w:rsidRPr="00330234">
        <w:rPr>
          <w:b/>
        </w:rPr>
        <w:t>VOOR</w:t>
      </w:r>
      <w:r w:rsidRPr="00330234">
        <w:rPr>
          <w:b/>
          <w:spacing w:val="-11"/>
        </w:rPr>
        <w:t xml:space="preserve"> </w:t>
      </w:r>
      <w:r w:rsidRPr="00330234">
        <w:rPr>
          <w:b/>
        </w:rPr>
        <w:t>HET</w:t>
      </w:r>
      <w:r w:rsidRPr="00330234">
        <w:rPr>
          <w:b/>
          <w:spacing w:val="-8"/>
        </w:rPr>
        <w:t xml:space="preserve"> </w:t>
      </w:r>
      <w:r w:rsidRPr="00330234">
        <w:rPr>
          <w:b/>
        </w:rPr>
        <w:t>VERWIJDEREN</w:t>
      </w:r>
      <w:r w:rsidRPr="00330234">
        <w:rPr>
          <w:b/>
          <w:spacing w:val="-8"/>
        </w:rPr>
        <w:t xml:space="preserve"> </w:t>
      </w:r>
      <w:r w:rsidRPr="00330234">
        <w:rPr>
          <w:b/>
        </w:rPr>
        <w:t>VAN NIET-GEBRUIKTE GENEESMIDDELEN OF DAARVAN AFGELEIDE AFVALSTOFFEN (INDIEN VAN TOEPASSING)</w:t>
      </w:r>
    </w:p>
    <w:p w14:paraId="3D741F50" w14:textId="026E9FCD" w:rsidR="00436DAA" w:rsidRPr="00330234" w:rsidRDefault="00436DAA" w:rsidP="009B0E27">
      <w:pPr>
        <w:pStyle w:val="a3"/>
        <w:widowControl/>
        <w:ind w:left="0"/>
      </w:pPr>
    </w:p>
    <w:p w14:paraId="2AE223F2" w14:textId="77777777" w:rsidR="00436DAA" w:rsidRPr="00330234" w:rsidRDefault="00436DAA" w:rsidP="009B0E27">
      <w:pPr>
        <w:pStyle w:val="a3"/>
        <w:widowControl/>
        <w:ind w:left="0"/>
      </w:pPr>
    </w:p>
    <w:p w14:paraId="5025278B"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11.</w:t>
      </w:r>
      <w:r w:rsidRPr="00330234">
        <w:rPr>
          <w:b/>
        </w:rPr>
        <w:tab/>
        <w:t>NAAM</w:t>
      </w:r>
      <w:r w:rsidRPr="00330234">
        <w:rPr>
          <w:b/>
          <w:spacing w:val="-3"/>
        </w:rPr>
        <w:t xml:space="preserve"> </w:t>
      </w:r>
      <w:r w:rsidRPr="00330234">
        <w:rPr>
          <w:b/>
        </w:rPr>
        <w:t>EN</w:t>
      </w:r>
      <w:r w:rsidRPr="00330234">
        <w:rPr>
          <w:b/>
          <w:spacing w:val="-4"/>
        </w:rPr>
        <w:t xml:space="preserve"> </w:t>
      </w:r>
      <w:r w:rsidRPr="00330234">
        <w:rPr>
          <w:b/>
        </w:rPr>
        <w:t>ADRES</w:t>
      </w:r>
      <w:r w:rsidRPr="00330234">
        <w:rPr>
          <w:b/>
          <w:spacing w:val="-4"/>
        </w:rPr>
        <w:t xml:space="preserve"> </w:t>
      </w:r>
      <w:r w:rsidRPr="00330234">
        <w:rPr>
          <w:b/>
        </w:rPr>
        <w:t>VAN</w:t>
      </w:r>
      <w:r w:rsidRPr="00330234">
        <w:rPr>
          <w:b/>
          <w:spacing w:val="-2"/>
        </w:rPr>
        <w:t xml:space="preserve"> </w:t>
      </w:r>
      <w:r w:rsidRPr="00330234">
        <w:rPr>
          <w:b/>
        </w:rPr>
        <w:t>DE</w:t>
      </w:r>
      <w:r w:rsidRPr="00330234">
        <w:rPr>
          <w:b/>
          <w:spacing w:val="-4"/>
        </w:rPr>
        <w:t xml:space="preserve"> </w:t>
      </w:r>
      <w:r w:rsidRPr="00330234">
        <w:rPr>
          <w:b/>
        </w:rPr>
        <w:t>HOUDER</w:t>
      </w:r>
      <w:r w:rsidRPr="00330234">
        <w:rPr>
          <w:b/>
          <w:spacing w:val="-4"/>
        </w:rPr>
        <w:t xml:space="preserve"> </w:t>
      </w:r>
      <w:r w:rsidRPr="00330234">
        <w:rPr>
          <w:b/>
        </w:rPr>
        <w:t>VAN</w:t>
      </w:r>
      <w:r w:rsidRPr="00330234">
        <w:rPr>
          <w:b/>
          <w:spacing w:val="-4"/>
        </w:rPr>
        <w:t xml:space="preserve"> </w:t>
      </w:r>
      <w:r w:rsidRPr="00330234">
        <w:rPr>
          <w:b/>
        </w:rPr>
        <w:t>DE</w:t>
      </w:r>
      <w:r w:rsidRPr="00330234">
        <w:rPr>
          <w:b/>
          <w:spacing w:val="-4"/>
        </w:rPr>
        <w:t xml:space="preserve"> </w:t>
      </w:r>
      <w:r w:rsidRPr="00330234">
        <w:rPr>
          <w:b/>
        </w:rPr>
        <w:t>VERGUNNING</w:t>
      </w:r>
      <w:r w:rsidRPr="00330234">
        <w:rPr>
          <w:b/>
          <w:spacing w:val="-2"/>
        </w:rPr>
        <w:t xml:space="preserve"> </w:t>
      </w:r>
      <w:r w:rsidRPr="00330234">
        <w:rPr>
          <w:b/>
        </w:rPr>
        <w:t>VOOR</w:t>
      </w:r>
      <w:r w:rsidRPr="00330234">
        <w:rPr>
          <w:b/>
          <w:spacing w:val="-4"/>
        </w:rPr>
        <w:t xml:space="preserve"> </w:t>
      </w:r>
      <w:r w:rsidRPr="00330234">
        <w:rPr>
          <w:b/>
        </w:rPr>
        <w:t>HET</w:t>
      </w:r>
      <w:r w:rsidRPr="00330234">
        <w:rPr>
          <w:b/>
          <w:spacing w:val="-4"/>
        </w:rPr>
        <w:t xml:space="preserve"> </w:t>
      </w:r>
      <w:r w:rsidRPr="00330234">
        <w:rPr>
          <w:b/>
        </w:rPr>
        <w:t>IN</w:t>
      </w:r>
      <w:r w:rsidRPr="00330234">
        <w:rPr>
          <w:b/>
          <w:spacing w:val="-4"/>
        </w:rPr>
        <w:t xml:space="preserve"> </w:t>
      </w:r>
      <w:r w:rsidRPr="00330234">
        <w:rPr>
          <w:b/>
        </w:rPr>
        <w:t>DE HANDEL BRENGEN</w:t>
      </w:r>
    </w:p>
    <w:p w14:paraId="4089B343" w14:textId="68F5340B" w:rsidR="00436DAA" w:rsidRPr="00330234" w:rsidRDefault="00436DAA" w:rsidP="009B0E27">
      <w:pPr>
        <w:pStyle w:val="a3"/>
        <w:widowControl/>
        <w:ind w:left="0"/>
      </w:pPr>
    </w:p>
    <w:p w14:paraId="0A69DEEF" w14:textId="699ACC56" w:rsidR="00B63E66" w:rsidRPr="00330234" w:rsidRDefault="00B63E66" w:rsidP="00B63E66">
      <w:pPr>
        <w:keepNext/>
      </w:pPr>
      <w:r w:rsidRPr="00330234">
        <w:t>Celltrion Healthcare Hungary Kft.</w:t>
      </w:r>
    </w:p>
    <w:p w14:paraId="1A9A34B8" w14:textId="77777777" w:rsidR="00B63E66" w:rsidRPr="00330234" w:rsidRDefault="00B63E66" w:rsidP="00B63E66">
      <w:pPr>
        <w:keepNext/>
      </w:pPr>
      <w:r w:rsidRPr="00330234">
        <w:t>1062 Budapest</w:t>
      </w:r>
    </w:p>
    <w:p w14:paraId="28E52BAC" w14:textId="77777777" w:rsidR="00B63E66" w:rsidRPr="00330234" w:rsidRDefault="00B63E66" w:rsidP="00B63E66">
      <w:pPr>
        <w:keepNext/>
      </w:pPr>
      <w:r w:rsidRPr="00330234">
        <w:t>Váci út 1-3. WestEnd Office Building B torony</w:t>
      </w:r>
    </w:p>
    <w:p w14:paraId="7AC91B21" w14:textId="30FF4210" w:rsidR="00B63E66" w:rsidRPr="00330234" w:rsidRDefault="00B63E66" w:rsidP="00B63E66">
      <w:r w:rsidRPr="00330234">
        <w:t>Hongarije</w:t>
      </w:r>
    </w:p>
    <w:p w14:paraId="6BE820E1" w14:textId="77777777" w:rsidR="00436DAA" w:rsidRPr="00330234" w:rsidRDefault="00436DAA" w:rsidP="009B0E27">
      <w:pPr>
        <w:pStyle w:val="a3"/>
        <w:widowControl/>
        <w:ind w:left="0"/>
      </w:pPr>
    </w:p>
    <w:p w14:paraId="73C4F379" w14:textId="77777777" w:rsidR="0018660B" w:rsidRPr="00330234" w:rsidRDefault="0018660B" w:rsidP="009B0E27">
      <w:pPr>
        <w:pStyle w:val="a3"/>
        <w:widowControl/>
        <w:ind w:left="0"/>
      </w:pPr>
    </w:p>
    <w:p w14:paraId="07377B0B"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12.</w:t>
      </w:r>
      <w:r w:rsidRPr="00330234">
        <w:rPr>
          <w:b/>
        </w:rPr>
        <w:tab/>
        <w:t>NUMMER(S)</w:t>
      </w:r>
      <w:r w:rsidRPr="00330234">
        <w:rPr>
          <w:b/>
          <w:spacing w:val="-6"/>
        </w:rPr>
        <w:t xml:space="preserve"> </w:t>
      </w:r>
      <w:r w:rsidRPr="00330234">
        <w:rPr>
          <w:b/>
        </w:rPr>
        <w:t>VAN</w:t>
      </w:r>
      <w:r w:rsidRPr="00330234">
        <w:rPr>
          <w:b/>
          <w:spacing w:val="-5"/>
        </w:rPr>
        <w:t xml:space="preserve"> </w:t>
      </w:r>
      <w:r w:rsidRPr="00330234">
        <w:rPr>
          <w:b/>
        </w:rPr>
        <w:t>DE</w:t>
      </w:r>
      <w:r w:rsidRPr="00330234">
        <w:rPr>
          <w:b/>
          <w:spacing w:val="-6"/>
        </w:rPr>
        <w:t xml:space="preserve"> </w:t>
      </w:r>
      <w:r w:rsidRPr="00330234">
        <w:rPr>
          <w:b/>
        </w:rPr>
        <w:t>VERGUNNING</w:t>
      </w:r>
      <w:r w:rsidRPr="00330234">
        <w:rPr>
          <w:b/>
          <w:spacing w:val="-3"/>
        </w:rPr>
        <w:t xml:space="preserve"> </w:t>
      </w:r>
      <w:r w:rsidRPr="00330234">
        <w:rPr>
          <w:b/>
        </w:rPr>
        <w:t>VOOR</w:t>
      </w:r>
      <w:r w:rsidRPr="00330234">
        <w:rPr>
          <w:b/>
          <w:spacing w:val="-6"/>
        </w:rPr>
        <w:t xml:space="preserve"> </w:t>
      </w:r>
      <w:r w:rsidRPr="00330234">
        <w:rPr>
          <w:b/>
        </w:rPr>
        <w:t>HET</w:t>
      </w:r>
      <w:r w:rsidRPr="00330234">
        <w:rPr>
          <w:b/>
          <w:spacing w:val="-5"/>
        </w:rPr>
        <w:t xml:space="preserve"> </w:t>
      </w:r>
      <w:r w:rsidRPr="00330234">
        <w:rPr>
          <w:b/>
        </w:rPr>
        <w:t>IN</w:t>
      </w:r>
      <w:r w:rsidRPr="00330234">
        <w:rPr>
          <w:b/>
          <w:spacing w:val="-6"/>
        </w:rPr>
        <w:t xml:space="preserve"> </w:t>
      </w:r>
      <w:r w:rsidRPr="00330234">
        <w:rPr>
          <w:b/>
        </w:rPr>
        <w:t>DE</w:t>
      </w:r>
      <w:r w:rsidRPr="00330234">
        <w:rPr>
          <w:b/>
          <w:spacing w:val="-5"/>
        </w:rPr>
        <w:t xml:space="preserve"> </w:t>
      </w:r>
      <w:r w:rsidRPr="00330234">
        <w:rPr>
          <w:b/>
        </w:rPr>
        <w:t>HANDEL</w:t>
      </w:r>
      <w:r w:rsidRPr="00330234">
        <w:rPr>
          <w:b/>
          <w:spacing w:val="-5"/>
        </w:rPr>
        <w:t xml:space="preserve"> </w:t>
      </w:r>
      <w:r w:rsidRPr="00330234">
        <w:rPr>
          <w:b/>
          <w:spacing w:val="-2"/>
        </w:rPr>
        <w:t>BRENGEN</w:t>
      </w:r>
    </w:p>
    <w:p w14:paraId="43425911" w14:textId="21DA6929" w:rsidR="00436DAA" w:rsidRPr="00330234" w:rsidRDefault="00436DAA" w:rsidP="009B0E27">
      <w:pPr>
        <w:pStyle w:val="a3"/>
        <w:widowControl/>
        <w:ind w:left="0"/>
      </w:pPr>
    </w:p>
    <w:p w14:paraId="635FA86E" w14:textId="326EC1DB" w:rsidR="00436DAA" w:rsidRPr="00330234" w:rsidRDefault="009B4B8E" w:rsidP="009B0E27">
      <w:pPr>
        <w:pStyle w:val="a3"/>
        <w:widowControl/>
        <w:ind w:left="0"/>
      </w:pPr>
      <w:r w:rsidRPr="00330234">
        <w:t>EU/</w:t>
      </w:r>
      <w:r w:rsidR="008F78E6">
        <w:rPr>
          <w:rFonts w:eastAsia="맑은 고딕" w:hint="eastAsia"/>
          <w:lang w:eastAsia="ko-KR"/>
        </w:rPr>
        <w:t>1/</w:t>
      </w:r>
      <w:r w:rsidR="008B0399" w:rsidRPr="003672E9">
        <w:rPr>
          <w:spacing w:val="-1"/>
          <w:lang w:val="pt-BR"/>
        </w:rPr>
        <w:t>24/1896/00</w:t>
      </w:r>
      <w:r w:rsidR="008B0399">
        <w:rPr>
          <w:rFonts w:eastAsia="맑은 고딕"/>
          <w:spacing w:val="-1"/>
          <w:lang w:val="pt-BR" w:eastAsia="ko-KR"/>
        </w:rPr>
        <w:t>9</w:t>
      </w:r>
      <w:r w:rsidR="008B0399">
        <w:rPr>
          <w:rFonts w:hint="eastAsia"/>
          <w:spacing w:val="-1"/>
          <w:lang w:val="pt-BR" w:eastAsia="ko-KR"/>
        </w:rPr>
        <w:t xml:space="preserve"> </w:t>
      </w:r>
      <w:r w:rsidR="008B0399">
        <w:rPr>
          <w:spacing w:val="-1"/>
          <w:lang w:val="pt-BR" w:eastAsia="ko-KR"/>
        </w:rPr>
        <w:t>12 (3 × 4) voorgevulde spuiten (multi</w:t>
      </w:r>
      <w:r w:rsidR="00064F9F">
        <w:rPr>
          <w:spacing w:val="-1"/>
          <w:lang w:val="pt-BR" w:eastAsia="ko-KR"/>
        </w:rPr>
        <w:t>-pack</w:t>
      </w:r>
      <w:r w:rsidR="008B0399">
        <w:rPr>
          <w:spacing w:val="-1"/>
          <w:lang w:val="pt-BR" w:eastAsia="ko-KR"/>
        </w:rPr>
        <w:t>)</w:t>
      </w:r>
    </w:p>
    <w:p w14:paraId="67CD7A32" w14:textId="77777777" w:rsidR="00436DAA" w:rsidRPr="00330234" w:rsidRDefault="00436DAA" w:rsidP="009B0E27">
      <w:pPr>
        <w:pStyle w:val="a3"/>
        <w:widowControl/>
        <w:ind w:left="0"/>
      </w:pPr>
    </w:p>
    <w:p w14:paraId="57FA064C" w14:textId="77777777" w:rsidR="0018660B" w:rsidRPr="00330234" w:rsidRDefault="0018660B" w:rsidP="009B0E27">
      <w:pPr>
        <w:pStyle w:val="a3"/>
        <w:widowControl/>
        <w:ind w:left="0"/>
      </w:pPr>
    </w:p>
    <w:p w14:paraId="14586607"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13.</w:t>
      </w:r>
      <w:r w:rsidRPr="00330234">
        <w:rPr>
          <w:b/>
        </w:rPr>
        <w:tab/>
      </w:r>
      <w:r w:rsidRPr="00330234">
        <w:rPr>
          <w:b/>
          <w:spacing w:val="-2"/>
        </w:rPr>
        <w:t>PARTIJNUMMER</w:t>
      </w:r>
    </w:p>
    <w:p w14:paraId="50D5C221" w14:textId="5301083C" w:rsidR="00436DAA" w:rsidRPr="00330234" w:rsidRDefault="00436DAA" w:rsidP="009B0E27">
      <w:pPr>
        <w:pStyle w:val="a3"/>
        <w:widowControl/>
        <w:ind w:left="0"/>
      </w:pPr>
    </w:p>
    <w:p w14:paraId="33855065" w14:textId="201077F1" w:rsidR="00436DAA" w:rsidRPr="00330234" w:rsidRDefault="00B63E66" w:rsidP="009B0E27">
      <w:pPr>
        <w:pStyle w:val="a3"/>
        <w:widowControl/>
        <w:ind w:left="0"/>
      </w:pPr>
      <w:r w:rsidRPr="00330234">
        <w:t>Lot</w:t>
      </w:r>
    </w:p>
    <w:p w14:paraId="1C69F574" w14:textId="77777777" w:rsidR="00436DAA" w:rsidRPr="00330234" w:rsidRDefault="00436DAA" w:rsidP="009B0E27">
      <w:pPr>
        <w:pStyle w:val="a3"/>
        <w:widowControl/>
        <w:ind w:left="0"/>
      </w:pPr>
    </w:p>
    <w:p w14:paraId="33CA5D81" w14:textId="77777777" w:rsidR="0018660B" w:rsidRPr="00330234" w:rsidRDefault="0018660B" w:rsidP="009B0E27">
      <w:pPr>
        <w:pStyle w:val="a3"/>
        <w:widowControl/>
        <w:ind w:left="0"/>
      </w:pPr>
    </w:p>
    <w:p w14:paraId="0E58F670"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14.</w:t>
      </w:r>
      <w:r w:rsidRPr="00330234">
        <w:rPr>
          <w:b/>
        </w:rPr>
        <w:tab/>
        <w:t>ALGEMENE</w:t>
      </w:r>
      <w:r w:rsidRPr="00330234">
        <w:rPr>
          <w:b/>
          <w:spacing w:val="-6"/>
        </w:rPr>
        <w:t xml:space="preserve"> </w:t>
      </w:r>
      <w:r w:rsidRPr="00330234">
        <w:rPr>
          <w:b/>
        </w:rPr>
        <w:t>INDELING</w:t>
      </w:r>
      <w:r w:rsidRPr="00330234">
        <w:rPr>
          <w:b/>
          <w:spacing w:val="-4"/>
        </w:rPr>
        <w:t xml:space="preserve"> </w:t>
      </w:r>
      <w:r w:rsidRPr="00330234">
        <w:rPr>
          <w:b/>
        </w:rPr>
        <w:t>VOOR</w:t>
      </w:r>
      <w:r w:rsidRPr="00330234">
        <w:rPr>
          <w:b/>
          <w:spacing w:val="-6"/>
        </w:rPr>
        <w:t xml:space="preserve"> </w:t>
      </w:r>
      <w:r w:rsidRPr="00330234">
        <w:rPr>
          <w:b/>
        </w:rPr>
        <w:t>DE</w:t>
      </w:r>
      <w:r w:rsidRPr="00330234">
        <w:rPr>
          <w:b/>
          <w:spacing w:val="-5"/>
        </w:rPr>
        <w:t xml:space="preserve"> </w:t>
      </w:r>
      <w:r w:rsidRPr="00330234">
        <w:rPr>
          <w:b/>
          <w:spacing w:val="-2"/>
        </w:rPr>
        <w:t>AFLEVERING</w:t>
      </w:r>
    </w:p>
    <w:p w14:paraId="27FA36EA" w14:textId="69A5C46E" w:rsidR="00436DAA" w:rsidRPr="00330234" w:rsidRDefault="00436DAA" w:rsidP="009B0E27">
      <w:pPr>
        <w:pStyle w:val="a3"/>
        <w:widowControl/>
        <w:ind w:left="0"/>
      </w:pPr>
    </w:p>
    <w:p w14:paraId="45196555" w14:textId="77777777" w:rsidR="00436DAA" w:rsidRPr="00330234" w:rsidRDefault="00436DAA" w:rsidP="009B0E27">
      <w:pPr>
        <w:pStyle w:val="a3"/>
        <w:widowControl/>
        <w:ind w:left="0"/>
      </w:pPr>
    </w:p>
    <w:p w14:paraId="34AEFDEE"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15.</w:t>
      </w:r>
      <w:r w:rsidRPr="00330234">
        <w:rPr>
          <w:b/>
        </w:rPr>
        <w:tab/>
        <w:t>INSTRUCTIES</w:t>
      </w:r>
      <w:r w:rsidRPr="00330234">
        <w:rPr>
          <w:b/>
          <w:spacing w:val="-7"/>
        </w:rPr>
        <w:t xml:space="preserve"> </w:t>
      </w:r>
      <w:r w:rsidRPr="00330234">
        <w:rPr>
          <w:b/>
        </w:rPr>
        <w:t>VOOR</w:t>
      </w:r>
      <w:r w:rsidRPr="00330234">
        <w:rPr>
          <w:b/>
          <w:spacing w:val="-7"/>
        </w:rPr>
        <w:t xml:space="preserve"> </w:t>
      </w:r>
      <w:r w:rsidRPr="00330234">
        <w:rPr>
          <w:b/>
          <w:spacing w:val="-2"/>
        </w:rPr>
        <w:t>GEBRUIK</w:t>
      </w:r>
    </w:p>
    <w:p w14:paraId="7A513BCD" w14:textId="176D999D" w:rsidR="00436DAA" w:rsidRPr="00330234" w:rsidRDefault="00436DAA" w:rsidP="009B0E27">
      <w:pPr>
        <w:pStyle w:val="a3"/>
        <w:widowControl/>
        <w:ind w:left="0"/>
      </w:pPr>
    </w:p>
    <w:p w14:paraId="19702415" w14:textId="77777777" w:rsidR="00436DAA" w:rsidRPr="00330234" w:rsidRDefault="00436DAA" w:rsidP="009B0E27">
      <w:pPr>
        <w:pStyle w:val="a3"/>
        <w:widowControl/>
        <w:ind w:left="0"/>
      </w:pPr>
    </w:p>
    <w:p w14:paraId="4A5BCEAA"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16.</w:t>
      </w:r>
      <w:r w:rsidRPr="00330234">
        <w:rPr>
          <w:b/>
        </w:rPr>
        <w:tab/>
        <w:t>INFORMATIE</w:t>
      </w:r>
      <w:r w:rsidRPr="00330234">
        <w:rPr>
          <w:b/>
          <w:spacing w:val="-5"/>
        </w:rPr>
        <w:t xml:space="preserve"> </w:t>
      </w:r>
      <w:r w:rsidRPr="00330234">
        <w:rPr>
          <w:b/>
        </w:rPr>
        <w:t>IN</w:t>
      </w:r>
      <w:r w:rsidRPr="00330234">
        <w:rPr>
          <w:b/>
          <w:spacing w:val="-7"/>
        </w:rPr>
        <w:t xml:space="preserve"> </w:t>
      </w:r>
      <w:r w:rsidRPr="00330234">
        <w:rPr>
          <w:b/>
          <w:spacing w:val="-2"/>
        </w:rPr>
        <w:t>BRAILLE</w:t>
      </w:r>
    </w:p>
    <w:p w14:paraId="7E24EFCC" w14:textId="62AAD3DB" w:rsidR="00436DAA" w:rsidRPr="00330234" w:rsidRDefault="00436DAA" w:rsidP="009B0E27">
      <w:pPr>
        <w:pStyle w:val="a3"/>
        <w:widowControl/>
        <w:ind w:left="0"/>
      </w:pPr>
    </w:p>
    <w:p w14:paraId="6A1071D3" w14:textId="32D619D1" w:rsidR="00436DAA" w:rsidRPr="00330234" w:rsidRDefault="00B63E66" w:rsidP="009B0E27">
      <w:pPr>
        <w:pStyle w:val="a3"/>
        <w:widowControl/>
        <w:ind w:left="0"/>
      </w:pPr>
      <w:r w:rsidRPr="00330234">
        <w:t xml:space="preserve">avtozma </w:t>
      </w:r>
      <w:r w:rsidR="009B4B8E" w:rsidRPr="00330234">
        <w:t>162 mg</w:t>
      </w:r>
    </w:p>
    <w:p w14:paraId="13EB8A4A" w14:textId="77777777" w:rsidR="00436DAA" w:rsidRPr="00330234" w:rsidRDefault="00436DAA" w:rsidP="009B0E27">
      <w:pPr>
        <w:pStyle w:val="a3"/>
        <w:widowControl/>
        <w:ind w:left="0"/>
      </w:pPr>
    </w:p>
    <w:p w14:paraId="2199319C" w14:textId="77777777" w:rsidR="00467A20" w:rsidRPr="00330234" w:rsidRDefault="00467A20" w:rsidP="009B0E27">
      <w:pPr>
        <w:pStyle w:val="a3"/>
        <w:widowControl/>
        <w:ind w:left="0"/>
      </w:pPr>
    </w:p>
    <w:p w14:paraId="21D4C493"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17.</w:t>
      </w:r>
      <w:r w:rsidRPr="00330234">
        <w:rPr>
          <w:b/>
        </w:rPr>
        <w:tab/>
        <w:t>UNIEK</w:t>
      </w:r>
      <w:r w:rsidRPr="00330234">
        <w:rPr>
          <w:b/>
          <w:spacing w:val="-8"/>
        </w:rPr>
        <w:t xml:space="preserve"> </w:t>
      </w:r>
      <w:r w:rsidRPr="00330234">
        <w:rPr>
          <w:b/>
        </w:rPr>
        <w:t>IDENTIFICATIEKENMERK</w:t>
      </w:r>
      <w:r w:rsidRPr="00330234">
        <w:rPr>
          <w:b/>
          <w:spacing w:val="-7"/>
        </w:rPr>
        <w:t xml:space="preserve"> </w:t>
      </w:r>
      <w:r w:rsidRPr="00330234">
        <w:rPr>
          <w:b/>
        </w:rPr>
        <w:t>-</w:t>
      </w:r>
      <w:r w:rsidRPr="00330234">
        <w:rPr>
          <w:b/>
          <w:spacing w:val="-5"/>
        </w:rPr>
        <w:t xml:space="preserve"> </w:t>
      </w:r>
      <w:r w:rsidRPr="00330234">
        <w:rPr>
          <w:b/>
        </w:rPr>
        <w:t>2D</w:t>
      </w:r>
      <w:r w:rsidRPr="00330234">
        <w:rPr>
          <w:b/>
          <w:spacing w:val="-7"/>
        </w:rPr>
        <w:t xml:space="preserve"> </w:t>
      </w:r>
      <w:r w:rsidRPr="00330234">
        <w:rPr>
          <w:b/>
          <w:spacing w:val="-2"/>
        </w:rPr>
        <w:t>MATRIXCODE</w:t>
      </w:r>
    </w:p>
    <w:p w14:paraId="7BEADBCD" w14:textId="77777777" w:rsidR="00436DAA" w:rsidRPr="00330234" w:rsidRDefault="00436DAA" w:rsidP="009B0E27">
      <w:pPr>
        <w:pStyle w:val="a3"/>
        <w:widowControl/>
        <w:ind w:left="0"/>
      </w:pPr>
    </w:p>
    <w:p w14:paraId="7BFF5409" w14:textId="77777777" w:rsidR="00436DAA" w:rsidRPr="00330234" w:rsidRDefault="009B4B8E" w:rsidP="009B0E27">
      <w:pPr>
        <w:pStyle w:val="a3"/>
        <w:widowControl/>
        <w:ind w:left="0"/>
      </w:pPr>
      <w:r w:rsidRPr="00143A85">
        <w:rPr>
          <w:color w:val="000000"/>
          <w:highlight w:val="lightGray"/>
          <w:shd w:val="pct35" w:color="auto" w:fill="auto"/>
        </w:rPr>
        <w:t>2D matrixcode met het unieke identificatiekenmerk.</w:t>
      </w:r>
    </w:p>
    <w:p w14:paraId="0D47D42F" w14:textId="77777777" w:rsidR="00436DAA" w:rsidRPr="00330234" w:rsidRDefault="00436DAA" w:rsidP="009B0E27">
      <w:pPr>
        <w:pStyle w:val="a3"/>
        <w:widowControl/>
        <w:ind w:left="0"/>
      </w:pPr>
    </w:p>
    <w:p w14:paraId="5B8BE11F" w14:textId="77777777" w:rsidR="00467A20" w:rsidRPr="00330234" w:rsidRDefault="00467A20" w:rsidP="009B0E27">
      <w:pPr>
        <w:pStyle w:val="a3"/>
        <w:widowControl/>
        <w:ind w:left="0"/>
      </w:pPr>
    </w:p>
    <w:p w14:paraId="054B5361" w14:textId="77777777" w:rsidR="00580327" w:rsidRPr="00330234" w:rsidRDefault="005803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18.</w:t>
      </w:r>
      <w:r w:rsidRPr="00330234">
        <w:rPr>
          <w:b/>
        </w:rPr>
        <w:tab/>
        <w:t>UNIEK</w:t>
      </w:r>
      <w:r w:rsidRPr="00330234">
        <w:rPr>
          <w:b/>
          <w:spacing w:val="-9"/>
        </w:rPr>
        <w:t xml:space="preserve"> </w:t>
      </w:r>
      <w:r w:rsidRPr="00330234">
        <w:rPr>
          <w:b/>
        </w:rPr>
        <w:t>IDENTIFICATIEKENMERK</w:t>
      </w:r>
      <w:r w:rsidRPr="00330234">
        <w:rPr>
          <w:b/>
          <w:spacing w:val="-8"/>
        </w:rPr>
        <w:t xml:space="preserve"> </w:t>
      </w:r>
      <w:r w:rsidRPr="00330234">
        <w:rPr>
          <w:b/>
        </w:rPr>
        <w:t>-</w:t>
      </w:r>
      <w:r w:rsidRPr="00330234">
        <w:rPr>
          <w:b/>
          <w:spacing w:val="-6"/>
        </w:rPr>
        <w:t xml:space="preserve"> </w:t>
      </w:r>
      <w:r w:rsidRPr="00330234">
        <w:rPr>
          <w:b/>
        </w:rPr>
        <w:t>VOOR</w:t>
      </w:r>
      <w:r w:rsidRPr="00330234">
        <w:rPr>
          <w:b/>
          <w:spacing w:val="-8"/>
        </w:rPr>
        <w:t xml:space="preserve"> </w:t>
      </w:r>
      <w:r w:rsidRPr="00330234">
        <w:rPr>
          <w:b/>
        </w:rPr>
        <w:t>MENSEN</w:t>
      </w:r>
      <w:r w:rsidRPr="00330234">
        <w:rPr>
          <w:b/>
          <w:spacing w:val="-8"/>
        </w:rPr>
        <w:t xml:space="preserve"> </w:t>
      </w:r>
      <w:r w:rsidRPr="00330234">
        <w:rPr>
          <w:b/>
        </w:rPr>
        <w:t>LEESBARE</w:t>
      </w:r>
      <w:r w:rsidRPr="00330234">
        <w:rPr>
          <w:b/>
          <w:spacing w:val="-8"/>
        </w:rPr>
        <w:t xml:space="preserve"> </w:t>
      </w:r>
      <w:r w:rsidRPr="00330234">
        <w:rPr>
          <w:b/>
          <w:spacing w:val="-2"/>
        </w:rPr>
        <w:t>GEGEVENS</w:t>
      </w:r>
    </w:p>
    <w:p w14:paraId="17A3CCBE" w14:textId="46D62F63" w:rsidR="00436DAA" w:rsidRPr="00330234" w:rsidRDefault="00436DAA" w:rsidP="009B0E27">
      <w:pPr>
        <w:pStyle w:val="a3"/>
        <w:widowControl/>
        <w:ind w:left="0"/>
      </w:pPr>
    </w:p>
    <w:p w14:paraId="3C4E33E0" w14:textId="77777777" w:rsidR="00467A20" w:rsidRPr="00330234" w:rsidRDefault="009B4B8E" w:rsidP="009B0E27">
      <w:pPr>
        <w:pStyle w:val="a3"/>
        <w:widowControl/>
        <w:ind w:left="0"/>
      </w:pPr>
      <w:r w:rsidRPr="00330234">
        <w:t>PC</w:t>
      </w:r>
    </w:p>
    <w:p w14:paraId="537EFEE8" w14:textId="77777777" w:rsidR="00467A20" w:rsidRPr="00330234" w:rsidRDefault="009B4B8E" w:rsidP="009B0E27">
      <w:pPr>
        <w:pStyle w:val="a3"/>
        <w:widowControl/>
        <w:ind w:left="0"/>
      </w:pPr>
      <w:r w:rsidRPr="00330234">
        <w:t>SN</w:t>
      </w:r>
    </w:p>
    <w:p w14:paraId="01F25B4F" w14:textId="02BE2430" w:rsidR="00436DAA" w:rsidRPr="00330234" w:rsidRDefault="009B4B8E" w:rsidP="009B0E27">
      <w:pPr>
        <w:pStyle w:val="a3"/>
        <w:widowControl/>
        <w:ind w:left="0"/>
      </w:pPr>
      <w:r w:rsidRPr="00143A85">
        <w:rPr>
          <w:highlight w:val="lightGray"/>
        </w:rPr>
        <w:t>NN</w:t>
      </w:r>
    </w:p>
    <w:p w14:paraId="0E1AB24E" w14:textId="5AA9226B" w:rsidR="004F5587" w:rsidRPr="00330234" w:rsidRDefault="004F5587" w:rsidP="001B3E1E">
      <w:pPr>
        <w:widowControl/>
        <w:pBdr>
          <w:top w:val="single" w:sz="4" w:space="1" w:color="auto"/>
          <w:left w:val="single" w:sz="4" w:space="4" w:color="auto"/>
          <w:bottom w:val="single" w:sz="4" w:space="1" w:color="auto"/>
          <w:right w:val="single" w:sz="4" w:space="4" w:color="auto"/>
        </w:pBdr>
        <w:rPr>
          <w:b/>
        </w:rPr>
      </w:pPr>
      <w:r w:rsidRPr="00330234">
        <w:br w:type="page"/>
      </w:r>
      <w:r w:rsidRPr="00330234">
        <w:rPr>
          <w:b/>
        </w:rPr>
        <w:lastRenderedPageBreak/>
        <w:t>GEGEVENS</w:t>
      </w:r>
      <w:r w:rsidRPr="00330234">
        <w:rPr>
          <w:b/>
          <w:spacing w:val="-4"/>
        </w:rPr>
        <w:t xml:space="preserve"> </w:t>
      </w:r>
      <w:r w:rsidRPr="00330234">
        <w:rPr>
          <w:b/>
        </w:rPr>
        <w:t>DIE</w:t>
      </w:r>
      <w:r w:rsidRPr="00330234">
        <w:rPr>
          <w:b/>
          <w:spacing w:val="-6"/>
        </w:rPr>
        <w:t xml:space="preserve"> </w:t>
      </w:r>
      <w:r w:rsidRPr="00330234">
        <w:rPr>
          <w:b/>
        </w:rPr>
        <w:t>OP</w:t>
      </w:r>
      <w:r w:rsidRPr="00330234">
        <w:rPr>
          <w:b/>
          <w:spacing w:val="-4"/>
        </w:rPr>
        <w:t xml:space="preserve"> </w:t>
      </w:r>
      <w:r w:rsidRPr="00330234">
        <w:rPr>
          <w:b/>
        </w:rPr>
        <w:t>DE</w:t>
      </w:r>
      <w:r w:rsidRPr="00330234">
        <w:rPr>
          <w:b/>
          <w:spacing w:val="-9"/>
        </w:rPr>
        <w:t xml:space="preserve"> </w:t>
      </w:r>
      <w:r w:rsidRPr="00330234">
        <w:rPr>
          <w:b/>
        </w:rPr>
        <w:t>BUITENVERPAKKING</w:t>
      </w:r>
      <w:r w:rsidRPr="00330234">
        <w:rPr>
          <w:b/>
          <w:spacing w:val="-9"/>
        </w:rPr>
        <w:t xml:space="preserve"> </w:t>
      </w:r>
      <w:r w:rsidRPr="00330234">
        <w:rPr>
          <w:b/>
        </w:rPr>
        <w:t>MOETEN</w:t>
      </w:r>
      <w:r w:rsidRPr="00330234">
        <w:rPr>
          <w:b/>
          <w:spacing w:val="-6"/>
        </w:rPr>
        <w:t xml:space="preserve"> </w:t>
      </w:r>
      <w:r w:rsidRPr="00330234">
        <w:rPr>
          <w:b/>
        </w:rPr>
        <w:t>WORDEN</w:t>
      </w:r>
      <w:r w:rsidRPr="00330234">
        <w:rPr>
          <w:b/>
          <w:spacing w:val="-6"/>
        </w:rPr>
        <w:t xml:space="preserve"> </w:t>
      </w:r>
      <w:r w:rsidRPr="00330234">
        <w:rPr>
          <w:b/>
          <w:spacing w:val="-2"/>
        </w:rPr>
        <w:t>VERMELD</w:t>
      </w:r>
    </w:p>
    <w:p w14:paraId="313723FE" w14:textId="77777777" w:rsidR="004F5587" w:rsidRPr="00330234" w:rsidRDefault="004F5587" w:rsidP="003003EB">
      <w:pPr>
        <w:pStyle w:val="a3"/>
        <w:pBdr>
          <w:top w:val="single" w:sz="4" w:space="1" w:color="auto"/>
          <w:left w:val="single" w:sz="4" w:space="4" w:color="auto"/>
          <w:bottom w:val="single" w:sz="4" w:space="1" w:color="auto"/>
          <w:right w:val="single" w:sz="4" w:space="4" w:color="auto"/>
        </w:pBdr>
        <w:ind w:left="0"/>
        <w:rPr>
          <w:b/>
        </w:rPr>
      </w:pPr>
    </w:p>
    <w:p w14:paraId="2B6C8FF5" w14:textId="77777777" w:rsidR="004F5587" w:rsidRPr="00330234" w:rsidRDefault="004F5587" w:rsidP="003003EB">
      <w:pPr>
        <w:pBdr>
          <w:top w:val="single" w:sz="4" w:space="1" w:color="auto"/>
          <w:left w:val="single" w:sz="4" w:space="4" w:color="auto"/>
          <w:bottom w:val="single" w:sz="4" w:space="1" w:color="auto"/>
          <w:right w:val="single" w:sz="4" w:space="4" w:color="auto"/>
        </w:pBdr>
        <w:rPr>
          <w:b/>
        </w:rPr>
      </w:pPr>
      <w:r w:rsidRPr="00330234">
        <w:rPr>
          <w:b/>
        </w:rPr>
        <w:t>VERPAKKING</w:t>
      </w:r>
      <w:r w:rsidRPr="00330234">
        <w:rPr>
          <w:b/>
          <w:spacing w:val="-7"/>
        </w:rPr>
        <w:t xml:space="preserve"> </w:t>
      </w:r>
      <w:r w:rsidRPr="00330234">
        <w:rPr>
          <w:b/>
        </w:rPr>
        <w:t>VOOR</w:t>
      </w:r>
      <w:r w:rsidRPr="00330234">
        <w:rPr>
          <w:b/>
          <w:spacing w:val="-6"/>
        </w:rPr>
        <w:t xml:space="preserve"> </w:t>
      </w:r>
      <w:r w:rsidRPr="00330234">
        <w:rPr>
          <w:b/>
        </w:rPr>
        <w:t>DE</w:t>
      </w:r>
      <w:r w:rsidRPr="00330234">
        <w:rPr>
          <w:b/>
          <w:spacing w:val="-6"/>
        </w:rPr>
        <w:t xml:space="preserve"> </w:t>
      </w:r>
      <w:r w:rsidRPr="00330234">
        <w:rPr>
          <w:b/>
        </w:rPr>
        <w:t>VOORGEVULDE</w:t>
      </w:r>
      <w:r w:rsidRPr="00330234">
        <w:rPr>
          <w:b/>
          <w:spacing w:val="-6"/>
        </w:rPr>
        <w:t xml:space="preserve"> </w:t>
      </w:r>
      <w:r w:rsidRPr="00330234">
        <w:rPr>
          <w:b/>
        </w:rPr>
        <w:t>SPUIT</w:t>
      </w:r>
      <w:r w:rsidRPr="00330234">
        <w:rPr>
          <w:b/>
          <w:spacing w:val="-6"/>
        </w:rPr>
        <w:t xml:space="preserve"> </w:t>
      </w:r>
      <w:r w:rsidRPr="00330234">
        <w:rPr>
          <w:b/>
        </w:rPr>
        <w:t>(ZONDER</w:t>
      </w:r>
      <w:r w:rsidRPr="00330234">
        <w:rPr>
          <w:b/>
          <w:spacing w:val="-6"/>
        </w:rPr>
        <w:t xml:space="preserve"> </w:t>
      </w:r>
      <w:r w:rsidRPr="00330234">
        <w:rPr>
          <w:b/>
        </w:rPr>
        <w:t>BLUE</w:t>
      </w:r>
      <w:r w:rsidRPr="00330234">
        <w:rPr>
          <w:b/>
          <w:spacing w:val="-6"/>
        </w:rPr>
        <w:t xml:space="preserve"> </w:t>
      </w:r>
      <w:r w:rsidRPr="00330234">
        <w:rPr>
          <w:b/>
        </w:rPr>
        <w:t>BOX)</w:t>
      </w:r>
      <w:r w:rsidRPr="00330234">
        <w:rPr>
          <w:b/>
          <w:spacing w:val="-4"/>
        </w:rPr>
        <w:t xml:space="preserve"> </w:t>
      </w:r>
      <w:r w:rsidRPr="00330234">
        <w:rPr>
          <w:b/>
        </w:rPr>
        <w:t>–</w:t>
      </w:r>
      <w:r w:rsidRPr="00330234">
        <w:rPr>
          <w:b/>
          <w:spacing w:val="-5"/>
        </w:rPr>
        <w:t xml:space="preserve"> </w:t>
      </w:r>
      <w:r w:rsidRPr="00330234">
        <w:rPr>
          <w:b/>
        </w:rPr>
        <w:t>Multi-</w:t>
      </w:r>
      <w:r w:rsidRPr="00330234">
        <w:rPr>
          <w:b/>
          <w:spacing w:val="-4"/>
        </w:rPr>
        <w:t>pack</w:t>
      </w:r>
    </w:p>
    <w:p w14:paraId="731FCBEE" w14:textId="6CDA4F22" w:rsidR="00436DAA" w:rsidRPr="00330234" w:rsidRDefault="00436DAA" w:rsidP="009B0E27">
      <w:pPr>
        <w:pStyle w:val="a3"/>
        <w:widowControl/>
        <w:ind w:left="0"/>
      </w:pPr>
    </w:p>
    <w:p w14:paraId="60E1ECDB" w14:textId="77777777" w:rsidR="00467A20" w:rsidRPr="00330234" w:rsidRDefault="00467A20" w:rsidP="009B0E27">
      <w:pPr>
        <w:pStyle w:val="a3"/>
        <w:widowControl/>
        <w:ind w:left="0"/>
      </w:pPr>
    </w:p>
    <w:p w14:paraId="40CE4ABC"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w:t>
      </w:r>
      <w:r w:rsidRPr="00330234">
        <w:rPr>
          <w:b/>
        </w:rPr>
        <w:tab/>
        <w:t>NAAM</w:t>
      </w:r>
      <w:r w:rsidRPr="00330234">
        <w:rPr>
          <w:b/>
          <w:spacing w:val="-4"/>
        </w:rPr>
        <w:t xml:space="preserve"> </w:t>
      </w:r>
      <w:r w:rsidRPr="00330234">
        <w:rPr>
          <w:b/>
        </w:rPr>
        <w:t>VAN</w:t>
      </w:r>
      <w:r w:rsidRPr="00330234">
        <w:rPr>
          <w:b/>
          <w:spacing w:val="-4"/>
        </w:rPr>
        <w:t xml:space="preserve"> </w:t>
      </w:r>
      <w:r w:rsidRPr="00330234">
        <w:rPr>
          <w:b/>
        </w:rPr>
        <w:t>HET</w:t>
      </w:r>
      <w:r w:rsidRPr="00330234">
        <w:rPr>
          <w:b/>
          <w:spacing w:val="-4"/>
        </w:rPr>
        <w:t xml:space="preserve"> </w:t>
      </w:r>
      <w:r w:rsidRPr="00330234">
        <w:rPr>
          <w:b/>
          <w:spacing w:val="-2"/>
        </w:rPr>
        <w:t>GENEESMIDDEL</w:t>
      </w:r>
    </w:p>
    <w:p w14:paraId="25DF6000" w14:textId="6767601C" w:rsidR="00436DAA" w:rsidRPr="00330234" w:rsidRDefault="00436DAA" w:rsidP="009B0E27">
      <w:pPr>
        <w:pStyle w:val="a3"/>
        <w:widowControl/>
        <w:ind w:left="0"/>
      </w:pPr>
    </w:p>
    <w:p w14:paraId="18B314BB" w14:textId="259A4541" w:rsidR="00467A20" w:rsidRPr="00330234" w:rsidRDefault="007A197C" w:rsidP="009B0E27">
      <w:pPr>
        <w:pStyle w:val="a3"/>
        <w:widowControl/>
        <w:ind w:left="0"/>
      </w:pPr>
      <w:r w:rsidRPr="00330234">
        <w:t>Avtozma</w:t>
      </w:r>
      <w:r w:rsidR="009B4B8E" w:rsidRPr="00330234">
        <w:t xml:space="preserve"> 162 mg oplossing voor injectie in voorgevulde spuit</w:t>
      </w:r>
    </w:p>
    <w:p w14:paraId="0572A144" w14:textId="292EFED6" w:rsidR="00436DAA" w:rsidRPr="00330234" w:rsidRDefault="009B4B8E" w:rsidP="009B0E27">
      <w:pPr>
        <w:pStyle w:val="a3"/>
        <w:widowControl/>
        <w:ind w:left="0"/>
      </w:pPr>
      <w:r w:rsidRPr="00330234">
        <w:t>tocilizumab</w:t>
      </w:r>
    </w:p>
    <w:p w14:paraId="7E0BA864" w14:textId="77777777" w:rsidR="004F5587" w:rsidRPr="00330234" w:rsidRDefault="004F5587" w:rsidP="009B0E27">
      <w:pPr>
        <w:pStyle w:val="a3"/>
        <w:widowControl/>
        <w:ind w:left="0"/>
      </w:pPr>
    </w:p>
    <w:p w14:paraId="3417F5B1" w14:textId="77777777" w:rsidR="00467A20" w:rsidRPr="00330234" w:rsidRDefault="00467A20" w:rsidP="009B0E27">
      <w:pPr>
        <w:pStyle w:val="a3"/>
        <w:widowControl/>
        <w:ind w:left="0"/>
      </w:pPr>
    </w:p>
    <w:p w14:paraId="2047FFF6"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2.</w:t>
      </w:r>
      <w:r w:rsidRPr="00330234">
        <w:rPr>
          <w:b/>
        </w:rPr>
        <w:tab/>
        <w:t>GEHALTE</w:t>
      </w:r>
      <w:r w:rsidRPr="00330234">
        <w:rPr>
          <w:b/>
          <w:spacing w:val="-7"/>
        </w:rPr>
        <w:t xml:space="preserve"> </w:t>
      </w:r>
      <w:r w:rsidRPr="00330234">
        <w:rPr>
          <w:b/>
        </w:rPr>
        <w:t>AAN</w:t>
      </w:r>
      <w:r w:rsidRPr="00330234">
        <w:rPr>
          <w:b/>
          <w:spacing w:val="-7"/>
        </w:rPr>
        <w:t xml:space="preserve"> </w:t>
      </w:r>
      <w:r w:rsidRPr="00330234">
        <w:rPr>
          <w:b/>
        </w:rPr>
        <w:t>WERKZAME</w:t>
      </w:r>
      <w:r w:rsidRPr="00330234">
        <w:rPr>
          <w:b/>
          <w:spacing w:val="-7"/>
        </w:rPr>
        <w:t xml:space="preserve"> </w:t>
      </w:r>
      <w:r w:rsidRPr="00330234">
        <w:rPr>
          <w:b/>
          <w:spacing w:val="-2"/>
        </w:rPr>
        <w:t>STOF(FEN)</w:t>
      </w:r>
    </w:p>
    <w:p w14:paraId="19A16933" w14:textId="03DF11C7" w:rsidR="00436DAA" w:rsidRPr="00330234" w:rsidRDefault="00436DAA" w:rsidP="009B0E27">
      <w:pPr>
        <w:pStyle w:val="a3"/>
        <w:widowControl/>
        <w:ind w:left="0"/>
      </w:pPr>
    </w:p>
    <w:p w14:paraId="604D858B" w14:textId="77777777" w:rsidR="00436DAA" w:rsidRPr="00330234" w:rsidRDefault="009B4B8E" w:rsidP="009B0E27">
      <w:pPr>
        <w:pStyle w:val="a3"/>
        <w:widowControl/>
        <w:ind w:left="0"/>
      </w:pPr>
      <w:r w:rsidRPr="00330234">
        <w:t>1 voorgevulde spuit bevat 162 mg tocilizumab.</w:t>
      </w:r>
    </w:p>
    <w:p w14:paraId="1909124B" w14:textId="77777777" w:rsidR="00436DAA" w:rsidRPr="00330234" w:rsidRDefault="00436DAA" w:rsidP="009B0E27">
      <w:pPr>
        <w:pStyle w:val="a3"/>
        <w:widowControl/>
        <w:ind w:left="0"/>
      </w:pPr>
    </w:p>
    <w:p w14:paraId="62472A80" w14:textId="77777777" w:rsidR="00467A20" w:rsidRPr="00330234" w:rsidRDefault="00467A20" w:rsidP="009B0E27">
      <w:pPr>
        <w:pStyle w:val="a3"/>
        <w:widowControl/>
        <w:ind w:left="0"/>
      </w:pPr>
    </w:p>
    <w:p w14:paraId="6A9549AB"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3.</w:t>
      </w:r>
      <w:r w:rsidRPr="00330234">
        <w:rPr>
          <w:b/>
        </w:rPr>
        <w:tab/>
        <w:t>LIJST</w:t>
      </w:r>
      <w:r w:rsidRPr="00330234">
        <w:rPr>
          <w:b/>
          <w:spacing w:val="-4"/>
        </w:rPr>
        <w:t xml:space="preserve"> </w:t>
      </w:r>
      <w:r w:rsidRPr="00330234">
        <w:rPr>
          <w:b/>
        </w:rPr>
        <w:t>VAN</w:t>
      </w:r>
      <w:r w:rsidRPr="00330234">
        <w:rPr>
          <w:b/>
          <w:spacing w:val="-4"/>
        </w:rPr>
        <w:t xml:space="preserve"> </w:t>
      </w:r>
      <w:r w:rsidRPr="00330234">
        <w:rPr>
          <w:b/>
          <w:spacing w:val="-2"/>
        </w:rPr>
        <w:t>HULPSTOFFEN</w:t>
      </w:r>
    </w:p>
    <w:p w14:paraId="0C0F9733" w14:textId="1FB9BF95" w:rsidR="00436DAA" w:rsidRPr="00330234" w:rsidRDefault="00436DAA" w:rsidP="009B0E27">
      <w:pPr>
        <w:pStyle w:val="a3"/>
        <w:widowControl/>
        <w:ind w:left="0"/>
      </w:pPr>
    </w:p>
    <w:p w14:paraId="348EBAD1" w14:textId="7AFC4194" w:rsidR="00B63E66" w:rsidRPr="00330234" w:rsidRDefault="00B63E66" w:rsidP="00B63E66">
      <w:pPr>
        <w:pStyle w:val="a3"/>
        <w:widowControl/>
        <w:ind w:left="0"/>
      </w:pPr>
      <w:r w:rsidRPr="00330234">
        <w:t xml:space="preserve">Hulpstoffen: L-histidine, </w:t>
      </w:r>
      <w:r w:rsidR="0065408F" w:rsidRPr="0065408F">
        <w:rPr>
          <w:rFonts w:hint="eastAsia"/>
        </w:rPr>
        <w:t>L-histidine monohydrochloride monohydraat</w:t>
      </w:r>
      <w:r w:rsidR="00545170" w:rsidRPr="00545170">
        <w:t xml:space="preserve">, </w:t>
      </w:r>
      <w:r w:rsidRPr="00330234">
        <w:t>L-threonine, L-methionine, polysorbaat 80 en water voor injecties.</w:t>
      </w:r>
    </w:p>
    <w:p w14:paraId="62A1A7A9" w14:textId="77777777" w:rsidR="00B63E66" w:rsidRPr="00330234" w:rsidRDefault="00B63E66" w:rsidP="00B63E66">
      <w:pPr>
        <w:pStyle w:val="a3"/>
        <w:widowControl/>
        <w:ind w:left="0"/>
      </w:pPr>
      <w:r w:rsidRPr="00330234">
        <w:t>Zie bijsluiter voor meer informatie.</w:t>
      </w:r>
    </w:p>
    <w:p w14:paraId="1922AB95" w14:textId="77777777" w:rsidR="00436DAA" w:rsidRPr="00330234" w:rsidRDefault="00436DAA" w:rsidP="009B0E27">
      <w:pPr>
        <w:pStyle w:val="a3"/>
        <w:widowControl/>
        <w:ind w:left="0"/>
      </w:pPr>
    </w:p>
    <w:p w14:paraId="45EAA26F" w14:textId="77777777" w:rsidR="00467A20" w:rsidRPr="00330234" w:rsidRDefault="00467A20" w:rsidP="009B0E27">
      <w:pPr>
        <w:pStyle w:val="a3"/>
        <w:widowControl/>
        <w:ind w:left="0"/>
      </w:pPr>
    </w:p>
    <w:p w14:paraId="4E0CB5FE"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4.</w:t>
      </w:r>
      <w:r w:rsidRPr="00330234">
        <w:rPr>
          <w:b/>
        </w:rPr>
        <w:tab/>
        <w:t>FARMACEUTISCHE</w:t>
      </w:r>
      <w:r w:rsidRPr="00330234">
        <w:rPr>
          <w:b/>
          <w:spacing w:val="-8"/>
        </w:rPr>
        <w:t xml:space="preserve"> </w:t>
      </w:r>
      <w:r w:rsidRPr="00330234">
        <w:rPr>
          <w:b/>
        </w:rPr>
        <w:t>VORM</w:t>
      </w:r>
      <w:r w:rsidRPr="00330234">
        <w:rPr>
          <w:b/>
          <w:spacing w:val="-6"/>
        </w:rPr>
        <w:t xml:space="preserve"> </w:t>
      </w:r>
      <w:r w:rsidRPr="00330234">
        <w:rPr>
          <w:b/>
        </w:rPr>
        <w:t>EN</w:t>
      </w:r>
      <w:r w:rsidRPr="00330234">
        <w:rPr>
          <w:b/>
          <w:spacing w:val="-7"/>
        </w:rPr>
        <w:t xml:space="preserve"> </w:t>
      </w:r>
      <w:r w:rsidRPr="00330234">
        <w:rPr>
          <w:b/>
          <w:spacing w:val="-2"/>
        </w:rPr>
        <w:t>INHOUD</w:t>
      </w:r>
    </w:p>
    <w:p w14:paraId="621D3643" w14:textId="33F78B20" w:rsidR="00436DAA" w:rsidRPr="00330234" w:rsidRDefault="00436DAA" w:rsidP="009B0E27">
      <w:pPr>
        <w:pStyle w:val="a3"/>
        <w:widowControl/>
        <w:ind w:left="0"/>
      </w:pPr>
    </w:p>
    <w:p w14:paraId="15B79EF4" w14:textId="77777777" w:rsidR="00436DAA" w:rsidRPr="00330234" w:rsidRDefault="009B4B8E" w:rsidP="009B0E27">
      <w:pPr>
        <w:pStyle w:val="a3"/>
        <w:widowControl/>
        <w:ind w:left="0"/>
      </w:pPr>
      <w:r w:rsidRPr="00330234">
        <w:t>Oplossing voor injectie in voorgevulde spuit</w:t>
      </w:r>
    </w:p>
    <w:p w14:paraId="4059BEB9" w14:textId="77777777" w:rsidR="00436DAA" w:rsidRPr="00330234" w:rsidRDefault="009B4B8E" w:rsidP="009B0E27">
      <w:pPr>
        <w:pStyle w:val="a3"/>
        <w:widowControl/>
        <w:ind w:left="0"/>
      </w:pPr>
      <w:r w:rsidRPr="00330234">
        <w:t>4 voorgevulde spuiten. Componenten van een multi-pack kunnen niet afzonderlijk verkocht worden. 162 mg/0,9 ml</w:t>
      </w:r>
    </w:p>
    <w:p w14:paraId="4DF68F01" w14:textId="77777777" w:rsidR="00436DAA" w:rsidRPr="00330234" w:rsidRDefault="00436DAA" w:rsidP="009B0E27">
      <w:pPr>
        <w:pStyle w:val="a3"/>
        <w:widowControl/>
        <w:ind w:left="0"/>
      </w:pPr>
    </w:p>
    <w:p w14:paraId="52A8338F" w14:textId="77777777" w:rsidR="00467A20" w:rsidRPr="00330234" w:rsidRDefault="00467A20" w:rsidP="009B0E27">
      <w:pPr>
        <w:pStyle w:val="a3"/>
        <w:widowControl/>
        <w:ind w:left="0"/>
      </w:pPr>
    </w:p>
    <w:p w14:paraId="3C77ADE2"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5.</w:t>
      </w:r>
      <w:r w:rsidRPr="00330234">
        <w:rPr>
          <w:b/>
        </w:rPr>
        <w:tab/>
        <w:t>WIJZE</w:t>
      </w:r>
      <w:r w:rsidRPr="00330234">
        <w:rPr>
          <w:b/>
          <w:spacing w:val="-5"/>
        </w:rPr>
        <w:t xml:space="preserve"> </w:t>
      </w:r>
      <w:r w:rsidRPr="00330234">
        <w:rPr>
          <w:b/>
        </w:rPr>
        <w:t>VAN</w:t>
      </w:r>
      <w:r w:rsidRPr="00330234">
        <w:rPr>
          <w:b/>
          <w:spacing w:val="-5"/>
        </w:rPr>
        <w:t xml:space="preserve"> </w:t>
      </w:r>
      <w:r w:rsidRPr="00330234">
        <w:rPr>
          <w:b/>
        </w:rPr>
        <w:t>GEBRUIK</w:t>
      </w:r>
      <w:r w:rsidRPr="00330234">
        <w:rPr>
          <w:b/>
          <w:spacing w:val="-3"/>
        </w:rPr>
        <w:t xml:space="preserve"> </w:t>
      </w:r>
      <w:r w:rsidRPr="00330234">
        <w:rPr>
          <w:b/>
        </w:rPr>
        <w:t>EN</w:t>
      </w:r>
      <w:r w:rsidRPr="00330234">
        <w:rPr>
          <w:b/>
          <w:spacing w:val="-4"/>
        </w:rPr>
        <w:t xml:space="preserve"> </w:t>
      </w:r>
      <w:r w:rsidRPr="00330234">
        <w:rPr>
          <w:b/>
          <w:spacing w:val="-2"/>
        </w:rPr>
        <w:t>TOEDIENINGSWEG(EN)</w:t>
      </w:r>
    </w:p>
    <w:p w14:paraId="06D9045D" w14:textId="3AA115DB" w:rsidR="00436DAA" w:rsidRPr="00330234" w:rsidRDefault="00436DAA" w:rsidP="009B0E27">
      <w:pPr>
        <w:pStyle w:val="a3"/>
        <w:widowControl/>
        <w:ind w:left="0"/>
      </w:pPr>
    </w:p>
    <w:p w14:paraId="7E819DA9" w14:textId="77777777" w:rsidR="00436DAA" w:rsidRPr="00330234" w:rsidRDefault="009B4B8E" w:rsidP="009B0E27">
      <w:pPr>
        <w:pStyle w:val="a3"/>
        <w:widowControl/>
        <w:ind w:left="0"/>
      </w:pPr>
      <w:r w:rsidRPr="00330234">
        <w:t>Subcutaan gebruik</w:t>
      </w:r>
    </w:p>
    <w:p w14:paraId="4D8A5A0C" w14:textId="77777777" w:rsidR="00436DAA" w:rsidRPr="00330234" w:rsidRDefault="009B4B8E" w:rsidP="009B0E27">
      <w:pPr>
        <w:pStyle w:val="a3"/>
        <w:widowControl/>
        <w:ind w:left="0"/>
      </w:pPr>
      <w:r w:rsidRPr="00330234">
        <w:t>Lees voor het gebruik de bijsluiter</w:t>
      </w:r>
    </w:p>
    <w:p w14:paraId="4FAD6FBA" w14:textId="77777777" w:rsidR="00436DAA" w:rsidRPr="00330234" w:rsidRDefault="00436DAA" w:rsidP="009B0E27">
      <w:pPr>
        <w:pStyle w:val="a3"/>
        <w:widowControl/>
        <w:ind w:left="0"/>
      </w:pPr>
    </w:p>
    <w:p w14:paraId="2D1995FB" w14:textId="77777777" w:rsidR="00467A20" w:rsidRPr="00330234" w:rsidRDefault="00467A20" w:rsidP="009B0E27">
      <w:pPr>
        <w:pStyle w:val="a3"/>
        <w:widowControl/>
        <w:ind w:left="0"/>
      </w:pPr>
    </w:p>
    <w:p w14:paraId="7BCC3935" w14:textId="561D954F"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rPr>
        <w:t>6.</w:t>
      </w:r>
      <w:r w:rsidRPr="00330234">
        <w:rPr>
          <w:b/>
        </w:rPr>
        <w:tab/>
        <w:t>EEN</w:t>
      </w:r>
      <w:r w:rsidRPr="00330234">
        <w:rPr>
          <w:b/>
          <w:spacing w:val="-5"/>
        </w:rPr>
        <w:t xml:space="preserve"> </w:t>
      </w:r>
      <w:r w:rsidRPr="00330234">
        <w:rPr>
          <w:b/>
        </w:rPr>
        <w:t>SPECIALE</w:t>
      </w:r>
      <w:r w:rsidRPr="00330234">
        <w:rPr>
          <w:b/>
          <w:spacing w:val="-5"/>
        </w:rPr>
        <w:t xml:space="preserve"> </w:t>
      </w:r>
      <w:r w:rsidRPr="00330234">
        <w:rPr>
          <w:b/>
        </w:rPr>
        <w:t>WAARSCHUWING</w:t>
      </w:r>
      <w:r w:rsidRPr="00330234">
        <w:rPr>
          <w:b/>
          <w:spacing w:val="-6"/>
        </w:rPr>
        <w:t xml:space="preserve"> </w:t>
      </w:r>
      <w:r w:rsidRPr="00330234">
        <w:rPr>
          <w:b/>
        </w:rPr>
        <w:t>DAT</w:t>
      </w:r>
      <w:r w:rsidRPr="00330234">
        <w:rPr>
          <w:b/>
          <w:spacing w:val="-5"/>
        </w:rPr>
        <w:t xml:space="preserve"> </w:t>
      </w:r>
      <w:r w:rsidRPr="00330234">
        <w:rPr>
          <w:b/>
        </w:rPr>
        <w:t>HET</w:t>
      </w:r>
      <w:r w:rsidRPr="00330234">
        <w:rPr>
          <w:b/>
          <w:spacing w:val="-8"/>
        </w:rPr>
        <w:t xml:space="preserve"> </w:t>
      </w:r>
      <w:r w:rsidRPr="00330234">
        <w:rPr>
          <w:b/>
        </w:rPr>
        <w:t>GENEESMIDDEL</w:t>
      </w:r>
      <w:r w:rsidRPr="00330234">
        <w:rPr>
          <w:b/>
          <w:spacing w:val="-5"/>
        </w:rPr>
        <w:t xml:space="preserve"> </w:t>
      </w:r>
      <w:r w:rsidRPr="00330234">
        <w:rPr>
          <w:b/>
        </w:rPr>
        <w:t>BUITEN</w:t>
      </w:r>
      <w:r w:rsidRPr="00330234">
        <w:rPr>
          <w:b/>
          <w:spacing w:val="-5"/>
        </w:rPr>
        <w:t xml:space="preserve"> </w:t>
      </w:r>
      <w:r w:rsidRPr="00330234">
        <w:rPr>
          <w:b/>
        </w:rPr>
        <w:t>HET ZICHT EN BEREIK VAN KINDEREN DIENT TE WORDEN GEHOUDEN</w:t>
      </w:r>
    </w:p>
    <w:p w14:paraId="4BA40597" w14:textId="1551C8DD" w:rsidR="00436DAA" w:rsidRPr="00330234" w:rsidRDefault="00436DAA" w:rsidP="009B0E27">
      <w:pPr>
        <w:pStyle w:val="a3"/>
        <w:widowControl/>
        <w:ind w:left="0"/>
      </w:pPr>
    </w:p>
    <w:p w14:paraId="6E775595" w14:textId="77777777" w:rsidR="00436DAA" w:rsidRPr="00330234" w:rsidRDefault="009B4B8E" w:rsidP="009B0E27">
      <w:pPr>
        <w:pStyle w:val="a3"/>
        <w:widowControl/>
        <w:ind w:left="0"/>
      </w:pPr>
      <w:r w:rsidRPr="00330234">
        <w:t>Buiten het zicht en bereik van kinderen houden</w:t>
      </w:r>
    </w:p>
    <w:p w14:paraId="731B2C43" w14:textId="77777777" w:rsidR="00436DAA" w:rsidRPr="00330234" w:rsidRDefault="00436DAA" w:rsidP="009B0E27">
      <w:pPr>
        <w:pStyle w:val="a3"/>
        <w:widowControl/>
        <w:ind w:left="0"/>
      </w:pPr>
    </w:p>
    <w:p w14:paraId="6DB1778D" w14:textId="77777777" w:rsidR="00467A20" w:rsidRPr="00330234" w:rsidRDefault="00467A20" w:rsidP="009B0E27">
      <w:pPr>
        <w:pStyle w:val="a3"/>
        <w:widowControl/>
        <w:ind w:left="0"/>
      </w:pPr>
    </w:p>
    <w:p w14:paraId="1D397E33"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7.</w:t>
      </w:r>
      <w:r w:rsidRPr="00330234">
        <w:rPr>
          <w:b/>
        </w:rPr>
        <w:tab/>
        <w:t>ANDERE</w:t>
      </w:r>
      <w:r w:rsidRPr="00330234">
        <w:rPr>
          <w:b/>
          <w:spacing w:val="-13"/>
        </w:rPr>
        <w:t xml:space="preserve"> </w:t>
      </w:r>
      <w:r w:rsidRPr="00330234">
        <w:rPr>
          <w:b/>
        </w:rPr>
        <w:t>SPECIALE</w:t>
      </w:r>
      <w:r w:rsidRPr="00330234">
        <w:rPr>
          <w:b/>
          <w:spacing w:val="-11"/>
        </w:rPr>
        <w:t xml:space="preserve"> </w:t>
      </w:r>
      <w:r w:rsidRPr="00330234">
        <w:rPr>
          <w:b/>
        </w:rPr>
        <w:t>WAARSCHUWING(EN),</w:t>
      </w:r>
      <w:r w:rsidRPr="00330234">
        <w:rPr>
          <w:b/>
          <w:spacing w:val="-10"/>
        </w:rPr>
        <w:t xml:space="preserve"> </w:t>
      </w:r>
      <w:r w:rsidRPr="00330234">
        <w:rPr>
          <w:b/>
        </w:rPr>
        <w:t>INDIEN</w:t>
      </w:r>
      <w:r w:rsidRPr="00330234">
        <w:rPr>
          <w:b/>
          <w:spacing w:val="-10"/>
        </w:rPr>
        <w:t xml:space="preserve"> </w:t>
      </w:r>
      <w:r w:rsidRPr="00330234">
        <w:rPr>
          <w:b/>
          <w:spacing w:val="-2"/>
        </w:rPr>
        <w:t>NODIG</w:t>
      </w:r>
    </w:p>
    <w:p w14:paraId="747DFF59" w14:textId="7D938526" w:rsidR="00436DAA" w:rsidRPr="00330234" w:rsidRDefault="00436DAA" w:rsidP="009B0E27">
      <w:pPr>
        <w:pStyle w:val="a3"/>
        <w:widowControl/>
        <w:ind w:left="0"/>
      </w:pPr>
    </w:p>
    <w:p w14:paraId="20B9E0A9" w14:textId="570D0159" w:rsidR="00436DAA" w:rsidRPr="00330234" w:rsidRDefault="009B4B8E" w:rsidP="009B0E27">
      <w:pPr>
        <w:pStyle w:val="a3"/>
        <w:widowControl/>
        <w:ind w:left="0"/>
      </w:pPr>
      <w:r w:rsidRPr="00330234">
        <w:t>De spuit buiten de verpakking op kamertemperatuur laten komen gedurende 30 minuten voor gebruik</w:t>
      </w:r>
    </w:p>
    <w:p w14:paraId="15EC7975" w14:textId="77777777" w:rsidR="00436DAA" w:rsidRPr="00330234" w:rsidRDefault="00436DAA" w:rsidP="009B0E27">
      <w:pPr>
        <w:pStyle w:val="a3"/>
        <w:widowControl/>
        <w:ind w:left="0"/>
      </w:pPr>
    </w:p>
    <w:p w14:paraId="7569B59D" w14:textId="77777777" w:rsidR="00467A20" w:rsidRPr="00330234" w:rsidRDefault="00467A20" w:rsidP="009B0E27">
      <w:pPr>
        <w:pStyle w:val="a3"/>
        <w:widowControl/>
        <w:ind w:left="0"/>
      </w:pPr>
    </w:p>
    <w:p w14:paraId="76C85020"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8.</w:t>
      </w:r>
      <w:r w:rsidRPr="00330234">
        <w:rPr>
          <w:b/>
        </w:rPr>
        <w:tab/>
        <w:t>UITERSTE</w:t>
      </w:r>
      <w:r w:rsidRPr="00330234">
        <w:rPr>
          <w:b/>
          <w:spacing w:val="-9"/>
        </w:rPr>
        <w:t xml:space="preserve"> </w:t>
      </w:r>
      <w:r w:rsidRPr="00330234">
        <w:rPr>
          <w:b/>
          <w:spacing w:val="-2"/>
        </w:rPr>
        <w:t>GEBRUIKSDATUM</w:t>
      </w:r>
    </w:p>
    <w:p w14:paraId="2BFC2A9D" w14:textId="1F67EBDB" w:rsidR="00436DAA" w:rsidRPr="00330234" w:rsidRDefault="00436DAA" w:rsidP="009B0E27">
      <w:pPr>
        <w:pStyle w:val="a3"/>
        <w:widowControl/>
        <w:ind w:left="0"/>
      </w:pPr>
    </w:p>
    <w:p w14:paraId="03FB89DA" w14:textId="77777777" w:rsidR="00436DAA" w:rsidRPr="00330234" w:rsidRDefault="009B4B8E" w:rsidP="009B0E27">
      <w:pPr>
        <w:pStyle w:val="a3"/>
        <w:widowControl/>
        <w:ind w:left="0"/>
      </w:pPr>
      <w:r w:rsidRPr="00330234">
        <w:t>EXP</w:t>
      </w:r>
    </w:p>
    <w:p w14:paraId="68AC61E6" w14:textId="77777777" w:rsidR="00436DAA" w:rsidRPr="00330234" w:rsidRDefault="00436DAA" w:rsidP="009B0E27">
      <w:pPr>
        <w:widowControl/>
      </w:pPr>
    </w:p>
    <w:p w14:paraId="2A0AB237" w14:textId="77777777" w:rsidR="00467A20" w:rsidRPr="00330234" w:rsidRDefault="00467A20" w:rsidP="009B0E27">
      <w:pPr>
        <w:widowControl/>
      </w:pPr>
    </w:p>
    <w:p w14:paraId="6D453B9C" w14:textId="77777777" w:rsidR="004F5587" w:rsidRPr="00330234" w:rsidRDefault="004F5587" w:rsidP="00467A20">
      <w:pPr>
        <w:keepNext/>
        <w:keepLines/>
        <w:pBdr>
          <w:top w:val="single" w:sz="4" w:space="1" w:color="auto"/>
          <w:left w:val="single" w:sz="4" w:space="4" w:color="auto"/>
          <w:bottom w:val="single" w:sz="4" w:space="1" w:color="auto"/>
          <w:right w:val="single" w:sz="4" w:space="4" w:color="auto"/>
        </w:pBdr>
        <w:ind w:left="567" w:hanging="567"/>
        <w:rPr>
          <w:b/>
        </w:rPr>
      </w:pPr>
      <w:r w:rsidRPr="00330234">
        <w:rPr>
          <w:b/>
          <w:spacing w:val="-5"/>
        </w:rPr>
        <w:lastRenderedPageBreak/>
        <w:t>9.</w:t>
      </w:r>
      <w:r w:rsidRPr="00330234">
        <w:rPr>
          <w:b/>
        </w:rPr>
        <w:tab/>
        <w:t>BIJZONDERE</w:t>
      </w:r>
      <w:r w:rsidRPr="00330234">
        <w:rPr>
          <w:b/>
          <w:spacing w:val="-12"/>
        </w:rPr>
        <w:t xml:space="preserve"> </w:t>
      </w:r>
      <w:r w:rsidRPr="00330234">
        <w:rPr>
          <w:b/>
        </w:rPr>
        <w:t>VOORZORGSMAATREGELEN</w:t>
      </w:r>
      <w:r w:rsidRPr="00330234">
        <w:rPr>
          <w:b/>
          <w:spacing w:val="-8"/>
        </w:rPr>
        <w:t xml:space="preserve"> </w:t>
      </w:r>
      <w:r w:rsidRPr="00330234">
        <w:rPr>
          <w:b/>
        </w:rPr>
        <w:t>VOOR</w:t>
      </w:r>
      <w:r w:rsidRPr="00330234">
        <w:rPr>
          <w:b/>
          <w:spacing w:val="-9"/>
        </w:rPr>
        <w:t xml:space="preserve"> </w:t>
      </w:r>
      <w:r w:rsidRPr="00330234">
        <w:rPr>
          <w:b/>
        </w:rPr>
        <w:t>DE</w:t>
      </w:r>
      <w:r w:rsidRPr="00330234">
        <w:rPr>
          <w:b/>
          <w:spacing w:val="-11"/>
        </w:rPr>
        <w:t xml:space="preserve"> </w:t>
      </w:r>
      <w:r w:rsidRPr="00330234">
        <w:rPr>
          <w:b/>
          <w:spacing w:val="-2"/>
        </w:rPr>
        <w:t>BEWARING</w:t>
      </w:r>
    </w:p>
    <w:p w14:paraId="5718DE64" w14:textId="77777777" w:rsidR="004F5587" w:rsidRPr="00330234" w:rsidRDefault="004F5587" w:rsidP="00467A20">
      <w:pPr>
        <w:keepNext/>
        <w:keepLines/>
        <w:widowControl/>
      </w:pPr>
    </w:p>
    <w:p w14:paraId="13EBECA4" w14:textId="77777777" w:rsidR="00467A20" w:rsidRPr="00330234" w:rsidRDefault="009B4B8E" w:rsidP="00467A20">
      <w:pPr>
        <w:pStyle w:val="a3"/>
        <w:keepNext/>
        <w:keepLines/>
        <w:widowControl/>
        <w:ind w:left="0"/>
      </w:pPr>
      <w:r w:rsidRPr="00330234">
        <w:t>Bewaren in de koelkast</w:t>
      </w:r>
    </w:p>
    <w:p w14:paraId="7265C640" w14:textId="4C2DCBB0" w:rsidR="00436DAA" w:rsidRPr="00330234" w:rsidRDefault="009B4B8E" w:rsidP="00467A20">
      <w:pPr>
        <w:pStyle w:val="a3"/>
        <w:keepNext/>
        <w:keepLines/>
        <w:widowControl/>
        <w:ind w:left="0"/>
      </w:pPr>
      <w:r w:rsidRPr="00330234">
        <w:t>Niet in de vriezer bewaren</w:t>
      </w:r>
    </w:p>
    <w:p w14:paraId="45736A54" w14:textId="28F99CD5" w:rsidR="00436DAA" w:rsidRPr="00330234" w:rsidRDefault="009B4B8E" w:rsidP="00467A20">
      <w:pPr>
        <w:pStyle w:val="a3"/>
        <w:keepNext/>
        <w:keepLines/>
        <w:widowControl/>
        <w:ind w:left="0"/>
      </w:pPr>
      <w:r w:rsidRPr="00330234">
        <w:t xml:space="preserve">Eenmaal uit de koelkast gehaald, kan de voorgevulde spuit tot </w:t>
      </w:r>
      <w:r w:rsidR="00B63E66" w:rsidRPr="00330234">
        <w:t>3 </w:t>
      </w:r>
      <w:r w:rsidRPr="00330234">
        <w:t>weken beneden 30°C worden bewaard De voorgevulde spuit in de buitenverpakking bewaren ter bescherming tegen licht en vocht</w:t>
      </w:r>
    </w:p>
    <w:p w14:paraId="77C2F3B3" w14:textId="77777777" w:rsidR="00436DAA" w:rsidRPr="00330234" w:rsidRDefault="00436DAA" w:rsidP="009B0E27">
      <w:pPr>
        <w:pStyle w:val="a3"/>
        <w:widowControl/>
        <w:ind w:left="0"/>
      </w:pPr>
    </w:p>
    <w:p w14:paraId="46A282E5" w14:textId="77777777" w:rsidR="00467A20" w:rsidRPr="00330234" w:rsidRDefault="00467A20" w:rsidP="009B0E27">
      <w:pPr>
        <w:pStyle w:val="a3"/>
        <w:widowControl/>
        <w:ind w:left="0"/>
      </w:pPr>
    </w:p>
    <w:p w14:paraId="2CCBFA4F"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10.</w:t>
      </w:r>
      <w:r w:rsidRPr="00330234">
        <w:rPr>
          <w:b/>
        </w:rPr>
        <w:tab/>
        <w:t>BIJZONDERE</w:t>
      </w:r>
      <w:r w:rsidRPr="00330234">
        <w:rPr>
          <w:b/>
          <w:spacing w:val="-8"/>
        </w:rPr>
        <w:t xml:space="preserve"> </w:t>
      </w:r>
      <w:r w:rsidRPr="00330234">
        <w:rPr>
          <w:b/>
        </w:rPr>
        <w:t>VOORZORGSMAATREGELEN</w:t>
      </w:r>
      <w:r w:rsidRPr="00330234">
        <w:rPr>
          <w:b/>
          <w:spacing w:val="-7"/>
        </w:rPr>
        <w:t xml:space="preserve"> </w:t>
      </w:r>
      <w:r w:rsidRPr="00330234">
        <w:rPr>
          <w:b/>
        </w:rPr>
        <w:t>VOOR</w:t>
      </w:r>
      <w:r w:rsidRPr="00330234">
        <w:rPr>
          <w:b/>
          <w:spacing w:val="-11"/>
        </w:rPr>
        <w:t xml:space="preserve"> </w:t>
      </w:r>
      <w:r w:rsidRPr="00330234">
        <w:rPr>
          <w:b/>
        </w:rPr>
        <w:t>HET</w:t>
      </w:r>
      <w:r w:rsidRPr="00330234">
        <w:rPr>
          <w:b/>
          <w:spacing w:val="-8"/>
        </w:rPr>
        <w:t xml:space="preserve"> </w:t>
      </w:r>
      <w:r w:rsidRPr="00330234">
        <w:rPr>
          <w:b/>
        </w:rPr>
        <w:t>VERWIJDEREN</w:t>
      </w:r>
      <w:r w:rsidRPr="00330234">
        <w:rPr>
          <w:b/>
          <w:spacing w:val="-8"/>
        </w:rPr>
        <w:t xml:space="preserve"> </w:t>
      </w:r>
      <w:r w:rsidRPr="00330234">
        <w:rPr>
          <w:b/>
        </w:rPr>
        <w:t>VAN NIET-GEBRUIKTE GENEESMIDDELEN OF DAARVAN AFGELEIDE AFVALSTOFFEN (INDIEN VAN TOEPASSING)</w:t>
      </w:r>
    </w:p>
    <w:p w14:paraId="0D0C1C68" w14:textId="763D52F8" w:rsidR="00436DAA" w:rsidRPr="00330234" w:rsidRDefault="00436DAA" w:rsidP="009B0E27">
      <w:pPr>
        <w:pStyle w:val="a3"/>
        <w:widowControl/>
        <w:ind w:left="0"/>
      </w:pPr>
    </w:p>
    <w:p w14:paraId="24AA775B" w14:textId="77777777" w:rsidR="00436DAA" w:rsidRPr="00330234" w:rsidRDefault="00436DAA" w:rsidP="009B0E27">
      <w:pPr>
        <w:pStyle w:val="a3"/>
        <w:widowControl/>
        <w:ind w:left="0"/>
      </w:pPr>
    </w:p>
    <w:p w14:paraId="6B8CE1A0"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11.</w:t>
      </w:r>
      <w:r w:rsidRPr="00330234">
        <w:rPr>
          <w:b/>
        </w:rPr>
        <w:tab/>
        <w:t>NAAM</w:t>
      </w:r>
      <w:r w:rsidRPr="00330234">
        <w:rPr>
          <w:b/>
          <w:spacing w:val="-3"/>
        </w:rPr>
        <w:t xml:space="preserve"> </w:t>
      </w:r>
      <w:r w:rsidRPr="00330234">
        <w:rPr>
          <w:b/>
        </w:rPr>
        <w:t>EN</w:t>
      </w:r>
      <w:r w:rsidRPr="00330234">
        <w:rPr>
          <w:b/>
          <w:spacing w:val="-4"/>
        </w:rPr>
        <w:t xml:space="preserve"> </w:t>
      </w:r>
      <w:r w:rsidRPr="00330234">
        <w:rPr>
          <w:b/>
        </w:rPr>
        <w:t>ADRES</w:t>
      </w:r>
      <w:r w:rsidRPr="00330234">
        <w:rPr>
          <w:b/>
          <w:spacing w:val="-4"/>
        </w:rPr>
        <w:t xml:space="preserve"> </w:t>
      </w:r>
      <w:r w:rsidRPr="00330234">
        <w:rPr>
          <w:b/>
        </w:rPr>
        <w:t>VAN</w:t>
      </w:r>
      <w:r w:rsidRPr="00330234">
        <w:rPr>
          <w:b/>
          <w:spacing w:val="-2"/>
        </w:rPr>
        <w:t xml:space="preserve"> </w:t>
      </w:r>
      <w:r w:rsidRPr="00330234">
        <w:rPr>
          <w:b/>
        </w:rPr>
        <w:t>DE</w:t>
      </w:r>
      <w:r w:rsidRPr="00330234">
        <w:rPr>
          <w:b/>
          <w:spacing w:val="-4"/>
        </w:rPr>
        <w:t xml:space="preserve"> </w:t>
      </w:r>
      <w:r w:rsidRPr="00330234">
        <w:rPr>
          <w:b/>
        </w:rPr>
        <w:t>HOUDER</w:t>
      </w:r>
      <w:r w:rsidRPr="00330234">
        <w:rPr>
          <w:b/>
          <w:spacing w:val="-4"/>
        </w:rPr>
        <w:t xml:space="preserve"> </w:t>
      </w:r>
      <w:r w:rsidRPr="00330234">
        <w:rPr>
          <w:b/>
        </w:rPr>
        <w:t>VAN</w:t>
      </w:r>
      <w:r w:rsidRPr="00330234">
        <w:rPr>
          <w:b/>
          <w:spacing w:val="-4"/>
        </w:rPr>
        <w:t xml:space="preserve"> </w:t>
      </w:r>
      <w:r w:rsidRPr="00330234">
        <w:rPr>
          <w:b/>
        </w:rPr>
        <w:t>DE</w:t>
      </w:r>
      <w:r w:rsidRPr="00330234">
        <w:rPr>
          <w:b/>
          <w:spacing w:val="-4"/>
        </w:rPr>
        <w:t xml:space="preserve"> </w:t>
      </w:r>
      <w:r w:rsidRPr="00330234">
        <w:rPr>
          <w:b/>
        </w:rPr>
        <w:t>VERGUNNING</w:t>
      </w:r>
      <w:r w:rsidRPr="00330234">
        <w:rPr>
          <w:b/>
          <w:spacing w:val="-2"/>
        </w:rPr>
        <w:t xml:space="preserve"> </w:t>
      </w:r>
      <w:r w:rsidRPr="00330234">
        <w:rPr>
          <w:b/>
        </w:rPr>
        <w:t>VOOR</w:t>
      </w:r>
      <w:r w:rsidRPr="00330234">
        <w:rPr>
          <w:b/>
          <w:spacing w:val="-4"/>
        </w:rPr>
        <w:t xml:space="preserve"> </w:t>
      </w:r>
      <w:r w:rsidRPr="00330234">
        <w:rPr>
          <w:b/>
        </w:rPr>
        <w:t>HET</w:t>
      </w:r>
      <w:r w:rsidRPr="00330234">
        <w:rPr>
          <w:b/>
          <w:spacing w:val="-4"/>
        </w:rPr>
        <w:t xml:space="preserve"> </w:t>
      </w:r>
      <w:r w:rsidRPr="00330234">
        <w:rPr>
          <w:b/>
        </w:rPr>
        <w:t>IN</w:t>
      </w:r>
      <w:r w:rsidRPr="00330234">
        <w:rPr>
          <w:b/>
          <w:spacing w:val="-4"/>
        </w:rPr>
        <w:t xml:space="preserve"> </w:t>
      </w:r>
      <w:r w:rsidRPr="00330234">
        <w:rPr>
          <w:b/>
        </w:rPr>
        <w:t>DE HANDEL BRENGEN</w:t>
      </w:r>
    </w:p>
    <w:p w14:paraId="3AB1B307" w14:textId="29A4DFEB" w:rsidR="00436DAA" w:rsidRPr="00330234" w:rsidRDefault="00436DAA" w:rsidP="009B0E27">
      <w:pPr>
        <w:pStyle w:val="a3"/>
        <w:widowControl/>
        <w:ind w:left="0"/>
      </w:pPr>
    </w:p>
    <w:p w14:paraId="07368DF3" w14:textId="03F6C300" w:rsidR="00B63E66" w:rsidRPr="00330234" w:rsidRDefault="00B63E66" w:rsidP="00B63E66">
      <w:pPr>
        <w:keepNext/>
      </w:pPr>
      <w:r w:rsidRPr="00330234">
        <w:t>Celltrion Healthcare Hungary Kft.</w:t>
      </w:r>
    </w:p>
    <w:p w14:paraId="52F044C5" w14:textId="77777777" w:rsidR="00B63E66" w:rsidRPr="00330234" w:rsidRDefault="00B63E66" w:rsidP="00B63E66">
      <w:pPr>
        <w:keepNext/>
      </w:pPr>
      <w:r w:rsidRPr="00330234">
        <w:t>1062 Budapest</w:t>
      </w:r>
    </w:p>
    <w:p w14:paraId="668B1AD2" w14:textId="77777777" w:rsidR="00B63E66" w:rsidRPr="00330234" w:rsidRDefault="00B63E66" w:rsidP="00B63E66">
      <w:pPr>
        <w:keepNext/>
      </w:pPr>
      <w:r w:rsidRPr="00330234">
        <w:t>Váci út 1-3. WestEnd Office Building B torony</w:t>
      </w:r>
    </w:p>
    <w:p w14:paraId="0190E1A7" w14:textId="61F8FEE1" w:rsidR="00B63E66" w:rsidRPr="00330234" w:rsidRDefault="00B63E66" w:rsidP="00B63E66">
      <w:r w:rsidRPr="00330234">
        <w:t>Hongarije</w:t>
      </w:r>
    </w:p>
    <w:p w14:paraId="578325E9" w14:textId="77777777" w:rsidR="00436DAA" w:rsidRPr="00330234" w:rsidRDefault="00436DAA" w:rsidP="009B0E27">
      <w:pPr>
        <w:pStyle w:val="a3"/>
        <w:widowControl/>
        <w:ind w:left="0"/>
      </w:pPr>
    </w:p>
    <w:p w14:paraId="67AFC9D5" w14:textId="77777777" w:rsidR="00467A20" w:rsidRPr="00330234" w:rsidRDefault="00467A20" w:rsidP="009B0E27">
      <w:pPr>
        <w:pStyle w:val="a3"/>
        <w:widowControl/>
        <w:ind w:left="0"/>
      </w:pPr>
    </w:p>
    <w:p w14:paraId="2DCEB28A"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12.</w:t>
      </w:r>
      <w:r w:rsidRPr="00330234">
        <w:rPr>
          <w:b/>
        </w:rPr>
        <w:tab/>
        <w:t>NUMMER(S)</w:t>
      </w:r>
      <w:r w:rsidRPr="00330234">
        <w:rPr>
          <w:b/>
          <w:spacing w:val="-6"/>
        </w:rPr>
        <w:t xml:space="preserve"> </w:t>
      </w:r>
      <w:r w:rsidRPr="00330234">
        <w:rPr>
          <w:b/>
        </w:rPr>
        <w:t>VAN</w:t>
      </w:r>
      <w:r w:rsidRPr="00330234">
        <w:rPr>
          <w:b/>
          <w:spacing w:val="-5"/>
        </w:rPr>
        <w:t xml:space="preserve"> </w:t>
      </w:r>
      <w:r w:rsidRPr="00330234">
        <w:rPr>
          <w:b/>
        </w:rPr>
        <w:t>DE</w:t>
      </w:r>
      <w:r w:rsidRPr="00330234">
        <w:rPr>
          <w:b/>
          <w:spacing w:val="-6"/>
        </w:rPr>
        <w:t xml:space="preserve"> </w:t>
      </w:r>
      <w:r w:rsidRPr="00330234">
        <w:rPr>
          <w:b/>
        </w:rPr>
        <w:t>VERGUNNING</w:t>
      </w:r>
      <w:r w:rsidRPr="00330234">
        <w:rPr>
          <w:b/>
          <w:spacing w:val="-3"/>
        </w:rPr>
        <w:t xml:space="preserve"> </w:t>
      </w:r>
      <w:r w:rsidRPr="00330234">
        <w:rPr>
          <w:b/>
        </w:rPr>
        <w:t>VOOR</w:t>
      </w:r>
      <w:r w:rsidRPr="00330234">
        <w:rPr>
          <w:b/>
          <w:spacing w:val="-6"/>
        </w:rPr>
        <w:t xml:space="preserve"> </w:t>
      </w:r>
      <w:r w:rsidRPr="00330234">
        <w:rPr>
          <w:b/>
        </w:rPr>
        <w:t>HET</w:t>
      </w:r>
      <w:r w:rsidRPr="00330234">
        <w:rPr>
          <w:b/>
          <w:spacing w:val="-5"/>
        </w:rPr>
        <w:t xml:space="preserve"> </w:t>
      </w:r>
      <w:r w:rsidRPr="00330234">
        <w:rPr>
          <w:b/>
        </w:rPr>
        <w:t>IN</w:t>
      </w:r>
      <w:r w:rsidRPr="00330234">
        <w:rPr>
          <w:b/>
          <w:spacing w:val="-6"/>
        </w:rPr>
        <w:t xml:space="preserve"> </w:t>
      </w:r>
      <w:r w:rsidRPr="00330234">
        <w:rPr>
          <w:b/>
        </w:rPr>
        <w:t>DE</w:t>
      </w:r>
      <w:r w:rsidRPr="00330234">
        <w:rPr>
          <w:b/>
          <w:spacing w:val="-5"/>
        </w:rPr>
        <w:t xml:space="preserve"> </w:t>
      </w:r>
      <w:r w:rsidRPr="00330234">
        <w:rPr>
          <w:b/>
        </w:rPr>
        <w:t>HANDEL</w:t>
      </w:r>
      <w:r w:rsidRPr="00330234">
        <w:rPr>
          <w:b/>
          <w:spacing w:val="-5"/>
        </w:rPr>
        <w:t xml:space="preserve"> </w:t>
      </w:r>
      <w:r w:rsidRPr="00330234">
        <w:rPr>
          <w:b/>
          <w:spacing w:val="-2"/>
        </w:rPr>
        <w:t>BRENGEN</w:t>
      </w:r>
    </w:p>
    <w:p w14:paraId="5D524C7C" w14:textId="352EFC89" w:rsidR="00436DAA" w:rsidRPr="00330234" w:rsidRDefault="00436DAA" w:rsidP="009B0E27">
      <w:pPr>
        <w:pStyle w:val="a3"/>
        <w:widowControl/>
        <w:ind w:left="0"/>
      </w:pPr>
    </w:p>
    <w:p w14:paraId="394D2004" w14:textId="5E0FBE0E" w:rsidR="00436DAA" w:rsidRPr="00330234" w:rsidRDefault="009B4B8E" w:rsidP="009B0E27">
      <w:pPr>
        <w:pStyle w:val="a3"/>
        <w:widowControl/>
        <w:ind w:left="0"/>
      </w:pPr>
      <w:r w:rsidRPr="00330234">
        <w:t>EU/</w:t>
      </w:r>
      <w:r w:rsidR="00E97286">
        <w:rPr>
          <w:rFonts w:eastAsia="맑은 고딕" w:hint="eastAsia"/>
          <w:lang w:eastAsia="ko-KR"/>
        </w:rPr>
        <w:t>1/</w:t>
      </w:r>
      <w:r w:rsidR="00064F9F" w:rsidRPr="003672E9">
        <w:rPr>
          <w:spacing w:val="-1"/>
          <w:lang w:val="pt-BR"/>
        </w:rPr>
        <w:t>24/1896/00</w:t>
      </w:r>
      <w:r w:rsidR="00064F9F">
        <w:rPr>
          <w:rFonts w:eastAsia="맑은 고딕"/>
          <w:spacing w:val="-1"/>
          <w:lang w:val="pt-BR" w:eastAsia="ko-KR"/>
        </w:rPr>
        <w:t>9</w:t>
      </w:r>
      <w:r w:rsidR="00064F9F">
        <w:rPr>
          <w:rFonts w:hint="eastAsia"/>
          <w:spacing w:val="-1"/>
          <w:lang w:val="pt-BR" w:eastAsia="ko-KR"/>
        </w:rPr>
        <w:t xml:space="preserve"> </w:t>
      </w:r>
      <w:r w:rsidR="00064F9F">
        <w:rPr>
          <w:spacing w:val="-1"/>
          <w:lang w:val="pt-BR" w:eastAsia="ko-KR"/>
        </w:rPr>
        <w:t>12 (3 × 4) voorgevulde spuiten (multi-pack)</w:t>
      </w:r>
    </w:p>
    <w:p w14:paraId="5ED213AA" w14:textId="77777777" w:rsidR="00436DAA" w:rsidRPr="00330234" w:rsidRDefault="00436DAA" w:rsidP="009B0E27">
      <w:pPr>
        <w:pStyle w:val="a3"/>
        <w:widowControl/>
        <w:ind w:left="0"/>
      </w:pPr>
    </w:p>
    <w:p w14:paraId="2E3AE677" w14:textId="77777777" w:rsidR="00467A20" w:rsidRPr="00330234" w:rsidRDefault="00467A20" w:rsidP="009B0E27">
      <w:pPr>
        <w:pStyle w:val="a3"/>
        <w:widowControl/>
        <w:ind w:left="0"/>
      </w:pPr>
    </w:p>
    <w:p w14:paraId="645C5646"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13.</w:t>
      </w:r>
      <w:r w:rsidRPr="00330234">
        <w:rPr>
          <w:b/>
        </w:rPr>
        <w:tab/>
      </w:r>
      <w:r w:rsidRPr="00330234">
        <w:rPr>
          <w:b/>
          <w:spacing w:val="-2"/>
        </w:rPr>
        <w:t>PARTIJNUMMER</w:t>
      </w:r>
    </w:p>
    <w:p w14:paraId="3C495546" w14:textId="669AD627" w:rsidR="00436DAA" w:rsidRPr="00330234" w:rsidRDefault="00436DAA" w:rsidP="009B0E27">
      <w:pPr>
        <w:pStyle w:val="a3"/>
        <w:widowControl/>
        <w:ind w:left="0"/>
      </w:pPr>
    </w:p>
    <w:p w14:paraId="64592336" w14:textId="77777777" w:rsidR="00436DAA" w:rsidRPr="00330234" w:rsidRDefault="009B4B8E" w:rsidP="009B0E27">
      <w:pPr>
        <w:pStyle w:val="a3"/>
        <w:widowControl/>
        <w:ind w:left="0"/>
      </w:pPr>
      <w:r w:rsidRPr="00330234">
        <w:t>Charge</w:t>
      </w:r>
    </w:p>
    <w:p w14:paraId="4AA8C514" w14:textId="77777777" w:rsidR="00436DAA" w:rsidRPr="00330234" w:rsidRDefault="00436DAA" w:rsidP="009B0E27">
      <w:pPr>
        <w:pStyle w:val="a3"/>
        <w:widowControl/>
        <w:ind w:left="0"/>
      </w:pPr>
    </w:p>
    <w:p w14:paraId="62087211" w14:textId="77777777" w:rsidR="00467A20" w:rsidRPr="00330234" w:rsidRDefault="00467A20" w:rsidP="009B0E27">
      <w:pPr>
        <w:pStyle w:val="a3"/>
        <w:widowControl/>
        <w:ind w:left="0"/>
      </w:pPr>
    </w:p>
    <w:p w14:paraId="2A9B838E"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14.</w:t>
      </w:r>
      <w:r w:rsidRPr="00330234">
        <w:rPr>
          <w:b/>
        </w:rPr>
        <w:tab/>
        <w:t>ALGEMENE</w:t>
      </w:r>
      <w:r w:rsidRPr="00330234">
        <w:rPr>
          <w:b/>
          <w:spacing w:val="-6"/>
        </w:rPr>
        <w:t xml:space="preserve"> </w:t>
      </w:r>
      <w:r w:rsidRPr="00330234">
        <w:rPr>
          <w:b/>
        </w:rPr>
        <w:t>INDELING</w:t>
      </w:r>
      <w:r w:rsidRPr="00330234">
        <w:rPr>
          <w:b/>
          <w:spacing w:val="-4"/>
        </w:rPr>
        <w:t xml:space="preserve"> </w:t>
      </w:r>
      <w:r w:rsidRPr="00330234">
        <w:rPr>
          <w:b/>
        </w:rPr>
        <w:t>VOOR</w:t>
      </w:r>
      <w:r w:rsidRPr="00330234">
        <w:rPr>
          <w:b/>
          <w:spacing w:val="-6"/>
        </w:rPr>
        <w:t xml:space="preserve"> </w:t>
      </w:r>
      <w:r w:rsidRPr="00330234">
        <w:rPr>
          <w:b/>
        </w:rPr>
        <w:t>DE</w:t>
      </w:r>
      <w:r w:rsidRPr="00330234">
        <w:rPr>
          <w:b/>
          <w:spacing w:val="-5"/>
        </w:rPr>
        <w:t xml:space="preserve"> </w:t>
      </w:r>
      <w:r w:rsidRPr="00330234">
        <w:rPr>
          <w:b/>
          <w:spacing w:val="-2"/>
        </w:rPr>
        <w:t>AFLEVERING</w:t>
      </w:r>
    </w:p>
    <w:p w14:paraId="479D70C6" w14:textId="5D1693D2" w:rsidR="00436DAA" w:rsidRPr="00330234" w:rsidRDefault="00436DAA" w:rsidP="009B0E27">
      <w:pPr>
        <w:pStyle w:val="a3"/>
        <w:widowControl/>
        <w:ind w:left="0"/>
      </w:pPr>
    </w:p>
    <w:p w14:paraId="7DFC33F8" w14:textId="77777777" w:rsidR="00436DAA" w:rsidRPr="00330234" w:rsidRDefault="00436DAA" w:rsidP="009B0E27">
      <w:pPr>
        <w:pStyle w:val="a3"/>
        <w:widowControl/>
        <w:ind w:left="0"/>
      </w:pPr>
    </w:p>
    <w:p w14:paraId="20FDEAD2"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15.</w:t>
      </w:r>
      <w:r w:rsidRPr="00330234">
        <w:rPr>
          <w:b/>
        </w:rPr>
        <w:tab/>
        <w:t>INSTRUCTIES</w:t>
      </w:r>
      <w:r w:rsidRPr="00330234">
        <w:rPr>
          <w:b/>
          <w:spacing w:val="-7"/>
        </w:rPr>
        <w:t xml:space="preserve"> </w:t>
      </w:r>
      <w:r w:rsidRPr="00330234">
        <w:rPr>
          <w:b/>
        </w:rPr>
        <w:t>VOOR</w:t>
      </w:r>
      <w:r w:rsidRPr="00330234">
        <w:rPr>
          <w:b/>
          <w:spacing w:val="-7"/>
        </w:rPr>
        <w:t xml:space="preserve"> </w:t>
      </w:r>
      <w:r w:rsidRPr="00330234">
        <w:rPr>
          <w:b/>
          <w:spacing w:val="-2"/>
        </w:rPr>
        <w:t>GEBRUIK</w:t>
      </w:r>
    </w:p>
    <w:p w14:paraId="4F629B57" w14:textId="4631D095" w:rsidR="00436DAA" w:rsidRPr="00330234" w:rsidRDefault="00436DAA" w:rsidP="009B0E27">
      <w:pPr>
        <w:pStyle w:val="a3"/>
        <w:widowControl/>
        <w:ind w:left="0"/>
      </w:pPr>
    </w:p>
    <w:p w14:paraId="14EE4854" w14:textId="77777777" w:rsidR="00436DAA" w:rsidRPr="00330234" w:rsidRDefault="00436DAA" w:rsidP="009B0E27">
      <w:pPr>
        <w:pStyle w:val="a3"/>
        <w:widowControl/>
        <w:ind w:left="0"/>
      </w:pPr>
    </w:p>
    <w:p w14:paraId="3468A799"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16.</w:t>
      </w:r>
      <w:r w:rsidRPr="00330234">
        <w:rPr>
          <w:b/>
        </w:rPr>
        <w:tab/>
        <w:t>INFORMATIE</w:t>
      </w:r>
      <w:r w:rsidRPr="00330234">
        <w:rPr>
          <w:b/>
          <w:spacing w:val="-5"/>
        </w:rPr>
        <w:t xml:space="preserve"> </w:t>
      </w:r>
      <w:r w:rsidRPr="00330234">
        <w:rPr>
          <w:b/>
        </w:rPr>
        <w:t>IN</w:t>
      </w:r>
      <w:r w:rsidRPr="00330234">
        <w:rPr>
          <w:b/>
          <w:spacing w:val="-7"/>
        </w:rPr>
        <w:t xml:space="preserve"> </w:t>
      </w:r>
      <w:r w:rsidRPr="00330234">
        <w:rPr>
          <w:b/>
          <w:spacing w:val="-2"/>
        </w:rPr>
        <w:t>BRAILLE</w:t>
      </w:r>
    </w:p>
    <w:p w14:paraId="14596B53" w14:textId="001BB02F" w:rsidR="00436DAA" w:rsidRPr="00330234" w:rsidRDefault="00436DAA" w:rsidP="009B0E27">
      <w:pPr>
        <w:pStyle w:val="a3"/>
        <w:widowControl/>
        <w:ind w:left="0"/>
      </w:pPr>
    </w:p>
    <w:p w14:paraId="45771A75" w14:textId="40F8DBB7" w:rsidR="00436DAA" w:rsidRPr="00330234" w:rsidRDefault="00B63E66" w:rsidP="009B0E27">
      <w:pPr>
        <w:pStyle w:val="a3"/>
        <w:widowControl/>
        <w:ind w:left="0"/>
      </w:pPr>
      <w:r w:rsidRPr="00330234">
        <w:t xml:space="preserve">avtozma </w:t>
      </w:r>
      <w:r w:rsidR="009B4B8E" w:rsidRPr="00330234">
        <w:t>162 mg</w:t>
      </w:r>
    </w:p>
    <w:p w14:paraId="053EC30A" w14:textId="77777777" w:rsidR="00436DAA" w:rsidRPr="00330234" w:rsidRDefault="00436DAA" w:rsidP="009B0E27">
      <w:pPr>
        <w:pStyle w:val="a3"/>
        <w:widowControl/>
        <w:ind w:left="0"/>
      </w:pPr>
    </w:p>
    <w:p w14:paraId="7F0D3329" w14:textId="77777777" w:rsidR="00467A20" w:rsidRPr="00330234" w:rsidRDefault="00467A20" w:rsidP="009B0E27">
      <w:pPr>
        <w:pStyle w:val="a3"/>
        <w:widowControl/>
        <w:ind w:left="0"/>
      </w:pPr>
    </w:p>
    <w:p w14:paraId="3B3B658A"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17.</w:t>
      </w:r>
      <w:r w:rsidRPr="00330234">
        <w:rPr>
          <w:b/>
        </w:rPr>
        <w:tab/>
        <w:t>UNIEK</w:t>
      </w:r>
      <w:r w:rsidRPr="00330234">
        <w:rPr>
          <w:b/>
          <w:spacing w:val="-8"/>
        </w:rPr>
        <w:t xml:space="preserve"> </w:t>
      </w:r>
      <w:r w:rsidRPr="00330234">
        <w:rPr>
          <w:b/>
        </w:rPr>
        <w:t>IDENTIFICATIEKENMERK</w:t>
      </w:r>
      <w:r w:rsidRPr="00330234">
        <w:rPr>
          <w:b/>
          <w:spacing w:val="-7"/>
        </w:rPr>
        <w:t xml:space="preserve"> </w:t>
      </w:r>
      <w:r w:rsidRPr="00330234">
        <w:rPr>
          <w:b/>
        </w:rPr>
        <w:t>-</w:t>
      </w:r>
      <w:r w:rsidRPr="00330234">
        <w:rPr>
          <w:b/>
          <w:spacing w:val="-5"/>
        </w:rPr>
        <w:t xml:space="preserve"> </w:t>
      </w:r>
      <w:r w:rsidRPr="00330234">
        <w:rPr>
          <w:b/>
        </w:rPr>
        <w:t>2D</w:t>
      </w:r>
      <w:r w:rsidRPr="00330234">
        <w:rPr>
          <w:b/>
          <w:spacing w:val="-7"/>
        </w:rPr>
        <w:t xml:space="preserve"> </w:t>
      </w:r>
      <w:r w:rsidRPr="00330234">
        <w:rPr>
          <w:b/>
          <w:spacing w:val="-2"/>
        </w:rPr>
        <w:t>MATRIXCODE</w:t>
      </w:r>
    </w:p>
    <w:p w14:paraId="53CD0384" w14:textId="4142BC90" w:rsidR="00436DAA" w:rsidRPr="00330234" w:rsidRDefault="00436DAA" w:rsidP="009B0E27">
      <w:pPr>
        <w:pStyle w:val="a3"/>
        <w:widowControl/>
        <w:ind w:left="0"/>
      </w:pPr>
    </w:p>
    <w:p w14:paraId="30F7C27B" w14:textId="77777777" w:rsidR="00436DAA" w:rsidRPr="00330234" w:rsidRDefault="009B4B8E" w:rsidP="009B0E27">
      <w:pPr>
        <w:pStyle w:val="a3"/>
        <w:widowControl/>
        <w:ind w:left="0"/>
      </w:pPr>
      <w:r w:rsidRPr="00143A85">
        <w:rPr>
          <w:color w:val="000000"/>
          <w:highlight w:val="lightGray"/>
          <w:shd w:val="pct35" w:color="auto" w:fill="auto"/>
        </w:rPr>
        <w:t>2D matrixcode met het unieke identificatiekenmerk.</w:t>
      </w:r>
    </w:p>
    <w:p w14:paraId="2BECBC61" w14:textId="77777777" w:rsidR="00436DAA" w:rsidRPr="00330234" w:rsidRDefault="00436DAA" w:rsidP="009B0E27">
      <w:pPr>
        <w:pStyle w:val="a3"/>
        <w:widowControl/>
        <w:ind w:left="0"/>
      </w:pPr>
    </w:p>
    <w:p w14:paraId="545C1A47" w14:textId="77777777" w:rsidR="00467A20" w:rsidRPr="00330234" w:rsidRDefault="00467A20" w:rsidP="009B0E27">
      <w:pPr>
        <w:pStyle w:val="a3"/>
        <w:widowControl/>
        <w:ind w:left="0"/>
      </w:pPr>
    </w:p>
    <w:p w14:paraId="145AEDC7"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18.</w:t>
      </w:r>
      <w:r w:rsidRPr="00330234">
        <w:rPr>
          <w:b/>
        </w:rPr>
        <w:tab/>
        <w:t>UNIEK</w:t>
      </w:r>
      <w:r w:rsidRPr="00330234">
        <w:rPr>
          <w:b/>
          <w:spacing w:val="-9"/>
        </w:rPr>
        <w:t xml:space="preserve"> </w:t>
      </w:r>
      <w:r w:rsidRPr="00330234">
        <w:rPr>
          <w:b/>
        </w:rPr>
        <w:t>IDENTIFICATIEKENMERK</w:t>
      </w:r>
      <w:r w:rsidRPr="00330234">
        <w:rPr>
          <w:b/>
          <w:spacing w:val="-8"/>
        </w:rPr>
        <w:t xml:space="preserve"> </w:t>
      </w:r>
      <w:r w:rsidRPr="00330234">
        <w:rPr>
          <w:b/>
        </w:rPr>
        <w:t>-</w:t>
      </w:r>
      <w:r w:rsidRPr="00330234">
        <w:rPr>
          <w:b/>
          <w:spacing w:val="-6"/>
        </w:rPr>
        <w:t xml:space="preserve"> </w:t>
      </w:r>
      <w:r w:rsidRPr="00330234">
        <w:rPr>
          <w:b/>
        </w:rPr>
        <w:t>VOOR</w:t>
      </w:r>
      <w:r w:rsidRPr="00330234">
        <w:rPr>
          <w:b/>
          <w:spacing w:val="-8"/>
        </w:rPr>
        <w:t xml:space="preserve"> </w:t>
      </w:r>
      <w:r w:rsidRPr="00330234">
        <w:rPr>
          <w:b/>
        </w:rPr>
        <w:t>MENSEN</w:t>
      </w:r>
      <w:r w:rsidRPr="00330234">
        <w:rPr>
          <w:b/>
          <w:spacing w:val="-8"/>
        </w:rPr>
        <w:t xml:space="preserve"> </w:t>
      </w:r>
      <w:r w:rsidRPr="00330234">
        <w:rPr>
          <w:b/>
        </w:rPr>
        <w:t>LEESBARE</w:t>
      </w:r>
      <w:r w:rsidRPr="00330234">
        <w:rPr>
          <w:b/>
          <w:spacing w:val="-8"/>
        </w:rPr>
        <w:t xml:space="preserve"> </w:t>
      </w:r>
      <w:r w:rsidRPr="00330234">
        <w:rPr>
          <w:b/>
          <w:spacing w:val="-2"/>
        </w:rPr>
        <w:t>GEGEVENS</w:t>
      </w:r>
    </w:p>
    <w:p w14:paraId="3403AAF5" w14:textId="3848B0B6" w:rsidR="00436DAA" w:rsidRPr="00330234" w:rsidRDefault="00436DAA" w:rsidP="009B0E27">
      <w:pPr>
        <w:pStyle w:val="a3"/>
        <w:widowControl/>
        <w:ind w:left="0"/>
      </w:pPr>
    </w:p>
    <w:p w14:paraId="0E6A6D25" w14:textId="2611D326" w:rsidR="004F5587" w:rsidRPr="00330234" w:rsidRDefault="004F5587" w:rsidP="001B3E1E">
      <w:pPr>
        <w:widowControl/>
        <w:pBdr>
          <w:top w:val="single" w:sz="4" w:space="1" w:color="auto"/>
          <w:left w:val="single" w:sz="4" w:space="4" w:color="auto"/>
          <w:bottom w:val="single" w:sz="4" w:space="1" w:color="auto"/>
          <w:right w:val="single" w:sz="4" w:space="4" w:color="auto"/>
        </w:pBdr>
        <w:rPr>
          <w:b/>
        </w:rPr>
      </w:pPr>
      <w:r w:rsidRPr="00330234">
        <w:br w:type="page"/>
      </w:r>
      <w:r w:rsidRPr="00330234">
        <w:rPr>
          <w:b/>
        </w:rPr>
        <w:lastRenderedPageBreak/>
        <w:t>GEGEVENS</w:t>
      </w:r>
      <w:r w:rsidRPr="00330234">
        <w:rPr>
          <w:b/>
          <w:spacing w:val="-4"/>
        </w:rPr>
        <w:t xml:space="preserve"> </w:t>
      </w:r>
      <w:r w:rsidRPr="00330234">
        <w:rPr>
          <w:b/>
        </w:rPr>
        <w:t>DIE</w:t>
      </w:r>
      <w:r w:rsidRPr="00330234">
        <w:rPr>
          <w:b/>
          <w:spacing w:val="-6"/>
        </w:rPr>
        <w:t xml:space="preserve"> </w:t>
      </w:r>
      <w:r w:rsidRPr="00330234">
        <w:rPr>
          <w:b/>
        </w:rPr>
        <w:t>OP</w:t>
      </w:r>
      <w:r w:rsidRPr="00330234">
        <w:rPr>
          <w:b/>
          <w:spacing w:val="-4"/>
        </w:rPr>
        <w:t xml:space="preserve"> </w:t>
      </w:r>
      <w:r w:rsidRPr="00330234">
        <w:rPr>
          <w:b/>
        </w:rPr>
        <w:t>DE</w:t>
      </w:r>
      <w:r w:rsidRPr="00330234">
        <w:rPr>
          <w:b/>
          <w:spacing w:val="-9"/>
        </w:rPr>
        <w:t xml:space="preserve"> </w:t>
      </w:r>
      <w:r w:rsidRPr="00330234">
        <w:rPr>
          <w:b/>
        </w:rPr>
        <w:t>BUITENVERPAKKING</w:t>
      </w:r>
      <w:r w:rsidRPr="00330234">
        <w:rPr>
          <w:b/>
          <w:spacing w:val="-9"/>
        </w:rPr>
        <w:t xml:space="preserve"> </w:t>
      </w:r>
      <w:r w:rsidRPr="00330234">
        <w:rPr>
          <w:b/>
        </w:rPr>
        <w:t>MOETEN</w:t>
      </w:r>
      <w:r w:rsidRPr="00330234">
        <w:rPr>
          <w:b/>
          <w:spacing w:val="-6"/>
        </w:rPr>
        <w:t xml:space="preserve"> </w:t>
      </w:r>
      <w:r w:rsidRPr="00330234">
        <w:rPr>
          <w:b/>
        </w:rPr>
        <w:t>WORDEN</w:t>
      </w:r>
      <w:r w:rsidRPr="00330234">
        <w:rPr>
          <w:b/>
          <w:spacing w:val="-6"/>
        </w:rPr>
        <w:t xml:space="preserve"> </w:t>
      </w:r>
      <w:r w:rsidRPr="00330234">
        <w:rPr>
          <w:b/>
          <w:spacing w:val="-2"/>
        </w:rPr>
        <w:t>VERMELD</w:t>
      </w:r>
    </w:p>
    <w:p w14:paraId="23E9CC15" w14:textId="77777777" w:rsidR="004F5587" w:rsidRPr="00330234" w:rsidRDefault="004F5587" w:rsidP="003003EB">
      <w:pPr>
        <w:pStyle w:val="a3"/>
        <w:pBdr>
          <w:top w:val="single" w:sz="4" w:space="1" w:color="auto"/>
          <w:left w:val="single" w:sz="4" w:space="4" w:color="auto"/>
          <w:bottom w:val="single" w:sz="4" w:space="1" w:color="auto"/>
          <w:right w:val="single" w:sz="4" w:space="4" w:color="auto"/>
        </w:pBdr>
        <w:ind w:left="0"/>
        <w:rPr>
          <w:b/>
        </w:rPr>
      </w:pPr>
    </w:p>
    <w:p w14:paraId="5B46F87A" w14:textId="77777777" w:rsidR="004F5587" w:rsidRPr="00330234" w:rsidRDefault="004F5587" w:rsidP="003003EB">
      <w:pPr>
        <w:pBdr>
          <w:top w:val="single" w:sz="4" w:space="1" w:color="auto"/>
          <w:left w:val="single" w:sz="4" w:space="4" w:color="auto"/>
          <w:bottom w:val="single" w:sz="4" w:space="1" w:color="auto"/>
          <w:right w:val="single" w:sz="4" w:space="4" w:color="auto"/>
        </w:pBdr>
        <w:rPr>
          <w:b/>
        </w:rPr>
      </w:pPr>
      <w:r w:rsidRPr="00330234">
        <w:rPr>
          <w:b/>
        </w:rPr>
        <w:t>VERPAKKING</w:t>
      </w:r>
      <w:r w:rsidRPr="00330234">
        <w:rPr>
          <w:b/>
          <w:spacing w:val="-9"/>
        </w:rPr>
        <w:t xml:space="preserve"> </w:t>
      </w:r>
      <w:r w:rsidRPr="00330234">
        <w:rPr>
          <w:b/>
        </w:rPr>
        <w:t>VOOR</w:t>
      </w:r>
      <w:r w:rsidRPr="00330234">
        <w:rPr>
          <w:b/>
          <w:spacing w:val="-7"/>
        </w:rPr>
        <w:t xml:space="preserve"> </w:t>
      </w:r>
      <w:r w:rsidRPr="00330234">
        <w:rPr>
          <w:b/>
        </w:rPr>
        <w:t>DE</w:t>
      </w:r>
      <w:r w:rsidRPr="00330234">
        <w:rPr>
          <w:b/>
          <w:spacing w:val="-8"/>
        </w:rPr>
        <w:t xml:space="preserve"> </w:t>
      </w:r>
      <w:r w:rsidRPr="00330234">
        <w:rPr>
          <w:b/>
        </w:rPr>
        <w:t>VOORGEVULDE</w:t>
      </w:r>
      <w:r w:rsidRPr="00330234">
        <w:rPr>
          <w:b/>
          <w:spacing w:val="-7"/>
        </w:rPr>
        <w:t xml:space="preserve"> </w:t>
      </w:r>
      <w:r w:rsidRPr="00330234">
        <w:rPr>
          <w:b/>
          <w:spacing w:val="-5"/>
        </w:rPr>
        <w:t>PEN</w:t>
      </w:r>
    </w:p>
    <w:p w14:paraId="431E0BD7" w14:textId="635D53F3" w:rsidR="00436DAA" w:rsidRPr="00330234" w:rsidRDefault="00436DAA" w:rsidP="009B0E27">
      <w:pPr>
        <w:pStyle w:val="a3"/>
        <w:widowControl/>
        <w:ind w:left="0"/>
      </w:pPr>
    </w:p>
    <w:p w14:paraId="7B9C4C24" w14:textId="77777777" w:rsidR="00467A20" w:rsidRPr="00330234" w:rsidRDefault="00467A20" w:rsidP="009B0E27">
      <w:pPr>
        <w:pStyle w:val="a3"/>
        <w:widowControl/>
        <w:ind w:left="0"/>
      </w:pPr>
    </w:p>
    <w:p w14:paraId="6BB83640"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w:t>
      </w:r>
      <w:r w:rsidRPr="00330234">
        <w:rPr>
          <w:b/>
        </w:rPr>
        <w:tab/>
        <w:t>NAAM</w:t>
      </w:r>
      <w:r w:rsidRPr="00330234">
        <w:rPr>
          <w:b/>
          <w:spacing w:val="-4"/>
        </w:rPr>
        <w:t xml:space="preserve"> </w:t>
      </w:r>
      <w:r w:rsidRPr="00330234">
        <w:rPr>
          <w:b/>
        </w:rPr>
        <w:t>VAN</w:t>
      </w:r>
      <w:r w:rsidRPr="00330234">
        <w:rPr>
          <w:b/>
          <w:spacing w:val="-4"/>
        </w:rPr>
        <w:t xml:space="preserve"> </w:t>
      </w:r>
      <w:r w:rsidRPr="00330234">
        <w:rPr>
          <w:b/>
        </w:rPr>
        <w:t>HET</w:t>
      </w:r>
      <w:r w:rsidRPr="00330234">
        <w:rPr>
          <w:b/>
          <w:spacing w:val="-4"/>
        </w:rPr>
        <w:t xml:space="preserve"> </w:t>
      </w:r>
      <w:r w:rsidRPr="00330234">
        <w:rPr>
          <w:b/>
          <w:spacing w:val="-2"/>
        </w:rPr>
        <w:t>GENEESMIDDEL</w:t>
      </w:r>
    </w:p>
    <w:p w14:paraId="72B904BA" w14:textId="57B01A85" w:rsidR="00436DAA" w:rsidRPr="00330234" w:rsidRDefault="00436DAA" w:rsidP="009B0E27">
      <w:pPr>
        <w:pStyle w:val="a3"/>
        <w:widowControl/>
        <w:ind w:left="0"/>
      </w:pPr>
    </w:p>
    <w:p w14:paraId="69CDF806" w14:textId="14DE2037" w:rsidR="00467A20" w:rsidRPr="00330234" w:rsidRDefault="007A197C" w:rsidP="009B0E27">
      <w:pPr>
        <w:pStyle w:val="a3"/>
        <w:widowControl/>
        <w:ind w:left="0"/>
      </w:pPr>
      <w:r w:rsidRPr="00330234">
        <w:t>Avtozma</w:t>
      </w:r>
      <w:r w:rsidR="009B4B8E" w:rsidRPr="00330234">
        <w:t xml:space="preserve"> 162 mg oplossing voor injectie in voorgevulde pen</w:t>
      </w:r>
    </w:p>
    <w:p w14:paraId="3EF75AAB" w14:textId="1DB0E8A8" w:rsidR="00436DAA" w:rsidRPr="00330234" w:rsidRDefault="009B4B8E" w:rsidP="009B0E27">
      <w:pPr>
        <w:pStyle w:val="a3"/>
        <w:widowControl/>
        <w:ind w:left="0"/>
      </w:pPr>
      <w:r w:rsidRPr="00330234">
        <w:t>tocilizumab</w:t>
      </w:r>
    </w:p>
    <w:p w14:paraId="4EA70329" w14:textId="77777777" w:rsidR="004F5587" w:rsidRPr="00330234" w:rsidRDefault="004F5587" w:rsidP="009B0E27">
      <w:pPr>
        <w:pStyle w:val="a3"/>
        <w:widowControl/>
        <w:ind w:left="0"/>
      </w:pPr>
    </w:p>
    <w:p w14:paraId="37B1E8B6" w14:textId="77777777" w:rsidR="00467A20" w:rsidRPr="00330234" w:rsidRDefault="00467A20" w:rsidP="009B0E27">
      <w:pPr>
        <w:pStyle w:val="a3"/>
        <w:widowControl/>
        <w:ind w:left="0"/>
      </w:pPr>
    </w:p>
    <w:p w14:paraId="7831174E"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2.</w:t>
      </w:r>
      <w:r w:rsidRPr="00330234">
        <w:rPr>
          <w:b/>
        </w:rPr>
        <w:tab/>
        <w:t>GEHALTE</w:t>
      </w:r>
      <w:r w:rsidRPr="00330234">
        <w:rPr>
          <w:b/>
          <w:spacing w:val="-7"/>
        </w:rPr>
        <w:t xml:space="preserve"> </w:t>
      </w:r>
      <w:r w:rsidRPr="00330234">
        <w:rPr>
          <w:b/>
        </w:rPr>
        <w:t>AAN</w:t>
      </w:r>
      <w:r w:rsidRPr="00330234">
        <w:rPr>
          <w:b/>
          <w:spacing w:val="-7"/>
        </w:rPr>
        <w:t xml:space="preserve"> </w:t>
      </w:r>
      <w:r w:rsidRPr="00330234">
        <w:rPr>
          <w:b/>
        </w:rPr>
        <w:t>WERKZAME</w:t>
      </w:r>
      <w:r w:rsidRPr="00330234">
        <w:rPr>
          <w:b/>
          <w:spacing w:val="-7"/>
        </w:rPr>
        <w:t xml:space="preserve"> </w:t>
      </w:r>
      <w:r w:rsidRPr="00330234">
        <w:rPr>
          <w:b/>
          <w:spacing w:val="-2"/>
        </w:rPr>
        <w:t>STOF(FEN)</w:t>
      </w:r>
    </w:p>
    <w:p w14:paraId="325E18C8" w14:textId="19F64972" w:rsidR="00436DAA" w:rsidRPr="00330234" w:rsidRDefault="00436DAA" w:rsidP="009B0E27">
      <w:pPr>
        <w:pStyle w:val="a3"/>
        <w:widowControl/>
        <w:ind w:left="0"/>
      </w:pPr>
    </w:p>
    <w:p w14:paraId="5EE96F25" w14:textId="77777777" w:rsidR="00436DAA" w:rsidRPr="00330234" w:rsidRDefault="009B4B8E" w:rsidP="009B0E27">
      <w:pPr>
        <w:pStyle w:val="a3"/>
        <w:widowControl/>
        <w:ind w:left="0"/>
      </w:pPr>
      <w:r w:rsidRPr="00330234">
        <w:t>1 voorgevulde pen bevat 162 mg tocilizumab.</w:t>
      </w:r>
    </w:p>
    <w:p w14:paraId="3C59CB03" w14:textId="77777777" w:rsidR="00436DAA" w:rsidRPr="00330234" w:rsidRDefault="00436DAA" w:rsidP="009B0E27">
      <w:pPr>
        <w:pStyle w:val="a3"/>
        <w:widowControl/>
        <w:ind w:left="0"/>
      </w:pPr>
    </w:p>
    <w:p w14:paraId="19CBA2DE" w14:textId="77777777" w:rsidR="00467A20" w:rsidRPr="00330234" w:rsidRDefault="00467A20" w:rsidP="009B0E27">
      <w:pPr>
        <w:pStyle w:val="a3"/>
        <w:widowControl/>
        <w:ind w:left="0"/>
      </w:pPr>
    </w:p>
    <w:p w14:paraId="0756FC68"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3.</w:t>
      </w:r>
      <w:r w:rsidRPr="00330234">
        <w:rPr>
          <w:b/>
        </w:rPr>
        <w:tab/>
        <w:t>LIJST</w:t>
      </w:r>
      <w:r w:rsidRPr="00330234">
        <w:rPr>
          <w:b/>
          <w:spacing w:val="-4"/>
        </w:rPr>
        <w:t xml:space="preserve"> </w:t>
      </w:r>
      <w:r w:rsidRPr="00330234">
        <w:rPr>
          <w:b/>
        </w:rPr>
        <w:t>VAN</w:t>
      </w:r>
      <w:r w:rsidRPr="00330234">
        <w:rPr>
          <w:b/>
          <w:spacing w:val="-4"/>
        </w:rPr>
        <w:t xml:space="preserve"> </w:t>
      </w:r>
      <w:r w:rsidRPr="00330234">
        <w:rPr>
          <w:b/>
          <w:spacing w:val="-2"/>
        </w:rPr>
        <w:t>HULPSTOFFEN</w:t>
      </w:r>
    </w:p>
    <w:p w14:paraId="5BCE137F" w14:textId="186C47D3" w:rsidR="00436DAA" w:rsidRPr="00330234" w:rsidRDefault="00436DAA" w:rsidP="009B0E27">
      <w:pPr>
        <w:pStyle w:val="a3"/>
        <w:widowControl/>
        <w:ind w:left="0"/>
      </w:pPr>
    </w:p>
    <w:p w14:paraId="10FC779D" w14:textId="3A6CC9D8" w:rsidR="00B63E66" w:rsidRPr="00330234" w:rsidRDefault="00B63E66" w:rsidP="00B63E66">
      <w:pPr>
        <w:pStyle w:val="a3"/>
        <w:widowControl/>
        <w:ind w:left="0"/>
      </w:pPr>
      <w:r w:rsidRPr="00330234">
        <w:t xml:space="preserve">Hulpstoffen: L-histidine, </w:t>
      </w:r>
      <w:r w:rsidR="0065408F" w:rsidRPr="0065408F">
        <w:rPr>
          <w:rFonts w:hint="eastAsia"/>
        </w:rPr>
        <w:t>L-histidine monohydrochloride monohydraat</w:t>
      </w:r>
      <w:r w:rsidR="00545170" w:rsidRPr="00545170">
        <w:t xml:space="preserve">, </w:t>
      </w:r>
      <w:r w:rsidRPr="00330234">
        <w:t>L-threonine, L-methionine, polysorbaat 80 en water voor injecties.</w:t>
      </w:r>
    </w:p>
    <w:p w14:paraId="408575F6" w14:textId="77777777" w:rsidR="00B63E66" w:rsidRPr="00330234" w:rsidRDefault="00B63E66" w:rsidP="00B63E66">
      <w:pPr>
        <w:pStyle w:val="a3"/>
        <w:widowControl/>
        <w:ind w:left="0"/>
      </w:pPr>
      <w:r w:rsidRPr="00330234">
        <w:t>Zie bijsluiter voor meer informatie.</w:t>
      </w:r>
    </w:p>
    <w:p w14:paraId="17C467B3" w14:textId="77777777" w:rsidR="00436DAA" w:rsidRPr="00330234" w:rsidRDefault="00436DAA" w:rsidP="009B0E27">
      <w:pPr>
        <w:pStyle w:val="a3"/>
        <w:widowControl/>
        <w:ind w:left="0"/>
      </w:pPr>
    </w:p>
    <w:p w14:paraId="433365BF" w14:textId="77777777" w:rsidR="00467A20" w:rsidRPr="00330234" w:rsidRDefault="00467A20" w:rsidP="009B0E27">
      <w:pPr>
        <w:pStyle w:val="a3"/>
        <w:widowControl/>
        <w:ind w:left="0"/>
      </w:pPr>
    </w:p>
    <w:p w14:paraId="04478239"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4.</w:t>
      </w:r>
      <w:r w:rsidRPr="00330234">
        <w:rPr>
          <w:b/>
        </w:rPr>
        <w:tab/>
        <w:t>FARMACEUTISCHE</w:t>
      </w:r>
      <w:r w:rsidRPr="00330234">
        <w:rPr>
          <w:b/>
          <w:spacing w:val="-8"/>
        </w:rPr>
        <w:t xml:space="preserve"> </w:t>
      </w:r>
      <w:r w:rsidRPr="00330234">
        <w:rPr>
          <w:b/>
        </w:rPr>
        <w:t>VORM</w:t>
      </w:r>
      <w:r w:rsidRPr="00330234">
        <w:rPr>
          <w:b/>
          <w:spacing w:val="-6"/>
        </w:rPr>
        <w:t xml:space="preserve"> </w:t>
      </w:r>
      <w:r w:rsidRPr="00330234">
        <w:rPr>
          <w:b/>
        </w:rPr>
        <w:t>EN</w:t>
      </w:r>
      <w:r w:rsidRPr="00330234">
        <w:rPr>
          <w:b/>
          <w:spacing w:val="-7"/>
        </w:rPr>
        <w:t xml:space="preserve"> </w:t>
      </w:r>
      <w:r w:rsidRPr="00330234">
        <w:rPr>
          <w:b/>
          <w:spacing w:val="-2"/>
        </w:rPr>
        <w:t>INHOUD</w:t>
      </w:r>
    </w:p>
    <w:p w14:paraId="64CB0BBA" w14:textId="0D0C1FFB" w:rsidR="00436DAA" w:rsidRPr="00330234" w:rsidRDefault="00436DAA" w:rsidP="009B0E27">
      <w:pPr>
        <w:pStyle w:val="a3"/>
        <w:widowControl/>
        <w:ind w:left="0"/>
      </w:pPr>
    </w:p>
    <w:p w14:paraId="4F358F39" w14:textId="1B23B8C7" w:rsidR="00467A20" w:rsidRPr="00330234" w:rsidRDefault="009B4B8E" w:rsidP="009B0E27">
      <w:pPr>
        <w:pStyle w:val="a3"/>
        <w:widowControl/>
        <w:ind w:left="0"/>
      </w:pPr>
      <w:r w:rsidRPr="00330234">
        <w:t>Oplossing voor injectie in voorgevulde pen</w:t>
      </w:r>
    </w:p>
    <w:p w14:paraId="2A7FDF64" w14:textId="5FE65842" w:rsidR="00B63E66" w:rsidRPr="00330234" w:rsidRDefault="00B63E66" w:rsidP="009B0E27">
      <w:pPr>
        <w:pStyle w:val="a3"/>
        <w:widowControl/>
        <w:ind w:left="0"/>
      </w:pPr>
      <w:r w:rsidRPr="00330234">
        <w:t>1 voorgevulde pen</w:t>
      </w:r>
    </w:p>
    <w:p w14:paraId="65A9445A" w14:textId="6FE00AB6" w:rsidR="002C41D8" w:rsidRPr="00330234" w:rsidRDefault="002C41D8" w:rsidP="002C41D8">
      <w:pPr>
        <w:pStyle w:val="a3"/>
        <w:widowControl/>
        <w:ind w:left="0"/>
        <w:rPr>
          <w:ins w:id="46" w:author="만든 이"/>
        </w:rPr>
      </w:pPr>
      <w:ins w:id="47" w:author="만든 이">
        <w:r>
          <w:rPr>
            <w:rFonts w:eastAsia="맑은 고딕" w:hint="eastAsia"/>
            <w:lang w:eastAsia="ko-KR"/>
          </w:rPr>
          <w:t>2</w:t>
        </w:r>
        <w:r w:rsidRPr="00330234">
          <w:t xml:space="preserve"> voorgevulde pennen</w:t>
        </w:r>
      </w:ins>
    </w:p>
    <w:p w14:paraId="5C8DC645" w14:textId="14C02609" w:rsidR="00436DAA" w:rsidRPr="00330234" w:rsidRDefault="009B4B8E" w:rsidP="009B0E27">
      <w:pPr>
        <w:pStyle w:val="a3"/>
        <w:widowControl/>
        <w:ind w:left="0"/>
      </w:pPr>
      <w:r w:rsidRPr="00330234">
        <w:t>4 voorgevulde pennen</w:t>
      </w:r>
    </w:p>
    <w:p w14:paraId="45FC2DE4" w14:textId="77777777" w:rsidR="00436DAA" w:rsidRPr="00330234" w:rsidRDefault="009B4B8E" w:rsidP="009B0E27">
      <w:pPr>
        <w:pStyle w:val="a3"/>
        <w:widowControl/>
        <w:ind w:left="0"/>
      </w:pPr>
      <w:r w:rsidRPr="00330234">
        <w:t>162 mg/0,9 ml</w:t>
      </w:r>
    </w:p>
    <w:p w14:paraId="76796216" w14:textId="77777777" w:rsidR="00436DAA" w:rsidRPr="00330234" w:rsidRDefault="00436DAA" w:rsidP="009B0E27">
      <w:pPr>
        <w:pStyle w:val="a3"/>
        <w:widowControl/>
        <w:ind w:left="0"/>
      </w:pPr>
    </w:p>
    <w:p w14:paraId="2F4D18A9" w14:textId="77777777" w:rsidR="00467A20" w:rsidRPr="00330234" w:rsidRDefault="00467A20" w:rsidP="009B0E27">
      <w:pPr>
        <w:pStyle w:val="a3"/>
        <w:widowControl/>
        <w:ind w:left="0"/>
      </w:pPr>
    </w:p>
    <w:p w14:paraId="57290461"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5.</w:t>
      </w:r>
      <w:r w:rsidRPr="00330234">
        <w:rPr>
          <w:b/>
        </w:rPr>
        <w:tab/>
        <w:t>WIJZE</w:t>
      </w:r>
      <w:r w:rsidRPr="00330234">
        <w:rPr>
          <w:b/>
          <w:spacing w:val="-5"/>
        </w:rPr>
        <w:t xml:space="preserve"> </w:t>
      </w:r>
      <w:r w:rsidRPr="00330234">
        <w:rPr>
          <w:b/>
        </w:rPr>
        <w:t>VAN</w:t>
      </w:r>
      <w:r w:rsidRPr="00330234">
        <w:rPr>
          <w:b/>
          <w:spacing w:val="-5"/>
        </w:rPr>
        <w:t xml:space="preserve"> </w:t>
      </w:r>
      <w:r w:rsidRPr="00330234">
        <w:rPr>
          <w:b/>
        </w:rPr>
        <w:t>GEBRUIK</w:t>
      </w:r>
      <w:r w:rsidRPr="00330234">
        <w:rPr>
          <w:b/>
          <w:spacing w:val="-3"/>
        </w:rPr>
        <w:t xml:space="preserve"> </w:t>
      </w:r>
      <w:r w:rsidRPr="00330234">
        <w:rPr>
          <w:b/>
        </w:rPr>
        <w:t>EN</w:t>
      </w:r>
      <w:r w:rsidRPr="00330234">
        <w:rPr>
          <w:b/>
          <w:spacing w:val="-4"/>
        </w:rPr>
        <w:t xml:space="preserve"> </w:t>
      </w:r>
      <w:r w:rsidRPr="00330234">
        <w:rPr>
          <w:b/>
          <w:spacing w:val="-2"/>
        </w:rPr>
        <w:t>TOEDIENINGSWEG(EN)</w:t>
      </w:r>
    </w:p>
    <w:p w14:paraId="29B4D32A" w14:textId="253387BF" w:rsidR="00436DAA" w:rsidRPr="00330234" w:rsidRDefault="00436DAA" w:rsidP="009B0E27">
      <w:pPr>
        <w:pStyle w:val="a3"/>
        <w:widowControl/>
        <w:ind w:left="0"/>
      </w:pPr>
    </w:p>
    <w:p w14:paraId="724403C5" w14:textId="77777777" w:rsidR="00436DAA" w:rsidRPr="00330234" w:rsidRDefault="009B4B8E" w:rsidP="009B0E27">
      <w:pPr>
        <w:pStyle w:val="a3"/>
        <w:widowControl/>
        <w:ind w:left="0"/>
      </w:pPr>
      <w:r w:rsidRPr="00330234">
        <w:t>Subcutaan gebruik</w:t>
      </w:r>
    </w:p>
    <w:p w14:paraId="3651A0F7" w14:textId="77777777" w:rsidR="00436DAA" w:rsidRPr="00330234" w:rsidRDefault="009B4B8E" w:rsidP="009B0E27">
      <w:pPr>
        <w:pStyle w:val="a3"/>
        <w:widowControl/>
        <w:ind w:left="0"/>
      </w:pPr>
      <w:r w:rsidRPr="00330234">
        <w:t>Lees voor het gebruik de bijsluiter</w:t>
      </w:r>
    </w:p>
    <w:p w14:paraId="7498FC11" w14:textId="77777777" w:rsidR="00436DAA" w:rsidRPr="00330234" w:rsidRDefault="00436DAA" w:rsidP="009B0E27">
      <w:pPr>
        <w:pStyle w:val="a3"/>
        <w:widowControl/>
        <w:ind w:left="0"/>
      </w:pPr>
    </w:p>
    <w:p w14:paraId="0D67B020" w14:textId="77777777" w:rsidR="00467A20" w:rsidRPr="00330234" w:rsidRDefault="00467A20" w:rsidP="009B0E27">
      <w:pPr>
        <w:pStyle w:val="a3"/>
        <w:widowControl/>
        <w:ind w:left="0"/>
      </w:pPr>
    </w:p>
    <w:p w14:paraId="42EEA894" w14:textId="01E37C89"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rPr>
        <w:t>6.</w:t>
      </w:r>
      <w:r w:rsidRPr="00330234">
        <w:rPr>
          <w:b/>
        </w:rPr>
        <w:tab/>
        <w:t>EEN</w:t>
      </w:r>
      <w:r w:rsidRPr="00330234">
        <w:rPr>
          <w:b/>
          <w:spacing w:val="-5"/>
        </w:rPr>
        <w:t xml:space="preserve"> </w:t>
      </w:r>
      <w:r w:rsidRPr="00330234">
        <w:rPr>
          <w:b/>
        </w:rPr>
        <w:t>SPECIALE</w:t>
      </w:r>
      <w:r w:rsidRPr="00330234">
        <w:rPr>
          <w:b/>
          <w:spacing w:val="-5"/>
        </w:rPr>
        <w:t xml:space="preserve"> </w:t>
      </w:r>
      <w:r w:rsidRPr="00330234">
        <w:rPr>
          <w:b/>
        </w:rPr>
        <w:t>WAARSCHUWING</w:t>
      </w:r>
      <w:r w:rsidRPr="00330234">
        <w:rPr>
          <w:b/>
          <w:spacing w:val="-6"/>
        </w:rPr>
        <w:t xml:space="preserve"> </w:t>
      </w:r>
      <w:r w:rsidRPr="00330234">
        <w:rPr>
          <w:b/>
        </w:rPr>
        <w:t>DAT</w:t>
      </w:r>
      <w:r w:rsidRPr="00330234">
        <w:rPr>
          <w:b/>
          <w:spacing w:val="-5"/>
        </w:rPr>
        <w:t xml:space="preserve"> </w:t>
      </w:r>
      <w:r w:rsidRPr="00330234">
        <w:rPr>
          <w:b/>
        </w:rPr>
        <w:t>HET</w:t>
      </w:r>
      <w:r w:rsidRPr="00330234">
        <w:rPr>
          <w:b/>
          <w:spacing w:val="-8"/>
        </w:rPr>
        <w:t xml:space="preserve"> </w:t>
      </w:r>
      <w:r w:rsidRPr="00330234">
        <w:rPr>
          <w:b/>
        </w:rPr>
        <w:t>GENEESMIDDEL</w:t>
      </w:r>
      <w:r w:rsidRPr="00330234">
        <w:rPr>
          <w:b/>
          <w:spacing w:val="-5"/>
        </w:rPr>
        <w:t xml:space="preserve"> </w:t>
      </w:r>
      <w:r w:rsidRPr="00330234">
        <w:rPr>
          <w:b/>
        </w:rPr>
        <w:t>BUITEN</w:t>
      </w:r>
      <w:r w:rsidRPr="00330234">
        <w:rPr>
          <w:b/>
          <w:spacing w:val="-5"/>
        </w:rPr>
        <w:t xml:space="preserve"> </w:t>
      </w:r>
      <w:r w:rsidRPr="00330234">
        <w:rPr>
          <w:b/>
        </w:rPr>
        <w:t>HET ZICHT EN BEREIK VAN KINDEREN DIENT TE WORDEN GEHOUDEN</w:t>
      </w:r>
    </w:p>
    <w:p w14:paraId="2C0B1E4D" w14:textId="0F2D5316" w:rsidR="00436DAA" w:rsidRPr="00330234" w:rsidRDefault="00436DAA" w:rsidP="009B0E27">
      <w:pPr>
        <w:pStyle w:val="a3"/>
        <w:widowControl/>
        <w:ind w:left="0"/>
      </w:pPr>
    </w:p>
    <w:p w14:paraId="419628D8" w14:textId="77777777" w:rsidR="00436DAA" w:rsidRPr="00330234" w:rsidRDefault="009B4B8E" w:rsidP="009B0E27">
      <w:pPr>
        <w:pStyle w:val="a3"/>
        <w:widowControl/>
        <w:ind w:left="0"/>
      </w:pPr>
      <w:r w:rsidRPr="00330234">
        <w:t>Buiten het zicht en bereik van kinderen houden</w:t>
      </w:r>
    </w:p>
    <w:p w14:paraId="38A9BB23" w14:textId="77777777" w:rsidR="00436DAA" w:rsidRPr="00330234" w:rsidRDefault="00436DAA" w:rsidP="009B0E27">
      <w:pPr>
        <w:pStyle w:val="a3"/>
        <w:widowControl/>
        <w:ind w:left="0"/>
      </w:pPr>
    </w:p>
    <w:p w14:paraId="6FC10608" w14:textId="77777777" w:rsidR="00467A20" w:rsidRPr="00330234" w:rsidRDefault="00467A20" w:rsidP="009B0E27">
      <w:pPr>
        <w:pStyle w:val="a3"/>
        <w:widowControl/>
        <w:ind w:left="0"/>
      </w:pPr>
    </w:p>
    <w:p w14:paraId="3B31D02A"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7.</w:t>
      </w:r>
      <w:r w:rsidRPr="00330234">
        <w:rPr>
          <w:b/>
        </w:rPr>
        <w:tab/>
        <w:t>ANDERE</w:t>
      </w:r>
      <w:r w:rsidRPr="00330234">
        <w:rPr>
          <w:b/>
          <w:spacing w:val="-13"/>
        </w:rPr>
        <w:t xml:space="preserve"> </w:t>
      </w:r>
      <w:r w:rsidRPr="00330234">
        <w:rPr>
          <w:b/>
        </w:rPr>
        <w:t>SPECIALE</w:t>
      </w:r>
      <w:r w:rsidRPr="00330234">
        <w:rPr>
          <w:b/>
          <w:spacing w:val="-11"/>
        </w:rPr>
        <w:t xml:space="preserve"> </w:t>
      </w:r>
      <w:r w:rsidRPr="00330234">
        <w:rPr>
          <w:b/>
        </w:rPr>
        <w:t>WAARSCHUWING(EN),</w:t>
      </w:r>
      <w:r w:rsidRPr="00330234">
        <w:rPr>
          <w:b/>
          <w:spacing w:val="-10"/>
        </w:rPr>
        <w:t xml:space="preserve"> </w:t>
      </w:r>
      <w:r w:rsidRPr="00330234">
        <w:rPr>
          <w:b/>
        </w:rPr>
        <w:t>INDIEN</w:t>
      </w:r>
      <w:r w:rsidRPr="00330234">
        <w:rPr>
          <w:b/>
          <w:spacing w:val="-10"/>
        </w:rPr>
        <w:t xml:space="preserve"> </w:t>
      </w:r>
      <w:r w:rsidRPr="00330234">
        <w:rPr>
          <w:b/>
          <w:spacing w:val="-2"/>
        </w:rPr>
        <w:t>NODIG</w:t>
      </w:r>
    </w:p>
    <w:p w14:paraId="627D114B" w14:textId="44EB80A1" w:rsidR="00436DAA" w:rsidRPr="00330234" w:rsidRDefault="00436DAA" w:rsidP="009B0E27">
      <w:pPr>
        <w:pStyle w:val="a3"/>
        <w:widowControl/>
        <w:ind w:left="0"/>
      </w:pPr>
    </w:p>
    <w:p w14:paraId="730D5371" w14:textId="77777777" w:rsidR="00436DAA" w:rsidRPr="00330234" w:rsidRDefault="009B4B8E" w:rsidP="009B0E27">
      <w:pPr>
        <w:pStyle w:val="a3"/>
        <w:widowControl/>
        <w:ind w:left="0"/>
      </w:pPr>
      <w:r w:rsidRPr="00330234">
        <w:t>De voorgevulde pen buiten de verpakking op kamertemperatuur laten komen gedurende 45 minuten voor gebruik</w:t>
      </w:r>
    </w:p>
    <w:p w14:paraId="61471727" w14:textId="77777777" w:rsidR="00436DAA" w:rsidRPr="00330234" w:rsidRDefault="00436DAA" w:rsidP="009B0E27">
      <w:pPr>
        <w:pStyle w:val="a3"/>
        <w:widowControl/>
        <w:ind w:left="0"/>
      </w:pPr>
    </w:p>
    <w:p w14:paraId="44E11FAE" w14:textId="77777777" w:rsidR="00467A20" w:rsidRPr="00330234" w:rsidRDefault="00467A20" w:rsidP="009B0E27">
      <w:pPr>
        <w:pStyle w:val="a3"/>
        <w:widowControl/>
        <w:ind w:left="0"/>
      </w:pPr>
    </w:p>
    <w:p w14:paraId="128E0C17"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8.</w:t>
      </w:r>
      <w:r w:rsidRPr="00330234">
        <w:rPr>
          <w:b/>
        </w:rPr>
        <w:tab/>
        <w:t>UITERSTE</w:t>
      </w:r>
      <w:r w:rsidRPr="00330234">
        <w:rPr>
          <w:b/>
          <w:spacing w:val="-9"/>
        </w:rPr>
        <w:t xml:space="preserve"> </w:t>
      </w:r>
      <w:r w:rsidRPr="00330234">
        <w:rPr>
          <w:b/>
          <w:spacing w:val="-2"/>
        </w:rPr>
        <w:t>GEBRUIKSDATUM</w:t>
      </w:r>
    </w:p>
    <w:p w14:paraId="7F500BCE" w14:textId="19B27CF4" w:rsidR="00436DAA" w:rsidRPr="00330234" w:rsidRDefault="00436DAA" w:rsidP="009B0E27">
      <w:pPr>
        <w:pStyle w:val="a3"/>
        <w:widowControl/>
        <w:ind w:left="0"/>
      </w:pPr>
    </w:p>
    <w:p w14:paraId="3CE1D978" w14:textId="77777777" w:rsidR="00436DAA" w:rsidRPr="00330234" w:rsidRDefault="009B4B8E" w:rsidP="009B0E27">
      <w:pPr>
        <w:pStyle w:val="a3"/>
        <w:widowControl/>
        <w:ind w:left="0"/>
      </w:pPr>
      <w:r w:rsidRPr="00330234">
        <w:t>EXP</w:t>
      </w:r>
    </w:p>
    <w:p w14:paraId="3878CABC" w14:textId="77777777" w:rsidR="00436DAA" w:rsidRPr="00330234" w:rsidRDefault="00436DAA" w:rsidP="009B0E27">
      <w:pPr>
        <w:widowControl/>
      </w:pPr>
    </w:p>
    <w:p w14:paraId="2924D2F9" w14:textId="77777777" w:rsidR="00467A20" w:rsidRPr="00330234" w:rsidRDefault="00467A20" w:rsidP="009B0E27">
      <w:pPr>
        <w:widowControl/>
      </w:pPr>
    </w:p>
    <w:p w14:paraId="2F53C97E" w14:textId="77777777" w:rsidR="004F5587" w:rsidRPr="00330234" w:rsidRDefault="004F5587" w:rsidP="00467A20">
      <w:pPr>
        <w:keepNext/>
        <w:keepLines/>
        <w:pBdr>
          <w:top w:val="single" w:sz="4" w:space="1" w:color="auto"/>
          <w:left w:val="single" w:sz="4" w:space="4" w:color="auto"/>
          <w:bottom w:val="single" w:sz="4" w:space="1" w:color="auto"/>
          <w:right w:val="single" w:sz="4" w:space="4" w:color="auto"/>
        </w:pBdr>
        <w:ind w:left="567" w:hanging="567"/>
        <w:rPr>
          <w:b/>
        </w:rPr>
      </w:pPr>
      <w:r w:rsidRPr="00330234">
        <w:rPr>
          <w:b/>
          <w:spacing w:val="-5"/>
        </w:rPr>
        <w:lastRenderedPageBreak/>
        <w:t>9.</w:t>
      </w:r>
      <w:r w:rsidRPr="00330234">
        <w:rPr>
          <w:b/>
        </w:rPr>
        <w:tab/>
        <w:t>BIJZONDERE</w:t>
      </w:r>
      <w:r w:rsidRPr="00330234">
        <w:rPr>
          <w:b/>
          <w:spacing w:val="-14"/>
        </w:rPr>
        <w:t xml:space="preserve"> </w:t>
      </w:r>
      <w:r w:rsidRPr="00330234">
        <w:rPr>
          <w:b/>
        </w:rPr>
        <w:t>VOORZORGSMAATREGELEN</w:t>
      </w:r>
      <w:r w:rsidRPr="00330234">
        <w:rPr>
          <w:b/>
          <w:spacing w:val="-7"/>
        </w:rPr>
        <w:t xml:space="preserve"> </w:t>
      </w:r>
      <w:r w:rsidRPr="00330234">
        <w:rPr>
          <w:b/>
        </w:rPr>
        <w:t>VOOR</w:t>
      </w:r>
      <w:r w:rsidRPr="00330234">
        <w:rPr>
          <w:b/>
          <w:spacing w:val="-9"/>
        </w:rPr>
        <w:t xml:space="preserve"> </w:t>
      </w:r>
      <w:r w:rsidRPr="00330234">
        <w:rPr>
          <w:b/>
        </w:rPr>
        <w:t>DE</w:t>
      </w:r>
      <w:r w:rsidRPr="00330234">
        <w:rPr>
          <w:b/>
          <w:spacing w:val="-12"/>
        </w:rPr>
        <w:t xml:space="preserve"> </w:t>
      </w:r>
      <w:r w:rsidRPr="00330234">
        <w:rPr>
          <w:b/>
          <w:spacing w:val="-2"/>
        </w:rPr>
        <w:t>BEWARING</w:t>
      </w:r>
    </w:p>
    <w:p w14:paraId="78CDC922" w14:textId="6F7055A9" w:rsidR="00436DAA" w:rsidRPr="00330234" w:rsidRDefault="00436DAA" w:rsidP="00467A20">
      <w:pPr>
        <w:pStyle w:val="a3"/>
        <w:keepNext/>
        <w:keepLines/>
        <w:widowControl/>
        <w:ind w:left="0"/>
      </w:pPr>
    </w:p>
    <w:p w14:paraId="11F96B61" w14:textId="77777777" w:rsidR="00467A20" w:rsidRPr="00330234" w:rsidRDefault="009B4B8E" w:rsidP="00467A20">
      <w:pPr>
        <w:pStyle w:val="a3"/>
        <w:keepNext/>
        <w:keepLines/>
        <w:widowControl/>
        <w:ind w:left="0"/>
      </w:pPr>
      <w:r w:rsidRPr="00330234">
        <w:t>Bewaren in de koelkast</w:t>
      </w:r>
    </w:p>
    <w:p w14:paraId="09AA1936" w14:textId="36AC7B0D" w:rsidR="00436DAA" w:rsidRPr="00330234" w:rsidRDefault="009B4B8E" w:rsidP="00467A20">
      <w:pPr>
        <w:pStyle w:val="a3"/>
        <w:keepNext/>
        <w:keepLines/>
        <w:widowControl/>
        <w:ind w:left="0"/>
      </w:pPr>
      <w:r w:rsidRPr="00330234">
        <w:t>Niet in de vriezer bewaren</w:t>
      </w:r>
    </w:p>
    <w:p w14:paraId="5D95E9D5" w14:textId="4474645D" w:rsidR="00436DAA" w:rsidRPr="00330234" w:rsidRDefault="009B4B8E" w:rsidP="00467A20">
      <w:pPr>
        <w:pStyle w:val="a3"/>
        <w:keepNext/>
        <w:keepLines/>
        <w:widowControl/>
        <w:ind w:left="0"/>
      </w:pPr>
      <w:r w:rsidRPr="00330234">
        <w:t xml:space="preserve">Eenmaal uit de koelkast gehaald, kan de voorgevulde pen tot </w:t>
      </w:r>
      <w:r w:rsidR="00B63E66" w:rsidRPr="00330234">
        <w:t>3 </w:t>
      </w:r>
      <w:r w:rsidRPr="00330234">
        <w:t>weken beneden 30°C worden bewaard De voorgevulde pen in de buitenverpakking bewaren ter bescherming tegen licht en vocht</w:t>
      </w:r>
    </w:p>
    <w:p w14:paraId="5B387994" w14:textId="77777777" w:rsidR="00436DAA" w:rsidRPr="00330234" w:rsidRDefault="00436DAA" w:rsidP="009B0E27">
      <w:pPr>
        <w:pStyle w:val="a3"/>
        <w:widowControl/>
        <w:ind w:left="0"/>
      </w:pPr>
    </w:p>
    <w:p w14:paraId="1863C616" w14:textId="77777777" w:rsidR="00467A20" w:rsidRPr="00330234" w:rsidRDefault="00467A20" w:rsidP="009B0E27">
      <w:pPr>
        <w:pStyle w:val="a3"/>
        <w:widowControl/>
        <w:ind w:left="0"/>
      </w:pPr>
    </w:p>
    <w:p w14:paraId="3352D547"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10.</w:t>
      </w:r>
      <w:r w:rsidRPr="00330234">
        <w:rPr>
          <w:b/>
        </w:rPr>
        <w:tab/>
        <w:t>BIJZONDERE</w:t>
      </w:r>
      <w:r w:rsidRPr="00330234">
        <w:rPr>
          <w:b/>
          <w:spacing w:val="-8"/>
        </w:rPr>
        <w:t xml:space="preserve"> </w:t>
      </w:r>
      <w:r w:rsidRPr="00330234">
        <w:rPr>
          <w:b/>
        </w:rPr>
        <w:t>VOORZORGSMAATREGELEN</w:t>
      </w:r>
      <w:r w:rsidRPr="00330234">
        <w:rPr>
          <w:b/>
          <w:spacing w:val="-7"/>
        </w:rPr>
        <w:t xml:space="preserve"> </w:t>
      </w:r>
      <w:r w:rsidRPr="00330234">
        <w:rPr>
          <w:b/>
        </w:rPr>
        <w:t>VOOR</w:t>
      </w:r>
      <w:r w:rsidRPr="00330234">
        <w:rPr>
          <w:b/>
          <w:spacing w:val="-11"/>
        </w:rPr>
        <w:t xml:space="preserve"> </w:t>
      </w:r>
      <w:r w:rsidRPr="00330234">
        <w:rPr>
          <w:b/>
        </w:rPr>
        <w:t>HET</w:t>
      </w:r>
      <w:r w:rsidRPr="00330234">
        <w:rPr>
          <w:b/>
          <w:spacing w:val="-8"/>
        </w:rPr>
        <w:t xml:space="preserve"> </w:t>
      </w:r>
      <w:r w:rsidRPr="00330234">
        <w:rPr>
          <w:b/>
        </w:rPr>
        <w:t>VERWIJDEREN</w:t>
      </w:r>
      <w:r w:rsidRPr="00330234">
        <w:rPr>
          <w:b/>
          <w:spacing w:val="-8"/>
        </w:rPr>
        <w:t xml:space="preserve"> </w:t>
      </w:r>
      <w:r w:rsidRPr="00330234">
        <w:rPr>
          <w:b/>
        </w:rPr>
        <w:t>VAN NIET-GEBRUIKTE GENEESMIDDELEN OF DAARVAN AFGELEIDE AFVALSTOFFEN (INDIEN VAN TOEPASSING)</w:t>
      </w:r>
    </w:p>
    <w:p w14:paraId="209CFD82" w14:textId="43931700" w:rsidR="00436DAA" w:rsidRPr="00330234" w:rsidRDefault="00436DAA" w:rsidP="009B0E27">
      <w:pPr>
        <w:pStyle w:val="a3"/>
        <w:widowControl/>
        <w:ind w:left="0"/>
      </w:pPr>
    </w:p>
    <w:p w14:paraId="41B6166E" w14:textId="77777777" w:rsidR="00436DAA" w:rsidRPr="00330234" w:rsidRDefault="00436DAA" w:rsidP="009B0E27">
      <w:pPr>
        <w:pStyle w:val="a3"/>
        <w:widowControl/>
        <w:ind w:left="0"/>
      </w:pPr>
    </w:p>
    <w:p w14:paraId="31401BB7"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11.</w:t>
      </w:r>
      <w:r w:rsidRPr="00330234">
        <w:rPr>
          <w:b/>
        </w:rPr>
        <w:tab/>
        <w:t>NAAM</w:t>
      </w:r>
      <w:r w:rsidRPr="00330234">
        <w:rPr>
          <w:b/>
          <w:spacing w:val="-3"/>
        </w:rPr>
        <w:t xml:space="preserve"> </w:t>
      </w:r>
      <w:r w:rsidRPr="00330234">
        <w:rPr>
          <w:b/>
        </w:rPr>
        <w:t>EN</w:t>
      </w:r>
      <w:r w:rsidRPr="00330234">
        <w:rPr>
          <w:b/>
          <w:spacing w:val="-4"/>
        </w:rPr>
        <w:t xml:space="preserve"> </w:t>
      </w:r>
      <w:r w:rsidRPr="00330234">
        <w:rPr>
          <w:b/>
        </w:rPr>
        <w:t>ADRES</w:t>
      </w:r>
      <w:r w:rsidRPr="00330234">
        <w:rPr>
          <w:b/>
          <w:spacing w:val="-4"/>
        </w:rPr>
        <w:t xml:space="preserve"> </w:t>
      </w:r>
      <w:r w:rsidRPr="00330234">
        <w:rPr>
          <w:b/>
        </w:rPr>
        <w:t>VAN</w:t>
      </w:r>
      <w:r w:rsidRPr="00330234">
        <w:rPr>
          <w:b/>
          <w:spacing w:val="-2"/>
        </w:rPr>
        <w:t xml:space="preserve"> </w:t>
      </w:r>
      <w:r w:rsidRPr="00330234">
        <w:rPr>
          <w:b/>
        </w:rPr>
        <w:t>DE</w:t>
      </w:r>
      <w:r w:rsidRPr="00330234">
        <w:rPr>
          <w:b/>
          <w:spacing w:val="-4"/>
        </w:rPr>
        <w:t xml:space="preserve"> </w:t>
      </w:r>
      <w:r w:rsidRPr="00330234">
        <w:rPr>
          <w:b/>
        </w:rPr>
        <w:t>HOUDER</w:t>
      </w:r>
      <w:r w:rsidRPr="00330234">
        <w:rPr>
          <w:b/>
          <w:spacing w:val="-4"/>
        </w:rPr>
        <w:t xml:space="preserve"> </w:t>
      </w:r>
      <w:r w:rsidRPr="00330234">
        <w:rPr>
          <w:b/>
        </w:rPr>
        <w:t>VAN</w:t>
      </w:r>
      <w:r w:rsidRPr="00330234">
        <w:rPr>
          <w:b/>
          <w:spacing w:val="-4"/>
        </w:rPr>
        <w:t xml:space="preserve"> </w:t>
      </w:r>
      <w:r w:rsidRPr="00330234">
        <w:rPr>
          <w:b/>
        </w:rPr>
        <w:t>DE</w:t>
      </w:r>
      <w:r w:rsidRPr="00330234">
        <w:rPr>
          <w:b/>
          <w:spacing w:val="-4"/>
        </w:rPr>
        <w:t xml:space="preserve"> </w:t>
      </w:r>
      <w:r w:rsidRPr="00330234">
        <w:rPr>
          <w:b/>
        </w:rPr>
        <w:t>VERGUNNING</w:t>
      </w:r>
      <w:r w:rsidRPr="00330234">
        <w:rPr>
          <w:b/>
          <w:spacing w:val="-2"/>
        </w:rPr>
        <w:t xml:space="preserve"> </w:t>
      </w:r>
      <w:r w:rsidRPr="00330234">
        <w:rPr>
          <w:b/>
        </w:rPr>
        <w:t>VOOR</w:t>
      </w:r>
      <w:r w:rsidRPr="00330234">
        <w:rPr>
          <w:b/>
          <w:spacing w:val="-4"/>
        </w:rPr>
        <w:t xml:space="preserve"> </w:t>
      </w:r>
      <w:r w:rsidRPr="00330234">
        <w:rPr>
          <w:b/>
        </w:rPr>
        <w:t>HET</w:t>
      </w:r>
      <w:r w:rsidRPr="00330234">
        <w:rPr>
          <w:b/>
          <w:spacing w:val="-4"/>
        </w:rPr>
        <w:t xml:space="preserve"> </w:t>
      </w:r>
      <w:r w:rsidRPr="00330234">
        <w:rPr>
          <w:b/>
        </w:rPr>
        <w:t>IN</w:t>
      </w:r>
      <w:r w:rsidRPr="00330234">
        <w:rPr>
          <w:b/>
          <w:spacing w:val="-4"/>
        </w:rPr>
        <w:t xml:space="preserve"> </w:t>
      </w:r>
      <w:r w:rsidRPr="00330234">
        <w:rPr>
          <w:b/>
        </w:rPr>
        <w:t>DE HANDEL BRENGEN</w:t>
      </w:r>
    </w:p>
    <w:p w14:paraId="01874844" w14:textId="7CE63656" w:rsidR="00436DAA" w:rsidRPr="00330234" w:rsidRDefault="00436DAA" w:rsidP="009B0E27">
      <w:pPr>
        <w:pStyle w:val="a3"/>
        <w:widowControl/>
        <w:ind w:left="0"/>
      </w:pPr>
    </w:p>
    <w:p w14:paraId="4652117E" w14:textId="51118DE5" w:rsidR="00B63E66" w:rsidRPr="00330234" w:rsidRDefault="00B63E66" w:rsidP="00B63E66">
      <w:pPr>
        <w:keepNext/>
      </w:pPr>
      <w:r w:rsidRPr="00330234">
        <w:t>Celltrion Healthcare Hungary Kft.</w:t>
      </w:r>
    </w:p>
    <w:p w14:paraId="5575EC0F" w14:textId="77777777" w:rsidR="00B63E66" w:rsidRPr="00330234" w:rsidRDefault="00B63E66" w:rsidP="00B63E66">
      <w:pPr>
        <w:keepNext/>
      </w:pPr>
      <w:r w:rsidRPr="00330234">
        <w:t>1062 Budapest</w:t>
      </w:r>
    </w:p>
    <w:p w14:paraId="27EDDAC3" w14:textId="77777777" w:rsidR="00B63E66" w:rsidRPr="00330234" w:rsidRDefault="00B63E66" w:rsidP="00B63E66">
      <w:pPr>
        <w:keepNext/>
      </w:pPr>
      <w:r w:rsidRPr="00330234">
        <w:t>Váci út 1-3. WestEnd Office Building B torony</w:t>
      </w:r>
    </w:p>
    <w:p w14:paraId="6AEE201D" w14:textId="25D5AA4F" w:rsidR="00B63E66" w:rsidRPr="00330234" w:rsidRDefault="00B63E66" w:rsidP="00B63E66">
      <w:r w:rsidRPr="00330234">
        <w:t>Hongarije</w:t>
      </w:r>
    </w:p>
    <w:p w14:paraId="4958D2D8" w14:textId="77777777" w:rsidR="00436DAA" w:rsidRPr="00330234" w:rsidRDefault="00436DAA" w:rsidP="009B0E27">
      <w:pPr>
        <w:pStyle w:val="a3"/>
        <w:widowControl/>
        <w:ind w:left="0"/>
      </w:pPr>
    </w:p>
    <w:p w14:paraId="17F6888E" w14:textId="77777777" w:rsidR="00467A20" w:rsidRPr="00330234" w:rsidRDefault="00467A20" w:rsidP="009B0E27">
      <w:pPr>
        <w:pStyle w:val="a3"/>
        <w:widowControl/>
        <w:ind w:left="0"/>
      </w:pPr>
    </w:p>
    <w:p w14:paraId="7F67D57A"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12.</w:t>
      </w:r>
      <w:r w:rsidRPr="00330234">
        <w:rPr>
          <w:b/>
        </w:rPr>
        <w:tab/>
        <w:t>NUMMER(S)</w:t>
      </w:r>
      <w:r w:rsidRPr="00330234">
        <w:rPr>
          <w:b/>
          <w:spacing w:val="-6"/>
        </w:rPr>
        <w:t xml:space="preserve"> </w:t>
      </w:r>
      <w:r w:rsidRPr="00330234">
        <w:rPr>
          <w:b/>
        </w:rPr>
        <w:t>VAN</w:t>
      </w:r>
      <w:r w:rsidRPr="00330234">
        <w:rPr>
          <w:b/>
          <w:spacing w:val="-5"/>
        </w:rPr>
        <w:t xml:space="preserve"> </w:t>
      </w:r>
      <w:r w:rsidRPr="00330234">
        <w:rPr>
          <w:b/>
        </w:rPr>
        <w:t>DE</w:t>
      </w:r>
      <w:r w:rsidRPr="00330234">
        <w:rPr>
          <w:b/>
          <w:spacing w:val="-6"/>
        </w:rPr>
        <w:t xml:space="preserve"> </w:t>
      </w:r>
      <w:r w:rsidRPr="00330234">
        <w:rPr>
          <w:b/>
        </w:rPr>
        <w:t>VERGUNNING</w:t>
      </w:r>
      <w:r w:rsidRPr="00330234">
        <w:rPr>
          <w:b/>
          <w:spacing w:val="-3"/>
        </w:rPr>
        <w:t xml:space="preserve"> </w:t>
      </w:r>
      <w:r w:rsidRPr="00330234">
        <w:rPr>
          <w:b/>
        </w:rPr>
        <w:t>VOOR</w:t>
      </w:r>
      <w:r w:rsidRPr="00330234">
        <w:rPr>
          <w:b/>
          <w:spacing w:val="-6"/>
        </w:rPr>
        <w:t xml:space="preserve"> </w:t>
      </w:r>
      <w:r w:rsidRPr="00330234">
        <w:rPr>
          <w:b/>
        </w:rPr>
        <w:t>HET</w:t>
      </w:r>
      <w:r w:rsidRPr="00330234">
        <w:rPr>
          <w:b/>
          <w:spacing w:val="-5"/>
        </w:rPr>
        <w:t xml:space="preserve"> </w:t>
      </w:r>
      <w:r w:rsidRPr="00330234">
        <w:rPr>
          <w:b/>
        </w:rPr>
        <w:t>IN</w:t>
      </w:r>
      <w:r w:rsidRPr="00330234">
        <w:rPr>
          <w:b/>
          <w:spacing w:val="-6"/>
        </w:rPr>
        <w:t xml:space="preserve"> </w:t>
      </w:r>
      <w:r w:rsidRPr="00330234">
        <w:rPr>
          <w:b/>
        </w:rPr>
        <w:t>DE</w:t>
      </w:r>
      <w:r w:rsidRPr="00330234">
        <w:rPr>
          <w:b/>
          <w:spacing w:val="-5"/>
        </w:rPr>
        <w:t xml:space="preserve"> </w:t>
      </w:r>
      <w:r w:rsidRPr="00330234">
        <w:rPr>
          <w:b/>
        </w:rPr>
        <w:t>HANDEL</w:t>
      </w:r>
      <w:r w:rsidRPr="00330234">
        <w:rPr>
          <w:b/>
          <w:spacing w:val="-5"/>
        </w:rPr>
        <w:t xml:space="preserve"> </w:t>
      </w:r>
      <w:r w:rsidRPr="00330234">
        <w:rPr>
          <w:b/>
          <w:spacing w:val="-2"/>
        </w:rPr>
        <w:t>BRENGEN</w:t>
      </w:r>
    </w:p>
    <w:p w14:paraId="6F9D7172" w14:textId="26BF6B31" w:rsidR="00436DAA" w:rsidRPr="00330234" w:rsidRDefault="00436DAA" w:rsidP="009B0E27">
      <w:pPr>
        <w:pStyle w:val="a3"/>
        <w:widowControl/>
        <w:ind w:left="0"/>
      </w:pPr>
    </w:p>
    <w:p w14:paraId="06161F79" w14:textId="1CFB1493" w:rsidR="00436DAA" w:rsidRPr="00330234" w:rsidRDefault="009B4B8E" w:rsidP="009B0E27">
      <w:pPr>
        <w:pStyle w:val="a3"/>
        <w:widowControl/>
        <w:ind w:left="0"/>
      </w:pPr>
      <w:r w:rsidRPr="00330234">
        <w:t>EU/</w:t>
      </w:r>
      <w:r w:rsidR="00064F9F" w:rsidRPr="00231CE5">
        <w:rPr>
          <w:spacing w:val="-1"/>
          <w:lang w:val="es-ES"/>
        </w:rPr>
        <w:t>1/24/1896/01</w:t>
      </w:r>
      <w:r w:rsidR="00064F9F">
        <w:rPr>
          <w:rFonts w:eastAsia="맑은 고딕" w:hint="eastAsia"/>
          <w:spacing w:val="-1"/>
          <w:lang w:val="es-ES" w:eastAsia="ko-KR"/>
        </w:rPr>
        <w:t>0</w:t>
      </w:r>
      <w:r w:rsidR="00064F9F">
        <w:rPr>
          <w:rFonts w:hint="eastAsia"/>
          <w:spacing w:val="-1"/>
          <w:lang w:val="es-ES" w:eastAsia="ko-KR"/>
        </w:rPr>
        <w:t xml:space="preserve"> </w:t>
      </w:r>
      <w:r w:rsidR="00064F9F">
        <w:rPr>
          <w:rFonts w:eastAsia="맑은 고딕" w:hint="eastAsia"/>
          <w:spacing w:val="-1"/>
          <w:lang w:val="es-ES" w:eastAsia="ko-KR"/>
        </w:rPr>
        <w:t>1</w:t>
      </w:r>
      <w:r w:rsidR="00064F9F">
        <w:rPr>
          <w:spacing w:val="-1"/>
          <w:lang w:val="es-ES" w:eastAsia="ko-KR"/>
        </w:rPr>
        <w:t> voorgevulde pen</w:t>
      </w:r>
    </w:p>
    <w:p w14:paraId="4E2FA9C9" w14:textId="67511E0C" w:rsidR="00B63E66" w:rsidRPr="00330234" w:rsidRDefault="00B63E66" w:rsidP="009B0E27">
      <w:pPr>
        <w:pStyle w:val="a3"/>
        <w:widowControl/>
        <w:ind w:left="0"/>
      </w:pPr>
      <w:r w:rsidRPr="00330234">
        <w:t>EU/</w:t>
      </w:r>
      <w:r w:rsidR="00064F9F" w:rsidRPr="00231CE5">
        <w:rPr>
          <w:spacing w:val="-1"/>
          <w:lang w:val="es-ES"/>
        </w:rPr>
        <w:t>1/24/1896/01</w:t>
      </w:r>
      <w:r w:rsidR="00064F9F">
        <w:rPr>
          <w:rFonts w:eastAsia="맑은 고딕"/>
          <w:spacing w:val="-1"/>
          <w:lang w:val="es-ES" w:eastAsia="ko-KR"/>
        </w:rPr>
        <w:t>1</w:t>
      </w:r>
      <w:r w:rsidR="00064F9F">
        <w:rPr>
          <w:rFonts w:hint="eastAsia"/>
          <w:spacing w:val="-1"/>
          <w:lang w:val="es-ES" w:eastAsia="ko-KR"/>
        </w:rPr>
        <w:t xml:space="preserve"> </w:t>
      </w:r>
      <w:r w:rsidR="00064F9F">
        <w:rPr>
          <w:rFonts w:eastAsia="맑은 고딕"/>
          <w:spacing w:val="-1"/>
          <w:lang w:val="es-ES" w:eastAsia="ko-KR"/>
        </w:rPr>
        <w:t>4</w:t>
      </w:r>
      <w:r w:rsidR="00064F9F">
        <w:rPr>
          <w:spacing w:val="-1"/>
          <w:lang w:val="es-ES" w:eastAsia="ko-KR"/>
        </w:rPr>
        <w:t> voorgevulde pennen</w:t>
      </w:r>
    </w:p>
    <w:p w14:paraId="19C21E94" w14:textId="5FBC9313" w:rsidR="00436DAA" w:rsidRPr="00330234" w:rsidRDefault="002C41D8" w:rsidP="009B0E27">
      <w:pPr>
        <w:pStyle w:val="a3"/>
        <w:widowControl/>
        <w:ind w:left="0"/>
      </w:pPr>
      <w:ins w:id="48" w:author="만든 이">
        <w:r w:rsidRPr="00330234">
          <w:t>EU/</w:t>
        </w:r>
        <w:r w:rsidRPr="00231CE5">
          <w:rPr>
            <w:spacing w:val="-1"/>
            <w:lang w:val="es-ES"/>
          </w:rPr>
          <w:t>1/24/1896/</w:t>
        </w:r>
        <w:r w:rsidR="005A4B7E">
          <w:rPr>
            <w:rFonts w:eastAsia="맑은 고딕" w:hint="eastAsia"/>
            <w:spacing w:val="-1"/>
            <w:lang w:val="es-ES" w:eastAsia="ko-KR"/>
          </w:rPr>
          <w:t>014</w:t>
        </w:r>
        <w:r>
          <w:rPr>
            <w:rFonts w:hint="eastAsia"/>
            <w:spacing w:val="-1"/>
            <w:lang w:val="es-ES" w:eastAsia="ko-KR"/>
          </w:rPr>
          <w:t xml:space="preserve"> </w:t>
        </w:r>
        <w:r>
          <w:rPr>
            <w:rFonts w:eastAsia="맑은 고딕" w:hint="eastAsia"/>
            <w:spacing w:val="-1"/>
            <w:lang w:val="es-ES" w:eastAsia="ko-KR"/>
          </w:rPr>
          <w:t>2</w:t>
        </w:r>
        <w:r>
          <w:rPr>
            <w:spacing w:val="-1"/>
            <w:lang w:val="es-ES" w:eastAsia="ko-KR"/>
          </w:rPr>
          <w:t> voorgevulde pennen</w:t>
        </w:r>
      </w:ins>
    </w:p>
    <w:p w14:paraId="5003678E" w14:textId="77777777" w:rsidR="00467A20" w:rsidRPr="00330234" w:rsidRDefault="00467A20" w:rsidP="009B0E27">
      <w:pPr>
        <w:pStyle w:val="a3"/>
        <w:widowControl/>
        <w:ind w:left="0"/>
      </w:pPr>
    </w:p>
    <w:p w14:paraId="33C3B616"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13.</w:t>
      </w:r>
      <w:r w:rsidRPr="00330234">
        <w:rPr>
          <w:b/>
        </w:rPr>
        <w:tab/>
      </w:r>
      <w:r w:rsidRPr="00330234">
        <w:rPr>
          <w:b/>
          <w:spacing w:val="-2"/>
        </w:rPr>
        <w:t>PARTIJNUMMER</w:t>
      </w:r>
    </w:p>
    <w:p w14:paraId="471BE164" w14:textId="18800AA6" w:rsidR="00436DAA" w:rsidRPr="00330234" w:rsidRDefault="00436DAA" w:rsidP="009B0E27">
      <w:pPr>
        <w:pStyle w:val="a3"/>
        <w:widowControl/>
        <w:ind w:left="0"/>
      </w:pPr>
    </w:p>
    <w:p w14:paraId="13A29A10" w14:textId="2F792801" w:rsidR="00436DAA" w:rsidRPr="00330234" w:rsidRDefault="00597F7E" w:rsidP="009B0E27">
      <w:pPr>
        <w:pStyle w:val="a3"/>
        <w:widowControl/>
        <w:ind w:left="0"/>
      </w:pPr>
      <w:r w:rsidRPr="00330234">
        <w:t>Lot</w:t>
      </w:r>
    </w:p>
    <w:p w14:paraId="5FFD1E65" w14:textId="77777777" w:rsidR="00436DAA" w:rsidRPr="00330234" w:rsidRDefault="00436DAA" w:rsidP="009B0E27">
      <w:pPr>
        <w:pStyle w:val="a3"/>
        <w:widowControl/>
        <w:ind w:left="0"/>
      </w:pPr>
    </w:p>
    <w:p w14:paraId="39E2F7F2" w14:textId="77777777" w:rsidR="00467A20" w:rsidRPr="00330234" w:rsidRDefault="00467A20" w:rsidP="009B0E27">
      <w:pPr>
        <w:pStyle w:val="a3"/>
        <w:widowControl/>
        <w:ind w:left="0"/>
      </w:pPr>
    </w:p>
    <w:p w14:paraId="37D0B0B5"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14.</w:t>
      </w:r>
      <w:r w:rsidRPr="00330234">
        <w:rPr>
          <w:b/>
        </w:rPr>
        <w:tab/>
        <w:t>ALGEMENE</w:t>
      </w:r>
      <w:r w:rsidRPr="00330234">
        <w:rPr>
          <w:b/>
          <w:spacing w:val="-6"/>
        </w:rPr>
        <w:t xml:space="preserve"> </w:t>
      </w:r>
      <w:r w:rsidRPr="00330234">
        <w:rPr>
          <w:b/>
        </w:rPr>
        <w:t>INDELING</w:t>
      </w:r>
      <w:r w:rsidRPr="00330234">
        <w:rPr>
          <w:b/>
          <w:spacing w:val="-4"/>
        </w:rPr>
        <w:t xml:space="preserve"> </w:t>
      </w:r>
      <w:r w:rsidRPr="00330234">
        <w:rPr>
          <w:b/>
        </w:rPr>
        <w:t>VOOR</w:t>
      </w:r>
      <w:r w:rsidRPr="00330234">
        <w:rPr>
          <w:b/>
          <w:spacing w:val="-6"/>
        </w:rPr>
        <w:t xml:space="preserve"> </w:t>
      </w:r>
      <w:r w:rsidRPr="00330234">
        <w:rPr>
          <w:b/>
        </w:rPr>
        <w:t>DE</w:t>
      </w:r>
      <w:r w:rsidRPr="00330234">
        <w:rPr>
          <w:b/>
          <w:spacing w:val="-5"/>
        </w:rPr>
        <w:t xml:space="preserve"> </w:t>
      </w:r>
      <w:r w:rsidRPr="00330234">
        <w:rPr>
          <w:b/>
          <w:spacing w:val="-2"/>
        </w:rPr>
        <w:t>AFLEVERING</w:t>
      </w:r>
    </w:p>
    <w:p w14:paraId="0C83E694" w14:textId="03253F9A" w:rsidR="00436DAA" w:rsidRPr="00330234" w:rsidRDefault="00436DAA" w:rsidP="009B0E27">
      <w:pPr>
        <w:pStyle w:val="a3"/>
        <w:widowControl/>
        <w:ind w:left="0"/>
      </w:pPr>
    </w:p>
    <w:p w14:paraId="3B318618" w14:textId="77777777" w:rsidR="00436DAA" w:rsidRPr="00330234" w:rsidRDefault="00436DAA" w:rsidP="009B0E27">
      <w:pPr>
        <w:pStyle w:val="a3"/>
        <w:widowControl/>
        <w:ind w:left="0"/>
      </w:pPr>
    </w:p>
    <w:p w14:paraId="52133320"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15.</w:t>
      </w:r>
      <w:r w:rsidRPr="00330234">
        <w:rPr>
          <w:b/>
        </w:rPr>
        <w:tab/>
        <w:t>INSTRUCTIES</w:t>
      </w:r>
      <w:r w:rsidRPr="00330234">
        <w:rPr>
          <w:b/>
          <w:spacing w:val="-7"/>
        </w:rPr>
        <w:t xml:space="preserve"> </w:t>
      </w:r>
      <w:r w:rsidRPr="00330234">
        <w:rPr>
          <w:b/>
        </w:rPr>
        <w:t>VOOR</w:t>
      </w:r>
      <w:r w:rsidRPr="00330234">
        <w:rPr>
          <w:b/>
          <w:spacing w:val="-7"/>
        </w:rPr>
        <w:t xml:space="preserve"> </w:t>
      </w:r>
      <w:r w:rsidRPr="00330234">
        <w:rPr>
          <w:b/>
          <w:spacing w:val="-2"/>
        </w:rPr>
        <w:t>GEBRUIK</w:t>
      </w:r>
    </w:p>
    <w:p w14:paraId="75F227BF" w14:textId="47059A63" w:rsidR="00436DAA" w:rsidRPr="00330234" w:rsidRDefault="00436DAA" w:rsidP="009B0E27">
      <w:pPr>
        <w:pStyle w:val="a3"/>
        <w:widowControl/>
        <w:ind w:left="0"/>
      </w:pPr>
    </w:p>
    <w:p w14:paraId="65EBD334" w14:textId="77777777" w:rsidR="00436DAA" w:rsidRPr="00330234" w:rsidRDefault="00436DAA" w:rsidP="009B0E27">
      <w:pPr>
        <w:pStyle w:val="a3"/>
        <w:widowControl/>
        <w:ind w:left="0"/>
      </w:pPr>
    </w:p>
    <w:p w14:paraId="528D71DF"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16.</w:t>
      </w:r>
      <w:r w:rsidRPr="00330234">
        <w:rPr>
          <w:b/>
        </w:rPr>
        <w:tab/>
        <w:t>INFORMATIE</w:t>
      </w:r>
      <w:r w:rsidRPr="00330234">
        <w:rPr>
          <w:b/>
          <w:spacing w:val="-5"/>
        </w:rPr>
        <w:t xml:space="preserve"> </w:t>
      </w:r>
      <w:r w:rsidRPr="00330234">
        <w:rPr>
          <w:b/>
        </w:rPr>
        <w:t>IN</w:t>
      </w:r>
      <w:r w:rsidRPr="00330234">
        <w:rPr>
          <w:b/>
          <w:spacing w:val="-7"/>
        </w:rPr>
        <w:t xml:space="preserve"> </w:t>
      </w:r>
      <w:r w:rsidRPr="00330234">
        <w:rPr>
          <w:b/>
          <w:spacing w:val="-2"/>
        </w:rPr>
        <w:t>BRAILLE</w:t>
      </w:r>
    </w:p>
    <w:p w14:paraId="231265CF" w14:textId="3D009E96" w:rsidR="00436DAA" w:rsidRPr="00330234" w:rsidRDefault="00436DAA" w:rsidP="009B0E27">
      <w:pPr>
        <w:pStyle w:val="a3"/>
        <w:widowControl/>
        <w:ind w:left="0"/>
      </w:pPr>
    </w:p>
    <w:p w14:paraId="13D8699A" w14:textId="2DFA999D" w:rsidR="00436DAA" w:rsidRPr="001B3E1E" w:rsidRDefault="00597F7E" w:rsidP="009B0E27">
      <w:pPr>
        <w:pStyle w:val="a3"/>
        <w:widowControl/>
        <w:ind w:left="0"/>
        <w:rPr>
          <w:rFonts w:eastAsia="맑은 고딕"/>
          <w:lang w:eastAsia="ko-KR"/>
        </w:rPr>
      </w:pPr>
      <w:r w:rsidRPr="00330234">
        <w:t xml:space="preserve">avtozma </w:t>
      </w:r>
      <w:r w:rsidR="009B4B8E" w:rsidRPr="00330234">
        <w:t>162 mg</w:t>
      </w:r>
    </w:p>
    <w:p w14:paraId="705803A5" w14:textId="77777777" w:rsidR="00436DAA" w:rsidRPr="00330234" w:rsidRDefault="00436DAA" w:rsidP="009B0E27">
      <w:pPr>
        <w:pStyle w:val="a3"/>
        <w:widowControl/>
        <w:ind w:left="0"/>
      </w:pPr>
    </w:p>
    <w:p w14:paraId="12E115A9" w14:textId="77777777" w:rsidR="00467A20" w:rsidRPr="00330234" w:rsidRDefault="00467A20" w:rsidP="009B0E27">
      <w:pPr>
        <w:pStyle w:val="a3"/>
        <w:widowControl/>
        <w:ind w:left="0"/>
      </w:pPr>
    </w:p>
    <w:p w14:paraId="679148CF"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17.</w:t>
      </w:r>
      <w:r w:rsidRPr="00330234">
        <w:rPr>
          <w:b/>
        </w:rPr>
        <w:tab/>
        <w:t>UNIEK</w:t>
      </w:r>
      <w:r w:rsidRPr="00330234">
        <w:rPr>
          <w:b/>
          <w:spacing w:val="-8"/>
        </w:rPr>
        <w:t xml:space="preserve"> </w:t>
      </w:r>
      <w:r w:rsidRPr="00330234">
        <w:rPr>
          <w:b/>
        </w:rPr>
        <w:t>IDENTIFICATIEKENMERK</w:t>
      </w:r>
      <w:r w:rsidRPr="00330234">
        <w:rPr>
          <w:b/>
          <w:spacing w:val="-7"/>
        </w:rPr>
        <w:t xml:space="preserve"> </w:t>
      </w:r>
      <w:r w:rsidRPr="00330234">
        <w:rPr>
          <w:b/>
        </w:rPr>
        <w:t>-</w:t>
      </w:r>
      <w:r w:rsidRPr="00330234">
        <w:rPr>
          <w:b/>
          <w:spacing w:val="-5"/>
        </w:rPr>
        <w:t xml:space="preserve"> </w:t>
      </w:r>
      <w:r w:rsidRPr="00330234">
        <w:rPr>
          <w:b/>
        </w:rPr>
        <w:t>2D</w:t>
      </w:r>
      <w:r w:rsidRPr="00330234">
        <w:rPr>
          <w:b/>
          <w:spacing w:val="-7"/>
        </w:rPr>
        <w:t xml:space="preserve"> </w:t>
      </w:r>
      <w:r w:rsidRPr="00330234">
        <w:rPr>
          <w:b/>
          <w:spacing w:val="-2"/>
        </w:rPr>
        <w:t>MATRIXCODE</w:t>
      </w:r>
    </w:p>
    <w:p w14:paraId="7B90D4D0" w14:textId="5BD0AA12" w:rsidR="00436DAA" w:rsidRPr="00330234" w:rsidRDefault="00436DAA" w:rsidP="009B0E27">
      <w:pPr>
        <w:pStyle w:val="a3"/>
        <w:widowControl/>
        <w:ind w:left="0"/>
      </w:pPr>
    </w:p>
    <w:p w14:paraId="240658A5" w14:textId="77777777" w:rsidR="00436DAA" w:rsidRPr="00330234" w:rsidRDefault="009B4B8E" w:rsidP="009B0E27">
      <w:pPr>
        <w:pStyle w:val="a3"/>
        <w:widowControl/>
        <w:ind w:left="0"/>
        <w:rPr>
          <w:shd w:val="pct35" w:color="auto" w:fill="auto"/>
        </w:rPr>
      </w:pPr>
      <w:r w:rsidRPr="00143A85">
        <w:rPr>
          <w:color w:val="000000"/>
          <w:highlight w:val="lightGray"/>
          <w:shd w:val="pct35" w:color="auto" w:fill="auto"/>
        </w:rPr>
        <w:t>2D matrixcode met het unieke identificatiekenmerk.</w:t>
      </w:r>
    </w:p>
    <w:p w14:paraId="22837335" w14:textId="77777777" w:rsidR="00436DAA" w:rsidRPr="00330234" w:rsidRDefault="00436DAA" w:rsidP="009B0E27">
      <w:pPr>
        <w:pStyle w:val="a3"/>
        <w:widowControl/>
        <w:ind w:left="0"/>
      </w:pPr>
    </w:p>
    <w:p w14:paraId="466D8F93" w14:textId="77777777" w:rsidR="00467A20" w:rsidRPr="00330234" w:rsidRDefault="00467A20" w:rsidP="009B0E27">
      <w:pPr>
        <w:pStyle w:val="a3"/>
        <w:widowControl/>
        <w:ind w:left="0"/>
      </w:pPr>
    </w:p>
    <w:p w14:paraId="2A742D85" w14:textId="77777777" w:rsidR="004F5587" w:rsidRPr="00330234" w:rsidRDefault="004F558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18.</w:t>
      </w:r>
      <w:r w:rsidRPr="00330234">
        <w:rPr>
          <w:b/>
        </w:rPr>
        <w:tab/>
        <w:t>UNIEK</w:t>
      </w:r>
      <w:r w:rsidRPr="00330234">
        <w:rPr>
          <w:b/>
          <w:spacing w:val="-9"/>
        </w:rPr>
        <w:t xml:space="preserve"> </w:t>
      </w:r>
      <w:r w:rsidRPr="00330234">
        <w:rPr>
          <w:b/>
        </w:rPr>
        <w:t>IDENTIFICATIEKENMERK</w:t>
      </w:r>
      <w:r w:rsidRPr="00330234">
        <w:rPr>
          <w:b/>
          <w:spacing w:val="-8"/>
        </w:rPr>
        <w:t xml:space="preserve"> </w:t>
      </w:r>
      <w:r w:rsidRPr="00330234">
        <w:rPr>
          <w:b/>
        </w:rPr>
        <w:t>-</w:t>
      </w:r>
      <w:r w:rsidRPr="00330234">
        <w:rPr>
          <w:b/>
          <w:spacing w:val="-6"/>
        </w:rPr>
        <w:t xml:space="preserve"> </w:t>
      </w:r>
      <w:r w:rsidRPr="00330234">
        <w:rPr>
          <w:b/>
        </w:rPr>
        <w:t>VOOR</w:t>
      </w:r>
      <w:r w:rsidRPr="00330234">
        <w:rPr>
          <w:b/>
          <w:spacing w:val="-8"/>
        </w:rPr>
        <w:t xml:space="preserve"> </w:t>
      </w:r>
      <w:r w:rsidRPr="00330234">
        <w:rPr>
          <w:b/>
        </w:rPr>
        <w:t>MENSEN</w:t>
      </w:r>
      <w:r w:rsidRPr="00330234">
        <w:rPr>
          <w:b/>
          <w:spacing w:val="-8"/>
        </w:rPr>
        <w:t xml:space="preserve"> </w:t>
      </w:r>
      <w:r w:rsidRPr="00330234">
        <w:rPr>
          <w:b/>
        </w:rPr>
        <w:t>LEESBARE</w:t>
      </w:r>
      <w:r w:rsidRPr="00330234">
        <w:rPr>
          <w:b/>
          <w:spacing w:val="-8"/>
        </w:rPr>
        <w:t xml:space="preserve"> </w:t>
      </w:r>
      <w:r w:rsidRPr="00330234">
        <w:rPr>
          <w:b/>
          <w:spacing w:val="-2"/>
        </w:rPr>
        <w:t>GEGEVENS</w:t>
      </w:r>
    </w:p>
    <w:p w14:paraId="27E773C0" w14:textId="6F195C9D" w:rsidR="00436DAA" w:rsidRPr="00330234" w:rsidRDefault="00436DAA" w:rsidP="009B0E27">
      <w:pPr>
        <w:pStyle w:val="a3"/>
        <w:widowControl/>
        <w:ind w:left="0"/>
      </w:pPr>
    </w:p>
    <w:p w14:paraId="41FCC353" w14:textId="77777777" w:rsidR="00467A20" w:rsidRPr="00330234" w:rsidRDefault="009B4B8E" w:rsidP="009B0E27">
      <w:pPr>
        <w:pStyle w:val="a3"/>
        <w:widowControl/>
        <w:ind w:left="0"/>
      </w:pPr>
      <w:r w:rsidRPr="00330234">
        <w:t>PC</w:t>
      </w:r>
    </w:p>
    <w:p w14:paraId="755048C4" w14:textId="7EC3F386" w:rsidR="00436DAA" w:rsidRDefault="009B4B8E" w:rsidP="009B0E27">
      <w:pPr>
        <w:pStyle w:val="a3"/>
        <w:widowControl/>
        <w:ind w:left="0"/>
        <w:rPr>
          <w:rFonts w:eastAsia="맑은 고딕"/>
          <w:lang w:eastAsia="ko-KR"/>
        </w:rPr>
      </w:pPr>
      <w:r w:rsidRPr="00330234">
        <w:t>SN</w:t>
      </w:r>
    </w:p>
    <w:p w14:paraId="5A0A2130" w14:textId="77777777" w:rsidR="00F76AA1" w:rsidRPr="00330234" w:rsidRDefault="00F76AA1" w:rsidP="00F76AA1">
      <w:pPr>
        <w:pStyle w:val="a3"/>
        <w:widowControl/>
        <w:ind w:left="0"/>
      </w:pPr>
      <w:r w:rsidRPr="00F76AA1">
        <w:rPr>
          <w:highlight w:val="lightGray"/>
        </w:rPr>
        <w:t>NN</w:t>
      </w:r>
    </w:p>
    <w:p w14:paraId="5A7579AE" w14:textId="77777777" w:rsidR="00F76AA1" w:rsidRPr="00143A85" w:rsidRDefault="00F76AA1" w:rsidP="009B0E27">
      <w:pPr>
        <w:pStyle w:val="a3"/>
        <w:widowControl/>
        <w:ind w:left="0"/>
        <w:rPr>
          <w:rFonts w:eastAsia="맑은 고딕"/>
          <w:lang w:eastAsia="ko-KR"/>
        </w:rPr>
      </w:pPr>
    </w:p>
    <w:p w14:paraId="703228C5" w14:textId="3E625FB4" w:rsidR="00FC73F9" w:rsidRPr="00330234" w:rsidRDefault="004F5587" w:rsidP="001B3E1E">
      <w:pPr>
        <w:widowControl/>
        <w:pBdr>
          <w:top w:val="single" w:sz="4" w:space="1" w:color="auto"/>
          <w:left w:val="single" w:sz="4" w:space="4" w:color="auto"/>
          <w:bottom w:val="single" w:sz="4" w:space="1" w:color="auto"/>
          <w:right w:val="single" w:sz="4" w:space="4" w:color="auto"/>
        </w:pBdr>
        <w:rPr>
          <w:b/>
        </w:rPr>
      </w:pPr>
      <w:r w:rsidRPr="00330234">
        <w:br w:type="page"/>
      </w:r>
      <w:r w:rsidR="00FC73F9" w:rsidRPr="00330234">
        <w:rPr>
          <w:b/>
        </w:rPr>
        <w:lastRenderedPageBreak/>
        <w:t>GEGEVENS</w:t>
      </w:r>
      <w:r w:rsidR="00FC73F9" w:rsidRPr="00330234">
        <w:rPr>
          <w:b/>
          <w:spacing w:val="-4"/>
        </w:rPr>
        <w:t xml:space="preserve"> </w:t>
      </w:r>
      <w:r w:rsidR="00FC73F9" w:rsidRPr="00330234">
        <w:rPr>
          <w:b/>
        </w:rPr>
        <w:t>DIE</w:t>
      </w:r>
      <w:r w:rsidR="00FC73F9" w:rsidRPr="00330234">
        <w:rPr>
          <w:b/>
          <w:spacing w:val="-6"/>
        </w:rPr>
        <w:t xml:space="preserve"> </w:t>
      </w:r>
      <w:r w:rsidR="00FC73F9" w:rsidRPr="00330234">
        <w:rPr>
          <w:b/>
        </w:rPr>
        <w:t>OP</w:t>
      </w:r>
      <w:r w:rsidR="00FC73F9" w:rsidRPr="00330234">
        <w:rPr>
          <w:b/>
          <w:spacing w:val="-4"/>
        </w:rPr>
        <w:t xml:space="preserve"> </w:t>
      </w:r>
      <w:r w:rsidR="00FC73F9" w:rsidRPr="00330234">
        <w:rPr>
          <w:b/>
        </w:rPr>
        <w:t>DE</w:t>
      </w:r>
      <w:r w:rsidR="00FC73F9" w:rsidRPr="00330234">
        <w:rPr>
          <w:b/>
          <w:spacing w:val="-9"/>
        </w:rPr>
        <w:t xml:space="preserve"> </w:t>
      </w:r>
      <w:r w:rsidR="00FC73F9" w:rsidRPr="00330234">
        <w:rPr>
          <w:b/>
        </w:rPr>
        <w:t>BUITENVERPAKKING</w:t>
      </w:r>
      <w:r w:rsidR="00FC73F9" w:rsidRPr="00330234">
        <w:rPr>
          <w:b/>
          <w:spacing w:val="-9"/>
        </w:rPr>
        <w:t xml:space="preserve"> </w:t>
      </w:r>
      <w:r w:rsidR="00FC73F9" w:rsidRPr="00330234">
        <w:rPr>
          <w:b/>
        </w:rPr>
        <w:t>MOETEN</w:t>
      </w:r>
      <w:r w:rsidR="00FC73F9" w:rsidRPr="00330234">
        <w:rPr>
          <w:b/>
          <w:spacing w:val="-5"/>
        </w:rPr>
        <w:t xml:space="preserve"> </w:t>
      </w:r>
      <w:r w:rsidR="00FC73F9" w:rsidRPr="00330234">
        <w:rPr>
          <w:b/>
        </w:rPr>
        <w:t>WORDEN</w:t>
      </w:r>
      <w:r w:rsidR="00FC73F9" w:rsidRPr="00330234">
        <w:rPr>
          <w:b/>
          <w:spacing w:val="-6"/>
        </w:rPr>
        <w:t xml:space="preserve"> </w:t>
      </w:r>
      <w:r w:rsidR="00FC73F9" w:rsidRPr="00330234">
        <w:rPr>
          <w:b/>
          <w:spacing w:val="-2"/>
        </w:rPr>
        <w:t>VERMELD</w:t>
      </w:r>
    </w:p>
    <w:p w14:paraId="4F52F0D9" w14:textId="77777777" w:rsidR="00FC73F9" w:rsidRPr="00330234" w:rsidRDefault="00FC73F9" w:rsidP="003003EB">
      <w:pPr>
        <w:pStyle w:val="a3"/>
        <w:pBdr>
          <w:top w:val="single" w:sz="4" w:space="1" w:color="auto"/>
          <w:left w:val="single" w:sz="4" w:space="4" w:color="auto"/>
          <w:bottom w:val="single" w:sz="4" w:space="1" w:color="auto"/>
          <w:right w:val="single" w:sz="4" w:space="4" w:color="auto"/>
        </w:pBdr>
        <w:ind w:left="0"/>
        <w:rPr>
          <w:b/>
        </w:rPr>
      </w:pPr>
    </w:p>
    <w:p w14:paraId="3BEE9929" w14:textId="77777777" w:rsidR="00FC73F9" w:rsidRPr="00330234" w:rsidRDefault="00FC73F9" w:rsidP="003003EB">
      <w:pPr>
        <w:pBdr>
          <w:top w:val="single" w:sz="4" w:space="1" w:color="auto"/>
          <w:left w:val="single" w:sz="4" w:space="4" w:color="auto"/>
          <w:bottom w:val="single" w:sz="4" w:space="1" w:color="auto"/>
          <w:right w:val="single" w:sz="4" w:space="4" w:color="auto"/>
        </w:pBdr>
        <w:rPr>
          <w:b/>
        </w:rPr>
      </w:pPr>
      <w:r w:rsidRPr="00330234">
        <w:rPr>
          <w:b/>
        </w:rPr>
        <w:t>VERPAKKING</w:t>
      </w:r>
      <w:r w:rsidRPr="00330234">
        <w:rPr>
          <w:b/>
          <w:spacing w:val="-8"/>
        </w:rPr>
        <w:t xml:space="preserve"> </w:t>
      </w:r>
      <w:r w:rsidRPr="00330234">
        <w:rPr>
          <w:b/>
        </w:rPr>
        <w:t>VOOR</w:t>
      </w:r>
      <w:r w:rsidRPr="00330234">
        <w:rPr>
          <w:b/>
          <w:spacing w:val="-4"/>
        </w:rPr>
        <w:t xml:space="preserve"> </w:t>
      </w:r>
      <w:r w:rsidRPr="00330234">
        <w:rPr>
          <w:b/>
        </w:rPr>
        <w:t>DE</w:t>
      </w:r>
      <w:r w:rsidRPr="00330234">
        <w:rPr>
          <w:b/>
          <w:spacing w:val="-5"/>
        </w:rPr>
        <w:t xml:space="preserve"> </w:t>
      </w:r>
      <w:r w:rsidRPr="00330234">
        <w:rPr>
          <w:b/>
        </w:rPr>
        <w:t>VOORGEVULDE</w:t>
      </w:r>
      <w:r w:rsidRPr="00330234">
        <w:rPr>
          <w:b/>
          <w:spacing w:val="-4"/>
        </w:rPr>
        <w:t xml:space="preserve"> </w:t>
      </w:r>
      <w:r w:rsidRPr="00330234">
        <w:rPr>
          <w:b/>
        </w:rPr>
        <w:t>PEN</w:t>
      </w:r>
      <w:r w:rsidRPr="00330234">
        <w:rPr>
          <w:b/>
          <w:spacing w:val="-5"/>
        </w:rPr>
        <w:t xml:space="preserve"> </w:t>
      </w:r>
      <w:r w:rsidRPr="00330234">
        <w:rPr>
          <w:b/>
        </w:rPr>
        <w:t>(MET</w:t>
      </w:r>
      <w:r w:rsidRPr="00330234">
        <w:rPr>
          <w:b/>
          <w:spacing w:val="-7"/>
        </w:rPr>
        <w:t xml:space="preserve"> </w:t>
      </w:r>
      <w:r w:rsidRPr="00330234">
        <w:rPr>
          <w:b/>
        </w:rPr>
        <w:t>BLUE</w:t>
      </w:r>
      <w:r w:rsidRPr="00330234">
        <w:rPr>
          <w:b/>
          <w:spacing w:val="-4"/>
        </w:rPr>
        <w:t xml:space="preserve"> </w:t>
      </w:r>
      <w:r w:rsidRPr="00330234">
        <w:rPr>
          <w:b/>
        </w:rPr>
        <w:t>BOX)</w:t>
      </w:r>
      <w:r w:rsidRPr="00330234">
        <w:rPr>
          <w:b/>
          <w:spacing w:val="-5"/>
        </w:rPr>
        <w:t xml:space="preserve"> </w:t>
      </w:r>
      <w:r w:rsidRPr="00330234">
        <w:rPr>
          <w:b/>
        </w:rPr>
        <w:t>-</w:t>
      </w:r>
      <w:r w:rsidRPr="00330234">
        <w:rPr>
          <w:b/>
          <w:spacing w:val="-2"/>
        </w:rPr>
        <w:t xml:space="preserve"> Multiverpakking</w:t>
      </w:r>
    </w:p>
    <w:p w14:paraId="59E2F3F2" w14:textId="02862B27" w:rsidR="00436DAA" w:rsidRPr="00330234" w:rsidRDefault="00436DAA" w:rsidP="009B0E27">
      <w:pPr>
        <w:pStyle w:val="a3"/>
        <w:widowControl/>
        <w:ind w:left="0"/>
      </w:pPr>
    </w:p>
    <w:p w14:paraId="307C2D7E" w14:textId="77777777" w:rsidR="00467A20" w:rsidRPr="00330234" w:rsidRDefault="00467A20" w:rsidP="009B0E27">
      <w:pPr>
        <w:pStyle w:val="a3"/>
        <w:widowControl/>
        <w:ind w:left="0"/>
      </w:pPr>
    </w:p>
    <w:p w14:paraId="56CC4159" w14:textId="77777777"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w:t>
      </w:r>
      <w:r w:rsidRPr="00330234">
        <w:rPr>
          <w:b/>
        </w:rPr>
        <w:tab/>
        <w:t>NAAM</w:t>
      </w:r>
      <w:r w:rsidRPr="00330234">
        <w:rPr>
          <w:b/>
          <w:spacing w:val="-4"/>
        </w:rPr>
        <w:t xml:space="preserve"> </w:t>
      </w:r>
      <w:r w:rsidRPr="00330234">
        <w:rPr>
          <w:b/>
        </w:rPr>
        <w:t>VAN</w:t>
      </w:r>
      <w:r w:rsidRPr="00330234">
        <w:rPr>
          <w:b/>
          <w:spacing w:val="-4"/>
        </w:rPr>
        <w:t xml:space="preserve"> </w:t>
      </w:r>
      <w:r w:rsidRPr="00330234">
        <w:rPr>
          <w:b/>
        </w:rPr>
        <w:t>HET</w:t>
      </w:r>
      <w:r w:rsidRPr="00330234">
        <w:rPr>
          <w:b/>
          <w:spacing w:val="-4"/>
        </w:rPr>
        <w:t xml:space="preserve"> </w:t>
      </w:r>
      <w:r w:rsidRPr="00330234">
        <w:rPr>
          <w:b/>
          <w:spacing w:val="-2"/>
        </w:rPr>
        <w:t>GENEESMIDDEL</w:t>
      </w:r>
    </w:p>
    <w:p w14:paraId="72B583D8" w14:textId="03F9F8F2" w:rsidR="00436DAA" w:rsidRPr="00330234" w:rsidRDefault="00436DAA" w:rsidP="009B0E27">
      <w:pPr>
        <w:pStyle w:val="a3"/>
        <w:widowControl/>
        <w:ind w:left="0"/>
      </w:pPr>
    </w:p>
    <w:p w14:paraId="27397682" w14:textId="5EFE5853" w:rsidR="00467A20" w:rsidRPr="00330234" w:rsidRDefault="007A197C" w:rsidP="009B0E27">
      <w:pPr>
        <w:pStyle w:val="a3"/>
        <w:widowControl/>
        <w:ind w:left="0"/>
      </w:pPr>
      <w:r w:rsidRPr="00330234">
        <w:t>Avtozma</w:t>
      </w:r>
      <w:r w:rsidR="009B4B8E" w:rsidRPr="00330234">
        <w:t xml:space="preserve"> 162 mg oplossing voor injectie in voorgevulde pen</w:t>
      </w:r>
    </w:p>
    <w:p w14:paraId="388FFC1E" w14:textId="62841372" w:rsidR="00436DAA" w:rsidRPr="00330234" w:rsidRDefault="009B4B8E" w:rsidP="009B0E27">
      <w:pPr>
        <w:pStyle w:val="a3"/>
        <w:widowControl/>
        <w:ind w:left="0"/>
      </w:pPr>
      <w:r w:rsidRPr="00330234">
        <w:t>tocilizumab</w:t>
      </w:r>
    </w:p>
    <w:p w14:paraId="5121467E" w14:textId="77777777" w:rsidR="00FC73F9" w:rsidRPr="00330234" w:rsidRDefault="00FC73F9" w:rsidP="009B0E27">
      <w:pPr>
        <w:pStyle w:val="a3"/>
        <w:widowControl/>
        <w:ind w:left="0"/>
      </w:pPr>
    </w:p>
    <w:p w14:paraId="7D22BCD5" w14:textId="77777777" w:rsidR="00467A20" w:rsidRPr="00330234" w:rsidRDefault="00467A20" w:rsidP="009B0E27">
      <w:pPr>
        <w:pStyle w:val="a3"/>
        <w:widowControl/>
        <w:ind w:left="0"/>
      </w:pPr>
    </w:p>
    <w:p w14:paraId="049A1E14" w14:textId="77777777"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2.</w:t>
      </w:r>
      <w:r w:rsidRPr="00330234">
        <w:rPr>
          <w:b/>
        </w:rPr>
        <w:tab/>
        <w:t>GEHALTE</w:t>
      </w:r>
      <w:r w:rsidRPr="00330234">
        <w:rPr>
          <w:b/>
          <w:spacing w:val="-7"/>
        </w:rPr>
        <w:t xml:space="preserve"> </w:t>
      </w:r>
      <w:r w:rsidRPr="00330234">
        <w:rPr>
          <w:b/>
        </w:rPr>
        <w:t>AAN</w:t>
      </w:r>
      <w:r w:rsidRPr="00330234">
        <w:rPr>
          <w:b/>
          <w:spacing w:val="-7"/>
        </w:rPr>
        <w:t xml:space="preserve"> </w:t>
      </w:r>
      <w:r w:rsidRPr="00330234">
        <w:rPr>
          <w:b/>
        </w:rPr>
        <w:t>WERKZAME</w:t>
      </w:r>
      <w:r w:rsidRPr="00330234">
        <w:rPr>
          <w:b/>
          <w:spacing w:val="-7"/>
        </w:rPr>
        <w:t xml:space="preserve"> </w:t>
      </w:r>
      <w:r w:rsidRPr="00330234">
        <w:rPr>
          <w:b/>
          <w:spacing w:val="-2"/>
        </w:rPr>
        <w:t>STOF(FEN)</w:t>
      </w:r>
    </w:p>
    <w:p w14:paraId="06C7CE1D" w14:textId="54596163" w:rsidR="00436DAA" w:rsidRPr="00330234" w:rsidRDefault="00436DAA" w:rsidP="009B0E27">
      <w:pPr>
        <w:pStyle w:val="a3"/>
        <w:widowControl/>
        <w:ind w:left="0"/>
      </w:pPr>
    </w:p>
    <w:p w14:paraId="3A3ADF64" w14:textId="77777777" w:rsidR="00436DAA" w:rsidRPr="00330234" w:rsidRDefault="009B4B8E" w:rsidP="009B0E27">
      <w:pPr>
        <w:pStyle w:val="a3"/>
        <w:widowControl/>
        <w:ind w:left="0"/>
      </w:pPr>
      <w:r w:rsidRPr="00330234">
        <w:t>1 voorgevulde pen bevat 162 mg tocilizumab.</w:t>
      </w:r>
    </w:p>
    <w:p w14:paraId="7F98C349" w14:textId="77777777" w:rsidR="00436DAA" w:rsidRPr="00330234" w:rsidRDefault="00436DAA" w:rsidP="009B0E27">
      <w:pPr>
        <w:pStyle w:val="a3"/>
        <w:widowControl/>
        <w:ind w:left="0"/>
      </w:pPr>
    </w:p>
    <w:p w14:paraId="7DDE4D70" w14:textId="77777777" w:rsidR="00467A20" w:rsidRPr="00330234" w:rsidRDefault="00467A20" w:rsidP="009B0E27">
      <w:pPr>
        <w:pStyle w:val="a3"/>
        <w:widowControl/>
        <w:ind w:left="0"/>
      </w:pPr>
    </w:p>
    <w:p w14:paraId="0A317472" w14:textId="77777777"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3.</w:t>
      </w:r>
      <w:r w:rsidRPr="00330234">
        <w:rPr>
          <w:b/>
        </w:rPr>
        <w:tab/>
        <w:t>LIJST</w:t>
      </w:r>
      <w:r w:rsidRPr="00330234">
        <w:rPr>
          <w:b/>
          <w:spacing w:val="-4"/>
        </w:rPr>
        <w:t xml:space="preserve"> </w:t>
      </w:r>
      <w:r w:rsidRPr="00330234">
        <w:rPr>
          <w:b/>
        </w:rPr>
        <w:t>VAN</w:t>
      </w:r>
      <w:r w:rsidRPr="00330234">
        <w:rPr>
          <w:b/>
          <w:spacing w:val="-4"/>
        </w:rPr>
        <w:t xml:space="preserve"> </w:t>
      </w:r>
      <w:r w:rsidRPr="00330234">
        <w:rPr>
          <w:b/>
          <w:spacing w:val="-2"/>
        </w:rPr>
        <w:t>HULPSTOFFEN</w:t>
      </w:r>
    </w:p>
    <w:p w14:paraId="2288BE0F" w14:textId="26B3A1F8" w:rsidR="00436DAA" w:rsidRPr="00330234" w:rsidRDefault="00436DAA" w:rsidP="009B0E27">
      <w:pPr>
        <w:pStyle w:val="a3"/>
        <w:widowControl/>
        <w:ind w:left="0"/>
      </w:pPr>
    </w:p>
    <w:p w14:paraId="574CECCD" w14:textId="7A883FB4" w:rsidR="00597F7E" w:rsidRPr="00330234" w:rsidRDefault="00597F7E" w:rsidP="00597F7E">
      <w:pPr>
        <w:pStyle w:val="a3"/>
        <w:widowControl/>
        <w:ind w:left="0"/>
      </w:pPr>
      <w:r w:rsidRPr="00330234">
        <w:t xml:space="preserve">Hulpstoffen: L-histidine, </w:t>
      </w:r>
      <w:r w:rsidR="0065408F" w:rsidRPr="0065408F">
        <w:rPr>
          <w:rFonts w:hint="eastAsia"/>
        </w:rPr>
        <w:t>L-histidine monohydrochloride monohydraat</w:t>
      </w:r>
      <w:r w:rsidR="00545170" w:rsidRPr="00545170">
        <w:t xml:space="preserve">, </w:t>
      </w:r>
      <w:r w:rsidRPr="00330234">
        <w:t>L-threonine, L-methionine, polysorbaat 80 en water voor injecties.</w:t>
      </w:r>
    </w:p>
    <w:p w14:paraId="3D255B6D" w14:textId="77777777" w:rsidR="00597F7E" w:rsidRPr="00330234" w:rsidRDefault="00597F7E" w:rsidP="00597F7E">
      <w:pPr>
        <w:pStyle w:val="a3"/>
        <w:widowControl/>
        <w:ind w:left="0"/>
      </w:pPr>
      <w:r w:rsidRPr="00330234">
        <w:t>Zie bijsluiter voor meer informatie.</w:t>
      </w:r>
    </w:p>
    <w:p w14:paraId="7D3E55F8" w14:textId="77777777" w:rsidR="00436DAA" w:rsidRPr="00330234" w:rsidRDefault="00436DAA" w:rsidP="009B0E27">
      <w:pPr>
        <w:pStyle w:val="a3"/>
        <w:widowControl/>
        <w:ind w:left="0"/>
      </w:pPr>
    </w:p>
    <w:p w14:paraId="4384B710" w14:textId="77777777" w:rsidR="00467A20" w:rsidRPr="00330234" w:rsidRDefault="00467A20" w:rsidP="009B0E27">
      <w:pPr>
        <w:pStyle w:val="a3"/>
        <w:widowControl/>
        <w:ind w:left="0"/>
      </w:pPr>
    </w:p>
    <w:p w14:paraId="10C610CB" w14:textId="77777777"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4.</w:t>
      </w:r>
      <w:r w:rsidRPr="00330234">
        <w:rPr>
          <w:b/>
        </w:rPr>
        <w:tab/>
        <w:t>FARMACEUTISCHE</w:t>
      </w:r>
      <w:r w:rsidRPr="00330234">
        <w:rPr>
          <w:b/>
          <w:spacing w:val="-8"/>
        </w:rPr>
        <w:t xml:space="preserve"> </w:t>
      </w:r>
      <w:r w:rsidRPr="00330234">
        <w:rPr>
          <w:b/>
        </w:rPr>
        <w:t>VORM</w:t>
      </w:r>
      <w:r w:rsidRPr="00330234">
        <w:rPr>
          <w:b/>
          <w:spacing w:val="-6"/>
        </w:rPr>
        <w:t xml:space="preserve"> </w:t>
      </w:r>
      <w:r w:rsidRPr="00330234">
        <w:rPr>
          <w:b/>
        </w:rPr>
        <w:t>EN</w:t>
      </w:r>
      <w:r w:rsidRPr="00330234">
        <w:rPr>
          <w:b/>
          <w:spacing w:val="-7"/>
        </w:rPr>
        <w:t xml:space="preserve"> </w:t>
      </w:r>
      <w:r w:rsidRPr="00330234">
        <w:rPr>
          <w:b/>
          <w:spacing w:val="-2"/>
        </w:rPr>
        <w:t>INHOUD</w:t>
      </w:r>
    </w:p>
    <w:p w14:paraId="5B7513FD" w14:textId="5E456153" w:rsidR="00436DAA" w:rsidRPr="00330234" w:rsidRDefault="00436DAA" w:rsidP="009B0E27">
      <w:pPr>
        <w:pStyle w:val="a3"/>
        <w:widowControl/>
        <w:ind w:left="0"/>
      </w:pPr>
    </w:p>
    <w:p w14:paraId="2A535734" w14:textId="186E6F02" w:rsidR="00467A20" w:rsidRPr="00330234" w:rsidRDefault="009B4B8E" w:rsidP="009B0E27">
      <w:pPr>
        <w:pStyle w:val="a3"/>
        <w:widowControl/>
        <w:ind w:left="0"/>
      </w:pPr>
      <w:r w:rsidRPr="00330234">
        <w:t>Oplossing voor injectie in voorgevulde pen</w:t>
      </w:r>
    </w:p>
    <w:p w14:paraId="358CA55B" w14:textId="3C4125C9" w:rsidR="00436DAA" w:rsidRPr="00330234" w:rsidRDefault="009B4B8E" w:rsidP="009B0E27">
      <w:pPr>
        <w:pStyle w:val="a3"/>
        <w:widowControl/>
        <w:ind w:left="0"/>
      </w:pPr>
      <w:r w:rsidRPr="00330234">
        <w:t>Multiverpakking: 12 (3 verpakkingen van 4) voorgevulde pennen</w:t>
      </w:r>
    </w:p>
    <w:p w14:paraId="6FB062BB" w14:textId="77777777" w:rsidR="00436DAA" w:rsidRPr="00330234" w:rsidRDefault="009B4B8E" w:rsidP="009B0E27">
      <w:pPr>
        <w:pStyle w:val="a3"/>
        <w:widowControl/>
        <w:ind w:left="0"/>
      </w:pPr>
      <w:r w:rsidRPr="00330234">
        <w:t>162 mg/0,9 ml</w:t>
      </w:r>
    </w:p>
    <w:p w14:paraId="5CC8957F" w14:textId="77777777" w:rsidR="00436DAA" w:rsidRPr="00330234" w:rsidRDefault="00436DAA" w:rsidP="009B0E27">
      <w:pPr>
        <w:pStyle w:val="a3"/>
        <w:widowControl/>
        <w:ind w:left="0"/>
      </w:pPr>
    </w:p>
    <w:p w14:paraId="386720B7" w14:textId="77777777" w:rsidR="00467A20" w:rsidRPr="00330234" w:rsidRDefault="00467A20" w:rsidP="009B0E27">
      <w:pPr>
        <w:pStyle w:val="a3"/>
        <w:widowControl/>
        <w:ind w:left="0"/>
      </w:pPr>
    </w:p>
    <w:p w14:paraId="46A64703" w14:textId="77777777"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5.</w:t>
      </w:r>
      <w:r w:rsidRPr="00330234">
        <w:rPr>
          <w:b/>
        </w:rPr>
        <w:tab/>
        <w:t>WIJZE</w:t>
      </w:r>
      <w:r w:rsidRPr="00330234">
        <w:rPr>
          <w:b/>
          <w:spacing w:val="-5"/>
        </w:rPr>
        <w:t xml:space="preserve"> </w:t>
      </w:r>
      <w:r w:rsidRPr="00330234">
        <w:rPr>
          <w:b/>
        </w:rPr>
        <w:t>VAN</w:t>
      </w:r>
      <w:r w:rsidRPr="00330234">
        <w:rPr>
          <w:b/>
          <w:spacing w:val="-5"/>
        </w:rPr>
        <w:t xml:space="preserve"> </w:t>
      </w:r>
      <w:r w:rsidRPr="00330234">
        <w:rPr>
          <w:b/>
        </w:rPr>
        <w:t>GEBRUIK</w:t>
      </w:r>
      <w:r w:rsidRPr="00330234">
        <w:rPr>
          <w:b/>
          <w:spacing w:val="-3"/>
        </w:rPr>
        <w:t xml:space="preserve"> </w:t>
      </w:r>
      <w:r w:rsidRPr="00330234">
        <w:rPr>
          <w:b/>
        </w:rPr>
        <w:t>EN</w:t>
      </w:r>
      <w:r w:rsidRPr="00330234">
        <w:rPr>
          <w:b/>
          <w:spacing w:val="-4"/>
        </w:rPr>
        <w:t xml:space="preserve"> </w:t>
      </w:r>
      <w:r w:rsidRPr="00330234">
        <w:rPr>
          <w:b/>
          <w:spacing w:val="-2"/>
        </w:rPr>
        <w:t>TOEDIENINGSWEG(EN)</w:t>
      </w:r>
    </w:p>
    <w:p w14:paraId="161C02D4" w14:textId="55E21B7D" w:rsidR="00436DAA" w:rsidRPr="00330234" w:rsidRDefault="00436DAA" w:rsidP="009B0E27">
      <w:pPr>
        <w:pStyle w:val="a3"/>
        <w:widowControl/>
        <w:ind w:left="0"/>
      </w:pPr>
    </w:p>
    <w:p w14:paraId="1DFEA162" w14:textId="77777777" w:rsidR="00436DAA" w:rsidRPr="00330234" w:rsidRDefault="009B4B8E" w:rsidP="009B0E27">
      <w:pPr>
        <w:pStyle w:val="a3"/>
        <w:widowControl/>
        <w:ind w:left="0"/>
      </w:pPr>
      <w:r w:rsidRPr="00330234">
        <w:t>Subcutaan gebruik</w:t>
      </w:r>
    </w:p>
    <w:p w14:paraId="4C81FA14" w14:textId="77777777" w:rsidR="00436DAA" w:rsidRPr="00330234" w:rsidRDefault="009B4B8E" w:rsidP="009B0E27">
      <w:pPr>
        <w:pStyle w:val="a3"/>
        <w:widowControl/>
        <w:ind w:left="0"/>
      </w:pPr>
      <w:r w:rsidRPr="00330234">
        <w:t>Lees voor het gebruik de bijsluiter</w:t>
      </w:r>
    </w:p>
    <w:p w14:paraId="3163A410" w14:textId="77777777" w:rsidR="00436DAA" w:rsidRPr="00330234" w:rsidRDefault="00436DAA" w:rsidP="009B0E27">
      <w:pPr>
        <w:pStyle w:val="a3"/>
        <w:widowControl/>
        <w:ind w:left="0"/>
      </w:pPr>
    </w:p>
    <w:p w14:paraId="2B2117D6" w14:textId="77777777" w:rsidR="00467A20" w:rsidRPr="00330234" w:rsidRDefault="00467A20" w:rsidP="009B0E27">
      <w:pPr>
        <w:pStyle w:val="a3"/>
        <w:widowControl/>
        <w:ind w:left="0"/>
      </w:pPr>
    </w:p>
    <w:p w14:paraId="712476A6" w14:textId="4B75B69C"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rPr>
        <w:t>6.</w:t>
      </w:r>
      <w:r w:rsidRPr="00330234">
        <w:rPr>
          <w:b/>
        </w:rPr>
        <w:tab/>
        <w:t>EEN</w:t>
      </w:r>
      <w:r w:rsidRPr="00330234">
        <w:rPr>
          <w:b/>
          <w:spacing w:val="-5"/>
        </w:rPr>
        <w:t xml:space="preserve"> </w:t>
      </w:r>
      <w:r w:rsidRPr="00330234">
        <w:rPr>
          <w:b/>
        </w:rPr>
        <w:t>SPECIALE</w:t>
      </w:r>
      <w:r w:rsidRPr="00330234">
        <w:rPr>
          <w:b/>
          <w:spacing w:val="-5"/>
        </w:rPr>
        <w:t xml:space="preserve"> </w:t>
      </w:r>
      <w:r w:rsidRPr="00330234">
        <w:rPr>
          <w:b/>
        </w:rPr>
        <w:t>WAARSCHUWING</w:t>
      </w:r>
      <w:r w:rsidRPr="00330234">
        <w:rPr>
          <w:b/>
          <w:spacing w:val="-6"/>
        </w:rPr>
        <w:t xml:space="preserve"> </w:t>
      </w:r>
      <w:r w:rsidRPr="00330234">
        <w:rPr>
          <w:b/>
        </w:rPr>
        <w:t>DAT</w:t>
      </w:r>
      <w:r w:rsidRPr="00330234">
        <w:rPr>
          <w:b/>
          <w:spacing w:val="-5"/>
        </w:rPr>
        <w:t xml:space="preserve"> </w:t>
      </w:r>
      <w:r w:rsidRPr="00330234">
        <w:rPr>
          <w:b/>
        </w:rPr>
        <w:t>HET</w:t>
      </w:r>
      <w:r w:rsidRPr="00330234">
        <w:rPr>
          <w:b/>
          <w:spacing w:val="-8"/>
        </w:rPr>
        <w:t xml:space="preserve"> </w:t>
      </w:r>
      <w:r w:rsidRPr="00330234">
        <w:rPr>
          <w:b/>
        </w:rPr>
        <w:t>GENEESMIDDEL</w:t>
      </w:r>
      <w:r w:rsidRPr="00330234">
        <w:rPr>
          <w:b/>
          <w:spacing w:val="-5"/>
        </w:rPr>
        <w:t xml:space="preserve"> </w:t>
      </w:r>
      <w:r w:rsidRPr="00330234">
        <w:rPr>
          <w:b/>
        </w:rPr>
        <w:t>BUITEN</w:t>
      </w:r>
      <w:r w:rsidRPr="00330234">
        <w:rPr>
          <w:b/>
          <w:spacing w:val="-5"/>
        </w:rPr>
        <w:t xml:space="preserve"> </w:t>
      </w:r>
      <w:r w:rsidRPr="00330234">
        <w:rPr>
          <w:b/>
        </w:rPr>
        <w:t>HET ZICHT EN BEREIK VAN KINDEREN DIENT TE WORDEN GEHOUDEN</w:t>
      </w:r>
    </w:p>
    <w:p w14:paraId="5699C8A3" w14:textId="07F3A813" w:rsidR="00436DAA" w:rsidRPr="00330234" w:rsidRDefault="00436DAA" w:rsidP="009B0E27">
      <w:pPr>
        <w:pStyle w:val="a3"/>
        <w:widowControl/>
        <w:ind w:left="0"/>
      </w:pPr>
    </w:p>
    <w:p w14:paraId="64B2F259" w14:textId="77777777" w:rsidR="00436DAA" w:rsidRPr="00330234" w:rsidRDefault="009B4B8E" w:rsidP="009B0E27">
      <w:pPr>
        <w:pStyle w:val="a3"/>
        <w:widowControl/>
        <w:ind w:left="0"/>
      </w:pPr>
      <w:r w:rsidRPr="00330234">
        <w:t>Buiten het zicht en bereik van kinderen houden</w:t>
      </w:r>
    </w:p>
    <w:p w14:paraId="40083811" w14:textId="77777777" w:rsidR="00436DAA" w:rsidRPr="00330234" w:rsidRDefault="00436DAA" w:rsidP="009B0E27">
      <w:pPr>
        <w:pStyle w:val="a3"/>
        <w:widowControl/>
        <w:ind w:left="0"/>
      </w:pPr>
    </w:p>
    <w:p w14:paraId="1513C46E" w14:textId="77777777" w:rsidR="00467A20" w:rsidRPr="00330234" w:rsidRDefault="00467A20" w:rsidP="009B0E27">
      <w:pPr>
        <w:pStyle w:val="a3"/>
        <w:widowControl/>
        <w:ind w:left="0"/>
      </w:pPr>
    </w:p>
    <w:p w14:paraId="5ED813DE" w14:textId="77777777"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7.</w:t>
      </w:r>
      <w:r w:rsidRPr="00330234">
        <w:rPr>
          <w:b/>
        </w:rPr>
        <w:tab/>
        <w:t>ANDERE</w:t>
      </w:r>
      <w:r w:rsidRPr="00330234">
        <w:rPr>
          <w:b/>
          <w:spacing w:val="-13"/>
        </w:rPr>
        <w:t xml:space="preserve"> </w:t>
      </w:r>
      <w:r w:rsidRPr="00330234">
        <w:rPr>
          <w:b/>
        </w:rPr>
        <w:t>SPECIALE</w:t>
      </w:r>
      <w:r w:rsidRPr="00330234">
        <w:rPr>
          <w:b/>
          <w:spacing w:val="-11"/>
        </w:rPr>
        <w:t xml:space="preserve"> </w:t>
      </w:r>
      <w:r w:rsidRPr="00330234">
        <w:rPr>
          <w:b/>
        </w:rPr>
        <w:t>WAARSCHUWING(EN),</w:t>
      </w:r>
      <w:r w:rsidRPr="00330234">
        <w:rPr>
          <w:b/>
          <w:spacing w:val="-10"/>
        </w:rPr>
        <w:t xml:space="preserve"> </w:t>
      </w:r>
      <w:r w:rsidRPr="00330234">
        <w:rPr>
          <w:b/>
        </w:rPr>
        <w:t>INDIEN</w:t>
      </w:r>
      <w:r w:rsidRPr="00330234">
        <w:rPr>
          <w:b/>
          <w:spacing w:val="-10"/>
        </w:rPr>
        <w:t xml:space="preserve"> </w:t>
      </w:r>
      <w:r w:rsidRPr="00330234">
        <w:rPr>
          <w:b/>
          <w:spacing w:val="-2"/>
        </w:rPr>
        <w:t>NODIG</w:t>
      </w:r>
    </w:p>
    <w:p w14:paraId="165BC80F" w14:textId="0A220337" w:rsidR="00436DAA" w:rsidRPr="00330234" w:rsidRDefault="00436DAA" w:rsidP="009B0E27">
      <w:pPr>
        <w:pStyle w:val="a3"/>
        <w:widowControl/>
        <w:ind w:left="0"/>
      </w:pPr>
    </w:p>
    <w:p w14:paraId="5A169FCB" w14:textId="77777777" w:rsidR="00436DAA" w:rsidRPr="00330234" w:rsidRDefault="009B4B8E" w:rsidP="009B0E27">
      <w:pPr>
        <w:pStyle w:val="a3"/>
        <w:widowControl/>
        <w:ind w:left="0"/>
      </w:pPr>
      <w:r w:rsidRPr="00330234">
        <w:t>De voorgevulde pen buiten de verpakking op kamertemperatuur laten komen gedurende 45 minuten voor gebruik</w:t>
      </w:r>
    </w:p>
    <w:p w14:paraId="30FD1F5D" w14:textId="77777777" w:rsidR="00436DAA" w:rsidRPr="00330234" w:rsidRDefault="00436DAA" w:rsidP="009B0E27">
      <w:pPr>
        <w:pStyle w:val="a3"/>
        <w:widowControl/>
        <w:ind w:left="0"/>
      </w:pPr>
    </w:p>
    <w:p w14:paraId="2C183846" w14:textId="77777777" w:rsidR="00467A20" w:rsidRPr="00330234" w:rsidRDefault="00467A20" w:rsidP="009B0E27">
      <w:pPr>
        <w:pStyle w:val="a3"/>
        <w:widowControl/>
        <w:ind w:left="0"/>
      </w:pPr>
    </w:p>
    <w:p w14:paraId="68595120" w14:textId="77777777"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8.</w:t>
      </w:r>
      <w:r w:rsidRPr="00330234">
        <w:rPr>
          <w:b/>
        </w:rPr>
        <w:tab/>
        <w:t>UITERSTE</w:t>
      </w:r>
      <w:r w:rsidRPr="00330234">
        <w:rPr>
          <w:b/>
          <w:spacing w:val="-9"/>
        </w:rPr>
        <w:t xml:space="preserve"> </w:t>
      </w:r>
      <w:r w:rsidRPr="00330234">
        <w:rPr>
          <w:b/>
          <w:spacing w:val="-2"/>
        </w:rPr>
        <w:t>GEBRUIKSDATUM</w:t>
      </w:r>
    </w:p>
    <w:p w14:paraId="79A90CD9" w14:textId="76C54CD8" w:rsidR="00436DAA" w:rsidRPr="00330234" w:rsidRDefault="00436DAA" w:rsidP="009B0E27">
      <w:pPr>
        <w:pStyle w:val="a3"/>
        <w:widowControl/>
        <w:ind w:left="0"/>
      </w:pPr>
    </w:p>
    <w:p w14:paraId="655EC768" w14:textId="77777777" w:rsidR="00436DAA" w:rsidRPr="00330234" w:rsidRDefault="009B4B8E" w:rsidP="009B0E27">
      <w:pPr>
        <w:pStyle w:val="a3"/>
        <w:widowControl/>
        <w:ind w:left="0"/>
      </w:pPr>
      <w:r w:rsidRPr="00330234">
        <w:t>EXP</w:t>
      </w:r>
    </w:p>
    <w:p w14:paraId="628DA75F" w14:textId="77777777" w:rsidR="00436DAA" w:rsidRPr="00330234" w:rsidRDefault="00436DAA" w:rsidP="009B0E27">
      <w:pPr>
        <w:widowControl/>
      </w:pPr>
    </w:p>
    <w:p w14:paraId="2CF27420" w14:textId="77777777" w:rsidR="00467A20" w:rsidRPr="00330234" w:rsidRDefault="00467A20" w:rsidP="009B0E27">
      <w:pPr>
        <w:widowControl/>
      </w:pPr>
    </w:p>
    <w:p w14:paraId="0E9B12F9" w14:textId="77777777" w:rsidR="00FC73F9" w:rsidRPr="00330234" w:rsidRDefault="00FC73F9" w:rsidP="00467A20">
      <w:pPr>
        <w:keepNext/>
        <w:keepLines/>
        <w:pBdr>
          <w:top w:val="single" w:sz="4" w:space="1" w:color="auto"/>
          <w:left w:val="single" w:sz="4" w:space="4" w:color="auto"/>
          <w:bottom w:val="single" w:sz="4" w:space="1" w:color="auto"/>
          <w:right w:val="single" w:sz="4" w:space="4" w:color="auto"/>
        </w:pBdr>
        <w:tabs>
          <w:tab w:val="left" w:pos="674"/>
        </w:tabs>
        <w:ind w:left="567" w:hanging="567"/>
        <w:rPr>
          <w:b/>
        </w:rPr>
      </w:pPr>
      <w:r w:rsidRPr="00330234">
        <w:rPr>
          <w:b/>
          <w:spacing w:val="-5"/>
        </w:rPr>
        <w:lastRenderedPageBreak/>
        <w:t>9.</w:t>
      </w:r>
      <w:r w:rsidRPr="00330234">
        <w:rPr>
          <w:b/>
        </w:rPr>
        <w:tab/>
        <w:t>BIJZONDERE</w:t>
      </w:r>
      <w:r w:rsidRPr="00330234">
        <w:rPr>
          <w:b/>
          <w:spacing w:val="-12"/>
        </w:rPr>
        <w:t xml:space="preserve"> </w:t>
      </w:r>
      <w:r w:rsidRPr="00330234">
        <w:rPr>
          <w:b/>
        </w:rPr>
        <w:t>VOORZORGSMAATREGELEN</w:t>
      </w:r>
      <w:r w:rsidRPr="00330234">
        <w:rPr>
          <w:b/>
          <w:spacing w:val="-8"/>
        </w:rPr>
        <w:t xml:space="preserve"> </w:t>
      </w:r>
      <w:r w:rsidRPr="00330234">
        <w:rPr>
          <w:b/>
        </w:rPr>
        <w:t>VOOR</w:t>
      </w:r>
      <w:r w:rsidRPr="00330234">
        <w:rPr>
          <w:b/>
          <w:spacing w:val="-9"/>
        </w:rPr>
        <w:t xml:space="preserve"> </w:t>
      </w:r>
      <w:r w:rsidRPr="00330234">
        <w:rPr>
          <w:b/>
        </w:rPr>
        <w:t>DE</w:t>
      </w:r>
      <w:r w:rsidRPr="00330234">
        <w:rPr>
          <w:b/>
          <w:spacing w:val="-12"/>
        </w:rPr>
        <w:t xml:space="preserve"> </w:t>
      </w:r>
      <w:r w:rsidRPr="00330234">
        <w:rPr>
          <w:b/>
          <w:spacing w:val="-2"/>
        </w:rPr>
        <w:t>BEWARING</w:t>
      </w:r>
    </w:p>
    <w:p w14:paraId="0BF8A463" w14:textId="77777777" w:rsidR="00FC73F9" w:rsidRPr="00330234" w:rsidRDefault="00FC73F9" w:rsidP="00467A20">
      <w:pPr>
        <w:keepNext/>
        <w:keepLines/>
        <w:widowControl/>
      </w:pPr>
    </w:p>
    <w:p w14:paraId="0B853AA1" w14:textId="5FA56855" w:rsidR="003003EB" w:rsidRPr="00330234" w:rsidRDefault="009B4B8E" w:rsidP="00467A20">
      <w:pPr>
        <w:pStyle w:val="a3"/>
        <w:keepNext/>
        <w:keepLines/>
        <w:widowControl/>
        <w:ind w:left="0"/>
      </w:pPr>
      <w:r w:rsidRPr="00330234">
        <w:t>Bewaren in de koelkast</w:t>
      </w:r>
    </w:p>
    <w:p w14:paraId="5D94ED52" w14:textId="5F639CDA" w:rsidR="00436DAA" w:rsidRPr="00330234" w:rsidRDefault="009B4B8E" w:rsidP="00467A20">
      <w:pPr>
        <w:pStyle w:val="a3"/>
        <w:keepNext/>
        <w:keepLines/>
        <w:widowControl/>
        <w:ind w:left="0"/>
      </w:pPr>
      <w:r w:rsidRPr="00330234">
        <w:t>Niet in de vriezer bewaren</w:t>
      </w:r>
    </w:p>
    <w:p w14:paraId="35614BB1" w14:textId="67A05F17" w:rsidR="00436DAA" w:rsidRPr="00330234" w:rsidRDefault="009B4B8E" w:rsidP="00467A20">
      <w:pPr>
        <w:pStyle w:val="a3"/>
        <w:keepNext/>
        <w:keepLines/>
        <w:widowControl/>
        <w:ind w:left="0"/>
      </w:pPr>
      <w:r w:rsidRPr="00330234">
        <w:t xml:space="preserve">Eenmaal uit de koelkast gehaald, kan de voorgevulde pen tot </w:t>
      </w:r>
      <w:r w:rsidR="00597F7E" w:rsidRPr="00330234">
        <w:t>3 </w:t>
      </w:r>
      <w:r w:rsidRPr="00330234">
        <w:t>weken beneden 30°C worden bewaard</w:t>
      </w:r>
      <w:r w:rsidR="00FE2953" w:rsidRPr="00330234">
        <w:t>.</w:t>
      </w:r>
      <w:r w:rsidRPr="00330234">
        <w:t xml:space="preserve"> De voorgevulde pen in de buitenverpakking bewaren ter bescherming tegen licht en vocht</w:t>
      </w:r>
    </w:p>
    <w:p w14:paraId="70A1842A" w14:textId="77777777" w:rsidR="00436DAA" w:rsidRPr="00330234" w:rsidRDefault="00436DAA" w:rsidP="009B0E27">
      <w:pPr>
        <w:pStyle w:val="a3"/>
        <w:widowControl/>
        <w:ind w:left="0"/>
      </w:pPr>
    </w:p>
    <w:p w14:paraId="6403F78A" w14:textId="77777777" w:rsidR="00467A20" w:rsidRPr="00330234" w:rsidRDefault="00467A20" w:rsidP="009B0E27">
      <w:pPr>
        <w:pStyle w:val="a3"/>
        <w:widowControl/>
        <w:ind w:left="0"/>
      </w:pPr>
    </w:p>
    <w:p w14:paraId="4594046C" w14:textId="77777777"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10.</w:t>
      </w:r>
      <w:r w:rsidRPr="00330234">
        <w:rPr>
          <w:b/>
        </w:rPr>
        <w:tab/>
        <w:t>BIJZONDERE</w:t>
      </w:r>
      <w:r w:rsidRPr="00330234">
        <w:rPr>
          <w:b/>
          <w:spacing w:val="-8"/>
        </w:rPr>
        <w:t xml:space="preserve"> </w:t>
      </w:r>
      <w:r w:rsidRPr="00330234">
        <w:rPr>
          <w:b/>
        </w:rPr>
        <w:t>VOORZORGSMAATREGELEN</w:t>
      </w:r>
      <w:r w:rsidRPr="00330234">
        <w:rPr>
          <w:b/>
          <w:spacing w:val="-7"/>
        </w:rPr>
        <w:t xml:space="preserve"> </w:t>
      </w:r>
      <w:r w:rsidRPr="00330234">
        <w:rPr>
          <w:b/>
        </w:rPr>
        <w:t>VOOR</w:t>
      </w:r>
      <w:r w:rsidRPr="00330234">
        <w:rPr>
          <w:b/>
          <w:spacing w:val="-11"/>
        </w:rPr>
        <w:t xml:space="preserve"> </w:t>
      </w:r>
      <w:r w:rsidRPr="00330234">
        <w:rPr>
          <w:b/>
        </w:rPr>
        <w:t>HET</w:t>
      </w:r>
      <w:r w:rsidRPr="00330234">
        <w:rPr>
          <w:b/>
          <w:spacing w:val="-8"/>
        </w:rPr>
        <w:t xml:space="preserve"> </w:t>
      </w:r>
      <w:r w:rsidRPr="00330234">
        <w:rPr>
          <w:b/>
        </w:rPr>
        <w:t>VERWIJDEREN</w:t>
      </w:r>
      <w:r w:rsidRPr="00330234">
        <w:rPr>
          <w:b/>
          <w:spacing w:val="-8"/>
        </w:rPr>
        <w:t xml:space="preserve"> </w:t>
      </w:r>
      <w:r w:rsidRPr="00330234">
        <w:rPr>
          <w:b/>
        </w:rPr>
        <w:t>VAN NIET-GEBRUIKTE GENEESMIDDELEN OF DAARVAN AFGELEIDE AFVALSTOFFEN (INDIEN VAN TOEPASSING)</w:t>
      </w:r>
    </w:p>
    <w:p w14:paraId="7F58284E" w14:textId="1AE3D688" w:rsidR="00436DAA" w:rsidRPr="00330234" w:rsidRDefault="00436DAA" w:rsidP="009B0E27">
      <w:pPr>
        <w:pStyle w:val="a3"/>
        <w:widowControl/>
        <w:ind w:left="0"/>
      </w:pPr>
    </w:p>
    <w:p w14:paraId="740F2BA6" w14:textId="77777777" w:rsidR="00436DAA" w:rsidRPr="00330234" w:rsidRDefault="00436DAA" w:rsidP="009B0E27">
      <w:pPr>
        <w:pStyle w:val="a3"/>
        <w:widowControl/>
        <w:ind w:left="0"/>
      </w:pPr>
    </w:p>
    <w:p w14:paraId="50F395B8" w14:textId="77777777"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11.</w:t>
      </w:r>
      <w:r w:rsidRPr="00330234">
        <w:rPr>
          <w:b/>
        </w:rPr>
        <w:tab/>
        <w:t>NAAM</w:t>
      </w:r>
      <w:r w:rsidRPr="00330234">
        <w:rPr>
          <w:b/>
          <w:spacing w:val="-3"/>
        </w:rPr>
        <w:t xml:space="preserve"> </w:t>
      </w:r>
      <w:r w:rsidRPr="00330234">
        <w:rPr>
          <w:b/>
        </w:rPr>
        <w:t>EN</w:t>
      </w:r>
      <w:r w:rsidRPr="00330234">
        <w:rPr>
          <w:b/>
          <w:spacing w:val="-4"/>
        </w:rPr>
        <w:t xml:space="preserve"> </w:t>
      </w:r>
      <w:r w:rsidRPr="00330234">
        <w:rPr>
          <w:b/>
        </w:rPr>
        <w:t>ADRES</w:t>
      </w:r>
      <w:r w:rsidRPr="00330234">
        <w:rPr>
          <w:b/>
          <w:spacing w:val="-4"/>
        </w:rPr>
        <w:t xml:space="preserve"> </w:t>
      </w:r>
      <w:r w:rsidRPr="00330234">
        <w:rPr>
          <w:b/>
        </w:rPr>
        <w:t>VAN</w:t>
      </w:r>
      <w:r w:rsidRPr="00330234">
        <w:rPr>
          <w:b/>
          <w:spacing w:val="-2"/>
        </w:rPr>
        <w:t xml:space="preserve"> </w:t>
      </w:r>
      <w:r w:rsidRPr="00330234">
        <w:rPr>
          <w:b/>
        </w:rPr>
        <w:t>DE</w:t>
      </w:r>
      <w:r w:rsidRPr="00330234">
        <w:rPr>
          <w:b/>
          <w:spacing w:val="-4"/>
        </w:rPr>
        <w:t xml:space="preserve"> </w:t>
      </w:r>
      <w:r w:rsidRPr="00330234">
        <w:rPr>
          <w:b/>
        </w:rPr>
        <w:t>HOUDER</w:t>
      </w:r>
      <w:r w:rsidRPr="00330234">
        <w:rPr>
          <w:b/>
          <w:spacing w:val="-4"/>
        </w:rPr>
        <w:t xml:space="preserve"> </w:t>
      </w:r>
      <w:r w:rsidRPr="00330234">
        <w:rPr>
          <w:b/>
        </w:rPr>
        <w:t>VAN</w:t>
      </w:r>
      <w:r w:rsidRPr="00330234">
        <w:rPr>
          <w:b/>
          <w:spacing w:val="-4"/>
        </w:rPr>
        <w:t xml:space="preserve"> </w:t>
      </w:r>
      <w:r w:rsidRPr="00330234">
        <w:rPr>
          <w:b/>
        </w:rPr>
        <w:t>DE</w:t>
      </w:r>
      <w:r w:rsidRPr="00330234">
        <w:rPr>
          <w:b/>
          <w:spacing w:val="-4"/>
        </w:rPr>
        <w:t xml:space="preserve"> </w:t>
      </w:r>
      <w:r w:rsidRPr="00330234">
        <w:rPr>
          <w:b/>
        </w:rPr>
        <w:t>VERGUNNING</w:t>
      </w:r>
      <w:r w:rsidRPr="00330234">
        <w:rPr>
          <w:b/>
          <w:spacing w:val="-2"/>
        </w:rPr>
        <w:t xml:space="preserve"> </w:t>
      </w:r>
      <w:r w:rsidRPr="00330234">
        <w:rPr>
          <w:b/>
        </w:rPr>
        <w:t>VOOR</w:t>
      </w:r>
      <w:r w:rsidRPr="00330234">
        <w:rPr>
          <w:b/>
          <w:spacing w:val="-4"/>
        </w:rPr>
        <w:t xml:space="preserve"> </w:t>
      </w:r>
      <w:r w:rsidRPr="00330234">
        <w:rPr>
          <w:b/>
        </w:rPr>
        <w:t>HET</w:t>
      </w:r>
      <w:r w:rsidRPr="00330234">
        <w:rPr>
          <w:b/>
          <w:spacing w:val="-4"/>
        </w:rPr>
        <w:t xml:space="preserve"> </w:t>
      </w:r>
      <w:r w:rsidRPr="00330234">
        <w:rPr>
          <w:b/>
        </w:rPr>
        <w:t>IN</w:t>
      </w:r>
      <w:r w:rsidRPr="00330234">
        <w:rPr>
          <w:b/>
          <w:spacing w:val="-4"/>
        </w:rPr>
        <w:t xml:space="preserve"> </w:t>
      </w:r>
      <w:r w:rsidRPr="00330234">
        <w:rPr>
          <w:b/>
        </w:rPr>
        <w:t>DE HANDEL BRENGEN</w:t>
      </w:r>
    </w:p>
    <w:p w14:paraId="050A6E21" w14:textId="31A9EDEF" w:rsidR="00436DAA" w:rsidRPr="00330234" w:rsidRDefault="00436DAA" w:rsidP="009B0E27">
      <w:pPr>
        <w:pStyle w:val="a3"/>
        <w:widowControl/>
        <w:ind w:left="0"/>
      </w:pPr>
    </w:p>
    <w:p w14:paraId="7934E8E3" w14:textId="7DFC8D58" w:rsidR="00597F7E" w:rsidRPr="00330234" w:rsidRDefault="00597F7E" w:rsidP="00597F7E">
      <w:pPr>
        <w:keepNext/>
      </w:pPr>
      <w:r w:rsidRPr="00330234">
        <w:t>Celltrion Healthcare Hungary Kft.</w:t>
      </w:r>
    </w:p>
    <w:p w14:paraId="7DD74A91" w14:textId="77777777" w:rsidR="00597F7E" w:rsidRPr="00330234" w:rsidRDefault="00597F7E" w:rsidP="00597F7E">
      <w:pPr>
        <w:keepNext/>
      </w:pPr>
      <w:r w:rsidRPr="00330234">
        <w:t>1062 Budapest</w:t>
      </w:r>
    </w:p>
    <w:p w14:paraId="4754917D" w14:textId="77777777" w:rsidR="00597F7E" w:rsidRPr="00330234" w:rsidRDefault="00597F7E" w:rsidP="00597F7E">
      <w:pPr>
        <w:keepNext/>
      </w:pPr>
      <w:r w:rsidRPr="00330234">
        <w:t>Váci út 1-3. WestEnd Office Building B torony</w:t>
      </w:r>
    </w:p>
    <w:p w14:paraId="125E4925" w14:textId="0F02BA76" w:rsidR="00597F7E" w:rsidRPr="00330234" w:rsidRDefault="00597F7E" w:rsidP="00597F7E">
      <w:r w:rsidRPr="00330234">
        <w:t>Hongarije</w:t>
      </w:r>
    </w:p>
    <w:p w14:paraId="44430423" w14:textId="77777777" w:rsidR="00436DAA" w:rsidRPr="00330234" w:rsidRDefault="00436DAA" w:rsidP="009B0E27">
      <w:pPr>
        <w:pStyle w:val="a3"/>
        <w:widowControl/>
        <w:ind w:left="0"/>
      </w:pPr>
    </w:p>
    <w:p w14:paraId="2340ADBE" w14:textId="77777777" w:rsidR="00467A20" w:rsidRPr="00330234" w:rsidRDefault="00467A20" w:rsidP="009B0E27">
      <w:pPr>
        <w:pStyle w:val="a3"/>
        <w:widowControl/>
        <w:ind w:left="0"/>
      </w:pPr>
    </w:p>
    <w:p w14:paraId="7D3E1ED6" w14:textId="77777777"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12.</w:t>
      </w:r>
      <w:r w:rsidRPr="00330234">
        <w:rPr>
          <w:b/>
        </w:rPr>
        <w:tab/>
        <w:t>NUMMER(S)</w:t>
      </w:r>
      <w:r w:rsidRPr="00330234">
        <w:rPr>
          <w:b/>
          <w:spacing w:val="-6"/>
        </w:rPr>
        <w:t xml:space="preserve"> </w:t>
      </w:r>
      <w:r w:rsidRPr="00330234">
        <w:rPr>
          <w:b/>
        </w:rPr>
        <w:t>VAN</w:t>
      </w:r>
      <w:r w:rsidRPr="00330234">
        <w:rPr>
          <w:b/>
          <w:spacing w:val="-5"/>
        </w:rPr>
        <w:t xml:space="preserve"> </w:t>
      </w:r>
      <w:r w:rsidRPr="00330234">
        <w:rPr>
          <w:b/>
        </w:rPr>
        <w:t>DE</w:t>
      </w:r>
      <w:r w:rsidRPr="00330234">
        <w:rPr>
          <w:b/>
          <w:spacing w:val="-6"/>
        </w:rPr>
        <w:t xml:space="preserve"> </w:t>
      </w:r>
      <w:r w:rsidRPr="00330234">
        <w:rPr>
          <w:b/>
        </w:rPr>
        <w:t>VERGUNNING</w:t>
      </w:r>
      <w:r w:rsidRPr="00330234">
        <w:rPr>
          <w:b/>
          <w:spacing w:val="-3"/>
        </w:rPr>
        <w:t xml:space="preserve"> </w:t>
      </w:r>
      <w:r w:rsidRPr="00330234">
        <w:rPr>
          <w:b/>
        </w:rPr>
        <w:t>VOOR</w:t>
      </w:r>
      <w:r w:rsidRPr="00330234">
        <w:rPr>
          <w:b/>
          <w:spacing w:val="-6"/>
        </w:rPr>
        <w:t xml:space="preserve"> </w:t>
      </w:r>
      <w:r w:rsidRPr="00330234">
        <w:rPr>
          <w:b/>
        </w:rPr>
        <w:t>HET</w:t>
      </w:r>
      <w:r w:rsidRPr="00330234">
        <w:rPr>
          <w:b/>
          <w:spacing w:val="-5"/>
        </w:rPr>
        <w:t xml:space="preserve"> </w:t>
      </w:r>
      <w:r w:rsidRPr="00330234">
        <w:rPr>
          <w:b/>
        </w:rPr>
        <w:t>IN</w:t>
      </w:r>
      <w:r w:rsidRPr="00330234">
        <w:rPr>
          <w:b/>
          <w:spacing w:val="-6"/>
        </w:rPr>
        <w:t xml:space="preserve"> </w:t>
      </w:r>
      <w:r w:rsidRPr="00330234">
        <w:rPr>
          <w:b/>
        </w:rPr>
        <w:t>DE</w:t>
      </w:r>
      <w:r w:rsidRPr="00330234">
        <w:rPr>
          <w:b/>
          <w:spacing w:val="-5"/>
        </w:rPr>
        <w:t xml:space="preserve"> </w:t>
      </w:r>
      <w:r w:rsidRPr="00330234">
        <w:rPr>
          <w:b/>
        </w:rPr>
        <w:t>HANDEL</w:t>
      </w:r>
      <w:r w:rsidRPr="00330234">
        <w:rPr>
          <w:b/>
          <w:spacing w:val="-5"/>
        </w:rPr>
        <w:t xml:space="preserve"> </w:t>
      </w:r>
      <w:r w:rsidRPr="00330234">
        <w:rPr>
          <w:b/>
          <w:spacing w:val="-2"/>
        </w:rPr>
        <w:t>BRENGEN</w:t>
      </w:r>
    </w:p>
    <w:p w14:paraId="5A02982B" w14:textId="26941B30" w:rsidR="00436DAA" w:rsidRPr="00330234" w:rsidRDefault="00436DAA" w:rsidP="009B0E27">
      <w:pPr>
        <w:pStyle w:val="a3"/>
        <w:widowControl/>
        <w:ind w:left="0"/>
      </w:pPr>
    </w:p>
    <w:p w14:paraId="30948137" w14:textId="029FF764" w:rsidR="00436DAA" w:rsidRPr="00330234" w:rsidRDefault="009B4B8E" w:rsidP="009B0E27">
      <w:pPr>
        <w:pStyle w:val="a3"/>
        <w:widowControl/>
        <w:ind w:left="0"/>
      </w:pPr>
      <w:r w:rsidRPr="00330234">
        <w:t>EU/</w:t>
      </w:r>
      <w:r w:rsidR="00064F9F" w:rsidRPr="00DA3B0A">
        <w:t>1/24/1896/012 12</w:t>
      </w:r>
      <w:r w:rsidR="00064F9F">
        <w:t> </w:t>
      </w:r>
      <w:r w:rsidR="00064F9F" w:rsidRPr="00DA3B0A">
        <w:t>(3</w:t>
      </w:r>
      <w:r w:rsidR="00064F9F">
        <w:t> × 4)</w:t>
      </w:r>
      <w:r w:rsidR="00064F9F" w:rsidRPr="00DA3B0A">
        <w:t xml:space="preserve"> </w:t>
      </w:r>
      <w:r w:rsidR="00064F9F">
        <w:t>voorgevulde</w:t>
      </w:r>
      <w:r w:rsidR="00064F9F" w:rsidRPr="00DA3B0A">
        <w:t xml:space="preserve"> pen</w:t>
      </w:r>
      <w:r w:rsidR="00064F9F">
        <w:t>nen</w:t>
      </w:r>
      <w:r w:rsidR="00064F9F" w:rsidRPr="00DA3B0A">
        <w:t xml:space="preserve"> (multi</w:t>
      </w:r>
      <w:r w:rsidR="00064F9F">
        <w:t>verpakking</w:t>
      </w:r>
      <w:r w:rsidR="00064F9F" w:rsidRPr="00DA3B0A">
        <w:t>)</w:t>
      </w:r>
    </w:p>
    <w:p w14:paraId="4C2DDB6B" w14:textId="77777777" w:rsidR="00436DAA" w:rsidRPr="00330234" w:rsidRDefault="00436DAA" w:rsidP="009B0E27">
      <w:pPr>
        <w:pStyle w:val="a3"/>
        <w:widowControl/>
        <w:ind w:left="0"/>
      </w:pPr>
    </w:p>
    <w:p w14:paraId="1A2E625C" w14:textId="77777777" w:rsidR="00467A20" w:rsidRPr="00330234" w:rsidRDefault="00467A20" w:rsidP="009B0E27">
      <w:pPr>
        <w:pStyle w:val="a3"/>
        <w:widowControl/>
        <w:ind w:left="0"/>
      </w:pPr>
    </w:p>
    <w:p w14:paraId="748E69A7" w14:textId="77777777"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13.</w:t>
      </w:r>
      <w:r w:rsidRPr="00330234">
        <w:rPr>
          <w:b/>
        </w:rPr>
        <w:tab/>
      </w:r>
      <w:r w:rsidRPr="00330234">
        <w:rPr>
          <w:b/>
          <w:spacing w:val="-2"/>
        </w:rPr>
        <w:t>PARTIJNUMMER</w:t>
      </w:r>
    </w:p>
    <w:p w14:paraId="164779CE" w14:textId="30BEE641" w:rsidR="00436DAA" w:rsidRPr="00330234" w:rsidRDefault="00436DAA" w:rsidP="009B0E27">
      <w:pPr>
        <w:pStyle w:val="a3"/>
        <w:widowControl/>
        <w:ind w:left="0"/>
      </w:pPr>
    </w:p>
    <w:p w14:paraId="4F1896D2" w14:textId="57E40148" w:rsidR="00436DAA" w:rsidRPr="00330234" w:rsidRDefault="00597F7E" w:rsidP="009B0E27">
      <w:pPr>
        <w:pStyle w:val="a3"/>
        <w:widowControl/>
        <w:ind w:left="0"/>
      </w:pPr>
      <w:r w:rsidRPr="00330234">
        <w:t>Lot</w:t>
      </w:r>
    </w:p>
    <w:p w14:paraId="7D5EDEF6" w14:textId="77777777" w:rsidR="00436DAA" w:rsidRPr="00330234" w:rsidRDefault="00436DAA" w:rsidP="009B0E27">
      <w:pPr>
        <w:pStyle w:val="a3"/>
        <w:widowControl/>
        <w:ind w:left="0"/>
      </w:pPr>
    </w:p>
    <w:p w14:paraId="4D90C080" w14:textId="77777777" w:rsidR="00467A20" w:rsidRPr="00330234" w:rsidRDefault="00467A20" w:rsidP="009B0E27">
      <w:pPr>
        <w:pStyle w:val="a3"/>
        <w:widowControl/>
        <w:ind w:left="0"/>
      </w:pPr>
    </w:p>
    <w:p w14:paraId="5F19719B" w14:textId="77777777"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14.</w:t>
      </w:r>
      <w:r w:rsidRPr="00330234">
        <w:rPr>
          <w:b/>
        </w:rPr>
        <w:tab/>
        <w:t>ALGEMENE</w:t>
      </w:r>
      <w:r w:rsidRPr="00330234">
        <w:rPr>
          <w:b/>
          <w:spacing w:val="-6"/>
        </w:rPr>
        <w:t xml:space="preserve"> </w:t>
      </w:r>
      <w:r w:rsidRPr="00330234">
        <w:rPr>
          <w:b/>
        </w:rPr>
        <w:t>INDELING</w:t>
      </w:r>
      <w:r w:rsidRPr="00330234">
        <w:rPr>
          <w:b/>
          <w:spacing w:val="-4"/>
        </w:rPr>
        <w:t xml:space="preserve"> </w:t>
      </w:r>
      <w:r w:rsidRPr="00330234">
        <w:rPr>
          <w:b/>
        </w:rPr>
        <w:t>VOOR</w:t>
      </w:r>
      <w:r w:rsidRPr="00330234">
        <w:rPr>
          <w:b/>
          <w:spacing w:val="-6"/>
        </w:rPr>
        <w:t xml:space="preserve"> </w:t>
      </w:r>
      <w:r w:rsidRPr="00330234">
        <w:rPr>
          <w:b/>
        </w:rPr>
        <w:t>DE</w:t>
      </w:r>
      <w:r w:rsidRPr="00330234">
        <w:rPr>
          <w:b/>
          <w:spacing w:val="-5"/>
        </w:rPr>
        <w:t xml:space="preserve"> </w:t>
      </w:r>
      <w:r w:rsidRPr="00330234">
        <w:rPr>
          <w:b/>
          <w:spacing w:val="-2"/>
        </w:rPr>
        <w:t>AFLEVERING</w:t>
      </w:r>
    </w:p>
    <w:p w14:paraId="3B9C7A0E" w14:textId="66B1094E" w:rsidR="00436DAA" w:rsidRPr="00330234" w:rsidRDefault="00436DAA" w:rsidP="009B0E27">
      <w:pPr>
        <w:pStyle w:val="a3"/>
        <w:widowControl/>
        <w:ind w:left="0"/>
      </w:pPr>
    </w:p>
    <w:p w14:paraId="7D033A22" w14:textId="77777777" w:rsidR="00436DAA" w:rsidRPr="00330234" w:rsidRDefault="00436DAA" w:rsidP="009B0E27">
      <w:pPr>
        <w:pStyle w:val="a3"/>
        <w:widowControl/>
        <w:ind w:left="0"/>
      </w:pPr>
    </w:p>
    <w:p w14:paraId="0C90CBBD" w14:textId="77777777"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15.</w:t>
      </w:r>
      <w:r w:rsidRPr="00330234">
        <w:rPr>
          <w:b/>
        </w:rPr>
        <w:tab/>
        <w:t>INSTRUCTIES</w:t>
      </w:r>
      <w:r w:rsidRPr="00330234">
        <w:rPr>
          <w:b/>
          <w:spacing w:val="-7"/>
        </w:rPr>
        <w:t xml:space="preserve"> </w:t>
      </w:r>
      <w:r w:rsidRPr="00330234">
        <w:rPr>
          <w:b/>
        </w:rPr>
        <w:t>VOOR</w:t>
      </w:r>
      <w:r w:rsidRPr="00330234">
        <w:rPr>
          <w:b/>
          <w:spacing w:val="-7"/>
        </w:rPr>
        <w:t xml:space="preserve"> </w:t>
      </w:r>
      <w:r w:rsidRPr="00330234">
        <w:rPr>
          <w:b/>
          <w:spacing w:val="-2"/>
        </w:rPr>
        <w:t>GEBRUIK</w:t>
      </w:r>
    </w:p>
    <w:p w14:paraId="7FDA1C64" w14:textId="6EAFBB4A" w:rsidR="00436DAA" w:rsidRPr="00330234" w:rsidRDefault="00436DAA" w:rsidP="009B0E27">
      <w:pPr>
        <w:pStyle w:val="a3"/>
        <w:widowControl/>
        <w:ind w:left="0"/>
      </w:pPr>
    </w:p>
    <w:p w14:paraId="6D8013D9" w14:textId="77777777" w:rsidR="00436DAA" w:rsidRPr="00330234" w:rsidRDefault="00436DAA" w:rsidP="009B0E27">
      <w:pPr>
        <w:pStyle w:val="a3"/>
        <w:widowControl/>
        <w:ind w:left="0"/>
      </w:pPr>
    </w:p>
    <w:p w14:paraId="5BA5D059" w14:textId="77777777"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16.</w:t>
      </w:r>
      <w:r w:rsidRPr="00330234">
        <w:rPr>
          <w:b/>
        </w:rPr>
        <w:tab/>
        <w:t>INFORMATIE</w:t>
      </w:r>
      <w:r w:rsidRPr="00330234">
        <w:rPr>
          <w:b/>
          <w:spacing w:val="-5"/>
        </w:rPr>
        <w:t xml:space="preserve"> </w:t>
      </w:r>
      <w:r w:rsidRPr="00330234">
        <w:rPr>
          <w:b/>
        </w:rPr>
        <w:t>IN</w:t>
      </w:r>
      <w:r w:rsidRPr="00330234">
        <w:rPr>
          <w:b/>
          <w:spacing w:val="-7"/>
        </w:rPr>
        <w:t xml:space="preserve"> </w:t>
      </w:r>
      <w:r w:rsidRPr="00330234">
        <w:rPr>
          <w:b/>
          <w:spacing w:val="-2"/>
        </w:rPr>
        <w:t>BRAILLE</w:t>
      </w:r>
    </w:p>
    <w:p w14:paraId="65865ED8" w14:textId="4B5DF5E9" w:rsidR="00436DAA" w:rsidRPr="00330234" w:rsidRDefault="00436DAA" w:rsidP="009B0E27">
      <w:pPr>
        <w:pStyle w:val="a3"/>
        <w:widowControl/>
        <w:ind w:left="0"/>
      </w:pPr>
    </w:p>
    <w:p w14:paraId="6EF17DC6" w14:textId="4DE274C5" w:rsidR="00436DAA" w:rsidRPr="001B3E1E" w:rsidRDefault="00597F7E" w:rsidP="009B0E27">
      <w:pPr>
        <w:pStyle w:val="a3"/>
        <w:widowControl/>
        <w:ind w:left="0"/>
        <w:rPr>
          <w:rFonts w:eastAsia="맑은 고딕"/>
          <w:lang w:eastAsia="ko-KR"/>
        </w:rPr>
      </w:pPr>
      <w:r w:rsidRPr="00330234">
        <w:t xml:space="preserve">avtozma </w:t>
      </w:r>
      <w:r w:rsidR="009B4B8E" w:rsidRPr="00330234">
        <w:t>162 mg</w:t>
      </w:r>
    </w:p>
    <w:p w14:paraId="4173180E" w14:textId="77777777" w:rsidR="00436DAA" w:rsidRPr="00330234" w:rsidRDefault="00436DAA" w:rsidP="009B0E27">
      <w:pPr>
        <w:pStyle w:val="a3"/>
        <w:widowControl/>
        <w:ind w:left="0"/>
      </w:pPr>
    </w:p>
    <w:p w14:paraId="3DA3B41A" w14:textId="77777777" w:rsidR="00467A20" w:rsidRPr="00330234" w:rsidRDefault="00467A20" w:rsidP="009B0E27">
      <w:pPr>
        <w:pStyle w:val="a3"/>
        <w:widowControl/>
        <w:ind w:left="0"/>
      </w:pPr>
    </w:p>
    <w:p w14:paraId="7BF1724F" w14:textId="77777777"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17.</w:t>
      </w:r>
      <w:r w:rsidRPr="00330234">
        <w:rPr>
          <w:b/>
        </w:rPr>
        <w:tab/>
        <w:t>UNIEK</w:t>
      </w:r>
      <w:r w:rsidRPr="00330234">
        <w:rPr>
          <w:b/>
          <w:spacing w:val="-8"/>
        </w:rPr>
        <w:t xml:space="preserve"> </w:t>
      </w:r>
      <w:r w:rsidRPr="00330234">
        <w:rPr>
          <w:b/>
        </w:rPr>
        <w:t>IDENTIFICATIEKENMERK</w:t>
      </w:r>
      <w:r w:rsidRPr="00330234">
        <w:rPr>
          <w:b/>
          <w:spacing w:val="-7"/>
        </w:rPr>
        <w:t xml:space="preserve"> </w:t>
      </w:r>
      <w:r w:rsidRPr="00330234">
        <w:rPr>
          <w:b/>
        </w:rPr>
        <w:t>-</w:t>
      </w:r>
      <w:r w:rsidRPr="00330234">
        <w:rPr>
          <w:b/>
          <w:spacing w:val="-5"/>
        </w:rPr>
        <w:t xml:space="preserve"> </w:t>
      </w:r>
      <w:r w:rsidRPr="00330234">
        <w:rPr>
          <w:b/>
        </w:rPr>
        <w:t>2D</w:t>
      </w:r>
      <w:r w:rsidRPr="00330234">
        <w:rPr>
          <w:b/>
          <w:spacing w:val="-7"/>
        </w:rPr>
        <w:t xml:space="preserve"> </w:t>
      </w:r>
      <w:r w:rsidRPr="00330234">
        <w:rPr>
          <w:b/>
          <w:spacing w:val="-2"/>
        </w:rPr>
        <w:t>MATRIXCODE</w:t>
      </w:r>
    </w:p>
    <w:p w14:paraId="776EA620" w14:textId="24396DE3" w:rsidR="00436DAA" w:rsidRPr="00330234" w:rsidRDefault="00436DAA" w:rsidP="009B0E27">
      <w:pPr>
        <w:pStyle w:val="a3"/>
        <w:widowControl/>
        <w:ind w:left="0"/>
      </w:pPr>
    </w:p>
    <w:p w14:paraId="6622411A" w14:textId="77777777" w:rsidR="00436DAA" w:rsidRPr="00330234" w:rsidRDefault="009B4B8E" w:rsidP="009B0E27">
      <w:pPr>
        <w:pStyle w:val="a3"/>
        <w:widowControl/>
        <w:ind w:left="0"/>
        <w:rPr>
          <w:shd w:val="pct35" w:color="auto" w:fill="auto"/>
        </w:rPr>
      </w:pPr>
      <w:r w:rsidRPr="00143A85">
        <w:rPr>
          <w:color w:val="000000"/>
          <w:highlight w:val="lightGray"/>
          <w:shd w:val="pct35" w:color="auto" w:fill="auto"/>
        </w:rPr>
        <w:t>2D matrixcode met het unieke identificatiekenmerk.</w:t>
      </w:r>
    </w:p>
    <w:p w14:paraId="4B286D11" w14:textId="77777777" w:rsidR="00436DAA" w:rsidRPr="00330234" w:rsidRDefault="00436DAA" w:rsidP="009B0E27">
      <w:pPr>
        <w:pStyle w:val="a3"/>
        <w:widowControl/>
        <w:ind w:left="0"/>
      </w:pPr>
    </w:p>
    <w:p w14:paraId="77F0F056" w14:textId="77777777" w:rsidR="00467A20" w:rsidRPr="00330234" w:rsidRDefault="00467A20" w:rsidP="009B0E27">
      <w:pPr>
        <w:pStyle w:val="a3"/>
        <w:widowControl/>
        <w:ind w:left="0"/>
      </w:pPr>
    </w:p>
    <w:p w14:paraId="6ABA4EF0" w14:textId="77777777" w:rsidR="00FC73F9" w:rsidRPr="00330234" w:rsidRDefault="00FC73F9"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18.</w:t>
      </w:r>
      <w:r w:rsidRPr="00330234">
        <w:rPr>
          <w:b/>
        </w:rPr>
        <w:tab/>
        <w:t>UNIEK</w:t>
      </w:r>
      <w:r w:rsidRPr="00330234">
        <w:rPr>
          <w:b/>
          <w:spacing w:val="-9"/>
        </w:rPr>
        <w:t xml:space="preserve"> </w:t>
      </w:r>
      <w:r w:rsidRPr="00330234">
        <w:rPr>
          <w:b/>
        </w:rPr>
        <w:t>IDENTIFICATIEKENMERK</w:t>
      </w:r>
      <w:r w:rsidRPr="00330234">
        <w:rPr>
          <w:b/>
          <w:spacing w:val="-8"/>
        </w:rPr>
        <w:t xml:space="preserve"> </w:t>
      </w:r>
      <w:r w:rsidRPr="00330234">
        <w:rPr>
          <w:b/>
        </w:rPr>
        <w:t>-</w:t>
      </w:r>
      <w:r w:rsidRPr="00330234">
        <w:rPr>
          <w:b/>
          <w:spacing w:val="-6"/>
        </w:rPr>
        <w:t xml:space="preserve"> </w:t>
      </w:r>
      <w:r w:rsidRPr="00330234">
        <w:rPr>
          <w:b/>
        </w:rPr>
        <w:t>VOOR</w:t>
      </w:r>
      <w:r w:rsidRPr="00330234">
        <w:rPr>
          <w:b/>
          <w:spacing w:val="-8"/>
        </w:rPr>
        <w:t xml:space="preserve"> </w:t>
      </w:r>
      <w:r w:rsidRPr="00330234">
        <w:rPr>
          <w:b/>
        </w:rPr>
        <w:t>MENSEN</w:t>
      </w:r>
      <w:r w:rsidRPr="00330234">
        <w:rPr>
          <w:b/>
          <w:spacing w:val="-8"/>
        </w:rPr>
        <w:t xml:space="preserve"> </w:t>
      </w:r>
      <w:r w:rsidRPr="00330234">
        <w:rPr>
          <w:b/>
        </w:rPr>
        <w:t>LEESBARE</w:t>
      </w:r>
      <w:r w:rsidRPr="00330234">
        <w:rPr>
          <w:b/>
          <w:spacing w:val="-8"/>
        </w:rPr>
        <w:t xml:space="preserve"> </w:t>
      </w:r>
      <w:r w:rsidRPr="00330234">
        <w:rPr>
          <w:b/>
          <w:spacing w:val="-2"/>
        </w:rPr>
        <w:t>GEGEVENS</w:t>
      </w:r>
    </w:p>
    <w:p w14:paraId="68ED1138" w14:textId="6C170D16" w:rsidR="00436DAA" w:rsidRPr="00330234" w:rsidRDefault="00436DAA" w:rsidP="009B0E27">
      <w:pPr>
        <w:pStyle w:val="a3"/>
        <w:widowControl/>
        <w:ind w:left="0"/>
      </w:pPr>
    </w:p>
    <w:p w14:paraId="59E3A50F" w14:textId="77777777" w:rsidR="00467A20" w:rsidRPr="00330234" w:rsidRDefault="009B4B8E" w:rsidP="009B0E27">
      <w:pPr>
        <w:pStyle w:val="a3"/>
        <w:widowControl/>
        <w:ind w:left="0"/>
      </w:pPr>
      <w:r w:rsidRPr="00330234">
        <w:t>PC</w:t>
      </w:r>
    </w:p>
    <w:p w14:paraId="69BA8EB2" w14:textId="7335C59C" w:rsidR="00436DAA" w:rsidRDefault="009B4B8E" w:rsidP="009B0E27">
      <w:pPr>
        <w:pStyle w:val="a3"/>
        <w:widowControl/>
        <w:ind w:left="0"/>
        <w:rPr>
          <w:rFonts w:eastAsia="맑은 고딕"/>
          <w:lang w:eastAsia="ko-KR"/>
        </w:rPr>
      </w:pPr>
      <w:r w:rsidRPr="00330234">
        <w:t>SN</w:t>
      </w:r>
    </w:p>
    <w:p w14:paraId="02A25C5A" w14:textId="77777777" w:rsidR="00F76AA1" w:rsidRPr="00330234" w:rsidRDefault="00F76AA1" w:rsidP="00F76AA1">
      <w:pPr>
        <w:pStyle w:val="a3"/>
        <w:widowControl/>
        <w:ind w:left="0"/>
      </w:pPr>
      <w:r w:rsidRPr="00F76AA1">
        <w:rPr>
          <w:highlight w:val="lightGray"/>
        </w:rPr>
        <w:t>NN</w:t>
      </w:r>
    </w:p>
    <w:p w14:paraId="15950E51" w14:textId="77777777" w:rsidR="00F76AA1" w:rsidRPr="00143A85" w:rsidRDefault="00F76AA1" w:rsidP="009B0E27">
      <w:pPr>
        <w:pStyle w:val="a3"/>
        <w:widowControl/>
        <w:ind w:left="0"/>
        <w:rPr>
          <w:rFonts w:eastAsia="맑은 고딕"/>
          <w:lang w:eastAsia="ko-KR"/>
        </w:rPr>
      </w:pPr>
    </w:p>
    <w:p w14:paraId="5B657CB8" w14:textId="70EAF1F2" w:rsidR="009B0E27" w:rsidRPr="00330234" w:rsidRDefault="00FC73F9" w:rsidP="001B3E1E">
      <w:pPr>
        <w:widowControl/>
        <w:pBdr>
          <w:top w:val="single" w:sz="4" w:space="1" w:color="auto"/>
          <w:left w:val="single" w:sz="4" w:space="4" w:color="auto"/>
          <w:bottom w:val="single" w:sz="4" w:space="1" w:color="auto"/>
          <w:right w:val="single" w:sz="4" w:space="4" w:color="auto"/>
        </w:pBdr>
        <w:rPr>
          <w:b/>
        </w:rPr>
      </w:pPr>
      <w:r w:rsidRPr="00330234">
        <w:br w:type="page"/>
      </w:r>
      <w:r w:rsidR="009B0E27" w:rsidRPr="00330234">
        <w:rPr>
          <w:b/>
        </w:rPr>
        <w:lastRenderedPageBreak/>
        <w:t>GEGEVENS</w:t>
      </w:r>
      <w:r w:rsidR="009B0E27" w:rsidRPr="00330234">
        <w:rPr>
          <w:b/>
          <w:spacing w:val="-4"/>
        </w:rPr>
        <w:t xml:space="preserve"> </w:t>
      </w:r>
      <w:r w:rsidR="009B0E27" w:rsidRPr="00330234">
        <w:rPr>
          <w:b/>
        </w:rPr>
        <w:t>DIE</w:t>
      </w:r>
      <w:r w:rsidR="009B0E27" w:rsidRPr="00330234">
        <w:rPr>
          <w:b/>
          <w:spacing w:val="-6"/>
        </w:rPr>
        <w:t xml:space="preserve"> </w:t>
      </w:r>
      <w:r w:rsidR="009B0E27" w:rsidRPr="00330234">
        <w:rPr>
          <w:b/>
        </w:rPr>
        <w:t>OP</w:t>
      </w:r>
      <w:r w:rsidR="009B0E27" w:rsidRPr="00330234">
        <w:rPr>
          <w:b/>
          <w:spacing w:val="-4"/>
        </w:rPr>
        <w:t xml:space="preserve"> </w:t>
      </w:r>
      <w:r w:rsidR="009B0E27" w:rsidRPr="00330234">
        <w:rPr>
          <w:b/>
        </w:rPr>
        <w:t>DE</w:t>
      </w:r>
      <w:r w:rsidR="009B0E27" w:rsidRPr="00330234">
        <w:rPr>
          <w:b/>
          <w:spacing w:val="-9"/>
        </w:rPr>
        <w:t xml:space="preserve"> </w:t>
      </w:r>
      <w:r w:rsidR="009B0E27" w:rsidRPr="00330234">
        <w:rPr>
          <w:b/>
        </w:rPr>
        <w:t>BUITENVERPAKKING</w:t>
      </w:r>
      <w:r w:rsidR="009B0E27" w:rsidRPr="00330234">
        <w:rPr>
          <w:b/>
          <w:spacing w:val="-9"/>
        </w:rPr>
        <w:t xml:space="preserve"> </w:t>
      </w:r>
      <w:r w:rsidR="009B0E27" w:rsidRPr="00330234">
        <w:rPr>
          <w:b/>
        </w:rPr>
        <w:t>MOETEN</w:t>
      </w:r>
      <w:r w:rsidR="009B0E27" w:rsidRPr="00330234">
        <w:rPr>
          <w:b/>
          <w:spacing w:val="-6"/>
        </w:rPr>
        <w:t xml:space="preserve"> </w:t>
      </w:r>
      <w:r w:rsidR="009B0E27" w:rsidRPr="00330234">
        <w:rPr>
          <w:b/>
        </w:rPr>
        <w:t>WORDEN</w:t>
      </w:r>
      <w:r w:rsidR="009B0E27" w:rsidRPr="00330234">
        <w:rPr>
          <w:b/>
          <w:spacing w:val="-6"/>
        </w:rPr>
        <w:t xml:space="preserve"> </w:t>
      </w:r>
      <w:r w:rsidR="009B0E27" w:rsidRPr="00330234">
        <w:rPr>
          <w:b/>
          <w:spacing w:val="-2"/>
        </w:rPr>
        <w:t>VERMELD</w:t>
      </w:r>
    </w:p>
    <w:p w14:paraId="5F6E8CB0" w14:textId="77777777" w:rsidR="009B0E27" w:rsidRPr="00330234" w:rsidRDefault="009B0E27" w:rsidP="003003EB">
      <w:pPr>
        <w:pStyle w:val="a3"/>
        <w:pBdr>
          <w:top w:val="single" w:sz="4" w:space="1" w:color="auto"/>
          <w:left w:val="single" w:sz="4" w:space="4" w:color="auto"/>
          <w:bottom w:val="single" w:sz="4" w:space="1" w:color="auto"/>
          <w:right w:val="single" w:sz="4" w:space="4" w:color="auto"/>
        </w:pBdr>
        <w:ind w:left="0"/>
        <w:rPr>
          <w:b/>
        </w:rPr>
      </w:pPr>
    </w:p>
    <w:p w14:paraId="2F1820B8" w14:textId="77777777" w:rsidR="009B0E27" w:rsidRPr="00330234" w:rsidRDefault="009B0E27" w:rsidP="003003EB">
      <w:pPr>
        <w:pBdr>
          <w:top w:val="single" w:sz="4" w:space="1" w:color="auto"/>
          <w:left w:val="single" w:sz="4" w:space="4" w:color="auto"/>
          <w:bottom w:val="single" w:sz="4" w:space="1" w:color="auto"/>
          <w:right w:val="single" w:sz="4" w:space="4" w:color="auto"/>
        </w:pBdr>
        <w:rPr>
          <w:b/>
        </w:rPr>
      </w:pPr>
      <w:r w:rsidRPr="00330234">
        <w:rPr>
          <w:b/>
        </w:rPr>
        <w:t>VERPAKKING</w:t>
      </w:r>
      <w:r w:rsidRPr="00330234">
        <w:rPr>
          <w:b/>
          <w:spacing w:val="-9"/>
        </w:rPr>
        <w:t xml:space="preserve"> </w:t>
      </w:r>
      <w:r w:rsidRPr="00330234">
        <w:rPr>
          <w:b/>
        </w:rPr>
        <w:t>VOOR</w:t>
      </w:r>
      <w:r w:rsidRPr="00330234">
        <w:rPr>
          <w:b/>
          <w:spacing w:val="-5"/>
        </w:rPr>
        <w:t xml:space="preserve"> </w:t>
      </w:r>
      <w:r w:rsidRPr="00330234">
        <w:rPr>
          <w:b/>
        </w:rPr>
        <w:t>DE</w:t>
      </w:r>
      <w:r w:rsidRPr="00330234">
        <w:rPr>
          <w:b/>
          <w:spacing w:val="-5"/>
        </w:rPr>
        <w:t xml:space="preserve"> </w:t>
      </w:r>
      <w:r w:rsidRPr="00330234">
        <w:rPr>
          <w:b/>
        </w:rPr>
        <w:t>VOORGEVULDE</w:t>
      </w:r>
      <w:r w:rsidRPr="00330234">
        <w:rPr>
          <w:b/>
          <w:spacing w:val="-5"/>
        </w:rPr>
        <w:t xml:space="preserve"> </w:t>
      </w:r>
      <w:r w:rsidRPr="00330234">
        <w:rPr>
          <w:b/>
        </w:rPr>
        <w:t>PEN</w:t>
      </w:r>
      <w:r w:rsidRPr="00330234">
        <w:rPr>
          <w:b/>
          <w:spacing w:val="-6"/>
        </w:rPr>
        <w:t xml:space="preserve"> </w:t>
      </w:r>
      <w:r w:rsidRPr="00330234">
        <w:rPr>
          <w:b/>
        </w:rPr>
        <w:t>(ZONDER</w:t>
      </w:r>
      <w:r w:rsidRPr="00330234">
        <w:rPr>
          <w:b/>
          <w:spacing w:val="-5"/>
        </w:rPr>
        <w:t xml:space="preserve"> </w:t>
      </w:r>
      <w:r w:rsidRPr="00330234">
        <w:rPr>
          <w:b/>
        </w:rPr>
        <w:t>BLUE</w:t>
      </w:r>
      <w:r w:rsidRPr="00330234">
        <w:rPr>
          <w:b/>
          <w:spacing w:val="-5"/>
        </w:rPr>
        <w:t xml:space="preserve"> </w:t>
      </w:r>
      <w:r w:rsidRPr="00330234">
        <w:rPr>
          <w:b/>
        </w:rPr>
        <w:t>BOX)</w:t>
      </w:r>
      <w:r w:rsidRPr="00330234">
        <w:rPr>
          <w:b/>
          <w:spacing w:val="-5"/>
        </w:rPr>
        <w:t xml:space="preserve"> </w:t>
      </w:r>
      <w:r w:rsidRPr="00330234">
        <w:rPr>
          <w:b/>
        </w:rPr>
        <w:t>–</w:t>
      </w:r>
      <w:r w:rsidRPr="00330234">
        <w:rPr>
          <w:b/>
          <w:spacing w:val="-4"/>
        </w:rPr>
        <w:t xml:space="preserve"> </w:t>
      </w:r>
      <w:r w:rsidRPr="00330234">
        <w:rPr>
          <w:b/>
          <w:spacing w:val="-2"/>
        </w:rPr>
        <w:t>Multiverpakking</w:t>
      </w:r>
    </w:p>
    <w:p w14:paraId="6826775E" w14:textId="77777777" w:rsidR="00C47886" w:rsidRPr="00330234" w:rsidRDefault="00C47886" w:rsidP="009B0E27">
      <w:pPr>
        <w:pStyle w:val="a3"/>
        <w:widowControl/>
        <w:ind w:left="0"/>
      </w:pPr>
    </w:p>
    <w:p w14:paraId="0BC577F4" w14:textId="4BABF215" w:rsidR="00436DAA" w:rsidRPr="00330234" w:rsidRDefault="00436DAA" w:rsidP="009B0E27">
      <w:pPr>
        <w:pStyle w:val="a3"/>
        <w:widowControl/>
        <w:ind w:left="0"/>
      </w:pPr>
    </w:p>
    <w:p w14:paraId="50336C44"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w:t>
      </w:r>
      <w:r w:rsidRPr="00330234">
        <w:rPr>
          <w:b/>
        </w:rPr>
        <w:tab/>
        <w:t>NAAM</w:t>
      </w:r>
      <w:r w:rsidRPr="00330234">
        <w:rPr>
          <w:b/>
          <w:spacing w:val="-4"/>
        </w:rPr>
        <w:t xml:space="preserve"> </w:t>
      </w:r>
      <w:r w:rsidRPr="00330234">
        <w:rPr>
          <w:b/>
        </w:rPr>
        <w:t>VAN</w:t>
      </w:r>
      <w:r w:rsidRPr="00330234">
        <w:rPr>
          <w:b/>
          <w:spacing w:val="-4"/>
        </w:rPr>
        <w:t xml:space="preserve"> </w:t>
      </w:r>
      <w:r w:rsidRPr="00330234">
        <w:rPr>
          <w:b/>
        </w:rPr>
        <w:t>HET</w:t>
      </w:r>
      <w:r w:rsidRPr="00330234">
        <w:rPr>
          <w:b/>
          <w:spacing w:val="-4"/>
        </w:rPr>
        <w:t xml:space="preserve"> </w:t>
      </w:r>
      <w:r w:rsidRPr="00330234">
        <w:rPr>
          <w:b/>
          <w:spacing w:val="-2"/>
        </w:rPr>
        <w:t>GENEESMIDDEL</w:t>
      </w:r>
    </w:p>
    <w:p w14:paraId="31978BA1" w14:textId="1E72F529" w:rsidR="00436DAA" w:rsidRPr="00330234" w:rsidRDefault="00436DAA" w:rsidP="009B0E27">
      <w:pPr>
        <w:pStyle w:val="a3"/>
        <w:widowControl/>
        <w:ind w:left="0"/>
      </w:pPr>
    </w:p>
    <w:p w14:paraId="427DECAF" w14:textId="0050CFEC" w:rsidR="00467A20" w:rsidRPr="00330234" w:rsidRDefault="007A197C" w:rsidP="009B0E27">
      <w:pPr>
        <w:pStyle w:val="a3"/>
        <w:widowControl/>
        <w:ind w:left="0"/>
      </w:pPr>
      <w:r w:rsidRPr="00330234">
        <w:t>Avtozma</w:t>
      </w:r>
      <w:r w:rsidR="009B4B8E" w:rsidRPr="00330234">
        <w:t xml:space="preserve"> 162 mg oplossing voor injectie in voorgevulde pen</w:t>
      </w:r>
    </w:p>
    <w:p w14:paraId="1DD47DFA" w14:textId="73EDBBA1" w:rsidR="00436DAA" w:rsidRPr="00330234" w:rsidRDefault="009B4B8E" w:rsidP="009B0E27">
      <w:pPr>
        <w:pStyle w:val="a3"/>
        <w:widowControl/>
        <w:ind w:left="0"/>
      </w:pPr>
      <w:r w:rsidRPr="00330234">
        <w:t>tocilizumab</w:t>
      </w:r>
    </w:p>
    <w:p w14:paraId="6A24F57E" w14:textId="77777777" w:rsidR="009B0E27" w:rsidRPr="00330234" w:rsidRDefault="009B0E27" w:rsidP="009B0E27">
      <w:pPr>
        <w:pStyle w:val="a3"/>
        <w:widowControl/>
        <w:ind w:left="0"/>
      </w:pPr>
    </w:p>
    <w:p w14:paraId="698E22E2" w14:textId="77777777" w:rsidR="00467A20" w:rsidRPr="00330234" w:rsidRDefault="00467A20" w:rsidP="009B0E27">
      <w:pPr>
        <w:pStyle w:val="a3"/>
        <w:widowControl/>
        <w:ind w:left="0"/>
      </w:pPr>
    </w:p>
    <w:p w14:paraId="2FEC4949"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2.</w:t>
      </w:r>
      <w:r w:rsidRPr="00330234">
        <w:rPr>
          <w:b/>
        </w:rPr>
        <w:tab/>
        <w:t>GEHALTE</w:t>
      </w:r>
      <w:r w:rsidRPr="00330234">
        <w:rPr>
          <w:b/>
          <w:spacing w:val="-7"/>
        </w:rPr>
        <w:t xml:space="preserve"> </w:t>
      </w:r>
      <w:r w:rsidRPr="00330234">
        <w:rPr>
          <w:b/>
        </w:rPr>
        <w:t>AAN</w:t>
      </w:r>
      <w:r w:rsidRPr="00330234">
        <w:rPr>
          <w:b/>
          <w:spacing w:val="-7"/>
        </w:rPr>
        <w:t xml:space="preserve"> </w:t>
      </w:r>
      <w:r w:rsidRPr="00330234">
        <w:rPr>
          <w:b/>
        </w:rPr>
        <w:t>WERKZAME</w:t>
      </w:r>
      <w:r w:rsidRPr="00330234">
        <w:rPr>
          <w:b/>
          <w:spacing w:val="-7"/>
        </w:rPr>
        <w:t xml:space="preserve"> </w:t>
      </w:r>
      <w:r w:rsidRPr="00330234">
        <w:rPr>
          <w:b/>
          <w:spacing w:val="-2"/>
        </w:rPr>
        <w:t>STOF(FEN)</w:t>
      </w:r>
    </w:p>
    <w:p w14:paraId="7BF1952A" w14:textId="3712FE81" w:rsidR="00436DAA" w:rsidRPr="00330234" w:rsidRDefault="00436DAA" w:rsidP="009B0E27">
      <w:pPr>
        <w:pStyle w:val="a3"/>
        <w:widowControl/>
        <w:ind w:left="0"/>
      </w:pPr>
    </w:p>
    <w:p w14:paraId="7DF4790B" w14:textId="77777777" w:rsidR="00436DAA" w:rsidRPr="00330234" w:rsidRDefault="009B4B8E" w:rsidP="009B0E27">
      <w:pPr>
        <w:pStyle w:val="a3"/>
        <w:widowControl/>
        <w:ind w:left="0"/>
      </w:pPr>
      <w:r w:rsidRPr="00330234">
        <w:t>1 voorgevulde pen bevat 162 mg tocilizumab.</w:t>
      </w:r>
    </w:p>
    <w:p w14:paraId="26D4A6E4" w14:textId="77777777" w:rsidR="00436DAA" w:rsidRPr="00330234" w:rsidRDefault="00436DAA" w:rsidP="009B0E27">
      <w:pPr>
        <w:pStyle w:val="a3"/>
        <w:widowControl/>
        <w:ind w:left="0"/>
      </w:pPr>
    </w:p>
    <w:p w14:paraId="19788F88" w14:textId="77777777" w:rsidR="00467A20" w:rsidRPr="00330234" w:rsidRDefault="00467A20" w:rsidP="009B0E27">
      <w:pPr>
        <w:pStyle w:val="a3"/>
        <w:widowControl/>
        <w:ind w:left="0"/>
      </w:pPr>
    </w:p>
    <w:p w14:paraId="3418726A"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3.</w:t>
      </w:r>
      <w:r w:rsidRPr="00330234">
        <w:rPr>
          <w:b/>
        </w:rPr>
        <w:tab/>
        <w:t>LIJST</w:t>
      </w:r>
      <w:r w:rsidRPr="00330234">
        <w:rPr>
          <w:b/>
          <w:spacing w:val="-4"/>
        </w:rPr>
        <w:t xml:space="preserve"> </w:t>
      </w:r>
      <w:r w:rsidRPr="00330234">
        <w:rPr>
          <w:b/>
        </w:rPr>
        <w:t>VAN</w:t>
      </w:r>
      <w:r w:rsidRPr="00330234">
        <w:rPr>
          <w:b/>
          <w:spacing w:val="-4"/>
        </w:rPr>
        <w:t xml:space="preserve"> </w:t>
      </w:r>
      <w:r w:rsidRPr="00330234">
        <w:rPr>
          <w:b/>
          <w:spacing w:val="-2"/>
        </w:rPr>
        <w:t>HULPSTOFFEN</w:t>
      </w:r>
    </w:p>
    <w:p w14:paraId="47133119" w14:textId="6EBA6D35" w:rsidR="00436DAA" w:rsidRPr="00330234" w:rsidRDefault="00436DAA" w:rsidP="009B0E27">
      <w:pPr>
        <w:pStyle w:val="a3"/>
        <w:widowControl/>
        <w:ind w:left="0"/>
      </w:pPr>
    </w:p>
    <w:p w14:paraId="0B143EBA" w14:textId="5800CD3B" w:rsidR="00597F7E" w:rsidRPr="00330234" w:rsidRDefault="00597F7E" w:rsidP="00597F7E">
      <w:pPr>
        <w:pStyle w:val="a3"/>
        <w:widowControl/>
        <w:ind w:left="0"/>
      </w:pPr>
      <w:r w:rsidRPr="00330234">
        <w:t>Hulpstoffen: L-histidine,</w:t>
      </w:r>
      <w:r w:rsidR="00545170">
        <w:rPr>
          <w:rFonts w:eastAsia="맑은 고딕" w:hint="eastAsia"/>
          <w:lang w:eastAsia="ko-KR"/>
        </w:rPr>
        <w:t xml:space="preserve"> </w:t>
      </w:r>
      <w:r w:rsidR="0065408F" w:rsidRPr="0065408F">
        <w:rPr>
          <w:rFonts w:eastAsia="맑은 고딕" w:hint="eastAsia"/>
          <w:lang w:eastAsia="ko-KR"/>
        </w:rPr>
        <w:t>L-histidine monohydrochloride monohydraat</w:t>
      </w:r>
      <w:r w:rsidR="00545170" w:rsidRPr="00545170">
        <w:rPr>
          <w:rFonts w:eastAsia="맑은 고딕"/>
          <w:lang w:eastAsia="ko-KR"/>
        </w:rPr>
        <w:t>,</w:t>
      </w:r>
      <w:r w:rsidRPr="00330234">
        <w:t xml:space="preserve"> L-threonine, L-methionine, polysorbaat 80 en water voor injecties.</w:t>
      </w:r>
    </w:p>
    <w:p w14:paraId="22B714DA" w14:textId="77777777" w:rsidR="00597F7E" w:rsidRPr="00330234" w:rsidRDefault="00597F7E" w:rsidP="00597F7E">
      <w:pPr>
        <w:pStyle w:val="a3"/>
        <w:widowControl/>
        <w:ind w:left="0"/>
      </w:pPr>
      <w:r w:rsidRPr="00330234">
        <w:t>Zie bijsluiter voor meer informatie.</w:t>
      </w:r>
    </w:p>
    <w:p w14:paraId="7164651E" w14:textId="77777777" w:rsidR="00436DAA" w:rsidRPr="00330234" w:rsidRDefault="00436DAA" w:rsidP="009B0E27">
      <w:pPr>
        <w:pStyle w:val="a3"/>
        <w:widowControl/>
        <w:ind w:left="0"/>
      </w:pPr>
    </w:p>
    <w:p w14:paraId="11D655BC" w14:textId="77777777" w:rsidR="00467A20" w:rsidRPr="00330234" w:rsidRDefault="00467A20" w:rsidP="009B0E27">
      <w:pPr>
        <w:pStyle w:val="a3"/>
        <w:widowControl/>
        <w:ind w:left="0"/>
      </w:pPr>
    </w:p>
    <w:p w14:paraId="684D1D16"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4.</w:t>
      </w:r>
      <w:r w:rsidRPr="00330234">
        <w:rPr>
          <w:b/>
        </w:rPr>
        <w:tab/>
        <w:t>FARMACEUTISCHE</w:t>
      </w:r>
      <w:r w:rsidRPr="00330234">
        <w:rPr>
          <w:b/>
          <w:spacing w:val="-8"/>
        </w:rPr>
        <w:t xml:space="preserve"> </w:t>
      </w:r>
      <w:r w:rsidRPr="00330234">
        <w:rPr>
          <w:b/>
        </w:rPr>
        <w:t>VORM</w:t>
      </w:r>
      <w:r w:rsidRPr="00330234">
        <w:rPr>
          <w:b/>
          <w:spacing w:val="-6"/>
        </w:rPr>
        <w:t xml:space="preserve"> </w:t>
      </w:r>
      <w:r w:rsidRPr="00330234">
        <w:rPr>
          <w:b/>
        </w:rPr>
        <w:t>EN</w:t>
      </w:r>
      <w:r w:rsidRPr="00330234">
        <w:rPr>
          <w:b/>
          <w:spacing w:val="-7"/>
        </w:rPr>
        <w:t xml:space="preserve"> </w:t>
      </w:r>
      <w:r w:rsidRPr="00330234">
        <w:rPr>
          <w:b/>
          <w:spacing w:val="-2"/>
        </w:rPr>
        <w:t>INHOUD</w:t>
      </w:r>
    </w:p>
    <w:p w14:paraId="3388161A" w14:textId="00FC7C00" w:rsidR="00436DAA" w:rsidRPr="00330234" w:rsidRDefault="00436DAA" w:rsidP="009B0E27">
      <w:pPr>
        <w:pStyle w:val="a3"/>
        <w:widowControl/>
        <w:ind w:left="0"/>
      </w:pPr>
    </w:p>
    <w:p w14:paraId="06C4B3FF" w14:textId="77328998" w:rsidR="00436DAA" w:rsidRPr="00330234" w:rsidRDefault="009B4B8E" w:rsidP="009B0E27">
      <w:pPr>
        <w:pStyle w:val="a3"/>
        <w:widowControl/>
        <w:ind w:left="0"/>
      </w:pPr>
      <w:r w:rsidRPr="00330234">
        <w:t>Oplossing voor injectie in voorgevulde pen</w:t>
      </w:r>
    </w:p>
    <w:p w14:paraId="4339FB3A" w14:textId="77777777" w:rsidR="00436DAA" w:rsidRPr="00330234" w:rsidRDefault="009B4B8E" w:rsidP="009B0E27">
      <w:pPr>
        <w:pStyle w:val="a3"/>
        <w:widowControl/>
        <w:ind w:left="0"/>
      </w:pPr>
      <w:r w:rsidRPr="00330234">
        <w:t>4 voorgevulde pennen. Componenten van een multiverpakking kunnen niet afzonderlijk verkocht worden.</w:t>
      </w:r>
    </w:p>
    <w:p w14:paraId="2267C5C0" w14:textId="77777777" w:rsidR="00436DAA" w:rsidRPr="00330234" w:rsidRDefault="009B4B8E" w:rsidP="009B0E27">
      <w:pPr>
        <w:pStyle w:val="a3"/>
        <w:widowControl/>
        <w:ind w:left="0"/>
      </w:pPr>
      <w:r w:rsidRPr="00330234">
        <w:t>162 mg/0,9 ml</w:t>
      </w:r>
    </w:p>
    <w:p w14:paraId="021A1CE3" w14:textId="77777777" w:rsidR="00436DAA" w:rsidRPr="00330234" w:rsidRDefault="00436DAA" w:rsidP="009B0E27">
      <w:pPr>
        <w:pStyle w:val="a3"/>
        <w:widowControl/>
        <w:ind w:left="0"/>
      </w:pPr>
    </w:p>
    <w:p w14:paraId="31FF2AEC" w14:textId="77777777" w:rsidR="00467A20" w:rsidRPr="00330234" w:rsidRDefault="00467A20" w:rsidP="009B0E27">
      <w:pPr>
        <w:pStyle w:val="a3"/>
        <w:widowControl/>
        <w:ind w:left="0"/>
      </w:pPr>
    </w:p>
    <w:p w14:paraId="2A66384E"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5.</w:t>
      </w:r>
      <w:r w:rsidRPr="00330234">
        <w:rPr>
          <w:b/>
        </w:rPr>
        <w:tab/>
        <w:t>WIJZE</w:t>
      </w:r>
      <w:r w:rsidRPr="00330234">
        <w:rPr>
          <w:b/>
          <w:spacing w:val="-5"/>
        </w:rPr>
        <w:t xml:space="preserve"> </w:t>
      </w:r>
      <w:r w:rsidRPr="00330234">
        <w:rPr>
          <w:b/>
        </w:rPr>
        <w:t>VAN</w:t>
      </w:r>
      <w:r w:rsidRPr="00330234">
        <w:rPr>
          <w:b/>
          <w:spacing w:val="-5"/>
        </w:rPr>
        <w:t xml:space="preserve"> </w:t>
      </w:r>
      <w:r w:rsidRPr="00330234">
        <w:rPr>
          <w:b/>
        </w:rPr>
        <w:t>GEBRUIK</w:t>
      </w:r>
      <w:r w:rsidRPr="00330234">
        <w:rPr>
          <w:b/>
          <w:spacing w:val="-3"/>
        </w:rPr>
        <w:t xml:space="preserve"> </w:t>
      </w:r>
      <w:r w:rsidRPr="00330234">
        <w:rPr>
          <w:b/>
        </w:rPr>
        <w:t>EN</w:t>
      </w:r>
      <w:r w:rsidRPr="00330234">
        <w:rPr>
          <w:b/>
          <w:spacing w:val="-4"/>
        </w:rPr>
        <w:t xml:space="preserve"> </w:t>
      </w:r>
      <w:r w:rsidRPr="00330234">
        <w:rPr>
          <w:b/>
          <w:spacing w:val="-2"/>
        </w:rPr>
        <w:t>TOEDIENINGSWEG(EN)</w:t>
      </w:r>
    </w:p>
    <w:p w14:paraId="3ED2E48A" w14:textId="712DB548" w:rsidR="00436DAA" w:rsidRPr="00330234" w:rsidRDefault="00436DAA" w:rsidP="009B0E27">
      <w:pPr>
        <w:pStyle w:val="a3"/>
        <w:widowControl/>
        <w:ind w:left="0"/>
      </w:pPr>
    </w:p>
    <w:p w14:paraId="3B966531" w14:textId="77777777" w:rsidR="00436DAA" w:rsidRPr="00330234" w:rsidRDefault="009B4B8E" w:rsidP="009B0E27">
      <w:pPr>
        <w:pStyle w:val="a3"/>
        <w:widowControl/>
        <w:ind w:left="0"/>
      </w:pPr>
      <w:r w:rsidRPr="00330234">
        <w:t>Subcutaan gebruik</w:t>
      </w:r>
    </w:p>
    <w:p w14:paraId="13B4D83A" w14:textId="77777777" w:rsidR="00436DAA" w:rsidRPr="00330234" w:rsidRDefault="009B4B8E" w:rsidP="009B0E27">
      <w:pPr>
        <w:pStyle w:val="a3"/>
        <w:widowControl/>
        <w:ind w:left="0"/>
      </w:pPr>
      <w:r w:rsidRPr="00330234">
        <w:t>Lees voor het gebruik de bijsluiter</w:t>
      </w:r>
    </w:p>
    <w:p w14:paraId="1BD7F13B" w14:textId="77777777" w:rsidR="00436DAA" w:rsidRPr="00330234" w:rsidRDefault="00436DAA" w:rsidP="009B0E27">
      <w:pPr>
        <w:pStyle w:val="a3"/>
        <w:widowControl/>
        <w:ind w:left="0"/>
      </w:pPr>
    </w:p>
    <w:p w14:paraId="1D786A96" w14:textId="77777777" w:rsidR="00467A20" w:rsidRPr="00330234" w:rsidRDefault="00467A20" w:rsidP="009B0E27">
      <w:pPr>
        <w:pStyle w:val="a3"/>
        <w:widowControl/>
        <w:ind w:left="0"/>
      </w:pPr>
    </w:p>
    <w:p w14:paraId="45ECAB33" w14:textId="21F8C2D0"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rPr>
        <w:t>6.</w:t>
      </w:r>
      <w:r w:rsidRPr="00330234">
        <w:rPr>
          <w:b/>
        </w:rPr>
        <w:tab/>
        <w:t>EEN</w:t>
      </w:r>
      <w:r w:rsidRPr="00330234">
        <w:rPr>
          <w:b/>
          <w:spacing w:val="-5"/>
        </w:rPr>
        <w:t xml:space="preserve"> </w:t>
      </w:r>
      <w:r w:rsidRPr="00330234">
        <w:rPr>
          <w:b/>
        </w:rPr>
        <w:t>SPECIALE</w:t>
      </w:r>
      <w:r w:rsidRPr="00330234">
        <w:rPr>
          <w:b/>
          <w:spacing w:val="-5"/>
        </w:rPr>
        <w:t xml:space="preserve"> </w:t>
      </w:r>
      <w:r w:rsidRPr="00330234">
        <w:rPr>
          <w:b/>
        </w:rPr>
        <w:t>WAARSCHUWING</w:t>
      </w:r>
      <w:r w:rsidRPr="00330234">
        <w:rPr>
          <w:b/>
          <w:spacing w:val="-6"/>
        </w:rPr>
        <w:t xml:space="preserve"> </w:t>
      </w:r>
      <w:r w:rsidRPr="00330234">
        <w:rPr>
          <w:b/>
        </w:rPr>
        <w:t>DAT</w:t>
      </w:r>
      <w:r w:rsidRPr="00330234">
        <w:rPr>
          <w:b/>
          <w:spacing w:val="-5"/>
        </w:rPr>
        <w:t xml:space="preserve"> </w:t>
      </w:r>
      <w:r w:rsidRPr="00330234">
        <w:rPr>
          <w:b/>
        </w:rPr>
        <w:t>HET</w:t>
      </w:r>
      <w:r w:rsidRPr="00330234">
        <w:rPr>
          <w:b/>
          <w:spacing w:val="-8"/>
        </w:rPr>
        <w:t xml:space="preserve"> </w:t>
      </w:r>
      <w:r w:rsidRPr="00330234">
        <w:rPr>
          <w:b/>
        </w:rPr>
        <w:t>GENEESMIDDEL</w:t>
      </w:r>
      <w:r w:rsidRPr="00330234">
        <w:rPr>
          <w:b/>
          <w:spacing w:val="-5"/>
        </w:rPr>
        <w:t xml:space="preserve"> </w:t>
      </w:r>
      <w:r w:rsidRPr="00330234">
        <w:rPr>
          <w:b/>
        </w:rPr>
        <w:t>BUITEN</w:t>
      </w:r>
      <w:r w:rsidRPr="00330234">
        <w:rPr>
          <w:b/>
          <w:spacing w:val="-5"/>
        </w:rPr>
        <w:t xml:space="preserve"> </w:t>
      </w:r>
      <w:r w:rsidRPr="00330234">
        <w:rPr>
          <w:b/>
        </w:rPr>
        <w:t>HET ZICHT EN BEREIK VAN KINDEREN DIENT TE WORDEN GEHOUDEN</w:t>
      </w:r>
    </w:p>
    <w:p w14:paraId="464E14D6" w14:textId="53F26FF1" w:rsidR="00436DAA" w:rsidRPr="00330234" w:rsidRDefault="00436DAA" w:rsidP="009B0E27">
      <w:pPr>
        <w:pStyle w:val="a3"/>
        <w:widowControl/>
        <w:ind w:left="0"/>
      </w:pPr>
    </w:p>
    <w:p w14:paraId="3C823C9F" w14:textId="77777777" w:rsidR="00436DAA" w:rsidRPr="00330234" w:rsidRDefault="009B4B8E" w:rsidP="009B0E27">
      <w:pPr>
        <w:pStyle w:val="a3"/>
        <w:widowControl/>
        <w:ind w:left="0"/>
      </w:pPr>
      <w:r w:rsidRPr="00330234">
        <w:t>Buiten het zicht en bereik van kinderen houden</w:t>
      </w:r>
    </w:p>
    <w:p w14:paraId="6B5C624C" w14:textId="77777777" w:rsidR="00436DAA" w:rsidRPr="00330234" w:rsidRDefault="00436DAA" w:rsidP="009B0E27">
      <w:pPr>
        <w:pStyle w:val="a3"/>
        <w:widowControl/>
        <w:ind w:left="0"/>
      </w:pPr>
    </w:p>
    <w:p w14:paraId="4FF5E8F2" w14:textId="77777777" w:rsidR="00467A20" w:rsidRPr="00330234" w:rsidRDefault="00467A20" w:rsidP="009B0E27">
      <w:pPr>
        <w:pStyle w:val="a3"/>
        <w:widowControl/>
        <w:ind w:left="0"/>
      </w:pPr>
    </w:p>
    <w:p w14:paraId="451BDE4A"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7.</w:t>
      </w:r>
      <w:r w:rsidRPr="00330234">
        <w:rPr>
          <w:b/>
        </w:rPr>
        <w:tab/>
        <w:t>ANDERE</w:t>
      </w:r>
      <w:r w:rsidRPr="00330234">
        <w:rPr>
          <w:b/>
          <w:spacing w:val="-13"/>
        </w:rPr>
        <w:t xml:space="preserve"> </w:t>
      </w:r>
      <w:r w:rsidRPr="00330234">
        <w:rPr>
          <w:b/>
        </w:rPr>
        <w:t>SPECIALE</w:t>
      </w:r>
      <w:r w:rsidRPr="00330234">
        <w:rPr>
          <w:b/>
          <w:spacing w:val="-11"/>
        </w:rPr>
        <w:t xml:space="preserve"> </w:t>
      </w:r>
      <w:r w:rsidRPr="00330234">
        <w:rPr>
          <w:b/>
        </w:rPr>
        <w:t>WAARSCHUWING(EN),</w:t>
      </w:r>
      <w:r w:rsidRPr="00330234">
        <w:rPr>
          <w:b/>
          <w:spacing w:val="-10"/>
        </w:rPr>
        <w:t xml:space="preserve"> </w:t>
      </w:r>
      <w:r w:rsidRPr="00330234">
        <w:rPr>
          <w:b/>
        </w:rPr>
        <w:t>INDIEN</w:t>
      </w:r>
      <w:r w:rsidRPr="00330234">
        <w:rPr>
          <w:b/>
          <w:spacing w:val="-10"/>
        </w:rPr>
        <w:t xml:space="preserve"> </w:t>
      </w:r>
      <w:r w:rsidRPr="00330234">
        <w:rPr>
          <w:b/>
          <w:spacing w:val="-2"/>
        </w:rPr>
        <w:t>NODIG</w:t>
      </w:r>
    </w:p>
    <w:p w14:paraId="5233E2D6" w14:textId="01908E96" w:rsidR="00436DAA" w:rsidRPr="00330234" w:rsidRDefault="00436DAA" w:rsidP="009B0E27">
      <w:pPr>
        <w:pStyle w:val="a3"/>
        <w:widowControl/>
        <w:ind w:left="0"/>
      </w:pPr>
    </w:p>
    <w:p w14:paraId="2B9214DE" w14:textId="77777777" w:rsidR="00436DAA" w:rsidRPr="00330234" w:rsidRDefault="009B4B8E" w:rsidP="009B0E27">
      <w:pPr>
        <w:pStyle w:val="a3"/>
        <w:widowControl/>
        <w:ind w:left="0"/>
      </w:pPr>
      <w:r w:rsidRPr="00330234">
        <w:t>De voorgevulde pen buiten de verpakking op kamertemperatuur laten komen gedurende 45 minuten voor gebruik</w:t>
      </w:r>
    </w:p>
    <w:p w14:paraId="1E375C6C" w14:textId="77777777" w:rsidR="00436DAA" w:rsidRPr="00330234" w:rsidRDefault="00436DAA" w:rsidP="009B0E27">
      <w:pPr>
        <w:pStyle w:val="a3"/>
        <w:widowControl/>
        <w:ind w:left="0"/>
      </w:pPr>
    </w:p>
    <w:p w14:paraId="338D8492" w14:textId="77777777" w:rsidR="00467A20" w:rsidRPr="00330234" w:rsidRDefault="00467A20" w:rsidP="009B0E27">
      <w:pPr>
        <w:pStyle w:val="a3"/>
        <w:widowControl/>
        <w:ind w:left="0"/>
      </w:pPr>
    </w:p>
    <w:p w14:paraId="437A4B32"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8.</w:t>
      </w:r>
      <w:r w:rsidRPr="00330234">
        <w:rPr>
          <w:b/>
        </w:rPr>
        <w:tab/>
        <w:t>UITERSTE</w:t>
      </w:r>
      <w:r w:rsidRPr="00330234">
        <w:rPr>
          <w:b/>
          <w:spacing w:val="-9"/>
        </w:rPr>
        <w:t xml:space="preserve"> </w:t>
      </w:r>
      <w:r w:rsidRPr="00330234">
        <w:rPr>
          <w:b/>
          <w:spacing w:val="-2"/>
        </w:rPr>
        <w:t>GEBRUIKSDATUM</w:t>
      </w:r>
    </w:p>
    <w:p w14:paraId="4CE1518F" w14:textId="21BAC013" w:rsidR="00436DAA" w:rsidRPr="00330234" w:rsidRDefault="00436DAA" w:rsidP="009B0E27">
      <w:pPr>
        <w:pStyle w:val="a3"/>
        <w:widowControl/>
        <w:ind w:left="0"/>
      </w:pPr>
    </w:p>
    <w:p w14:paraId="7B02A8DF" w14:textId="77777777" w:rsidR="00436DAA" w:rsidRPr="00330234" w:rsidRDefault="009B4B8E" w:rsidP="009B0E27">
      <w:pPr>
        <w:pStyle w:val="a3"/>
        <w:widowControl/>
        <w:ind w:left="0"/>
      </w:pPr>
      <w:r w:rsidRPr="00330234">
        <w:t>EXP</w:t>
      </w:r>
    </w:p>
    <w:p w14:paraId="5B13B6D7" w14:textId="77777777" w:rsidR="00436DAA" w:rsidRPr="00330234" w:rsidRDefault="00436DAA" w:rsidP="009B0E27">
      <w:pPr>
        <w:widowControl/>
      </w:pPr>
    </w:p>
    <w:p w14:paraId="0C1BC064" w14:textId="77777777" w:rsidR="00467A20" w:rsidRPr="00330234" w:rsidRDefault="00467A20" w:rsidP="009B0E27">
      <w:pPr>
        <w:widowControl/>
      </w:pPr>
    </w:p>
    <w:p w14:paraId="3FDB5EF5" w14:textId="77777777" w:rsidR="009B0E27" w:rsidRPr="00330234" w:rsidRDefault="009B0E27" w:rsidP="00467A20">
      <w:pPr>
        <w:keepNext/>
        <w:keepLines/>
        <w:pBdr>
          <w:top w:val="single" w:sz="4" w:space="1" w:color="auto"/>
          <w:left w:val="single" w:sz="4" w:space="4" w:color="auto"/>
          <w:bottom w:val="single" w:sz="4" w:space="1" w:color="auto"/>
          <w:right w:val="single" w:sz="4" w:space="4" w:color="auto"/>
        </w:pBdr>
        <w:ind w:left="567" w:hanging="567"/>
        <w:rPr>
          <w:b/>
        </w:rPr>
      </w:pPr>
      <w:r w:rsidRPr="00330234">
        <w:rPr>
          <w:b/>
          <w:spacing w:val="-5"/>
        </w:rPr>
        <w:lastRenderedPageBreak/>
        <w:t>9.</w:t>
      </w:r>
      <w:r w:rsidRPr="00330234">
        <w:rPr>
          <w:b/>
        </w:rPr>
        <w:tab/>
        <w:t>BIJZONDERE</w:t>
      </w:r>
      <w:r w:rsidRPr="00330234">
        <w:rPr>
          <w:b/>
          <w:spacing w:val="-12"/>
        </w:rPr>
        <w:t xml:space="preserve"> </w:t>
      </w:r>
      <w:r w:rsidRPr="00330234">
        <w:rPr>
          <w:b/>
        </w:rPr>
        <w:t>VOORZORGSMAATREGELEN</w:t>
      </w:r>
      <w:r w:rsidRPr="00330234">
        <w:rPr>
          <w:b/>
          <w:spacing w:val="-8"/>
        </w:rPr>
        <w:t xml:space="preserve"> </w:t>
      </w:r>
      <w:r w:rsidRPr="00330234">
        <w:rPr>
          <w:b/>
        </w:rPr>
        <w:t>VOOR</w:t>
      </w:r>
      <w:r w:rsidRPr="00330234">
        <w:rPr>
          <w:b/>
          <w:spacing w:val="-9"/>
        </w:rPr>
        <w:t xml:space="preserve"> </w:t>
      </w:r>
      <w:r w:rsidRPr="00330234">
        <w:rPr>
          <w:b/>
        </w:rPr>
        <w:t>DE</w:t>
      </w:r>
      <w:r w:rsidRPr="00330234">
        <w:rPr>
          <w:b/>
          <w:spacing w:val="-12"/>
        </w:rPr>
        <w:t xml:space="preserve"> </w:t>
      </w:r>
      <w:r w:rsidRPr="00330234">
        <w:rPr>
          <w:b/>
          <w:spacing w:val="-2"/>
        </w:rPr>
        <w:t>BEWARING</w:t>
      </w:r>
    </w:p>
    <w:p w14:paraId="4167DCEF" w14:textId="1467597F" w:rsidR="00436DAA" w:rsidRPr="00330234" w:rsidRDefault="00436DAA" w:rsidP="00467A20">
      <w:pPr>
        <w:pStyle w:val="a3"/>
        <w:keepNext/>
        <w:keepLines/>
        <w:widowControl/>
        <w:ind w:left="0"/>
      </w:pPr>
    </w:p>
    <w:p w14:paraId="6CD7A546" w14:textId="68D5854D" w:rsidR="003003EB" w:rsidRPr="00330234" w:rsidRDefault="009B4B8E" w:rsidP="00467A20">
      <w:pPr>
        <w:pStyle w:val="a3"/>
        <w:keepNext/>
        <w:keepLines/>
        <w:widowControl/>
        <w:ind w:left="0"/>
      </w:pPr>
      <w:r w:rsidRPr="00330234">
        <w:t>Bewaren in de koelkast</w:t>
      </w:r>
    </w:p>
    <w:p w14:paraId="4893A32D" w14:textId="1AA952BC" w:rsidR="00436DAA" w:rsidRPr="00330234" w:rsidRDefault="009B4B8E" w:rsidP="00467A20">
      <w:pPr>
        <w:pStyle w:val="a3"/>
        <w:keepNext/>
        <w:keepLines/>
        <w:widowControl/>
        <w:ind w:left="0"/>
      </w:pPr>
      <w:r w:rsidRPr="00330234">
        <w:t>Niet in de vriezer bewaren</w:t>
      </w:r>
    </w:p>
    <w:p w14:paraId="62E7D3D5" w14:textId="6267C931" w:rsidR="00436DAA" w:rsidRPr="00330234" w:rsidRDefault="009B4B8E" w:rsidP="00467A20">
      <w:pPr>
        <w:pStyle w:val="a3"/>
        <w:keepNext/>
        <w:keepLines/>
        <w:widowControl/>
        <w:ind w:left="0"/>
      </w:pPr>
      <w:r w:rsidRPr="00330234">
        <w:t xml:space="preserve">Eenmaal uit de koelkast gehaald, kan de voorgevulde pen tot </w:t>
      </w:r>
      <w:r w:rsidR="00597F7E" w:rsidRPr="00330234">
        <w:t>3 </w:t>
      </w:r>
      <w:r w:rsidRPr="00330234">
        <w:t>weken beneden 30°C worden bewaard</w:t>
      </w:r>
      <w:r w:rsidR="00156D8E" w:rsidRPr="00330234">
        <w:t>.</w:t>
      </w:r>
      <w:r w:rsidRPr="00330234">
        <w:t xml:space="preserve"> De voorgevulde pen in de buitenverpakking bewaren ter bescherming tegen licht en vocht</w:t>
      </w:r>
    </w:p>
    <w:p w14:paraId="72B66E17" w14:textId="77777777" w:rsidR="00436DAA" w:rsidRPr="00330234" w:rsidRDefault="00436DAA" w:rsidP="009B0E27">
      <w:pPr>
        <w:pStyle w:val="a3"/>
        <w:widowControl/>
        <w:ind w:left="0"/>
      </w:pPr>
    </w:p>
    <w:p w14:paraId="50EE8A4A" w14:textId="77777777" w:rsidR="00467A20" w:rsidRPr="00330234" w:rsidRDefault="00467A20" w:rsidP="009B0E27">
      <w:pPr>
        <w:pStyle w:val="a3"/>
        <w:widowControl/>
        <w:ind w:left="0"/>
      </w:pPr>
    </w:p>
    <w:p w14:paraId="2CAEC556"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10.</w:t>
      </w:r>
      <w:r w:rsidRPr="00330234">
        <w:rPr>
          <w:b/>
        </w:rPr>
        <w:tab/>
        <w:t>BIJZONDERE</w:t>
      </w:r>
      <w:r w:rsidRPr="00330234">
        <w:rPr>
          <w:b/>
          <w:spacing w:val="-8"/>
        </w:rPr>
        <w:t xml:space="preserve"> </w:t>
      </w:r>
      <w:r w:rsidRPr="00330234">
        <w:rPr>
          <w:b/>
        </w:rPr>
        <w:t>VOORZORGSMAATREGELEN</w:t>
      </w:r>
      <w:r w:rsidRPr="00330234">
        <w:rPr>
          <w:b/>
          <w:spacing w:val="-7"/>
        </w:rPr>
        <w:t xml:space="preserve"> </w:t>
      </w:r>
      <w:r w:rsidRPr="00330234">
        <w:rPr>
          <w:b/>
        </w:rPr>
        <w:t>VOOR</w:t>
      </w:r>
      <w:r w:rsidRPr="00330234">
        <w:rPr>
          <w:b/>
          <w:spacing w:val="-11"/>
        </w:rPr>
        <w:t xml:space="preserve"> </w:t>
      </w:r>
      <w:r w:rsidRPr="00330234">
        <w:rPr>
          <w:b/>
        </w:rPr>
        <w:t>HET</w:t>
      </w:r>
      <w:r w:rsidRPr="00330234">
        <w:rPr>
          <w:b/>
          <w:spacing w:val="-8"/>
        </w:rPr>
        <w:t xml:space="preserve"> </w:t>
      </w:r>
      <w:r w:rsidRPr="00330234">
        <w:rPr>
          <w:b/>
        </w:rPr>
        <w:t>VERWIJDEREN</w:t>
      </w:r>
      <w:r w:rsidRPr="00330234">
        <w:rPr>
          <w:b/>
          <w:spacing w:val="-8"/>
        </w:rPr>
        <w:t xml:space="preserve"> </w:t>
      </w:r>
      <w:r w:rsidRPr="00330234">
        <w:rPr>
          <w:b/>
        </w:rPr>
        <w:t>VAN NIET-GEBRUIKTE GENEESMIDDELEN OF DAARVAN AFGELEIDE AFVALSTOFFEN (INDIEN VAN TOEPASSING)</w:t>
      </w:r>
    </w:p>
    <w:p w14:paraId="5BAA4EC8" w14:textId="5BE10BC7" w:rsidR="00436DAA" w:rsidRPr="00330234" w:rsidRDefault="00436DAA" w:rsidP="009B0E27">
      <w:pPr>
        <w:pStyle w:val="a3"/>
        <w:widowControl/>
        <w:ind w:left="0"/>
      </w:pPr>
    </w:p>
    <w:p w14:paraId="2F9D342F" w14:textId="77777777" w:rsidR="00436DAA" w:rsidRPr="00330234" w:rsidRDefault="00436DAA" w:rsidP="009B0E27">
      <w:pPr>
        <w:pStyle w:val="a3"/>
        <w:widowControl/>
        <w:ind w:left="0"/>
      </w:pPr>
    </w:p>
    <w:p w14:paraId="6F3891A6"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4"/>
        </w:rPr>
        <w:t>11.</w:t>
      </w:r>
      <w:r w:rsidRPr="00330234">
        <w:rPr>
          <w:b/>
        </w:rPr>
        <w:tab/>
        <w:t>NAAM</w:t>
      </w:r>
      <w:r w:rsidRPr="00330234">
        <w:rPr>
          <w:b/>
          <w:spacing w:val="-3"/>
        </w:rPr>
        <w:t xml:space="preserve"> </w:t>
      </w:r>
      <w:r w:rsidRPr="00330234">
        <w:rPr>
          <w:b/>
        </w:rPr>
        <w:t>EN</w:t>
      </w:r>
      <w:r w:rsidRPr="00330234">
        <w:rPr>
          <w:b/>
          <w:spacing w:val="-4"/>
        </w:rPr>
        <w:t xml:space="preserve"> </w:t>
      </w:r>
      <w:r w:rsidRPr="00330234">
        <w:rPr>
          <w:b/>
        </w:rPr>
        <w:t>ADRES</w:t>
      </w:r>
      <w:r w:rsidRPr="00330234">
        <w:rPr>
          <w:b/>
          <w:spacing w:val="-4"/>
        </w:rPr>
        <w:t xml:space="preserve"> </w:t>
      </w:r>
      <w:r w:rsidRPr="00330234">
        <w:rPr>
          <w:b/>
        </w:rPr>
        <w:t>VAN</w:t>
      </w:r>
      <w:r w:rsidRPr="00330234">
        <w:rPr>
          <w:b/>
          <w:spacing w:val="-2"/>
        </w:rPr>
        <w:t xml:space="preserve"> </w:t>
      </w:r>
      <w:r w:rsidRPr="00330234">
        <w:rPr>
          <w:b/>
        </w:rPr>
        <w:t>DE</w:t>
      </w:r>
      <w:r w:rsidRPr="00330234">
        <w:rPr>
          <w:b/>
          <w:spacing w:val="-4"/>
        </w:rPr>
        <w:t xml:space="preserve"> </w:t>
      </w:r>
      <w:r w:rsidRPr="00330234">
        <w:rPr>
          <w:b/>
        </w:rPr>
        <w:t>HOUDER</w:t>
      </w:r>
      <w:r w:rsidRPr="00330234">
        <w:rPr>
          <w:b/>
          <w:spacing w:val="-4"/>
        </w:rPr>
        <w:t xml:space="preserve"> </w:t>
      </w:r>
      <w:r w:rsidRPr="00330234">
        <w:rPr>
          <w:b/>
        </w:rPr>
        <w:t>VAN</w:t>
      </w:r>
      <w:r w:rsidRPr="00330234">
        <w:rPr>
          <w:b/>
          <w:spacing w:val="-4"/>
        </w:rPr>
        <w:t xml:space="preserve"> </w:t>
      </w:r>
      <w:r w:rsidRPr="00330234">
        <w:rPr>
          <w:b/>
        </w:rPr>
        <w:t>DE</w:t>
      </w:r>
      <w:r w:rsidRPr="00330234">
        <w:rPr>
          <w:b/>
          <w:spacing w:val="-4"/>
        </w:rPr>
        <w:t xml:space="preserve"> </w:t>
      </w:r>
      <w:r w:rsidRPr="00330234">
        <w:rPr>
          <w:b/>
        </w:rPr>
        <w:t>VERGUNNING</w:t>
      </w:r>
      <w:r w:rsidRPr="00330234">
        <w:rPr>
          <w:b/>
          <w:spacing w:val="-2"/>
        </w:rPr>
        <w:t xml:space="preserve"> </w:t>
      </w:r>
      <w:r w:rsidRPr="00330234">
        <w:rPr>
          <w:b/>
        </w:rPr>
        <w:t>VOOR</w:t>
      </w:r>
      <w:r w:rsidRPr="00330234">
        <w:rPr>
          <w:b/>
          <w:spacing w:val="-4"/>
        </w:rPr>
        <w:t xml:space="preserve"> </w:t>
      </w:r>
      <w:r w:rsidRPr="00330234">
        <w:rPr>
          <w:b/>
        </w:rPr>
        <w:t>HET</w:t>
      </w:r>
      <w:r w:rsidRPr="00330234">
        <w:rPr>
          <w:b/>
          <w:spacing w:val="-4"/>
        </w:rPr>
        <w:t xml:space="preserve"> </w:t>
      </w:r>
      <w:r w:rsidRPr="00330234">
        <w:rPr>
          <w:b/>
        </w:rPr>
        <w:t>IN</w:t>
      </w:r>
      <w:r w:rsidRPr="00330234">
        <w:rPr>
          <w:b/>
          <w:spacing w:val="-4"/>
        </w:rPr>
        <w:t xml:space="preserve"> </w:t>
      </w:r>
      <w:r w:rsidRPr="00330234">
        <w:rPr>
          <w:b/>
        </w:rPr>
        <w:t>DE HANDEL BRENGEN</w:t>
      </w:r>
    </w:p>
    <w:p w14:paraId="3CE7CDA2" w14:textId="1C321E0F" w:rsidR="00436DAA" w:rsidRPr="00330234" w:rsidRDefault="00436DAA" w:rsidP="009B0E27">
      <w:pPr>
        <w:pStyle w:val="a3"/>
        <w:widowControl/>
        <w:ind w:left="0"/>
      </w:pPr>
    </w:p>
    <w:p w14:paraId="4BD7FB78" w14:textId="77777777" w:rsidR="00597F7E" w:rsidRPr="00330234" w:rsidRDefault="00597F7E" w:rsidP="00597F7E">
      <w:pPr>
        <w:keepNext/>
      </w:pPr>
      <w:r w:rsidRPr="00330234">
        <w:t xml:space="preserve">Celltrion Healthcare Hungary Kft. </w:t>
      </w:r>
    </w:p>
    <w:p w14:paraId="37D710A6" w14:textId="77777777" w:rsidR="00597F7E" w:rsidRPr="00330234" w:rsidRDefault="00597F7E" w:rsidP="00597F7E">
      <w:pPr>
        <w:keepNext/>
      </w:pPr>
      <w:r w:rsidRPr="00330234">
        <w:t>1062 Budapest</w:t>
      </w:r>
    </w:p>
    <w:p w14:paraId="50A672EA" w14:textId="77777777" w:rsidR="00597F7E" w:rsidRPr="00330234" w:rsidRDefault="00597F7E" w:rsidP="00597F7E">
      <w:pPr>
        <w:keepNext/>
      </w:pPr>
      <w:r w:rsidRPr="00330234">
        <w:t>Váci út 1-3. WestEnd Office Building B torony</w:t>
      </w:r>
    </w:p>
    <w:p w14:paraId="1C936735" w14:textId="573FCBC5" w:rsidR="00597F7E" w:rsidRPr="00330234" w:rsidRDefault="00597F7E" w:rsidP="00597F7E">
      <w:r w:rsidRPr="00330234">
        <w:t>Hongarije</w:t>
      </w:r>
    </w:p>
    <w:p w14:paraId="7C50B4F1" w14:textId="77777777" w:rsidR="00436DAA" w:rsidRPr="00330234" w:rsidRDefault="00436DAA" w:rsidP="009B0E27">
      <w:pPr>
        <w:pStyle w:val="a3"/>
        <w:widowControl/>
        <w:ind w:left="0"/>
      </w:pPr>
    </w:p>
    <w:p w14:paraId="5D6884A3" w14:textId="77777777" w:rsidR="00467A20" w:rsidRPr="00330234" w:rsidRDefault="00467A20" w:rsidP="009B0E27">
      <w:pPr>
        <w:pStyle w:val="a3"/>
        <w:widowControl/>
        <w:ind w:left="0"/>
      </w:pPr>
    </w:p>
    <w:p w14:paraId="39D921AC"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12.</w:t>
      </w:r>
      <w:r w:rsidRPr="00330234">
        <w:rPr>
          <w:b/>
        </w:rPr>
        <w:tab/>
        <w:t>NUMMER(S)</w:t>
      </w:r>
      <w:r w:rsidRPr="00330234">
        <w:rPr>
          <w:b/>
          <w:spacing w:val="-6"/>
        </w:rPr>
        <w:t xml:space="preserve"> </w:t>
      </w:r>
      <w:r w:rsidRPr="00330234">
        <w:rPr>
          <w:b/>
        </w:rPr>
        <w:t>VAN</w:t>
      </w:r>
      <w:r w:rsidRPr="00330234">
        <w:rPr>
          <w:b/>
          <w:spacing w:val="-5"/>
        </w:rPr>
        <w:t xml:space="preserve"> </w:t>
      </w:r>
      <w:r w:rsidRPr="00330234">
        <w:rPr>
          <w:b/>
        </w:rPr>
        <w:t>DE</w:t>
      </w:r>
      <w:r w:rsidRPr="00330234">
        <w:rPr>
          <w:b/>
          <w:spacing w:val="-6"/>
        </w:rPr>
        <w:t xml:space="preserve"> </w:t>
      </w:r>
      <w:r w:rsidRPr="00330234">
        <w:rPr>
          <w:b/>
        </w:rPr>
        <w:t>VERGUNNING</w:t>
      </w:r>
      <w:r w:rsidRPr="00330234">
        <w:rPr>
          <w:b/>
          <w:spacing w:val="-3"/>
        </w:rPr>
        <w:t xml:space="preserve"> </w:t>
      </w:r>
      <w:r w:rsidRPr="00330234">
        <w:rPr>
          <w:b/>
        </w:rPr>
        <w:t>VOOR</w:t>
      </w:r>
      <w:r w:rsidRPr="00330234">
        <w:rPr>
          <w:b/>
          <w:spacing w:val="-6"/>
        </w:rPr>
        <w:t xml:space="preserve"> </w:t>
      </w:r>
      <w:r w:rsidRPr="00330234">
        <w:rPr>
          <w:b/>
        </w:rPr>
        <w:t>HET</w:t>
      </w:r>
      <w:r w:rsidRPr="00330234">
        <w:rPr>
          <w:b/>
          <w:spacing w:val="-5"/>
        </w:rPr>
        <w:t xml:space="preserve"> </w:t>
      </w:r>
      <w:r w:rsidRPr="00330234">
        <w:rPr>
          <w:b/>
        </w:rPr>
        <w:t>IN</w:t>
      </w:r>
      <w:r w:rsidRPr="00330234">
        <w:rPr>
          <w:b/>
          <w:spacing w:val="-6"/>
        </w:rPr>
        <w:t xml:space="preserve"> </w:t>
      </w:r>
      <w:r w:rsidRPr="00330234">
        <w:rPr>
          <w:b/>
        </w:rPr>
        <w:t>DE</w:t>
      </w:r>
      <w:r w:rsidRPr="00330234">
        <w:rPr>
          <w:b/>
          <w:spacing w:val="-5"/>
        </w:rPr>
        <w:t xml:space="preserve"> </w:t>
      </w:r>
      <w:r w:rsidRPr="00330234">
        <w:rPr>
          <w:b/>
        </w:rPr>
        <w:t>HANDEL</w:t>
      </w:r>
      <w:r w:rsidRPr="00330234">
        <w:rPr>
          <w:b/>
          <w:spacing w:val="-5"/>
        </w:rPr>
        <w:t xml:space="preserve"> </w:t>
      </w:r>
      <w:r w:rsidRPr="00330234">
        <w:rPr>
          <w:b/>
          <w:spacing w:val="-2"/>
        </w:rPr>
        <w:t>BRENGEN</w:t>
      </w:r>
    </w:p>
    <w:p w14:paraId="3F3A7BFC" w14:textId="49B7F3D3" w:rsidR="00436DAA" w:rsidRPr="00330234" w:rsidRDefault="00436DAA" w:rsidP="009B0E27">
      <w:pPr>
        <w:pStyle w:val="a3"/>
        <w:widowControl/>
        <w:ind w:left="0"/>
      </w:pPr>
    </w:p>
    <w:p w14:paraId="41B344E5" w14:textId="03A68150" w:rsidR="00436DAA" w:rsidRPr="00330234" w:rsidRDefault="009B4B8E" w:rsidP="009B0E27">
      <w:pPr>
        <w:pStyle w:val="a3"/>
        <w:widowControl/>
        <w:ind w:left="0"/>
      </w:pPr>
      <w:r w:rsidRPr="00330234">
        <w:t>EU/</w:t>
      </w:r>
      <w:r w:rsidR="00064F9F" w:rsidRPr="00DA3B0A">
        <w:t>1/24/1896/012 12</w:t>
      </w:r>
      <w:r w:rsidR="00064F9F">
        <w:t> </w:t>
      </w:r>
      <w:r w:rsidR="00064F9F" w:rsidRPr="00DA3B0A">
        <w:t>(3</w:t>
      </w:r>
      <w:r w:rsidR="00064F9F">
        <w:t> × 4)</w:t>
      </w:r>
      <w:r w:rsidR="00064F9F" w:rsidRPr="00DA3B0A">
        <w:t xml:space="preserve"> </w:t>
      </w:r>
      <w:r w:rsidR="00064F9F">
        <w:t>voorgevulde</w:t>
      </w:r>
      <w:r w:rsidR="00064F9F" w:rsidRPr="00DA3B0A">
        <w:t xml:space="preserve"> pen</w:t>
      </w:r>
      <w:r w:rsidR="00064F9F">
        <w:t>nen</w:t>
      </w:r>
      <w:r w:rsidR="00064F9F" w:rsidRPr="00DA3B0A">
        <w:t xml:space="preserve"> (multi</w:t>
      </w:r>
      <w:r w:rsidR="00064F9F">
        <w:t>verpakking</w:t>
      </w:r>
      <w:r w:rsidR="00064F9F" w:rsidRPr="00DA3B0A">
        <w:t>)</w:t>
      </w:r>
    </w:p>
    <w:p w14:paraId="1566D092" w14:textId="77777777" w:rsidR="00436DAA" w:rsidRPr="00330234" w:rsidRDefault="00436DAA" w:rsidP="009B0E27">
      <w:pPr>
        <w:pStyle w:val="a3"/>
        <w:widowControl/>
        <w:ind w:left="0"/>
      </w:pPr>
    </w:p>
    <w:p w14:paraId="0152534E" w14:textId="77777777" w:rsidR="00467A20" w:rsidRPr="00330234" w:rsidRDefault="00467A20" w:rsidP="009B0E27">
      <w:pPr>
        <w:pStyle w:val="a3"/>
        <w:widowControl/>
        <w:ind w:left="0"/>
      </w:pPr>
    </w:p>
    <w:p w14:paraId="2D387CF3"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13.</w:t>
      </w:r>
      <w:r w:rsidRPr="00330234">
        <w:rPr>
          <w:b/>
        </w:rPr>
        <w:tab/>
      </w:r>
      <w:r w:rsidRPr="00330234">
        <w:rPr>
          <w:b/>
          <w:spacing w:val="-2"/>
        </w:rPr>
        <w:t>PARTIJNUMMER</w:t>
      </w:r>
    </w:p>
    <w:p w14:paraId="245C408A" w14:textId="3111BF58" w:rsidR="00436DAA" w:rsidRPr="00330234" w:rsidRDefault="00436DAA" w:rsidP="009B0E27">
      <w:pPr>
        <w:pStyle w:val="a3"/>
        <w:widowControl/>
        <w:ind w:left="0"/>
      </w:pPr>
    </w:p>
    <w:p w14:paraId="0224BD43" w14:textId="77777777" w:rsidR="00436DAA" w:rsidRPr="00330234" w:rsidRDefault="009B4B8E" w:rsidP="009B0E27">
      <w:pPr>
        <w:pStyle w:val="a3"/>
        <w:widowControl/>
        <w:ind w:left="0"/>
      </w:pPr>
      <w:r w:rsidRPr="00330234">
        <w:t>Charge</w:t>
      </w:r>
    </w:p>
    <w:p w14:paraId="567D5F9F" w14:textId="77777777" w:rsidR="00436DAA" w:rsidRPr="00330234" w:rsidRDefault="00436DAA" w:rsidP="009B0E27">
      <w:pPr>
        <w:pStyle w:val="a3"/>
        <w:widowControl/>
        <w:ind w:left="0"/>
      </w:pPr>
    </w:p>
    <w:p w14:paraId="7A1CCD19" w14:textId="77777777" w:rsidR="00467A20" w:rsidRPr="00330234" w:rsidRDefault="00467A20" w:rsidP="009B0E27">
      <w:pPr>
        <w:pStyle w:val="a3"/>
        <w:widowControl/>
        <w:ind w:left="0"/>
      </w:pPr>
    </w:p>
    <w:p w14:paraId="73482BFB"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14.</w:t>
      </w:r>
      <w:r w:rsidRPr="00330234">
        <w:rPr>
          <w:b/>
        </w:rPr>
        <w:tab/>
        <w:t>ALGEMENE</w:t>
      </w:r>
      <w:r w:rsidRPr="00330234">
        <w:rPr>
          <w:b/>
          <w:spacing w:val="-6"/>
        </w:rPr>
        <w:t xml:space="preserve"> </w:t>
      </w:r>
      <w:r w:rsidRPr="00330234">
        <w:rPr>
          <w:b/>
        </w:rPr>
        <w:t>INDELING</w:t>
      </w:r>
      <w:r w:rsidRPr="00330234">
        <w:rPr>
          <w:b/>
          <w:spacing w:val="-4"/>
        </w:rPr>
        <w:t xml:space="preserve"> </w:t>
      </w:r>
      <w:r w:rsidRPr="00330234">
        <w:rPr>
          <w:b/>
        </w:rPr>
        <w:t>VOOR</w:t>
      </w:r>
      <w:r w:rsidRPr="00330234">
        <w:rPr>
          <w:b/>
          <w:spacing w:val="-6"/>
        </w:rPr>
        <w:t xml:space="preserve"> </w:t>
      </w:r>
      <w:r w:rsidRPr="00330234">
        <w:rPr>
          <w:b/>
        </w:rPr>
        <w:t>DE</w:t>
      </w:r>
      <w:r w:rsidRPr="00330234">
        <w:rPr>
          <w:b/>
          <w:spacing w:val="-5"/>
        </w:rPr>
        <w:t xml:space="preserve"> </w:t>
      </w:r>
      <w:r w:rsidRPr="00330234">
        <w:rPr>
          <w:b/>
          <w:spacing w:val="-2"/>
        </w:rPr>
        <w:t>AFLEVERING</w:t>
      </w:r>
    </w:p>
    <w:p w14:paraId="22CA3E04" w14:textId="10E656B5" w:rsidR="00436DAA" w:rsidRPr="00330234" w:rsidRDefault="00436DAA" w:rsidP="009B0E27">
      <w:pPr>
        <w:pStyle w:val="a3"/>
        <w:widowControl/>
        <w:ind w:left="0"/>
      </w:pPr>
    </w:p>
    <w:p w14:paraId="43B9F579" w14:textId="77777777" w:rsidR="00436DAA" w:rsidRPr="00330234" w:rsidRDefault="00436DAA" w:rsidP="009B0E27">
      <w:pPr>
        <w:pStyle w:val="a3"/>
        <w:widowControl/>
        <w:ind w:left="0"/>
      </w:pPr>
    </w:p>
    <w:p w14:paraId="2F0107CE"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15.</w:t>
      </w:r>
      <w:r w:rsidRPr="00330234">
        <w:rPr>
          <w:b/>
        </w:rPr>
        <w:tab/>
        <w:t>INSTRUCTIES</w:t>
      </w:r>
      <w:r w:rsidRPr="00330234">
        <w:rPr>
          <w:b/>
          <w:spacing w:val="-7"/>
        </w:rPr>
        <w:t xml:space="preserve"> </w:t>
      </w:r>
      <w:r w:rsidRPr="00330234">
        <w:rPr>
          <w:b/>
        </w:rPr>
        <w:t>VOOR</w:t>
      </w:r>
      <w:r w:rsidRPr="00330234">
        <w:rPr>
          <w:b/>
          <w:spacing w:val="-7"/>
        </w:rPr>
        <w:t xml:space="preserve"> </w:t>
      </w:r>
      <w:r w:rsidRPr="00330234">
        <w:rPr>
          <w:b/>
          <w:spacing w:val="-2"/>
        </w:rPr>
        <w:t>GEBRUIK</w:t>
      </w:r>
    </w:p>
    <w:p w14:paraId="500AEA83" w14:textId="6F991905" w:rsidR="00436DAA" w:rsidRPr="00330234" w:rsidRDefault="00436DAA" w:rsidP="009B0E27">
      <w:pPr>
        <w:pStyle w:val="a3"/>
        <w:widowControl/>
        <w:ind w:left="0"/>
      </w:pPr>
    </w:p>
    <w:p w14:paraId="4DD38F56" w14:textId="77777777" w:rsidR="00436DAA" w:rsidRPr="00330234" w:rsidRDefault="00436DAA" w:rsidP="009B0E27">
      <w:pPr>
        <w:pStyle w:val="a3"/>
        <w:widowControl/>
        <w:ind w:left="0"/>
      </w:pPr>
    </w:p>
    <w:p w14:paraId="591CF6AC"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16.</w:t>
      </w:r>
      <w:r w:rsidRPr="00330234">
        <w:rPr>
          <w:b/>
        </w:rPr>
        <w:tab/>
        <w:t>INFORMATIE</w:t>
      </w:r>
      <w:r w:rsidRPr="00330234">
        <w:rPr>
          <w:b/>
          <w:spacing w:val="-5"/>
        </w:rPr>
        <w:t xml:space="preserve"> </w:t>
      </w:r>
      <w:r w:rsidRPr="00330234">
        <w:rPr>
          <w:b/>
        </w:rPr>
        <w:t>IN</w:t>
      </w:r>
      <w:r w:rsidRPr="00330234">
        <w:rPr>
          <w:b/>
          <w:spacing w:val="-7"/>
        </w:rPr>
        <w:t xml:space="preserve"> </w:t>
      </w:r>
      <w:r w:rsidRPr="00330234">
        <w:rPr>
          <w:b/>
          <w:spacing w:val="-2"/>
        </w:rPr>
        <w:t>BRAILLE</w:t>
      </w:r>
    </w:p>
    <w:p w14:paraId="482EB7B9" w14:textId="5F61C8A7" w:rsidR="00436DAA" w:rsidRPr="00330234" w:rsidRDefault="00436DAA" w:rsidP="009B0E27">
      <w:pPr>
        <w:pStyle w:val="a3"/>
        <w:widowControl/>
        <w:ind w:left="0"/>
      </w:pPr>
    </w:p>
    <w:p w14:paraId="434B1A1C" w14:textId="25BB9914" w:rsidR="00436DAA" w:rsidRPr="001B3E1E" w:rsidRDefault="00597F7E" w:rsidP="009B0E27">
      <w:pPr>
        <w:pStyle w:val="a3"/>
        <w:widowControl/>
        <w:ind w:left="0"/>
        <w:rPr>
          <w:rFonts w:eastAsia="맑은 고딕"/>
          <w:lang w:eastAsia="ko-KR"/>
        </w:rPr>
      </w:pPr>
      <w:r w:rsidRPr="00330234">
        <w:t xml:space="preserve">avtozma </w:t>
      </w:r>
      <w:r w:rsidR="009B4B8E" w:rsidRPr="00330234">
        <w:t>162 mg</w:t>
      </w:r>
    </w:p>
    <w:p w14:paraId="33357F36" w14:textId="77777777" w:rsidR="00436DAA" w:rsidRPr="00330234" w:rsidRDefault="00436DAA" w:rsidP="009B0E27">
      <w:pPr>
        <w:pStyle w:val="a3"/>
        <w:widowControl/>
        <w:ind w:left="0"/>
      </w:pPr>
    </w:p>
    <w:p w14:paraId="501FB9AD" w14:textId="77777777" w:rsidR="00467A20" w:rsidRPr="00330234" w:rsidRDefault="00467A20" w:rsidP="009B0E27">
      <w:pPr>
        <w:pStyle w:val="a3"/>
        <w:widowControl/>
        <w:ind w:left="0"/>
      </w:pPr>
    </w:p>
    <w:p w14:paraId="0BA3F3DA"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17.</w:t>
      </w:r>
      <w:r w:rsidRPr="00330234">
        <w:rPr>
          <w:b/>
        </w:rPr>
        <w:tab/>
        <w:t>UNIEK</w:t>
      </w:r>
      <w:r w:rsidRPr="00330234">
        <w:rPr>
          <w:b/>
          <w:spacing w:val="-8"/>
        </w:rPr>
        <w:t xml:space="preserve"> </w:t>
      </w:r>
      <w:r w:rsidRPr="00330234">
        <w:rPr>
          <w:b/>
        </w:rPr>
        <w:t>IDENTIFICATIEKENMERK</w:t>
      </w:r>
      <w:r w:rsidRPr="00330234">
        <w:rPr>
          <w:b/>
          <w:spacing w:val="-7"/>
        </w:rPr>
        <w:t xml:space="preserve"> </w:t>
      </w:r>
      <w:r w:rsidRPr="00330234">
        <w:rPr>
          <w:b/>
        </w:rPr>
        <w:t>-</w:t>
      </w:r>
      <w:r w:rsidRPr="00330234">
        <w:rPr>
          <w:b/>
          <w:spacing w:val="-5"/>
        </w:rPr>
        <w:t xml:space="preserve"> </w:t>
      </w:r>
      <w:r w:rsidRPr="00330234">
        <w:rPr>
          <w:b/>
        </w:rPr>
        <w:t>2D</w:t>
      </w:r>
      <w:r w:rsidRPr="00330234">
        <w:rPr>
          <w:b/>
          <w:spacing w:val="-7"/>
        </w:rPr>
        <w:t xml:space="preserve"> </w:t>
      </w:r>
      <w:r w:rsidRPr="00330234">
        <w:rPr>
          <w:b/>
          <w:spacing w:val="-2"/>
        </w:rPr>
        <w:t>MATRIXCODE</w:t>
      </w:r>
    </w:p>
    <w:p w14:paraId="265E08B2" w14:textId="455BA7FA" w:rsidR="00436DAA" w:rsidRPr="00330234" w:rsidRDefault="00436DAA" w:rsidP="009B0E27">
      <w:pPr>
        <w:pStyle w:val="a3"/>
        <w:widowControl/>
        <w:ind w:left="0"/>
      </w:pPr>
    </w:p>
    <w:p w14:paraId="55E90CE7" w14:textId="77777777" w:rsidR="00436DAA" w:rsidRPr="00143A85" w:rsidRDefault="009B4B8E" w:rsidP="009B0E27">
      <w:pPr>
        <w:pStyle w:val="a3"/>
        <w:widowControl/>
        <w:ind w:left="0"/>
        <w:rPr>
          <w:shd w:val="pct15" w:color="auto" w:fill="FFFFFF"/>
        </w:rPr>
      </w:pPr>
      <w:r w:rsidRPr="00143A85">
        <w:rPr>
          <w:color w:val="000000"/>
          <w:highlight w:val="lightGray"/>
          <w:shd w:val="pct15" w:color="auto" w:fill="FFFFFF"/>
        </w:rPr>
        <w:t>2D matrixcode met het unieke identificatiekenmerk.</w:t>
      </w:r>
    </w:p>
    <w:p w14:paraId="68A0DA0D" w14:textId="77777777" w:rsidR="00436DAA" w:rsidRPr="00330234" w:rsidRDefault="00436DAA" w:rsidP="009B0E27">
      <w:pPr>
        <w:pStyle w:val="a3"/>
        <w:widowControl/>
        <w:ind w:left="0"/>
      </w:pPr>
    </w:p>
    <w:p w14:paraId="1335B699" w14:textId="77777777" w:rsidR="00467A20" w:rsidRPr="00330234" w:rsidRDefault="00467A20" w:rsidP="009B0E27">
      <w:pPr>
        <w:pStyle w:val="a3"/>
        <w:widowControl/>
        <w:ind w:left="0"/>
      </w:pPr>
    </w:p>
    <w:p w14:paraId="75A123DC"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18.</w:t>
      </w:r>
      <w:r w:rsidRPr="00330234">
        <w:rPr>
          <w:b/>
        </w:rPr>
        <w:tab/>
        <w:t>UNIEK</w:t>
      </w:r>
      <w:r w:rsidRPr="00330234">
        <w:rPr>
          <w:b/>
          <w:spacing w:val="-9"/>
        </w:rPr>
        <w:t xml:space="preserve"> </w:t>
      </w:r>
      <w:r w:rsidRPr="00330234">
        <w:rPr>
          <w:b/>
        </w:rPr>
        <w:t>IDENTIFICATIEKENMERK</w:t>
      </w:r>
      <w:r w:rsidRPr="00330234">
        <w:rPr>
          <w:b/>
          <w:spacing w:val="-8"/>
        </w:rPr>
        <w:t xml:space="preserve"> </w:t>
      </w:r>
      <w:r w:rsidRPr="00330234">
        <w:rPr>
          <w:b/>
        </w:rPr>
        <w:t>-</w:t>
      </w:r>
      <w:r w:rsidRPr="00330234">
        <w:rPr>
          <w:b/>
          <w:spacing w:val="-6"/>
        </w:rPr>
        <w:t xml:space="preserve"> </w:t>
      </w:r>
      <w:r w:rsidRPr="00330234">
        <w:rPr>
          <w:b/>
        </w:rPr>
        <w:t>VOOR</w:t>
      </w:r>
      <w:r w:rsidRPr="00330234">
        <w:rPr>
          <w:b/>
          <w:spacing w:val="-8"/>
        </w:rPr>
        <w:t xml:space="preserve"> </w:t>
      </w:r>
      <w:r w:rsidRPr="00330234">
        <w:rPr>
          <w:b/>
        </w:rPr>
        <w:t>MENSEN</w:t>
      </w:r>
      <w:r w:rsidRPr="00330234">
        <w:rPr>
          <w:b/>
          <w:spacing w:val="-8"/>
        </w:rPr>
        <w:t xml:space="preserve"> </w:t>
      </w:r>
      <w:r w:rsidRPr="00330234">
        <w:rPr>
          <w:b/>
        </w:rPr>
        <w:t>LEESBARE</w:t>
      </w:r>
      <w:r w:rsidRPr="00330234">
        <w:rPr>
          <w:b/>
          <w:spacing w:val="-8"/>
        </w:rPr>
        <w:t xml:space="preserve"> </w:t>
      </w:r>
      <w:r w:rsidRPr="00330234">
        <w:rPr>
          <w:b/>
          <w:spacing w:val="-2"/>
        </w:rPr>
        <w:t>GEGEVENS</w:t>
      </w:r>
    </w:p>
    <w:p w14:paraId="7DDA0BBF" w14:textId="6847FE94" w:rsidR="00436DAA" w:rsidRPr="00330234" w:rsidRDefault="00436DAA" w:rsidP="009B0E27">
      <w:pPr>
        <w:pStyle w:val="a3"/>
        <w:widowControl/>
        <w:ind w:left="0"/>
      </w:pPr>
    </w:p>
    <w:p w14:paraId="42423DF7" w14:textId="40D7243F" w:rsidR="009B0E27" w:rsidRPr="00330234" w:rsidRDefault="009B0E27" w:rsidP="001B3E1E">
      <w:pPr>
        <w:widowControl/>
        <w:pBdr>
          <w:top w:val="single" w:sz="4" w:space="1" w:color="auto"/>
          <w:left w:val="single" w:sz="4" w:space="4" w:color="auto"/>
          <w:bottom w:val="single" w:sz="4" w:space="1" w:color="auto"/>
          <w:right w:val="single" w:sz="4" w:space="4" w:color="auto"/>
        </w:pBdr>
        <w:rPr>
          <w:b/>
        </w:rPr>
      </w:pPr>
      <w:r w:rsidRPr="00330234">
        <w:br w:type="page"/>
      </w:r>
      <w:r w:rsidRPr="00330234">
        <w:rPr>
          <w:b/>
        </w:rPr>
        <w:lastRenderedPageBreak/>
        <w:t>GEGEVENS</w:t>
      </w:r>
      <w:r w:rsidRPr="00330234">
        <w:rPr>
          <w:b/>
          <w:spacing w:val="-2"/>
        </w:rPr>
        <w:t xml:space="preserve"> </w:t>
      </w:r>
      <w:r w:rsidRPr="00330234">
        <w:rPr>
          <w:b/>
        </w:rPr>
        <w:t>DIE</w:t>
      </w:r>
      <w:r w:rsidRPr="00330234">
        <w:rPr>
          <w:b/>
          <w:spacing w:val="-5"/>
        </w:rPr>
        <w:t xml:space="preserve"> </w:t>
      </w:r>
      <w:r w:rsidRPr="00330234">
        <w:rPr>
          <w:b/>
        </w:rPr>
        <w:t>IN</w:t>
      </w:r>
      <w:r w:rsidRPr="00330234">
        <w:rPr>
          <w:b/>
          <w:spacing w:val="-5"/>
        </w:rPr>
        <w:t xml:space="preserve"> </w:t>
      </w:r>
      <w:r w:rsidRPr="00330234">
        <w:rPr>
          <w:b/>
        </w:rPr>
        <w:t>IEDER</w:t>
      </w:r>
      <w:r w:rsidRPr="00330234">
        <w:rPr>
          <w:b/>
          <w:spacing w:val="-5"/>
        </w:rPr>
        <w:t xml:space="preserve"> </w:t>
      </w:r>
      <w:r w:rsidRPr="00330234">
        <w:rPr>
          <w:b/>
        </w:rPr>
        <w:t>GEVAL</w:t>
      </w:r>
      <w:r w:rsidRPr="00330234">
        <w:rPr>
          <w:b/>
          <w:spacing w:val="-5"/>
        </w:rPr>
        <w:t xml:space="preserve"> </w:t>
      </w:r>
      <w:r w:rsidRPr="00330234">
        <w:rPr>
          <w:b/>
        </w:rPr>
        <w:t>OP</w:t>
      </w:r>
      <w:r w:rsidRPr="00330234">
        <w:rPr>
          <w:b/>
          <w:spacing w:val="-5"/>
        </w:rPr>
        <w:t xml:space="preserve"> </w:t>
      </w:r>
      <w:r w:rsidRPr="00330234">
        <w:rPr>
          <w:b/>
        </w:rPr>
        <w:t>PRIMAIRE</w:t>
      </w:r>
      <w:r w:rsidRPr="00330234">
        <w:rPr>
          <w:b/>
          <w:spacing w:val="-5"/>
        </w:rPr>
        <w:t xml:space="preserve"> </w:t>
      </w:r>
      <w:r w:rsidRPr="00330234">
        <w:rPr>
          <w:b/>
        </w:rPr>
        <w:t>VERPAKKINGEN</w:t>
      </w:r>
      <w:r w:rsidRPr="00330234">
        <w:rPr>
          <w:b/>
          <w:spacing w:val="-5"/>
        </w:rPr>
        <w:t xml:space="preserve"> </w:t>
      </w:r>
      <w:r w:rsidRPr="00330234">
        <w:rPr>
          <w:b/>
        </w:rPr>
        <w:t>MOETEN WORDEN VERMELD</w:t>
      </w:r>
    </w:p>
    <w:p w14:paraId="024FF185" w14:textId="77777777" w:rsidR="009B0E27" w:rsidRPr="00330234" w:rsidRDefault="009B0E27" w:rsidP="00F76AA5">
      <w:pPr>
        <w:pStyle w:val="a3"/>
        <w:pBdr>
          <w:top w:val="single" w:sz="4" w:space="1" w:color="auto"/>
          <w:left w:val="single" w:sz="4" w:space="4" w:color="auto"/>
          <w:bottom w:val="single" w:sz="4" w:space="1" w:color="auto"/>
          <w:right w:val="single" w:sz="4" w:space="4" w:color="auto"/>
        </w:pBdr>
        <w:ind w:left="0"/>
        <w:rPr>
          <w:b/>
        </w:rPr>
      </w:pPr>
    </w:p>
    <w:p w14:paraId="4FF1250D" w14:textId="77777777" w:rsidR="009B0E27" w:rsidRPr="00330234" w:rsidRDefault="009B0E27" w:rsidP="00F76AA5">
      <w:pPr>
        <w:pBdr>
          <w:top w:val="single" w:sz="4" w:space="1" w:color="auto"/>
          <w:left w:val="single" w:sz="4" w:space="4" w:color="auto"/>
          <w:bottom w:val="single" w:sz="4" w:space="1" w:color="auto"/>
          <w:right w:val="single" w:sz="4" w:space="4" w:color="auto"/>
        </w:pBdr>
        <w:rPr>
          <w:b/>
        </w:rPr>
      </w:pPr>
      <w:r w:rsidRPr="00330234">
        <w:rPr>
          <w:b/>
          <w:spacing w:val="-2"/>
        </w:rPr>
        <w:t>INJECTIEFLACONS</w:t>
      </w:r>
    </w:p>
    <w:p w14:paraId="641E6321" w14:textId="77777777" w:rsidR="009B0E27" w:rsidRPr="00330234" w:rsidRDefault="009B0E27" w:rsidP="009B0E27">
      <w:pPr>
        <w:pStyle w:val="a3"/>
        <w:widowControl/>
        <w:ind w:left="0"/>
      </w:pPr>
    </w:p>
    <w:p w14:paraId="3543B089" w14:textId="77777777" w:rsidR="00467A20" w:rsidRPr="00330234" w:rsidRDefault="00467A20" w:rsidP="009B0E27">
      <w:pPr>
        <w:pStyle w:val="a3"/>
        <w:widowControl/>
        <w:ind w:left="0"/>
      </w:pPr>
    </w:p>
    <w:p w14:paraId="7CCDDCAD"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w:t>
      </w:r>
      <w:r w:rsidRPr="00330234">
        <w:rPr>
          <w:b/>
        </w:rPr>
        <w:tab/>
        <w:t>NAAM</w:t>
      </w:r>
      <w:r w:rsidRPr="00330234">
        <w:rPr>
          <w:b/>
          <w:spacing w:val="-7"/>
        </w:rPr>
        <w:t xml:space="preserve"> </w:t>
      </w:r>
      <w:r w:rsidRPr="00330234">
        <w:rPr>
          <w:b/>
        </w:rPr>
        <w:t>VAN</w:t>
      </w:r>
      <w:r w:rsidRPr="00330234">
        <w:rPr>
          <w:b/>
          <w:spacing w:val="-5"/>
        </w:rPr>
        <w:t xml:space="preserve"> </w:t>
      </w:r>
      <w:r w:rsidRPr="00330234">
        <w:rPr>
          <w:b/>
        </w:rPr>
        <w:t>HET</w:t>
      </w:r>
      <w:r w:rsidRPr="00330234">
        <w:rPr>
          <w:b/>
          <w:spacing w:val="-5"/>
        </w:rPr>
        <w:t xml:space="preserve"> </w:t>
      </w:r>
      <w:r w:rsidRPr="00330234">
        <w:rPr>
          <w:b/>
        </w:rPr>
        <w:t>GENEESMIDDEL</w:t>
      </w:r>
      <w:r w:rsidRPr="00330234">
        <w:rPr>
          <w:b/>
          <w:spacing w:val="-5"/>
        </w:rPr>
        <w:t xml:space="preserve"> </w:t>
      </w:r>
      <w:r w:rsidRPr="00330234">
        <w:rPr>
          <w:b/>
        </w:rPr>
        <w:t>EN</w:t>
      </w:r>
      <w:r w:rsidRPr="00330234">
        <w:rPr>
          <w:b/>
          <w:spacing w:val="-5"/>
        </w:rPr>
        <w:t xml:space="preserve"> </w:t>
      </w:r>
      <w:r w:rsidRPr="00330234">
        <w:rPr>
          <w:b/>
        </w:rPr>
        <w:t>DE</w:t>
      </w:r>
      <w:r w:rsidRPr="00330234">
        <w:rPr>
          <w:b/>
          <w:spacing w:val="-4"/>
        </w:rPr>
        <w:t xml:space="preserve"> </w:t>
      </w:r>
      <w:r w:rsidRPr="00330234">
        <w:rPr>
          <w:b/>
          <w:spacing w:val="-2"/>
        </w:rPr>
        <w:t>TOEDIENINGSWEG</w:t>
      </w:r>
    </w:p>
    <w:p w14:paraId="19D9F6FD" w14:textId="26A5AA02" w:rsidR="00436DAA" w:rsidRPr="00330234" w:rsidRDefault="00436DAA" w:rsidP="009B0E27">
      <w:pPr>
        <w:pStyle w:val="a3"/>
        <w:widowControl/>
        <w:ind w:left="0"/>
      </w:pPr>
    </w:p>
    <w:p w14:paraId="011DC938" w14:textId="18966B04" w:rsidR="00467A20" w:rsidRPr="00330234" w:rsidRDefault="007A197C" w:rsidP="009B0E27">
      <w:pPr>
        <w:pStyle w:val="a3"/>
        <w:widowControl/>
        <w:ind w:left="0"/>
      </w:pPr>
      <w:r w:rsidRPr="00330234">
        <w:t>Avtozma</w:t>
      </w:r>
      <w:r w:rsidR="009B4B8E" w:rsidRPr="00330234">
        <w:t xml:space="preserve"> 20 mg/ml steriel concentraat</w:t>
      </w:r>
    </w:p>
    <w:p w14:paraId="59E50054" w14:textId="7068D770" w:rsidR="00436DAA" w:rsidRPr="00330234" w:rsidRDefault="009B4B8E" w:rsidP="009B0E27">
      <w:pPr>
        <w:pStyle w:val="a3"/>
        <w:widowControl/>
        <w:ind w:left="0"/>
      </w:pPr>
      <w:r w:rsidRPr="00330234">
        <w:t>tocilizumab</w:t>
      </w:r>
    </w:p>
    <w:p w14:paraId="414A8E1A" w14:textId="77777777" w:rsidR="00436DAA" w:rsidRPr="00330234" w:rsidRDefault="009B4B8E" w:rsidP="009B0E27">
      <w:pPr>
        <w:pStyle w:val="a3"/>
        <w:widowControl/>
        <w:ind w:left="0"/>
      </w:pPr>
      <w:r w:rsidRPr="00330234">
        <w:t>i.v.</w:t>
      </w:r>
    </w:p>
    <w:p w14:paraId="643A5163" w14:textId="77777777" w:rsidR="00436DAA" w:rsidRPr="00330234" w:rsidRDefault="00436DAA" w:rsidP="009B0E27">
      <w:pPr>
        <w:pStyle w:val="a3"/>
        <w:widowControl/>
        <w:ind w:left="0"/>
      </w:pPr>
    </w:p>
    <w:p w14:paraId="05526443" w14:textId="77777777" w:rsidR="00467A20" w:rsidRPr="00330234" w:rsidRDefault="00467A20" w:rsidP="009B0E27">
      <w:pPr>
        <w:pStyle w:val="a3"/>
        <w:widowControl/>
        <w:ind w:left="0"/>
      </w:pPr>
    </w:p>
    <w:p w14:paraId="7CFE9F90"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2.</w:t>
      </w:r>
      <w:r w:rsidRPr="00330234">
        <w:rPr>
          <w:b/>
        </w:rPr>
        <w:tab/>
        <w:t>WIJZE</w:t>
      </w:r>
      <w:r w:rsidRPr="00330234">
        <w:rPr>
          <w:b/>
          <w:spacing w:val="-5"/>
        </w:rPr>
        <w:t xml:space="preserve"> </w:t>
      </w:r>
      <w:r w:rsidRPr="00330234">
        <w:rPr>
          <w:b/>
        </w:rPr>
        <w:t>VAN</w:t>
      </w:r>
      <w:r w:rsidRPr="00330234">
        <w:rPr>
          <w:b/>
          <w:spacing w:val="-5"/>
        </w:rPr>
        <w:t xml:space="preserve"> </w:t>
      </w:r>
      <w:r w:rsidRPr="00330234">
        <w:rPr>
          <w:b/>
          <w:spacing w:val="-2"/>
        </w:rPr>
        <w:t>TOEDIENING</w:t>
      </w:r>
    </w:p>
    <w:p w14:paraId="2C5129EB" w14:textId="0AA99429" w:rsidR="00436DAA" w:rsidRPr="00330234" w:rsidRDefault="00436DAA" w:rsidP="009B0E27">
      <w:pPr>
        <w:pStyle w:val="a3"/>
        <w:widowControl/>
        <w:ind w:left="0"/>
      </w:pPr>
    </w:p>
    <w:p w14:paraId="40C1E5E0" w14:textId="5D944208" w:rsidR="00436DAA" w:rsidRPr="00330234" w:rsidRDefault="009B4B8E" w:rsidP="009B0E27">
      <w:pPr>
        <w:pStyle w:val="a3"/>
        <w:widowControl/>
        <w:ind w:left="0"/>
      </w:pPr>
      <w:r w:rsidRPr="00330234">
        <w:t xml:space="preserve">Voor i.v. </w:t>
      </w:r>
      <w:r w:rsidR="00273DDB" w:rsidRPr="00330234">
        <w:t>gebruik</w:t>
      </w:r>
    </w:p>
    <w:p w14:paraId="699CA37B" w14:textId="77777777" w:rsidR="00436DAA" w:rsidRPr="00330234" w:rsidRDefault="00436DAA" w:rsidP="009B0E27">
      <w:pPr>
        <w:pStyle w:val="a3"/>
        <w:widowControl/>
        <w:ind w:left="0"/>
      </w:pPr>
    </w:p>
    <w:p w14:paraId="68BF6DAF" w14:textId="77777777" w:rsidR="00467A20" w:rsidRPr="00330234" w:rsidRDefault="00467A20" w:rsidP="009B0E27">
      <w:pPr>
        <w:pStyle w:val="a3"/>
        <w:widowControl/>
        <w:ind w:left="0"/>
      </w:pPr>
    </w:p>
    <w:p w14:paraId="000E249F"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3.</w:t>
      </w:r>
      <w:r w:rsidRPr="00330234">
        <w:rPr>
          <w:b/>
        </w:rPr>
        <w:tab/>
        <w:t>UITERSTE</w:t>
      </w:r>
      <w:r w:rsidRPr="00330234">
        <w:rPr>
          <w:b/>
          <w:spacing w:val="-9"/>
        </w:rPr>
        <w:t xml:space="preserve"> </w:t>
      </w:r>
      <w:r w:rsidRPr="00330234">
        <w:rPr>
          <w:b/>
          <w:spacing w:val="-2"/>
        </w:rPr>
        <w:t>GEBRUIKSDATUM</w:t>
      </w:r>
    </w:p>
    <w:p w14:paraId="39388F1C" w14:textId="778A2B3C" w:rsidR="00436DAA" w:rsidRPr="00330234" w:rsidRDefault="00436DAA" w:rsidP="009B0E27">
      <w:pPr>
        <w:pStyle w:val="a3"/>
        <w:widowControl/>
        <w:ind w:left="0"/>
      </w:pPr>
    </w:p>
    <w:p w14:paraId="49D6EE74" w14:textId="77777777" w:rsidR="00436DAA" w:rsidRPr="00330234" w:rsidRDefault="009B4B8E" w:rsidP="009B0E27">
      <w:pPr>
        <w:pStyle w:val="a3"/>
        <w:widowControl/>
        <w:ind w:left="0"/>
      </w:pPr>
      <w:r w:rsidRPr="00330234">
        <w:t>EXP</w:t>
      </w:r>
    </w:p>
    <w:p w14:paraId="5586A457" w14:textId="77777777" w:rsidR="00436DAA" w:rsidRPr="00330234" w:rsidRDefault="00436DAA" w:rsidP="009B0E27">
      <w:pPr>
        <w:pStyle w:val="a3"/>
        <w:widowControl/>
        <w:ind w:left="0"/>
      </w:pPr>
    </w:p>
    <w:p w14:paraId="0BEE663C" w14:textId="77777777" w:rsidR="00467A20" w:rsidRPr="00330234" w:rsidRDefault="00467A20" w:rsidP="009B0E27">
      <w:pPr>
        <w:pStyle w:val="a3"/>
        <w:widowControl/>
        <w:ind w:left="0"/>
      </w:pPr>
    </w:p>
    <w:p w14:paraId="6D064C30" w14:textId="77777777" w:rsidR="009B0E27" w:rsidRPr="00330234" w:rsidRDefault="009B0E27" w:rsidP="00467A20">
      <w:pPr>
        <w:pBdr>
          <w:top w:val="single" w:sz="4" w:space="1" w:color="auto"/>
          <w:left w:val="single" w:sz="4" w:space="4" w:color="auto"/>
          <w:bottom w:val="single" w:sz="4" w:space="1" w:color="auto"/>
          <w:right w:val="single" w:sz="4" w:space="4" w:color="auto"/>
        </w:pBdr>
        <w:ind w:left="567" w:hanging="567"/>
        <w:rPr>
          <w:b/>
        </w:rPr>
      </w:pPr>
      <w:r w:rsidRPr="00330234">
        <w:rPr>
          <w:b/>
          <w:spacing w:val="-5"/>
        </w:rPr>
        <w:t>4.</w:t>
      </w:r>
      <w:r w:rsidRPr="00330234">
        <w:rPr>
          <w:b/>
        </w:rPr>
        <w:tab/>
      </w:r>
      <w:r w:rsidRPr="00330234">
        <w:rPr>
          <w:b/>
          <w:spacing w:val="-2"/>
        </w:rPr>
        <w:t>PARTIJNUMMER</w:t>
      </w:r>
    </w:p>
    <w:p w14:paraId="295B9365" w14:textId="13607C38" w:rsidR="00436DAA" w:rsidRPr="00330234" w:rsidRDefault="00436DAA" w:rsidP="009B0E27">
      <w:pPr>
        <w:pStyle w:val="a3"/>
        <w:widowControl/>
        <w:ind w:left="0"/>
      </w:pPr>
    </w:p>
    <w:p w14:paraId="393251D9" w14:textId="77777777" w:rsidR="00436DAA" w:rsidRPr="00330234" w:rsidRDefault="009B4B8E" w:rsidP="009B0E27">
      <w:pPr>
        <w:pStyle w:val="a3"/>
        <w:widowControl/>
        <w:ind w:left="0"/>
      </w:pPr>
      <w:r w:rsidRPr="00330234">
        <w:t>Lot</w:t>
      </w:r>
    </w:p>
    <w:p w14:paraId="5A7AC899" w14:textId="77777777" w:rsidR="00436DAA" w:rsidRPr="00330234" w:rsidRDefault="00436DAA" w:rsidP="009B0E27">
      <w:pPr>
        <w:pStyle w:val="a3"/>
        <w:widowControl/>
        <w:ind w:left="0"/>
      </w:pPr>
    </w:p>
    <w:p w14:paraId="236D1598" w14:textId="77777777" w:rsidR="00467A20" w:rsidRPr="00330234" w:rsidRDefault="00467A20" w:rsidP="009B0E27">
      <w:pPr>
        <w:pStyle w:val="a3"/>
        <w:widowControl/>
        <w:ind w:left="0"/>
      </w:pPr>
    </w:p>
    <w:p w14:paraId="08C47739"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5.</w:t>
      </w:r>
      <w:r w:rsidRPr="00330234">
        <w:rPr>
          <w:b/>
        </w:rPr>
        <w:tab/>
        <w:t>INHOUD</w:t>
      </w:r>
      <w:r w:rsidRPr="00330234">
        <w:rPr>
          <w:b/>
          <w:spacing w:val="-8"/>
        </w:rPr>
        <w:t xml:space="preserve"> </w:t>
      </w:r>
      <w:r w:rsidRPr="00330234">
        <w:rPr>
          <w:b/>
        </w:rPr>
        <w:t>UITGEDRUKT</w:t>
      </w:r>
      <w:r w:rsidRPr="00330234">
        <w:rPr>
          <w:b/>
          <w:spacing w:val="-6"/>
        </w:rPr>
        <w:t xml:space="preserve"> </w:t>
      </w:r>
      <w:r w:rsidRPr="00330234">
        <w:rPr>
          <w:b/>
        </w:rPr>
        <w:t>IN</w:t>
      </w:r>
      <w:r w:rsidRPr="00330234">
        <w:rPr>
          <w:b/>
          <w:spacing w:val="-6"/>
        </w:rPr>
        <w:t xml:space="preserve"> </w:t>
      </w:r>
      <w:r w:rsidRPr="00330234">
        <w:rPr>
          <w:b/>
        </w:rPr>
        <w:t>GEWICHT,</w:t>
      </w:r>
      <w:r w:rsidRPr="00330234">
        <w:rPr>
          <w:b/>
          <w:spacing w:val="-5"/>
        </w:rPr>
        <w:t xml:space="preserve"> </w:t>
      </w:r>
      <w:r w:rsidRPr="00330234">
        <w:rPr>
          <w:b/>
        </w:rPr>
        <w:t>VOLUME</w:t>
      </w:r>
      <w:r w:rsidRPr="00330234">
        <w:rPr>
          <w:b/>
          <w:spacing w:val="-5"/>
        </w:rPr>
        <w:t xml:space="preserve"> </w:t>
      </w:r>
      <w:r w:rsidRPr="00330234">
        <w:rPr>
          <w:b/>
        </w:rPr>
        <w:t>OF</w:t>
      </w:r>
      <w:r w:rsidRPr="00330234">
        <w:rPr>
          <w:b/>
          <w:spacing w:val="-3"/>
        </w:rPr>
        <w:t xml:space="preserve"> </w:t>
      </w:r>
      <w:r w:rsidRPr="00330234">
        <w:rPr>
          <w:b/>
          <w:spacing w:val="-2"/>
        </w:rPr>
        <w:t>EENHEID</w:t>
      </w:r>
    </w:p>
    <w:p w14:paraId="336E7C76" w14:textId="43AB080C" w:rsidR="00436DAA" w:rsidRPr="00330234" w:rsidRDefault="00436DAA" w:rsidP="009B0E27">
      <w:pPr>
        <w:pStyle w:val="a3"/>
        <w:widowControl/>
        <w:ind w:left="0"/>
      </w:pPr>
    </w:p>
    <w:p w14:paraId="30A97D68" w14:textId="77777777" w:rsidR="00436DAA" w:rsidRPr="00330234" w:rsidRDefault="009B4B8E" w:rsidP="009B0E27">
      <w:pPr>
        <w:pStyle w:val="a3"/>
        <w:widowControl/>
        <w:ind w:left="0"/>
      </w:pPr>
      <w:r w:rsidRPr="00330234">
        <w:t>80 mg/4 ml</w:t>
      </w:r>
    </w:p>
    <w:p w14:paraId="713CBDA5" w14:textId="77777777" w:rsidR="00436DAA" w:rsidRPr="00330234" w:rsidRDefault="00436DAA" w:rsidP="009B0E27">
      <w:pPr>
        <w:pStyle w:val="a3"/>
        <w:widowControl/>
        <w:ind w:left="0"/>
      </w:pPr>
    </w:p>
    <w:p w14:paraId="4469327E" w14:textId="77777777" w:rsidR="00467A20" w:rsidRPr="00330234" w:rsidRDefault="00467A20" w:rsidP="009B0E27">
      <w:pPr>
        <w:pStyle w:val="a3"/>
        <w:widowControl/>
        <w:ind w:left="0"/>
      </w:pPr>
    </w:p>
    <w:p w14:paraId="7C4B9F22"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6.</w:t>
      </w:r>
      <w:r w:rsidRPr="00330234">
        <w:rPr>
          <w:b/>
        </w:rPr>
        <w:tab/>
      </w:r>
      <w:r w:rsidRPr="00330234">
        <w:rPr>
          <w:b/>
          <w:spacing w:val="-2"/>
        </w:rPr>
        <w:t>OVERIGE</w:t>
      </w:r>
    </w:p>
    <w:p w14:paraId="42444BFE" w14:textId="0F18C0D9" w:rsidR="00436DAA" w:rsidRPr="00330234" w:rsidRDefault="00436DAA" w:rsidP="009B0E27">
      <w:pPr>
        <w:pStyle w:val="a3"/>
        <w:widowControl/>
        <w:ind w:left="0"/>
      </w:pPr>
    </w:p>
    <w:p w14:paraId="69627FEF" w14:textId="77777777" w:rsidR="00436DAA" w:rsidRPr="00330234" w:rsidRDefault="00436DAA" w:rsidP="009B0E27">
      <w:pPr>
        <w:widowControl/>
      </w:pPr>
    </w:p>
    <w:p w14:paraId="3BBCA524" w14:textId="1BB614FC" w:rsidR="009B0E27" w:rsidRPr="00330234" w:rsidRDefault="009B0E27" w:rsidP="001B3E1E">
      <w:pPr>
        <w:widowControl/>
        <w:pBdr>
          <w:top w:val="single" w:sz="4" w:space="1" w:color="auto"/>
          <w:left w:val="single" w:sz="4" w:space="4" w:color="auto"/>
          <w:bottom w:val="single" w:sz="4" w:space="1" w:color="auto"/>
          <w:right w:val="single" w:sz="4" w:space="4" w:color="auto"/>
        </w:pBdr>
        <w:rPr>
          <w:b/>
        </w:rPr>
      </w:pPr>
      <w:r w:rsidRPr="00330234">
        <w:br w:type="page"/>
      </w:r>
      <w:r w:rsidRPr="00330234">
        <w:rPr>
          <w:b/>
        </w:rPr>
        <w:lastRenderedPageBreak/>
        <w:t>GEGEVENS</w:t>
      </w:r>
      <w:r w:rsidRPr="00330234">
        <w:rPr>
          <w:b/>
          <w:spacing w:val="-2"/>
        </w:rPr>
        <w:t xml:space="preserve"> </w:t>
      </w:r>
      <w:r w:rsidRPr="00330234">
        <w:rPr>
          <w:b/>
        </w:rPr>
        <w:t>DIE</w:t>
      </w:r>
      <w:r w:rsidRPr="00330234">
        <w:rPr>
          <w:b/>
          <w:spacing w:val="-5"/>
        </w:rPr>
        <w:t xml:space="preserve"> </w:t>
      </w:r>
      <w:r w:rsidRPr="00330234">
        <w:rPr>
          <w:b/>
        </w:rPr>
        <w:t>IN</w:t>
      </w:r>
      <w:r w:rsidRPr="00330234">
        <w:rPr>
          <w:b/>
          <w:spacing w:val="-5"/>
        </w:rPr>
        <w:t xml:space="preserve"> </w:t>
      </w:r>
      <w:r w:rsidRPr="00330234">
        <w:rPr>
          <w:b/>
        </w:rPr>
        <w:t>IEDER</w:t>
      </w:r>
      <w:r w:rsidRPr="00330234">
        <w:rPr>
          <w:b/>
          <w:spacing w:val="-5"/>
        </w:rPr>
        <w:t xml:space="preserve"> </w:t>
      </w:r>
      <w:r w:rsidRPr="00330234">
        <w:rPr>
          <w:b/>
        </w:rPr>
        <w:t>GEVAL</w:t>
      </w:r>
      <w:r w:rsidRPr="00330234">
        <w:rPr>
          <w:b/>
          <w:spacing w:val="-5"/>
        </w:rPr>
        <w:t xml:space="preserve"> </w:t>
      </w:r>
      <w:r w:rsidRPr="00330234">
        <w:rPr>
          <w:b/>
        </w:rPr>
        <w:t>OP</w:t>
      </w:r>
      <w:r w:rsidRPr="00330234">
        <w:rPr>
          <w:b/>
          <w:spacing w:val="-5"/>
        </w:rPr>
        <w:t xml:space="preserve"> </w:t>
      </w:r>
      <w:r w:rsidRPr="00330234">
        <w:rPr>
          <w:b/>
        </w:rPr>
        <w:t>PRIMAIRE</w:t>
      </w:r>
      <w:r w:rsidRPr="00330234">
        <w:rPr>
          <w:b/>
          <w:spacing w:val="-5"/>
        </w:rPr>
        <w:t xml:space="preserve"> </w:t>
      </w:r>
      <w:r w:rsidRPr="00330234">
        <w:rPr>
          <w:b/>
        </w:rPr>
        <w:t>VERPAKKINGEN</w:t>
      </w:r>
      <w:r w:rsidRPr="00330234">
        <w:rPr>
          <w:b/>
          <w:spacing w:val="-5"/>
        </w:rPr>
        <w:t xml:space="preserve"> </w:t>
      </w:r>
      <w:r w:rsidRPr="00330234">
        <w:rPr>
          <w:b/>
        </w:rPr>
        <w:t>MOETEN WORDEN VERMELD</w:t>
      </w:r>
    </w:p>
    <w:p w14:paraId="4F1835D7" w14:textId="77777777" w:rsidR="009B0E27" w:rsidRPr="00330234" w:rsidRDefault="009B0E27" w:rsidP="00F76AA5">
      <w:pPr>
        <w:pStyle w:val="a3"/>
        <w:pBdr>
          <w:top w:val="single" w:sz="4" w:space="1" w:color="auto"/>
          <w:left w:val="single" w:sz="4" w:space="4" w:color="auto"/>
          <w:bottom w:val="single" w:sz="4" w:space="1" w:color="auto"/>
          <w:right w:val="single" w:sz="4" w:space="4" w:color="auto"/>
        </w:pBdr>
        <w:ind w:left="0"/>
        <w:rPr>
          <w:b/>
        </w:rPr>
      </w:pPr>
    </w:p>
    <w:p w14:paraId="6ED648D4" w14:textId="77777777" w:rsidR="009B0E27" w:rsidRPr="00330234" w:rsidRDefault="009B0E27" w:rsidP="00F76AA5">
      <w:pPr>
        <w:pBdr>
          <w:top w:val="single" w:sz="4" w:space="1" w:color="auto"/>
          <w:left w:val="single" w:sz="4" w:space="4" w:color="auto"/>
          <w:bottom w:val="single" w:sz="4" w:space="1" w:color="auto"/>
          <w:right w:val="single" w:sz="4" w:space="4" w:color="auto"/>
        </w:pBdr>
        <w:rPr>
          <w:b/>
        </w:rPr>
      </w:pPr>
      <w:r w:rsidRPr="00330234">
        <w:rPr>
          <w:b/>
          <w:spacing w:val="-2"/>
        </w:rPr>
        <w:t>INJECTIEFLACONS</w:t>
      </w:r>
    </w:p>
    <w:p w14:paraId="068B7EE1" w14:textId="77777777" w:rsidR="009B0E27" w:rsidRPr="00330234" w:rsidRDefault="009B0E27" w:rsidP="009B0E27">
      <w:pPr>
        <w:pStyle w:val="a3"/>
        <w:widowControl/>
        <w:ind w:left="0"/>
      </w:pPr>
    </w:p>
    <w:p w14:paraId="5A936256" w14:textId="77777777" w:rsidR="00467A20" w:rsidRPr="00330234" w:rsidRDefault="00467A20" w:rsidP="009B0E27">
      <w:pPr>
        <w:pStyle w:val="a3"/>
        <w:widowControl/>
        <w:ind w:left="0"/>
      </w:pPr>
    </w:p>
    <w:p w14:paraId="308F4466"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w:t>
      </w:r>
      <w:r w:rsidRPr="00330234">
        <w:rPr>
          <w:b/>
        </w:rPr>
        <w:tab/>
        <w:t>NAAM</w:t>
      </w:r>
      <w:r w:rsidRPr="00330234">
        <w:rPr>
          <w:b/>
          <w:spacing w:val="-7"/>
        </w:rPr>
        <w:t xml:space="preserve"> </w:t>
      </w:r>
      <w:r w:rsidRPr="00330234">
        <w:rPr>
          <w:b/>
        </w:rPr>
        <w:t>VAN</w:t>
      </w:r>
      <w:r w:rsidRPr="00330234">
        <w:rPr>
          <w:b/>
          <w:spacing w:val="-5"/>
        </w:rPr>
        <w:t xml:space="preserve"> </w:t>
      </w:r>
      <w:r w:rsidRPr="00330234">
        <w:rPr>
          <w:b/>
        </w:rPr>
        <w:t>HET</w:t>
      </w:r>
      <w:r w:rsidRPr="00330234">
        <w:rPr>
          <w:b/>
          <w:spacing w:val="-5"/>
        </w:rPr>
        <w:t xml:space="preserve"> </w:t>
      </w:r>
      <w:r w:rsidRPr="00330234">
        <w:rPr>
          <w:b/>
        </w:rPr>
        <w:t>GENEESMIDDEL</w:t>
      </w:r>
      <w:r w:rsidRPr="00330234">
        <w:rPr>
          <w:b/>
          <w:spacing w:val="-5"/>
        </w:rPr>
        <w:t xml:space="preserve"> </w:t>
      </w:r>
      <w:r w:rsidRPr="00330234">
        <w:rPr>
          <w:b/>
        </w:rPr>
        <w:t>EN</w:t>
      </w:r>
      <w:r w:rsidRPr="00330234">
        <w:rPr>
          <w:b/>
          <w:spacing w:val="-5"/>
        </w:rPr>
        <w:t xml:space="preserve"> </w:t>
      </w:r>
      <w:r w:rsidRPr="00330234">
        <w:rPr>
          <w:b/>
        </w:rPr>
        <w:t>DE</w:t>
      </w:r>
      <w:r w:rsidRPr="00330234">
        <w:rPr>
          <w:b/>
          <w:spacing w:val="-4"/>
        </w:rPr>
        <w:t xml:space="preserve"> </w:t>
      </w:r>
      <w:r w:rsidRPr="00330234">
        <w:rPr>
          <w:b/>
          <w:spacing w:val="-2"/>
        </w:rPr>
        <w:t>TOEDIENINGSWEG</w:t>
      </w:r>
    </w:p>
    <w:p w14:paraId="63E71873" w14:textId="01F42AC0" w:rsidR="00436DAA" w:rsidRPr="00330234" w:rsidRDefault="00436DAA" w:rsidP="009B0E27">
      <w:pPr>
        <w:pStyle w:val="a3"/>
        <w:widowControl/>
        <w:ind w:left="0"/>
      </w:pPr>
    </w:p>
    <w:p w14:paraId="299ACD62" w14:textId="334FC67D" w:rsidR="00467A20" w:rsidRPr="00330234" w:rsidRDefault="007A197C" w:rsidP="009B0E27">
      <w:pPr>
        <w:pStyle w:val="a3"/>
        <w:widowControl/>
        <w:ind w:left="0"/>
      </w:pPr>
      <w:r w:rsidRPr="00330234">
        <w:t>Avtozma</w:t>
      </w:r>
      <w:r w:rsidR="009B4B8E" w:rsidRPr="00330234">
        <w:t xml:space="preserve"> 20 mg/ml steriel concentraat</w:t>
      </w:r>
    </w:p>
    <w:p w14:paraId="33A1CE5E" w14:textId="68E4B904" w:rsidR="00436DAA" w:rsidRPr="00330234" w:rsidRDefault="009B4B8E" w:rsidP="009B0E27">
      <w:pPr>
        <w:pStyle w:val="a3"/>
        <w:widowControl/>
        <w:ind w:left="0"/>
      </w:pPr>
      <w:r w:rsidRPr="00330234">
        <w:t>tocilizumab</w:t>
      </w:r>
    </w:p>
    <w:p w14:paraId="6176B6C6" w14:textId="77777777" w:rsidR="00436DAA" w:rsidRPr="00330234" w:rsidRDefault="009B4B8E" w:rsidP="009B0E27">
      <w:pPr>
        <w:pStyle w:val="a3"/>
        <w:widowControl/>
        <w:ind w:left="0"/>
      </w:pPr>
      <w:r w:rsidRPr="00330234">
        <w:t>i.v.</w:t>
      </w:r>
    </w:p>
    <w:p w14:paraId="224EC6D6" w14:textId="77777777" w:rsidR="00436DAA" w:rsidRPr="00330234" w:rsidRDefault="00436DAA" w:rsidP="009B0E27">
      <w:pPr>
        <w:pStyle w:val="a3"/>
        <w:widowControl/>
        <w:ind w:left="0"/>
      </w:pPr>
    </w:p>
    <w:p w14:paraId="4FC33B39" w14:textId="77777777" w:rsidR="00467A20" w:rsidRPr="00330234" w:rsidRDefault="00467A20" w:rsidP="009B0E27">
      <w:pPr>
        <w:pStyle w:val="a3"/>
        <w:widowControl/>
        <w:ind w:left="0"/>
      </w:pPr>
    </w:p>
    <w:p w14:paraId="18115D96"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2.</w:t>
      </w:r>
      <w:r w:rsidRPr="00330234">
        <w:rPr>
          <w:b/>
        </w:rPr>
        <w:tab/>
        <w:t>WIJZE</w:t>
      </w:r>
      <w:r w:rsidRPr="00330234">
        <w:rPr>
          <w:b/>
          <w:spacing w:val="-5"/>
        </w:rPr>
        <w:t xml:space="preserve"> </w:t>
      </w:r>
      <w:r w:rsidRPr="00330234">
        <w:rPr>
          <w:b/>
        </w:rPr>
        <w:t>VAN</w:t>
      </w:r>
      <w:r w:rsidRPr="00330234">
        <w:rPr>
          <w:b/>
          <w:spacing w:val="-5"/>
        </w:rPr>
        <w:t xml:space="preserve"> </w:t>
      </w:r>
      <w:r w:rsidRPr="00330234">
        <w:rPr>
          <w:b/>
          <w:spacing w:val="-2"/>
        </w:rPr>
        <w:t>TOEDIENING</w:t>
      </w:r>
    </w:p>
    <w:p w14:paraId="432ED1B7" w14:textId="4645E1CC" w:rsidR="00436DAA" w:rsidRPr="00330234" w:rsidRDefault="00436DAA" w:rsidP="009B0E27">
      <w:pPr>
        <w:pStyle w:val="a3"/>
        <w:widowControl/>
        <w:ind w:left="0"/>
      </w:pPr>
    </w:p>
    <w:p w14:paraId="76302861" w14:textId="167E7311" w:rsidR="00436DAA" w:rsidRPr="00330234" w:rsidRDefault="009B4B8E" w:rsidP="009B0E27">
      <w:pPr>
        <w:pStyle w:val="a3"/>
        <w:widowControl/>
        <w:ind w:left="0"/>
      </w:pPr>
      <w:r w:rsidRPr="00330234">
        <w:t xml:space="preserve">Voor i.v. </w:t>
      </w:r>
      <w:r w:rsidR="00273DDB" w:rsidRPr="00330234">
        <w:t>gebruik</w:t>
      </w:r>
    </w:p>
    <w:p w14:paraId="3089F558" w14:textId="77777777" w:rsidR="00436DAA" w:rsidRPr="00330234" w:rsidRDefault="00436DAA" w:rsidP="009B0E27">
      <w:pPr>
        <w:pStyle w:val="a3"/>
        <w:widowControl/>
        <w:ind w:left="0"/>
      </w:pPr>
    </w:p>
    <w:p w14:paraId="6F9DCEA3" w14:textId="77777777" w:rsidR="00467A20" w:rsidRPr="00330234" w:rsidRDefault="00467A20" w:rsidP="009B0E27">
      <w:pPr>
        <w:pStyle w:val="a3"/>
        <w:widowControl/>
        <w:ind w:left="0"/>
      </w:pPr>
    </w:p>
    <w:p w14:paraId="7A8FAAAA"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3.</w:t>
      </w:r>
      <w:r w:rsidRPr="00330234">
        <w:rPr>
          <w:b/>
        </w:rPr>
        <w:tab/>
        <w:t>UITERSTE</w:t>
      </w:r>
      <w:r w:rsidRPr="00330234">
        <w:rPr>
          <w:b/>
          <w:spacing w:val="-9"/>
        </w:rPr>
        <w:t xml:space="preserve"> </w:t>
      </w:r>
      <w:r w:rsidRPr="00330234">
        <w:rPr>
          <w:b/>
          <w:spacing w:val="-2"/>
        </w:rPr>
        <w:t>GEBRUIKSDATUM</w:t>
      </w:r>
    </w:p>
    <w:p w14:paraId="3795FE38" w14:textId="4B924AA1" w:rsidR="00436DAA" w:rsidRPr="00330234" w:rsidRDefault="00436DAA" w:rsidP="009B0E27">
      <w:pPr>
        <w:pStyle w:val="a3"/>
        <w:widowControl/>
        <w:ind w:left="0"/>
      </w:pPr>
    </w:p>
    <w:p w14:paraId="10468E9A" w14:textId="77777777" w:rsidR="00436DAA" w:rsidRPr="00330234" w:rsidRDefault="009B4B8E" w:rsidP="009B0E27">
      <w:pPr>
        <w:pStyle w:val="a3"/>
        <w:widowControl/>
        <w:ind w:left="0"/>
      </w:pPr>
      <w:r w:rsidRPr="00330234">
        <w:t>EXP</w:t>
      </w:r>
    </w:p>
    <w:p w14:paraId="7DD95EC4" w14:textId="77777777" w:rsidR="00436DAA" w:rsidRPr="00330234" w:rsidRDefault="00436DAA" w:rsidP="009B0E27">
      <w:pPr>
        <w:pStyle w:val="a3"/>
        <w:widowControl/>
        <w:ind w:left="0"/>
      </w:pPr>
    </w:p>
    <w:p w14:paraId="592E50A8" w14:textId="77777777" w:rsidR="00467A20" w:rsidRPr="00330234" w:rsidRDefault="00467A20" w:rsidP="009B0E27">
      <w:pPr>
        <w:pStyle w:val="a3"/>
        <w:widowControl/>
        <w:ind w:left="0"/>
      </w:pPr>
    </w:p>
    <w:p w14:paraId="609A0ACA"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4.</w:t>
      </w:r>
      <w:r w:rsidRPr="00330234">
        <w:rPr>
          <w:b/>
        </w:rPr>
        <w:tab/>
      </w:r>
      <w:r w:rsidRPr="00330234">
        <w:rPr>
          <w:b/>
          <w:spacing w:val="-2"/>
        </w:rPr>
        <w:t>PARTIJNUMMER</w:t>
      </w:r>
    </w:p>
    <w:p w14:paraId="17158795" w14:textId="416E9D38" w:rsidR="00436DAA" w:rsidRPr="00330234" w:rsidRDefault="00436DAA" w:rsidP="009B0E27">
      <w:pPr>
        <w:pStyle w:val="a3"/>
        <w:widowControl/>
        <w:ind w:left="0"/>
      </w:pPr>
    </w:p>
    <w:p w14:paraId="2FFF14B4" w14:textId="77777777" w:rsidR="00436DAA" w:rsidRPr="00330234" w:rsidRDefault="009B4B8E" w:rsidP="009B0E27">
      <w:pPr>
        <w:pStyle w:val="a3"/>
        <w:widowControl/>
        <w:ind w:left="0"/>
      </w:pPr>
      <w:r w:rsidRPr="00330234">
        <w:t>Lot</w:t>
      </w:r>
    </w:p>
    <w:p w14:paraId="67CA125B" w14:textId="77777777" w:rsidR="00436DAA" w:rsidRPr="00330234" w:rsidRDefault="00436DAA" w:rsidP="009B0E27">
      <w:pPr>
        <w:pStyle w:val="a3"/>
        <w:widowControl/>
        <w:ind w:left="0"/>
      </w:pPr>
    </w:p>
    <w:p w14:paraId="03075DEC" w14:textId="77777777" w:rsidR="00467A20" w:rsidRPr="00330234" w:rsidRDefault="00467A20" w:rsidP="009B0E27">
      <w:pPr>
        <w:pStyle w:val="a3"/>
        <w:widowControl/>
        <w:ind w:left="0"/>
      </w:pPr>
    </w:p>
    <w:p w14:paraId="2E5404F0"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5.</w:t>
      </w:r>
      <w:r w:rsidRPr="00330234">
        <w:rPr>
          <w:b/>
        </w:rPr>
        <w:tab/>
        <w:t>INHOUD</w:t>
      </w:r>
      <w:r w:rsidRPr="00330234">
        <w:rPr>
          <w:b/>
          <w:spacing w:val="-8"/>
        </w:rPr>
        <w:t xml:space="preserve"> </w:t>
      </w:r>
      <w:r w:rsidRPr="00330234">
        <w:rPr>
          <w:b/>
        </w:rPr>
        <w:t>UITGEDRUKT</w:t>
      </w:r>
      <w:r w:rsidRPr="00330234">
        <w:rPr>
          <w:b/>
          <w:spacing w:val="-6"/>
        </w:rPr>
        <w:t xml:space="preserve"> </w:t>
      </w:r>
      <w:r w:rsidRPr="00330234">
        <w:rPr>
          <w:b/>
        </w:rPr>
        <w:t>IN</w:t>
      </w:r>
      <w:r w:rsidRPr="00330234">
        <w:rPr>
          <w:b/>
          <w:spacing w:val="-6"/>
        </w:rPr>
        <w:t xml:space="preserve"> </w:t>
      </w:r>
      <w:r w:rsidRPr="00330234">
        <w:rPr>
          <w:b/>
        </w:rPr>
        <w:t>GEWICHT,</w:t>
      </w:r>
      <w:r w:rsidRPr="00330234">
        <w:rPr>
          <w:b/>
          <w:spacing w:val="-5"/>
        </w:rPr>
        <w:t xml:space="preserve"> </w:t>
      </w:r>
      <w:r w:rsidRPr="00330234">
        <w:rPr>
          <w:b/>
        </w:rPr>
        <w:t>VOLUME</w:t>
      </w:r>
      <w:r w:rsidRPr="00330234">
        <w:rPr>
          <w:b/>
          <w:spacing w:val="-5"/>
        </w:rPr>
        <w:t xml:space="preserve"> </w:t>
      </w:r>
      <w:r w:rsidRPr="00330234">
        <w:rPr>
          <w:b/>
        </w:rPr>
        <w:t>OF</w:t>
      </w:r>
      <w:r w:rsidRPr="00330234">
        <w:rPr>
          <w:b/>
          <w:spacing w:val="-3"/>
        </w:rPr>
        <w:t xml:space="preserve"> </w:t>
      </w:r>
      <w:r w:rsidRPr="00330234">
        <w:rPr>
          <w:b/>
          <w:spacing w:val="-2"/>
        </w:rPr>
        <w:t>EENHEID</w:t>
      </w:r>
    </w:p>
    <w:p w14:paraId="4E2F2C83" w14:textId="16E09987" w:rsidR="00436DAA" w:rsidRPr="00330234" w:rsidRDefault="00436DAA" w:rsidP="009B0E27">
      <w:pPr>
        <w:pStyle w:val="a3"/>
        <w:widowControl/>
        <w:ind w:left="0"/>
      </w:pPr>
    </w:p>
    <w:p w14:paraId="02CB764F" w14:textId="77777777" w:rsidR="00436DAA" w:rsidRPr="00330234" w:rsidRDefault="009B4B8E" w:rsidP="009B0E27">
      <w:pPr>
        <w:pStyle w:val="a3"/>
        <w:widowControl/>
        <w:ind w:left="0"/>
      </w:pPr>
      <w:r w:rsidRPr="00330234">
        <w:t>200 mg/10 ml</w:t>
      </w:r>
    </w:p>
    <w:p w14:paraId="52866A92" w14:textId="77777777" w:rsidR="00436DAA" w:rsidRPr="00330234" w:rsidRDefault="00436DAA" w:rsidP="009B0E27">
      <w:pPr>
        <w:pStyle w:val="a3"/>
        <w:widowControl/>
        <w:ind w:left="0"/>
      </w:pPr>
    </w:p>
    <w:p w14:paraId="4FA210E3" w14:textId="77777777" w:rsidR="00467A20" w:rsidRPr="00330234" w:rsidRDefault="00467A20" w:rsidP="009B0E27">
      <w:pPr>
        <w:pStyle w:val="a3"/>
        <w:widowControl/>
        <w:ind w:left="0"/>
      </w:pPr>
    </w:p>
    <w:p w14:paraId="284D57CF"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6.</w:t>
      </w:r>
      <w:r w:rsidRPr="00330234">
        <w:rPr>
          <w:b/>
        </w:rPr>
        <w:tab/>
      </w:r>
      <w:r w:rsidRPr="00330234">
        <w:rPr>
          <w:b/>
          <w:spacing w:val="-2"/>
        </w:rPr>
        <w:t>OVERIGE</w:t>
      </w:r>
    </w:p>
    <w:p w14:paraId="09B353E3" w14:textId="19FCEB6E" w:rsidR="00436DAA" w:rsidRPr="00330234" w:rsidRDefault="00436DAA" w:rsidP="009B0E27">
      <w:pPr>
        <w:pStyle w:val="a3"/>
        <w:widowControl/>
        <w:ind w:left="0"/>
      </w:pPr>
    </w:p>
    <w:p w14:paraId="37F9A4FF" w14:textId="77777777" w:rsidR="00436DAA" w:rsidRPr="00330234" w:rsidRDefault="00436DAA" w:rsidP="009B0E27">
      <w:pPr>
        <w:widowControl/>
      </w:pPr>
    </w:p>
    <w:p w14:paraId="43735363" w14:textId="0C111BDC" w:rsidR="009B0E27" w:rsidRPr="00330234" w:rsidRDefault="009B0E27" w:rsidP="001B3E1E">
      <w:pPr>
        <w:widowControl/>
        <w:pBdr>
          <w:top w:val="single" w:sz="4" w:space="1" w:color="auto"/>
          <w:left w:val="single" w:sz="4" w:space="4" w:color="auto"/>
          <w:bottom w:val="single" w:sz="4" w:space="1" w:color="auto"/>
          <w:right w:val="single" w:sz="4" w:space="4" w:color="auto"/>
        </w:pBdr>
        <w:rPr>
          <w:b/>
        </w:rPr>
      </w:pPr>
      <w:r w:rsidRPr="00330234">
        <w:br w:type="page"/>
      </w:r>
      <w:r w:rsidRPr="00330234">
        <w:rPr>
          <w:b/>
        </w:rPr>
        <w:lastRenderedPageBreak/>
        <w:t>GEGEVENS</w:t>
      </w:r>
      <w:r w:rsidRPr="00330234">
        <w:rPr>
          <w:b/>
          <w:spacing w:val="-2"/>
        </w:rPr>
        <w:t xml:space="preserve"> </w:t>
      </w:r>
      <w:r w:rsidRPr="00330234">
        <w:rPr>
          <w:b/>
        </w:rPr>
        <w:t>DIE</w:t>
      </w:r>
      <w:r w:rsidRPr="00330234">
        <w:rPr>
          <w:b/>
          <w:spacing w:val="-5"/>
        </w:rPr>
        <w:t xml:space="preserve"> </w:t>
      </w:r>
      <w:r w:rsidRPr="00330234">
        <w:rPr>
          <w:b/>
        </w:rPr>
        <w:t>IN</w:t>
      </w:r>
      <w:r w:rsidRPr="00330234">
        <w:rPr>
          <w:b/>
          <w:spacing w:val="-5"/>
        </w:rPr>
        <w:t xml:space="preserve"> </w:t>
      </w:r>
      <w:r w:rsidRPr="00330234">
        <w:rPr>
          <w:b/>
        </w:rPr>
        <w:t>IEDER</w:t>
      </w:r>
      <w:r w:rsidRPr="00330234">
        <w:rPr>
          <w:b/>
          <w:spacing w:val="-5"/>
        </w:rPr>
        <w:t xml:space="preserve"> </w:t>
      </w:r>
      <w:r w:rsidRPr="00330234">
        <w:rPr>
          <w:b/>
        </w:rPr>
        <w:t>GEVAL</w:t>
      </w:r>
      <w:r w:rsidRPr="00330234">
        <w:rPr>
          <w:b/>
          <w:spacing w:val="-5"/>
        </w:rPr>
        <w:t xml:space="preserve"> </w:t>
      </w:r>
      <w:r w:rsidRPr="00330234">
        <w:rPr>
          <w:b/>
        </w:rPr>
        <w:t>OP</w:t>
      </w:r>
      <w:r w:rsidRPr="00330234">
        <w:rPr>
          <w:b/>
          <w:spacing w:val="-5"/>
        </w:rPr>
        <w:t xml:space="preserve"> </w:t>
      </w:r>
      <w:r w:rsidRPr="00330234">
        <w:rPr>
          <w:b/>
        </w:rPr>
        <w:t>PRIMAIRE</w:t>
      </w:r>
      <w:r w:rsidRPr="00330234">
        <w:rPr>
          <w:b/>
          <w:spacing w:val="-5"/>
        </w:rPr>
        <w:t xml:space="preserve"> </w:t>
      </w:r>
      <w:r w:rsidRPr="00330234">
        <w:rPr>
          <w:b/>
        </w:rPr>
        <w:t>VERPAKKINGEN</w:t>
      </w:r>
      <w:r w:rsidRPr="00330234">
        <w:rPr>
          <w:b/>
          <w:spacing w:val="-5"/>
        </w:rPr>
        <w:t xml:space="preserve"> </w:t>
      </w:r>
      <w:r w:rsidRPr="00330234">
        <w:rPr>
          <w:b/>
        </w:rPr>
        <w:t>MOETEN WORDEN VERMELD</w:t>
      </w:r>
    </w:p>
    <w:p w14:paraId="3A52CAAB" w14:textId="77777777" w:rsidR="009B0E27" w:rsidRPr="00330234" w:rsidRDefault="009B0E27" w:rsidP="00F76AA5">
      <w:pPr>
        <w:pStyle w:val="a3"/>
        <w:pBdr>
          <w:top w:val="single" w:sz="4" w:space="1" w:color="auto"/>
          <w:left w:val="single" w:sz="4" w:space="4" w:color="auto"/>
          <w:bottom w:val="single" w:sz="4" w:space="1" w:color="auto"/>
          <w:right w:val="single" w:sz="4" w:space="4" w:color="auto"/>
        </w:pBdr>
        <w:ind w:left="0"/>
        <w:rPr>
          <w:b/>
        </w:rPr>
      </w:pPr>
    </w:p>
    <w:p w14:paraId="1535C376" w14:textId="77777777" w:rsidR="009B0E27" w:rsidRPr="00330234" w:rsidRDefault="009B0E27" w:rsidP="00F76AA5">
      <w:pPr>
        <w:pBdr>
          <w:top w:val="single" w:sz="4" w:space="1" w:color="auto"/>
          <w:left w:val="single" w:sz="4" w:space="4" w:color="auto"/>
          <w:bottom w:val="single" w:sz="4" w:space="1" w:color="auto"/>
          <w:right w:val="single" w:sz="4" w:space="4" w:color="auto"/>
        </w:pBdr>
        <w:rPr>
          <w:b/>
        </w:rPr>
      </w:pPr>
      <w:r w:rsidRPr="00330234">
        <w:rPr>
          <w:b/>
          <w:spacing w:val="-2"/>
        </w:rPr>
        <w:t>INJECTIEFLACONS</w:t>
      </w:r>
    </w:p>
    <w:p w14:paraId="715A4519" w14:textId="77777777" w:rsidR="009B0E27" w:rsidRPr="00330234" w:rsidRDefault="009B0E27" w:rsidP="009B0E27">
      <w:pPr>
        <w:pStyle w:val="a3"/>
        <w:widowControl/>
        <w:ind w:left="0"/>
      </w:pPr>
    </w:p>
    <w:p w14:paraId="0F29D518" w14:textId="77777777" w:rsidR="00467A20" w:rsidRPr="00330234" w:rsidRDefault="00467A20" w:rsidP="009B0E27">
      <w:pPr>
        <w:pStyle w:val="a3"/>
        <w:widowControl/>
        <w:ind w:left="0"/>
      </w:pPr>
    </w:p>
    <w:p w14:paraId="1819F0C4"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w:t>
      </w:r>
      <w:r w:rsidRPr="00330234">
        <w:rPr>
          <w:b/>
        </w:rPr>
        <w:tab/>
        <w:t>NAAM</w:t>
      </w:r>
      <w:r w:rsidRPr="00330234">
        <w:rPr>
          <w:b/>
          <w:spacing w:val="-7"/>
        </w:rPr>
        <w:t xml:space="preserve"> </w:t>
      </w:r>
      <w:r w:rsidRPr="00330234">
        <w:rPr>
          <w:b/>
        </w:rPr>
        <w:t>VAN</w:t>
      </w:r>
      <w:r w:rsidRPr="00330234">
        <w:rPr>
          <w:b/>
          <w:spacing w:val="-5"/>
        </w:rPr>
        <w:t xml:space="preserve"> </w:t>
      </w:r>
      <w:r w:rsidRPr="00330234">
        <w:rPr>
          <w:b/>
        </w:rPr>
        <w:t>HET</w:t>
      </w:r>
      <w:r w:rsidRPr="00330234">
        <w:rPr>
          <w:b/>
          <w:spacing w:val="-5"/>
        </w:rPr>
        <w:t xml:space="preserve"> </w:t>
      </w:r>
      <w:r w:rsidRPr="00330234">
        <w:rPr>
          <w:b/>
        </w:rPr>
        <w:t>GENEESMIDDEL</w:t>
      </w:r>
      <w:r w:rsidRPr="00330234">
        <w:rPr>
          <w:b/>
          <w:spacing w:val="-5"/>
        </w:rPr>
        <w:t xml:space="preserve"> </w:t>
      </w:r>
      <w:r w:rsidRPr="00330234">
        <w:rPr>
          <w:b/>
        </w:rPr>
        <w:t>EN</w:t>
      </w:r>
      <w:r w:rsidRPr="00330234">
        <w:rPr>
          <w:b/>
          <w:spacing w:val="-5"/>
        </w:rPr>
        <w:t xml:space="preserve"> </w:t>
      </w:r>
      <w:r w:rsidRPr="00330234">
        <w:rPr>
          <w:b/>
        </w:rPr>
        <w:t>DE</w:t>
      </w:r>
      <w:r w:rsidRPr="00330234">
        <w:rPr>
          <w:b/>
          <w:spacing w:val="-4"/>
        </w:rPr>
        <w:t xml:space="preserve"> </w:t>
      </w:r>
      <w:r w:rsidRPr="00330234">
        <w:rPr>
          <w:b/>
          <w:spacing w:val="-2"/>
        </w:rPr>
        <w:t>TOEDIENINGSWEG</w:t>
      </w:r>
    </w:p>
    <w:p w14:paraId="7AA55EAD" w14:textId="7BB64188" w:rsidR="00436DAA" w:rsidRPr="00330234" w:rsidRDefault="00436DAA" w:rsidP="009B0E27">
      <w:pPr>
        <w:pStyle w:val="a3"/>
        <w:widowControl/>
        <w:ind w:left="0"/>
      </w:pPr>
    </w:p>
    <w:p w14:paraId="69AA1790" w14:textId="076681BF" w:rsidR="00467A20" w:rsidRPr="00330234" w:rsidRDefault="007A197C" w:rsidP="009B0E27">
      <w:pPr>
        <w:pStyle w:val="a3"/>
        <w:widowControl/>
        <w:ind w:left="0"/>
      </w:pPr>
      <w:r w:rsidRPr="00330234">
        <w:t>Avtozma</w:t>
      </w:r>
      <w:r w:rsidR="009B4B8E" w:rsidRPr="00330234">
        <w:t xml:space="preserve"> 20 mg/ml steriel concentraat</w:t>
      </w:r>
    </w:p>
    <w:p w14:paraId="352DFDEC" w14:textId="79B32BF4" w:rsidR="00436DAA" w:rsidRPr="00330234" w:rsidRDefault="009B4B8E" w:rsidP="009B0E27">
      <w:pPr>
        <w:pStyle w:val="a3"/>
        <w:widowControl/>
        <w:ind w:left="0"/>
      </w:pPr>
      <w:r w:rsidRPr="00330234">
        <w:t>tocilizumab</w:t>
      </w:r>
    </w:p>
    <w:p w14:paraId="40730FF1" w14:textId="77777777" w:rsidR="00436DAA" w:rsidRPr="00330234" w:rsidRDefault="009B4B8E" w:rsidP="009B0E27">
      <w:pPr>
        <w:pStyle w:val="a3"/>
        <w:widowControl/>
        <w:ind w:left="0"/>
      </w:pPr>
      <w:r w:rsidRPr="00330234">
        <w:t>i.v.</w:t>
      </w:r>
    </w:p>
    <w:p w14:paraId="193755CA" w14:textId="77777777" w:rsidR="00436DAA" w:rsidRPr="00330234" w:rsidRDefault="00436DAA" w:rsidP="009B0E27">
      <w:pPr>
        <w:pStyle w:val="a3"/>
        <w:widowControl/>
        <w:ind w:left="0"/>
      </w:pPr>
    </w:p>
    <w:p w14:paraId="104A29E0" w14:textId="77777777" w:rsidR="00467A20" w:rsidRPr="00330234" w:rsidRDefault="00467A20" w:rsidP="009B0E27">
      <w:pPr>
        <w:pStyle w:val="a3"/>
        <w:widowControl/>
        <w:ind w:left="0"/>
      </w:pPr>
    </w:p>
    <w:p w14:paraId="68549C55"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2.</w:t>
      </w:r>
      <w:r w:rsidRPr="00330234">
        <w:rPr>
          <w:b/>
        </w:rPr>
        <w:tab/>
        <w:t>WIJZE</w:t>
      </w:r>
      <w:r w:rsidRPr="00330234">
        <w:rPr>
          <w:b/>
          <w:spacing w:val="-5"/>
        </w:rPr>
        <w:t xml:space="preserve"> </w:t>
      </w:r>
      <w:r w:rsidRPr="00330234">
        <w:rPr>
          <w:b/>
        </w:rPr>
        <w:t>VAN</w:t>
      </w:r>
      <w:r w:rsidRPr="00330234">
        <w:rPr>
          <w:b/>
          <w:spacing w:val="-5"/>
        </w:rPr>
        <w:t xml:space="preserve"> </w:t>
      </w:r>
      <w:r w:rsidRPr="00330234">
        <w:rPr>
          <w:b/>
          <w:spacing w:val="-2"/>
        </w:rPr>
        <w:t>TOEDIENING</w:t>
      </w:r>
    </w:p>
    <w:p w14:paraId="7AE2D390" w14:textId="69018E20" w:rsidR="00436DAA" w:rsidRPr="00330234" w:rsidRDefault="00436DAA" w:rsidP="009B0E27">
      <w:pPr>
        <w:pStyle w:val="a3"/>
        <w:widowControl/>
        <w:ind w:left="0"/>
      </w:pPr>
    </w:p>
    <w:p w14:paraId="6ADB2974" w14:textId="28EC64E4" w:rsidR="00436DAA" w:rsidRPr="00330234" w:rsidRDefault="009B4B8E" w:rsidP="009B0E27">
      <w:pPr>
        <w:pStyle w:val="a3"/>
        <w:widowControl/>
        <w:ind w:left="0"/>
      </w:pPr>
      <w:r w:rsidRPr="00330234">
        <w:t xml:space="preserve">Voor i.v. </w:t>
      </w:r>
      <w:r w:rsidR="00064F9F">
        <w:t>gebruik</w:t>
      </w:r>
    </w:p>
    <w:p w14:paraId="74D247F1" w14:textId="77777777" w:rsidR="00436DAA" w:rsidRPr="00330234" w:rsidRDefault="00436DAA" w:rsidP="009B0E27">
      <w:pPr>
        <w:pStyle w:val="a3"/>
        <w:widowControl/>
        <w:ind w:left="0"/>
      </w:pPr>
    </w:p>
    <w:p w14:paraId="4AD370C3" w14:textId="77777777" w:rsidR="00467A20" w:rsidRPr="00330234" w:rsidRDefault="00467A20" w:rsidP="009B0E27">
      <w:pPr>
        <w:pStyle w:val="a3"/>
        <w:widowControl/>
        <w:ind w:left="0"/>
      </w:pPr>
    </w:p>
    <w:p w14:paraId="0C70AC87"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3.</w:t>
      </w:r>
      <w:r w:rsidRPr="00330234">
        <w:rPr>
          <w:b/>
        </w:rPr>
        <w:tab/>
        <w:t>UITERSTE</w:t>
      </w:r>
      <w:r w:rsidRPr="00330234">
        <w:rPr>
          <w:b/>
          <w:spacing w:val="-9"/>
        </w:rPr>
        <w:t xml:space="preserve"> </w:t>
      </w:r>
      <w:r w:rsidRPr="00330234">
        <w:rPr>
          <w:b/>
          <w:spacing w:val="-2"/>
        </w:rPr>
        <w:t>GEBRUIKSDATUM</w:t>
      </w:r>
    </w:p>
    <w:p w14:paraId="421ECBAE" w14:textId="131D603C" w:rsidR="00436DAA" w:rsidRPr="00330234" w:rsidRDefault="00436DAA" w:rsidP="009B0E27">
      <w:pPr>
        <w:pStyle w:val="a3"/>
        <w:widowControl/>
        <w:ind w:left="0"/>
      </w:pPr>
    </w:p>
    <w:p w14:paraId="3278B80A" w14:textId="77777777" w:rsidR="00436DAA" w:rsidRPr="00330234" w:rsidRDefault="009B4B8E" w:rsidP="009B0E27">
      <w:pPr>
        <w:pStyle w:val="a3"/>
        <w:widowControl/>
        <w:ind w:left="0"/>
      </w:pPr>
      <w:r w:rsidRPr="00330234">
        <w:t>EXP</w:t>
      </w:r>
    </w:p>
    <w:p w14:paraId="5C392BB3" w14:textId="77777777" w:rsidR="00436DAA" w:rsidRPr="00330234" w:rsidRDefault="00436DAA" w:rsidP="009B0E27">
      <w:pPr>
        <w:pStyle w:val="a3"/>
        <w:widowControl/>
        <w:ind w:left="0"/>
      </w:pPr>
    </w:p>
    <w:p w14:paraId="244102B1" w14:textId="77777777" w:rsidR="00467A20" w:rsidRPr="00330234" w:rsidRDefault="00467A20" w:rsidP="009B0E27">
      <w:pPr>
        <w:pStyle w:val="a3"/>
        <w:widowControl/>
        <w:ind w:left="0"/>
      </w:pPr>
    </w:p>
    <w:p w14:paraId="157C2D1D"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4.</w:t>
      </w:r>
      <w:r w:rsidRPr="00330234">
        <w:rPr>
          <w:b/>
        </w:rPr>
        <w:tab/>
      </w:r>
      <w:r w:rsidRPr="00330234">
        <w:rPr>
          <w:b/>
          <w:spacing w:val="-2"/>
        </w:rPr>
        <w:t>PARTIJNUMMER</w:t>
      </w:r>
    </w:p>
    <w:p w14:paraId="184E6A97" w14:textId="69B3003F" w:rsidR="00436DAA" w:rsidRPr="00330234" w:rsidRDefault="00436DAA" w:rsidP="009B0E27">
      <w:pPr>
        <w:pStyle w:val="a3"/>
        <w:widowControl/>
        <w:ind w:left="0"/>
      </w:pPr>
    </w:p>
    <w:p w14:paraId="135BE04D" w14:textId="77777777" w:rsidR="00436DAA" w:rsidRPr="00330234" w:rsidRDefault="009B4B8E" w:rsidP="009B0E27">
      <w:pPr>
        <w:pStyle w:val="a3"/>
        <w:widowControl/>
        <w:ind w:left="0"/>
      </w:pPr>
      <w:r w:rsidRPr="00330234">
        <w:t>Lot</w:t>
      </w:r>
    </w:p>
    <w:p w14:paraId="46B89B5A" w14:textId="77777777" w:rsidR="00436DAA" w:rsidRPr="00330234" w:rsidRDefault="00436DAA" w:rsidP="009B0E27">
      <w:pPr>
        <w:pStyle w:val="a3"/>
        <w:widowControl/>
        <w:ind w:left="0"/>
      </w:pPr>
    </w:p>
    <w:p w14:paraId="41AC4534" w14:textId="77777777" w:rsidR="00467A20" w:rsidRPr="00330234" w:rsidRDefault="00467A20" w:rsidP="009B0E27">
      <w:pPr>
        <w:pStyle w:val="a3"/>
        <w:widowControl/>
        <w:ind w:left="0"/>
      </w:pPr>
    </w:p>
    <w:p w14:paraId="3A95BE40"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5.</w:t>
      </w:r>
      <w:r w:rsidRPr="00330234">
        <w:rPr>
          <w:b/>
        </w:rPr>
        <w:tab/>
        <w:t>INHOUD</w:t>
      </w:r>
      <w:r w:rsidRPr="00330234">
        <w:rPr>
          <w:b/>
          <w:spacing w:val="-8"/>
        </w:rPr>
        <w:t xml:space="preserve"> </w:t>
      </w:r>
      <w:r w:rsidRPr="00330234">
        <w:rPr>
          <w:b/>
        </w:rPr>
        <w:t>UITGEDRUKT</w:t>
      </w:r>
      <w:r w:rsidRPr="00330234">
        <w:rPr>
          <w:b/>
          <w:spacing w:val="-6"/>
        </w:rPr>
        <w:t xml:space="preserve"> </w:t>
      </w:r>
      <w:r w:rsidRPr="00330234">
        <w:rPr>
          <w:b/>
        </w:rPr>
        <w:t>IN</w:t>
      </w:r>
      <w:r w:rsidRPr="00330234">
        <w:rPr>
          <w:b/>
          <w:spacing w:val="-6"/>
        </w:rPr>
        <w:t xml:space="preserve"> </w:t>
      </w:r>
      <w:r w:rsidRPr="00330234">
        <w:rPr>
          <w:b/>
        </w:rPr>
        <w:t>GEWICHT,</w:t>
      </w:r>
      <w:r w:rsidRPr="00330234">
        <w:rPr>
          <w:b/>
          <w:spacing w:val="-5"/>
        </w:rPr>
        <w:t xml:space="preserve"> </w:t>
      </w:r>
      <w:r w:rsidRPr="00330234">
        <w:rPr>
          <w:b/>
        </w:rPr>
        <w:t>VOLUME</w:t>
      </w:r>
      <w:r w:rsidRPr="00330234">
        <w:rPr>
          <w:b/>
          <w:spacing w:val="-5"/>
        </w:rPr>
        <w:t xml:space="preserve"> </w:t>
      </w:r>
      <w:r w:rsidRPr="00330234">
        <w:rPr>
          <w:b/>
        </w:rPr>
        <w:t>OF</w:t>
      </w:r>
      <w:r w:rsidRPr="00330234">
        <w:rPr>
          <w:b/>
          <w:spacing w:val="-3"/>
        </w:rPr>
        <w:t xml:space="preserve"> </w:t>
      </w:r>
      <w:r w:rsidRPr="00330234">
        <w:rPr>
          <w:b/>
          <w:spacing w:val="-2"/>
        </w:rPr>
        <w:t>EENHEID</w:t>
      </w:r>
    </w:p>
    <w:p w14:paraId="332C9A12" w14:textId="12733B34" w:rsidR="00436DAA" w:rsidRPr="00330234" w:rsidRDefault="00436DAA" w:rsidP="009B0E27">
      <w:pPr>
        <w:pStyle w:val="a3"/>
        <w:widowControl/>
        <w:ind w:left="0"/>
      </w:pPr>
    </w:p>
    <w:p w14:paraId="511F7E3A" w14:textId="77777777" w:rsidR="00436DAA" w:rsidRPr="00330234" w:rsidRDefault="009B4B8E" w:rsidP="009B0E27">
      <w:pPr>
        <w:pStyle w:val="a3"/>
        <w:widowControl/>
        <w:ind w:left="0"/>
      </w:pPr>
      <w:r w:rsidRPr="00330234">
        <w:t>400 mg/20 ml</w:t>
      </w:r>
    </w:p>
    <w:p w14:paraId="403A612B" w14:textId="77777777" w:rsidR="00436DAA" w:rsidRPr="00330234" w:rsidRDefault="00436DAA" w:rsidP="009B0E27">
      <w:pPr>
        <w:pStyle w:val="a3"/>
        <w:widowControl/>
        <w:ind w:left="0"/>
      </w:pPr>
    </w:p>
    <w:p w14:paraId="3A0BB170" w14:textId="77777777" w:rsidR="00467A20" w:rsidRPr="00330234" w:rsidRDefault="00467A20" w:rsidP="009B0E27">
      <w:pPr>
        <w:pStyle w:val="a3"/>
        <w:widowControl/>
        <w:ind w:left="0"/>
      </w:pPr>
    </w:p>
    <w:p w14:paraId="29C6B034"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6.</w:t>
      </w:r>
      <w:r w:rsidRPr="00330234">
        <w:rPr>
          <w:b/>
        </w:rPr>
        <w:tab/>
      </w:r>
      <w:r w:rsidRPr="00330234">
        <w:rPr>
          <w:b/>
          <w:spacing w:val="-2"/>
        </w:rPr>
        <w:t>OVERIGE</w:t>
      </w:r>
    </w:p>
    <w:p w14:paraId="1AAE9041" w14:textId="76BE696D" w:rsidR="00436DAA" w:rsidRPr="00330234" w:rsidRDefault="00436DAA" w:rsidP="009B0E27">
      <w:pPr>
        <w:pStyle w:val="a3"/>
        <w:widowControl/>
        <w:ind w:left="0"/>
      </w:pPr>
    </w:p>
    <w:p w14:paraId="1C92B953" w14:textId="77777777" w:rsidR="00467A20" w:rsidRPr="00330234" w:rsidRDefault="00467A20" w:rsidP="009B0E27">
      <w:pPr>
        <w:pStyle w:val="a3"/>
        <w:widowControl/>
        <w:ind w:left="0"/>
      </w:pPr>
    </w:p>
    <w:p w14:paraId="6854FA6C" w14:textId="028C200F" w:rsidR="009B0E27" w:rsidRPr="00330234" w:rsidRDefault="009B0E27" w:rsidP="001B3E1E">
      <w:pPr>
        <w:widowControl/>
        <w:pBdr>
          <w:top w:val="single" w:sz="4" w:space="1" w:color="auto"/>
          <w:left w:val="single" w:sz="4" w:space="4" w:color="auto"/>
          <w:bottom w:val="single" w:sz="4" w:space="1" w:color="auto"/>
          <w:right w:val="single" w:sz="4" w:space="4" w:color="auto"/>
        </w:pBdr>
        <w:rPr>
          <w:b/>
        </w:rPr>
      </w:pPr>
      <w:r w:rsidRPr="00330234">
        <w:br w:type="page"/>
      </w:r>
      <w:r w:rsidRPr="00330234">
        <w:rPr>
          <w:b/>
        </w:rPr>
        <w:lastRenderedPageBreak/>
        <w:t>GEGEVENS</w:t>
      </w:r>
      <w:r w:rsidRPr="00330234">
        <w:rPr>
          <w:b/>
          <w:spacing w:val="-3"/>
        </w:rPr>
        <w:t xml:space="preserve"> </w:t>
      </w:r>
      <w:r w:rsidRPr="00330234">
        <w:rPr>
          <w:b/>
        </w:rPr>
        <w:t>DIE</w:t>
      </w:r>
      <w:r w:rsidRPr="00330234">
        <w:rPr>
          <w:b/>
          <w:spacing w:val="-5"/>
        </w:rPr>
        <w:t xml:space="preserve"> </w:t>
      </w:r>
      <w:r w:rsidRPr="00330234">
        <w:rPr>
          <w:b/>
        </w:rPr>
        <w:t>IN</w:t>
      </w:r>
      <w:r w:rsidRPr="00330234">
        <w:rPr>
          <w:b/>
          <w:spacing w:val="-5"/>
        </w:rPr>
        <w:t xml:space="preserve"> </w:t>
      </w:r>
      <w:r w:rsidRPr="00330234">
        <w:rPr>
          <w:b/>
        </w:rPr>
        <w:t>IEDER</w:t>
      </w:r>
      <w:r w:rsidRPr="00330234">
        <w:rPr>
          <w:b/>
          <w:spacing w:val="-5"/>
        </w:rPr>
        <w:t xml:space="preserve"> </w:t>
      </w:r>
      <w:r w:rsidRPr="00330234">
        <w:rPr>
          <w:b/>
        </w:rPr>
        <w:t>GEVAL</w:t>
      </w:r>
      <w:r w:rsidRPr="00330234">
        <w:rPr>
          <w:b/>
          <w:spacing w:val="-5"/>
        </w:rPr>
        <w:t xml:space="preserve"> </w:t>
      </w:r>
      <w:r w:rsidRPr="00330234">
        <w:rPr>
          <w:b/>
        </w:rPr>
        <w:t>OP</w:t>
      </w:r>
      <w:r w:rsidRPr="00330234">
        <w:rPr>
          <w:b/>
          <w:spacing w:val="-5"/>
        </w:rPr>
        <w:t xml:space="preserve"> </w:t>
      </w:r>
      <w:r w:rsidRPr="00330234">
        <w:rPr>
          <w:b/>
        </w:rPr>
        <w:t>PRIMAIRE</w:t>
      </w:r>
      <w:r w:rsidRPr="00330234">
        <w:rPr>
          <w:b/>
          <w:spacing w:val="-5"/>
        </w:rPr>
        <w:t xml:space="preserve"> </w:t>
      </w:r>
      <w:r w:rsidRPr="00330234">
        <w:rPr>
          <w:b/>
        </w:rPr>
        <w:t>KLEINVERPAKKINGEN</w:t>
      </w:r>
      <w:r w:rsidRPr="00330234">
        <w:rPr>
          <w:b/>
          <w:spacing w:val="-5"/>
        </w:rPr>
        <w:t xml:space="preserve"> </w:t>
      </w:r>
      <w:r w:rsidRPr="00330234">
        <w:rPr>
          <w:b/>
        </w:rPr>
        <w:t>MOETEN WORDEN VERMELD</w:t>
      </w:r>
    </w:p>
    <w:p w14:paraId="1F17E0C5" w14:textId="77777777" w:rsidR="009B0E27" w:rsidRPr="00330234" w:rsidRDefault="009B0E27" w:rsidP="00F76AA5">
      <w:pPr>
        <w:pStyle w:val="a3"/>
        <w:pBdr>
          <w:top w:val="single" w:sz="4" w:space="1" w:color="auto"/>
          <w:left w:val="single" w:sz="4" w:space="4" w:color="auto"/>
          <w:bottom w:val="single" w:sz="4" w:space="1" w:color="auto"/>
          <w:right w:val="single" w:sz="4" w:space="4" w:color="auto"/>
        </w:pBdr>
        <w:ind w:left="0"/>
        <w:rPr>
          <w:b/>
        </w:rPr>
      </w:pPr>
    </w:p>
    <w:p w14:paraId="7216AFBE" w14:textId="77777777" w:rsidR="009B0E27" w:rsidRPr="00330234" w:rsidRDefault="009B0E27" w:rsidP="00F76AA5">
      <w:pPr>
        <w:pBdr>
          <w:top w:val="single" w:sz="4" w:space="1" w:color="auto"/>
          <w:left w:val="single" w:sz="4" w:space="4" w:color="auto"/>
          <w:bottom w:val="single" w:sz="4" w:space="1" w:color="auto"/>
          <w:right w:val="single" w:sz="4" w:space="4" w:color="auto"/>
        </w:pBdr>
        <w:rPr>
          <w:b/>
        </w:rPr>
      </w:pPr>
      <w:r w:rsidRPr="00330234">
        <w:rPr>
          <w:b/>
        </w:rPr>
        <w:t>ETIKET</w:t>
      </w:r>
      <w:r w:rsidRPr="00330234">
        <w:rPr>
          <w:b/>
          <w:spacing w:val="-9"/>
        </w:rPr>
        <w:t xml:space="preserve"> </w:t>
      </w:r>
      <w:r w:rsidRPr="00330234">
        <w:rPr>
          <w:b/>
        </w:rPr>
        <w:t>VOORGEVULDE</w:t>
      </w:r>
      <w:r w:rsidRPr="00330234">
        <w:rPr>
          <w:b/>
          <w:spacing w:val="-8"/>
        </w:rPr>
        <w:t xml:space="preserve"> </w:t>
      </w:r>
      <w:r w:rsidRPr="00330234">
        <w:rPr>
          <w:b/>
          <w:spacing w:val="-2"/>
        </w:rPr>
        <w:t>SPUIT</w:t>
      </w:r>
    </w:p>
    <w:p w14:paraId="07C1A2F0" w14:textId="77777777" w:rsidR="009B0E27" w:rsidRPr="00330234" w:rsidRDefault="009B0E27" w:rsidP="009B0E27">
      <w:pPr>
        <w:pStyle w:val="a3"/>
        <w:widowControl/>
        <w:ind w:left="0"/>
      </w:pPr>
    </w:p>
    <w:p w14:paraId="78BC5916" w14:textId="77777777" w:rsidR="00467A20" w:rsidRPr="00330234" w:rsidRDefault="00467A20" w:rsidP="009B0E27">
      <w:pPr>
        <w:pStyle w:val="a3"/>
        <w:widowControl/>
        <w:ind w:left="0"/>
      </w:pPr>
    </w:p>
    <w:p w14:paraId="2A9480B2"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w:t>
      </w:r>
      <w:r w:rsidRPr="00330234">
        <w:rPr>
          <w:b/>
        </w:rPr>
        <w:tab/>
        <w:t>NAAM</w:t>
      </w:r>
      <w:r w:rsidRPr="00330234">
        <w:rPr>
          <w:b/>
          <w:spacing w:val="-7"/>
        </w:rPr>
        <w:t xml:space="preserve"> </w:t>
      </w:r>
      <w:r w:rsidRPr="00330234">
        <w:rPr>
          <w:b/>
        </w:rPr>
        <w:t>VAN</w:t>
      </w:r>
      <w:r w:rsidRPr="00330234">
        <w:rPr>
          <w:b/>
          <w:spacing w:val="-5"/>
        </w:rPr>
        <w:t xml:space="preserve"> </w:t>
      </w:r>
      <w:r w:rsidRPr="00330234">
        <w:rPr>
          <w:b/>
        </w:rPr>
        <w:t>HET</w:t>
      </w:r>
      <w:r w:rsidRPr="00330234">
        <w:rPr>
          <w:b/>
          <w:spacing w:val="-5"/>
        </w:rPr>
        <w:t xml:space="preserve"> </w:t>
      </w:r>
      <w:r w:rsidRPr="00330234">
        <w:rPr>
          <w:b/>
        </w:rPr>
        <w:t>GENEESMIDDEL</w:t>
      </w:r>
      <w:r w:rsidRPr="00330234">
        <w:rPr>
          <w:b/>
          <w:spacing w:val="-5"/>
        </w:rPr>
        <w:t xml:space="preserve"> </w:t>
      </w:r>
      <w:r w:rsidRPr="00330234">
        <w:rPr>
          <w:b/>
        </w:rPr>
        <w:t>EN</w:t>
      </w:r>
      <w:r w:rsidRPr="00330234">
        <w:rPr>
          <w:b/>
          <w:spacing w:val="-5"/>
        </w:rPr>
        <w:t xml:space="preserve"> </w:t>
      </w:r>
      <w:r w:rsidRPr="00330234">
        <w:rPr>
          <w:b/>
        </w:rPr>
        <w:t>DE</w:t>
      </w:r>
      <w:r w:rsidRPr="00330234">
        <w:rPr>
          <w:b/>
          <w:spacing w:val="-4"/>
        </w:rPr>
        <w:t xml:space="preserve"> </w:t>
      </w:r>
      <w:r w:rsidRPr="00330234">
        <w:rPr>
          <w:b/>
          <w:spacing w:val="-2"/>
        </w:rPr>
        <w:t>TOEDIENINGSWEG(EN)</w:t>
      </w:r>
    </w:p>
    <w:p w14:paraId="0E74AAFF" w14:textId="7FDE691B" w:rsidR="00436DAA" w:rsidRPr="00330234" w:rsidRDefault="00436DAA" w:rsidP="009B0E27">
      <w:pPr>
        <w:pStyle w:val="a3"/>
        <w:widowControl/>
        <w:ind w:left="0"/>
      </w:pPr>
    </w:p>
    <w:p w14:paraId="14454E74" w14:textId="54B67E3E" w:rsidR="00467A20" w:rsidRPr="00330234" w:rsidRDefault="007A197C" w:rsidP="009B0E27">
      <w:pPr>
        <w:pStyle w:val="a3"/>
        <w:widowControl/>
        <w:ind w:left="0"/>
      </w:pPr>
      <w:r w:rsidRPr="00330234">
        <w:t>Avtozma</w:t>
      </w:r>
      <w:r w:rsidR="009B4B8E" w:rsidRPr="00330234">
        <w:t xml:space="preserve"> 162 mg injectie</w:t>
      </w:r>
    </w:p>
    <w:p w14:paraId="2CD0AF69" w14:textId="62E20777" w:rsidR="00436DAA" w:rsidRPr="00330234" w:rsidRDefault="009B4B8E" w:rsidP="009B0E27">
      <w:pPr>
        <w:pStyle w:val="a3"/>
        <w:widowControl/>
        <w:ind w:left="0"/>
      </w:pPr>
      <w:r w:rsidRPr="00330234">
        <w:t>tocilizumab</w:t>
      </w:r>
    </w:p>
    <w:p w14:paraId="5CE62084" w14:textId="77777777" w:rsidR="00436DAA" w:rsidRPr="00330234" w:rsidRDefault="009B4B8E" w:rsidP="009B0E27">
      <w:pPr>
        <w:pStyle w:val="a3"/>
        <w:widowControl/>
        <w:ind w:left="0"/>
      </w:pPr>
      <w:r w:rsidRPr="00330234">
        <w:t>s.c.</w:t>
      </w:r>
    </w:p>
    <w:p w14:paraId="037A4BD6" w14:textId="77777777" w:rsidR="00436DAA" w:rsidRPr="00330234" w:rsidRDefault="00436DAA" w:rsidP="009B0E27">
      <w:pPr>
        <w:pStyle w:val="a3"/>
        <w:widowControl/>
        <w:ind w:left="0"/>
      </w:pPr>
    </w:p>
    <w:p w14:paraId="1AC51996" w14:textId="77777777" w:rsidR="00467A20" w:rsidRPr="00330234" w:rsidRDefault="00467A20" w:rsidP="009B0E27">
      <w:pPr>
        <w:pStyle w:val="a3"/>
        <w:widowControl/>
        <w:ind w:left="0"/>
      </w:pPr>
    </w:p>
    <w:p w14:paraId="540A082C"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2.</w:t>
      </w:r>
      <w:r w:rsidRPr="00330234">
        <w:rPr>
          <w:b/>
        </w:rPr>
        <w:tab/>
        <w:t>WIJZE</w:t>
      </w:r>
      <w:r w:rsidRPr="00330234">
        <w:rPr>
          <w:b/>
          <w:spacing w:val="-5"/>
        </w:rPr>
        <w:t xml:space="preserve"> </w:t>
      </w:r>
      <w:r w:rsidRPr="00330234">
        <w:rPr>
          <w:b/>
        </w:rPr>
        <w:t>VAN</w:t>
      </w:r>
      <w:r w:rsidRPr="00330234">
        <w:rPr>
          <w:b/>
          <w:spacing w:val="-5"/>
        </w:rPr>
        <w:t xml:space="preserve"> </w:t>
      </w:r>
      <w:r w:rsidRPr="00330234">
        <w:rPr>
          <w:b/>
          <w:spacing w:val="-2"/>
        </w:rPr>
        <w:t>TOEDIENING</w:t>
      </w:r>
    </w:p>
    <w:p w14:paraId="05BC0918" w14:textId="570542BE" w:rsidR="00436DAA" w:rsidRPr="00330234" w:rsidRDefault="00436DAA" w:rsidP="009B0E27">
      <w:pPr>
        <w:pStyle w:val="a3"/>
        <w:widowControl/>
        <w:ind w:left="0"/>
      </w:pPr>
    </w:p>
    <w:p w14:paraId="19B5819D" w14:textId="77777777" w:rsidR="00436DAA" w:rsidRPr="00330234" w:rsidRDefault="00436DAA" w:rsidP="009B0E27">
      <w:pPr>
        <w:pStyle w:val="a3"/>
        <w:widowControl/>
        <w:ind w:left="0"/>
      </w:pPr>
    </w:p>
    <w:p w14:paraId="692454A9"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3.</w:t>
      </w:r>
      <w:r w:rsidRPr="00330234">
        <w:rPr>
          <w:b/>
        </w:rPr>
        <w:tab/>
        <w:t>UITERSTE</w:t>
      </w:r>
      <w:r w:rsidRPr="00330234">
        <w:rPr>
          <w:b/>
          <w:spacing w:val="-9"/>
        </w:rPr>
        <w:t xml:space="preserve"> </w:t>
      </w:r>
      <w:r w:rsidRPr="00330234">
        <w:rPr>
          <w:b/>
          <w:spacing w:val="-2"/>
        </w:rPr>
        <w:t>GEBRUIKSDATUM</w:t>
      </w:r>
    </w:p>
    <w:p w14:paraId="633A17BC" w14:textId="30F235C3" w:rsidR="00436DAA" w:rsidRPr="00330234" w:rsidRDefault="00436DAA" w:rsidP="009B0E27">
      <w:pPr>
        <w:pStyle w:val="a3"/>
        <w:widowControl/>
        <w:ind w:left="0"/>
      </w:pPr>
    </w:p>
    <w:p w14:paraId="46AD6DE0" w14:textId="77777777" w:rsidR="00436DAA" w:rsidRPr="00330234" w:rsidRDefault="009B4B8E" w:rsidP="009B0E27">
      <w:pPr>
        <w:pStyle w:val="a3"/>
        <w:widowControl/>
        <w:ind w:left="0"/>
      </w:pPr>
      <w:r w:rsidRPr="00330234">
        <w:t>EXP</w:t>
      </w:r>
    </w:p>
    <w:p w14:paraId="065CF768" w14:textId="77777777" w:rsidR="00436DAA" w:rsidRPr="00330234" w:rsidRDefault="00436DAA" w:rsidP="009B0E27">
      <w:pPr>
        <w:pStyle w:val="a3"/>
        <w:widowControl/>
        <w:ind w:left="0"/>
      </w:pPr>
    </w:p>
    <w:p w14:paraId="344CF145" w14:textId="77777777" w:rsidR="00467A20" w:rsidRPr="00330234" w:rsidRDefault="00467A20" w:rsidP="009B0E27">
      <w:pPr>
        <w:pStyle w:val="a3"/>
        <w:widowControl/>
        <w:ind w:left="0"/>
      </w:pPr>
    </w:p>
    <w:p w14:paraId="47B4B67D"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4.</w:t>
      </w:r>
      <w:r w:rsidRPr="00330234">
        <w:rPr>
          <w:b/>
        </w:rPr>
        <w:tab/>
      </w:r>
      <w:r w:rsidRPr="00330234">
        <w:rPr>
          <w:b/>
          <w:spacing w:val="-2"/>
        </w:rPr>
        <w:t>PARTIJNUMMER</w:t>
      </w:r>
    </w:p>
    <w:p w14:paraId="378BF9C5" w14:textId="311C97A4" w:rsidR="00436DAA" w:rsidRPr="00330234" w:rsidRDefault="00436DAA" w:rsidP="009B0E27">
      <w:pPr>
        <w:pStyle w:val="a3"/>
        <w:widowControl/>
        <w:ind w:left="0"/>
      </w:pPr>
    </w:p>
    <w:p w14:paraId="0FF9BBC2" w14:textId="77777777" w:rsidR="00436DAA" w:rsidRPr="00330234" w:rsidRDefault="009B4B8E" w:rsidP="009B0E27">
      <w:pPr>
        <w:pStyle w:val="a3"/>
        <w:widowControl/>
        <w:ind w:left="0"/>
      </w:pPr>
      <w:r w:rsidRPr="00330234">
        <w:t>Lot</w:t>
      </w:r>
    </w:p>
    <w:p w14:paraId="7AA4B5FF" w14:textId="77777777" w:rsidR="00436DAA" w:rsidRPr="00330234" w:rsidRDefault="00436DAA" w:rsidP="009B0E27">
      <w:pPr>
        <w:pStyle w:val="a3"/>
        <w:widowControl/>
        <w:ind w:left="0"/>
      </w:pPr>
    </w:p>
    <w:p w14:paraId="0D5AC9C3" w14:textId="77777777" w:rsidR="00467A20" w:rsidRPr="00330234" w:rsidRDefault="00467A20" w:rsidP="009B0E27">
      <w:pPr>
        <w:pStyle w:val="a3"/>
        <w:widowControl/>
        <w:ind w:left="0"/>
      </w:pPr>
    </w:p>
    <w:p w14:paraId="16D930A6"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5.</w:t>
      </w:r>
      <w:r w:rsidRPr="00330234">
        <w:rPr>
          <w:b/>
        </w:rPr>
        <w:tab/>
        <w:t>INHOUD</w:t>
      </w:r>
      <w:r w:rsidRPr="00330234">
        <w:rPr>
          <w:b/>
          <w:spacing w:val="-8"/>
        </w:rPr>
        <w:t xml:space="preserve"> </w:t>
      </w:r>
      <w:r w:rsidRPr="00330234">
        <w:rPr>
          <w:b/>
        </w:rPr>
        <w:t>UITGEDRUKT</w:t>
      </w:r>
      <w:r w:rsidRPr="00330234">
        <w:rPr>
          <w:b/>
          <w:spacing w:val="-6"/>
        </w:rPr>
        <w:t xml:space="preserve"> </w:t>
      </w:r>
      <w:r w:rsidRPr="00330234">
        <w:rPr>
          <w:b/>
        </w:rPr>
        <w:t>IN</w:t>
      </w:r>
      <w:r w:rsidRPr="00330234">
        <w:rPr>
          <w:b/>
          <w:spacing w:val="-6"/>
        </w:rPr>
        <w:t xml:space="preserve"> </w:t>
      </w:r>
      <w:r w:rsidRPr="00330234">
        <w:rPr>
          <w:b/>
        </w:rPr>
        <w:t>GEWICHT,</w:t>
      </w:r>
      <w:r w:rsidRPr="00330234">
        <w:rPr>
          <w:b/>
          <w:spacing w:val="-5"/>
        </w:rPr>
        <w:t xml:space="preserve"> </w:t>
      </w:r>
      <w:r w:rsidRPr="00330234">
        <w:rPr>
          <w:b/>
        </w:rPr>
        <w:t>VOLUME</w:t>
      </w:r>
      <w:r w:rsidRPr="00330234">
        <w:rPr>
          <w:b/>
          <w:spacing w:val="-5"/>
        </w:rPr>
        <w:t xml:space="preserve"> </w:t>
      </w:r>
      <w:r w:rsidRPr="00330234">
        <w:rPr>
          <w:b/>
        </w:rPr>
        <w:t>OF</w:t>
      </w:r>
      <w:r w:rsidRPr="00330234">
        <w:rPr>
          <w:b/>
          <w:spacing w:val="-3"/>
        </w:rPr>
        <w:t xml:space="preserve"> </w:t>
      </w:r>
      <w:r w:rsidRPr="00330234">
        <w:rPr>
          <w:b/>
          <w:spacing w:val="-2"/>
        </w:rPr>
        <w:t>EENHEID</w:t>
      </w:r>
    </w:p>
    <w:p w14:paraId="1BE70481" w14:textId="4127DB80" w:rsidR="00436DAA" w:rsidRPr="00330234" w:rsidRDefault="00436DAA" w:rsidP="009B0E27">
      <w:pPr>
        <w:pStyle w:val="a3"/>
        <w:widowControl/>
        <w:ind w:left="0"/>
      </w:pPr>
    </w:p>
    <w:p w14:paraId="08A48EED" w14:textId="77777777" w:rsidR="00436DAA" w:rsidRPr="00330234" w:rsidRDefault="009B4B8E" w:rsidP="009B0E27">
      <w:pPr>
        <w:pStyle w:val="a3"/>
        <w:widowControl/>
        <w:ind w:left="0"/>
      </w:pPr>
      <w:r w:rsidRPr="00330234">
        <w:t>162 mg/0,9 ml</w:t>
      </w:r>
    </w:p>
    <w:p w14:paraId="2C0BC735" w14:textId="77777777" w:rsidR="00436DAA" w:rsidRPr="00330234" w:rsidRDefault="00436DAA" w:rsidP="009B0E27">
      <w:pPr>
        <w:pStyle w:val="a3"/>
        <w:widowControl/>
        <w:ind w:left="0"/>
      </w:pPr>
    </w:p>
    <w:p w14:paraId="49E203FB" w14:textId="77777777" w:rsidR="009B0E27" w:rsidRPr="00330234" w:rsidRDefault="009B0E27" w:rsidP="009B0E27">
      <w:pPr>
        <w:pStyle w:val="a3"/>
        <w:widowControl/>
        <w:ind w:left="0"/>
      </w:pPr>
    </w:p>
    <w:p w14:paraId="7A848BA2"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6.</w:t>
      </w:r>
      <w:r w:rsidRPr="00330234">
        <w:rPr>
          <w:b/>
        </w:rPr>
        <w:tab/>
      </w:r>
      <w:r w:rsidRPr="00330234">
        <w:rPr>
          <w:b/>
          <w:spacing w:val="-2"/>
        </w:rPr>
        <w:t>OVERIGE</w:t>
      </w:r>
    </w:p>
    <w:p w14:paraId="169B63A3" w14:textId="77777777" w:rsidR="009B0E27" w:rsidRPr="00330234" w:rsidRDefault="009B0E27" w:rsidP="009B0E27">
      <w:pPr>
        <w:pStyle w:val="a3"/>
        <w:widowControl/>
        <w:ind w:left="0"/>
      </w:pPr>
    </w:p>
    <w:p w14:paraId="2F2A7E04" w14:textId="77777777" w:rsidR="00467A20" w:rsidRPr="00330234" w:rsidRDefault="00467A20" w:rsidP="009B0E27">
      <w:pPr>
        <w:pStyle w:val="a3"/>
        <w:widowControl/>
        <w:ind w:left="0"/>
      </w:pPr>
    </w:p>
    <w:p w14:paraId="22495467" w14:textId="78160376" w:rsidR="009B0E27" w:rsidRPr="00330234" w:rsidRDefault="009B0E27" w:rsidP="00330234">
      <w:pPr>
        <w:pBdr>
          <w:top w:val="single" w:sz="4" w:space="1" w:color="auto"/>
          <w:left w:val="single" w:sz="4" w:space="4" w:color="auto"/>
          <w:bottom w:val="single" w:sz="4" w:space="1" w:color="auto"/>
          <w:right w:val="single" w:sz="4" w:space="4" w:color="auto"/>
        </w:pBdr>
        <w:rPr>
          <w:b/>
        </w:rPr>
      </w:pPr>
      <w:r w:rsidRPr="00330234">
        <w:br w:type="page"/>
      </w:r>
      <w:r w:rsidRPr="00330234">
        <w:rPr>
          <w:b/>
        </w:rPr>
        <w:lastRenderedPageBreak/>
        <w:t>GEGEVENS</w:t>
      </w:r>
      <w:r w:rsidRPr="00330234">
        <w:rPr>
          <w:b/>
          <w:spacing w:val="-3"/>
        </w:rPr>
        <w:t xml:space="preserve"> </w:t>
      </w:r>
      <w:r w:rsidRPr="00330234">
        <w:rPr>
          <w:b/>
        </w:rPr>
        <w:t>DIE</w:t>
      </w:r>
      <w:r w:rsidRPr="00330234">
        <w:rPr>
          <w:b/>
          <w:spacing w:val="-5"/>
        </w:rPr>
        <w:t xml:space="preserve"> </w:t>
      </w:r>
      <w:r w:rsidRPr="00330234">
        <w:rPr>
          <w:b/>
        </w:rPr>
        <w:t>IN</w:t>
      </w:r>
      <w:r w:rsidRPr="00330234">
        <w:rPr>
          <w:b/>
          <w:spacing w:val="-5"/>
        </w:rPr>
        <w:t xml:space="preserve"> </w:t>
      </w:r>
      <w:r w:rsidRPr="00330234">
        <w:rPr>
          <w:b/>
        </w:rPr>
        <w:t>IEDER</w:t>
      </w:r>
      <w:r w:rsidRPr="00330234">
        <w:rPr>
          <w:b/>
          <w:spacing w:val="-5"/>
        </w:rPr>
        <w:t xml:space="preserve"> </w:t>
      </w:r>
      <w:r w:rsidRPr="00330234">
        <w:rPr>
          <w:b/>
        </w:rPr>
        <w:t>GEVAL</w:t>
      </w:r>
      <w:r w:rsidRPr="00330234">
        <w:rPr>
          <w:b/>
          <w:spacing w:val="-5"/>
        </w:rPr>
        <w:t xml:space="preserve"> </w:t>
      </w:r>
      <w:r w:rsidRPr="00330234">
        <w:rPr>
          <w:b/>
        </w:rPr>
        <w:t>OP</w:t>
      </w:r>
      <w:r w:rsidRPr="00330234">
        <w:rPr>
          <w:b/>
          <w:spacing w:val="-5"/>
        </w:rPr>
        <w:t xml:space="preserve"> </w:t>
      </w:r>
      <w:r w:rsidRPr="00330234">
        <w:rPr>
          <w:b/>
        </w:rPr>
        <w:t>PRIMAIRE</w:t>
      </w:r>
      <w:r w:rsidRPr="00330234">
        <w:rPr>
          <w:b/>
          <w:spacing w:val="-5"/>
        </w:rPr>
        <w:t xml:space="preserve"> </w:t>
      </w:r>
      <w:r w:rsidRPr="00330234">
        <w:rPr>
          <w:b/>
        </w:rPr>
        <w:t>KLEINVERPAKKINGEN</w:t>
      </w:r>
      <w:r w:rsidRPr="00330234">
        <w:rPr>
          <w:b/>
          <w:spacing w:val="-5"/>
        </w:rPr>
        <w:t xml:space="preserve"> </w:t>
      </w:r>
      <w:r w:rsidRPr="00330234">
        <w:rPr>
          <w:b/>
        </w:rPr>
        <w:t>MOETEN WORDEN VERMELD</w:t>
      </w:r>
    </w:p>
    <w:p w14:paraId="7237C4B6" w14:textId="77777777" w:rsidR="009B0E27" w:rsidRPr="00330234" w:rsidRDefault="009B0E27" w:rsidP="00F76AA5">
      <w:pPr>
        <w:pStyle w:val="a3"/>
        <w:pBdr>
          <w:top w:val="single" w:sz="4" w:space="1" w:color="auto"/>
          <w:left w:val="single" w:sz="4" w:space="4" w:color="auto"/>
          <w:bottom w:val="single" w:sz="4" w:space="1" w:color="auto"/>
          <w:right w:val="single" w:sz="4" w:space="4" w:color="auto"/>
        </w:pBdr>
        <w:ind w:left="0"/>
        <w:rPr>
          <w:b/>
        </w:rPr>
      </w:pPr>
    </w:p>
    <w:p w14:paraId="60827D64" w14:textId="77777777" w:rsidR="009B0E27" w:rsidRPr="00330234" w:rsidRDefault="009B0E27" w:rsidP="00F76AA5">
      <w:pPr>
        <w:pBdr>
          <w:top w:val="single" w:sz="4" w:space="1" w:color="auto"/>
          <w:left w:val="single" w:sz="4" w:space="4" w:color="auto"/>
          <w:bottom w:val="single" w:sz="4" w:space="1" w:color="auto"/>
          <w:right w:val="single" w:sz="4" w:space="4" w:color="auto"/>
        </w:pBdr>
        <w:rPr>
          <w:b/>
        </w:rPr>
      </w:pPr>
      <w:r w:rsidRPr="00330234">
        <w:rPr>
          <w:b/>
        </w:rPr>
        <w:t>ETIKET</w:t>
      </w:r>
      <w:r w:rsidRPr="00330234">
        <w:rPr>
          <w:b/>
          <w:spacing w:val="-11"/>
        </w:rPr>
        <w:t xml:space="preserve"> </w:t>
      </w:r>
      <w:r w:rsidRPr="00330234">
        <w:rPr>
          <w:b/>
        </w:rPr>
        <w:t>VOORGEVULDE</w:t>
      </w:r>
      <w:r w:rsidRPr="00330234">
        <w:rPr>
          <w:b/>
          <w:spacing w:val="-8"/>
        </w:rPr>
        <w:t xml:space="preserve"> </w:t>
      </w:r>
      <w:r w:rsidRPr="00330234">
        <w:rPr>
          <w:b/>
          <w:spacing w:val="-5"/>
        </w:rPr>
        <w:t>PEN</w:t>
      </w:r>
    </w:p>
    <w:p w14:paraId="770A16C5" w14:textId="77777777" w:rsidR="009B0E27" w:rsidRPr="00330234" w:rsidRDefault="009B0E27" w:rsidP="009B0E27">
      <w:pPr>
        <w:pStyle w:val="a3"/>
        <w:widowControl/>
        <w:ind w:left="0"/>
      </w:pPr>
    </w:p>
    <w:p w14:paraId="578C82A0" w14:textId="77777777" w:rsidR="00467A20" w:rsidRPr="00330234" w:rsidRDefault="00467A20" w:rsidP="009B0E27">
      <w:pPr>
        <w:pStyle w:val="a3"/>
        <w:widowControl/>
        <w:ind w:left="0"/>
      </w:pPr>
    </w:p>
    <w:p w14:paraId="2526CA7B"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1.</w:t>
      </w:r>
      <w:r w:rsidRPr="00330234">
        <w:rPr>
          <w:b/>
        </w:rPr>
        <w:tab/>
        <w:t>NAAM</w:t>
      </w:r>
      <w:r w:rsidRPr="00330234">
        <w:rPr>
          <w:b/>
          <w:spacing w:val="-7"/>
        </w:rPr>
        <w:t xml:space="preserve"> </w:t>
      </w:r>
      <w:r w:rsidRPr="00330234">
        <w:rPr>
          <w:b/>
        </w:rPr>
        <w:t>VAN</w:t>
      </w:r>
      <w:r w:rsidRPr="00330234">
        <w:rPr>
          <w:b/>
          <w:spacing w:val="-5"/>
        </w:rPr>
        <w:t xml:space="preserve"> </w:t>
      </w:r>
      <w:r w:rsidRPr="00330234">
        <w:rPr>
          <w:b/>
        </w:rPr>
        <w:t>HET</w:t>
      </w:r>
      <w:r w:rsidRPr="00330234">
        <w:rPr>
          <w:b/>
          <w:spacing w:val="-5"/>
        </w:rPr>
        <w:t xml:space="preserve"> </w:t>
      </w:r>
      <w:r w:rsidRPr="00330234">
        <w:rPr>
          <w:b/>
        </w:rPr>
        <w:t>GENEESMIDDEL</w:t>
      </w:r>
      <w:r w:rsidRPr="00330234">
        <w:rPr>
          <w:b/>
          <w:spacing w:val="-5"/>
        </w:rPr>
        <w:t xml:space="preserve"> </w:t>
      </w:r>
      <w:r w:rsidRPr="00330234">
        <w:rPr>
          <w:b/>
        </w:rPr>
        <w:t>EN</w:t>
      </w:r>
      <w:r w:rsidRPr="00330234">
        <w:rPr>
          <w:b/>
          <w:spacing w:val="-5"/>
        </w:rPr>
        <w:t xml:space="preserve"> </w:t>
      </w:r>
      <w:r w:rsidRPr="00330234">
        <w:rPr>
          <w:b/>
        </w:rPr>
        <w:t>DE</w:t>
      </w:r>
      <w:r w:rsidRPr="00330234">
        <w:rPr>
          <w:b/>
          <w:spacing w:val="-4"/>
        </w:rPr>
        <w:t xml:space="preserve"> </w:t>
      </w:r>
      <w:r w:rsidRPr="00330234">
        <w:rPr>
          <w:b/>
          <w:spacing w:val="-2"/>
        </w:rPr>
        <w:t>TOEDIENINGSWEG(EN)</w:t>
      </w:r>
    </w:p>
    <w:p w14:paraId="6625C658" w14:textId="0E53D53A" w:rsidR="00436DAA" w:rsidRPr="00330234" w:rsidRDefault="00436DAA" w:rsidP="009B0E27">
      <w:pPr>
        <w:pStyle w:val="a3"/>
        <w:widowControl/>
        <w:ind w:left="0"/>
      </w:pPr>
    </w:p>
    <w:p w14:paraId="31F5121E" w14:textId="7F8FCF22" w:rsidR="00467A20" w:rsidRPr="00330234" w:rsidRDefault="007A197C" w:rsidP="009B0E27">
      <w:pPr>
        <w:pStyle w:val="a3"/>
        <w:widowControl/>
        <w:ind w:left="0"/>
      </w:pPr>
      <w:r w:rsidRPr="00330234">
        <w:t>Avtozma</w:t>
      </w:r>
      <w:r w:rsidR="009B4B8E" w:rsidRPr="00330234">
        <w:t xml:space="preserve"> 162 mg injectie</w:t>
      </w:r>
    </w:p>
    <w:p w14:paraId="5237030C" w14:textId="1CF9B081" w:rsidR="00436DAA" w:rsidRPr="00330234" w:rsidRDefault="009B4B8E" w:rsidP="009B0E27">
      <w:pPr>
        <w:pStyle w:val="a3"/>
        <w:widowControl/>
        <w:ind w:left="0"/>
      </w:pPr>
      <w:r w:rsidRPr="00330234">
        <w:t>tocilizumab</w:t>
      </w:r>
    </w:p>
    <w:p w14:paraId="237CBE79" w14:textId="77777777" w:rsidR="00436DAA" w:rsidRPr="00330234" w:rsidRDefault="009B4B8E" w:rsidP="009B0E27">
      <w:pPr>
        <w:pStyle w:val="a3"/>
        <w:widowControl/>
        <w:ind w:left="0"/>
      </w:pPr>
      <w:r w:rsidRPr="00330234">
        <w:t>s.c.</w:t>
      </w:r>
    </w:p>
    <w:p w14:paraId="03A3FD01" w14:textId="77777777" w:rsidR="00436DAA" w:rsidRPr="00330234" w:rsidRDefault="00436DAA" w:rsidP="009B0E27">
      <w:pPr>
        <w:pStyle w:val="a3"/>
        <w:widowControl/>
        <w:ind w:left="0"/>
      </w:pPr>
    </w:p>
    <w:p w14:paraId="65B21417" w14:textId="77777777" w:rsidR="00467A20" w:rsidRPr="00330234" w:rsidRDefault="00467A20" w:rsidP="009B0E27">
      <w:pPr>
        <w:pStyle w:val="a3"/>
        <w:widowControl/>
        <w:ind w:left="0"/>
      </w:pPr>
    </w:p>
    <w:p w14:paraId="0E14C11E"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2.</w:t>
      </w:r>
      <w:r w:rsidRPr="00330234">
        <w:rPr>
          <w:b/>
        </w:rPr>
        <w:tab/>
        <w:t>WIJZE</w:t>
      </w:r>
      <w:r w:rsidRPr="00330234">
        <w:rPr>
          <w:b/>
          <w:spacing w:val="-5"/>
        </w:rPr>
        <w:t xml:space="preserve"> </w:t>
      </w:r>
      <w:r w:rsidRPr="00330234">
        <w:rPr>
          <w:b/>
        </w:rPr>
        <w:t>VAN</w:t>
      </w:r>
      <w:r w:rsidRPr="00330234">
        <w:rPr>
          <w:b/>
          <w:spacing w:val="-5"/>
        </w:rPr>
        <w:t xml:space="preserve"> </w:t>
      </w:r>
      <w:r w:rsidRPr="00330234">
        <w:rPr>
          <w:b/>
          <w:spacing w:val="-2"/>
        </w:rPr>
        <w:t>TOEDIENING</w:t>
      </w:r>
    </w:p>
    <w:p w14:paraId="452DC90F" w14:textId="08F08610" w:rsidR="00436DAA" w:rsidRPr="00330234" w:rsidRDefault="00436DAA" w:rsidP="009B0E27">
      <w:pPr>
        <w:pStyle w:val="a3"/>
        <w:widowControl/>
        <w:ind w:left="0"/>
      </w:pPr>
    </w:p>
    <w:p w14:paraId="0887190C" w14:textId="77777777" w:rsidR="00436DAA" w:rsidRPr="00330234" w:rsidRDefault="00436DAA" w:rsidP="009B0E27">
      <w:pPr>
        <w:pStyle w:val="a3"/>
        <w:widowControl/>
        <w:ind w:left="0"/>
      </w:pPr>
    </w:p>
    <w:p w14:paraId="30D57970"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3.</w:t>
      </w:r>
      <w:r w:rsidRPr="00330234">
        <w:rPr>
          <w:b/>
        </w:rPr>
        <w:tab/>
        <w:t>UITERSTE</w:t>
      </w:r>
      <w:r w:rsidRPr="00330234">
        <w:rPr>
          <w:b/>
          <w:spacing w:val="-9"/>
        </w:rPr>
        <w:t xml:space="preserve"> </w:t>
      </w:r>
      <w:r w:rsidRPr="00330234">
        <w:rPr>
          <w:b/>
          <w:spacing w:val="-2"/>
        </w:rPr>
        <w:t>GEBRUIKSDATUM</w:t>
      </w:r>
    </w:p>
    <w:p w14:paraId="41D8979C" w14:textId="411CCCFB" w:rsidR="00436DAA" w:rsidRPr="00330234" w:rsidRDefault="00436DAA" w:rsidP="009B0E27">
      <w:pPr>
        <w:pStyle w:val="a3"/>
        <w:widowControl/>
        <w:ind w:left="0"/>
      </w:pPr>
    </w:p>
    <w:p w14:paraId="2D3D02A1" w14:textId="77777777" w:rsidR="00436DAA" w:rsidRPr="00330234" w:rsidRDefault="009B4B8E" w:rsidP="009B0E27">
      <w:pPr>
        <w:pStyle w:val="a3"/>
        <w:widowControl/>
        <w:ind w:left="0"/>
      </w:pPr>
      <w:r w:rsidRPr="00330234">
        <w:t>EXP</w:t>
      </w:r>
    </w:p>
    <w:p w14:paraId="189AB4DB" w14:textId="77777777" w:rsidR="00436DAA" w:rsidRPr="00330234" w:rsidRDefault="00436DAA" w:rsidP="009B0E27">
      <w:pPr>
        <w:pStyle w:val="a3"/>
        <w:widowControl/>
        <w:ind w:left="0"/>
      </w:pPr>
    </w:p>
    <w:p w14:paraId="150B0E93" w14:textId="77777777" w:rsidR="00467A20" w:rsidRPr="00330234" w:rsidRDefault="00467A20" w:rsidP="009B0E27">
      <w:pPr>
        <w:pStyle w:val="a3"/>
        <w:widowControl/>
        <w:ind w:left="0"/>
      </w:pPr>
    </w:p>
    <w:p w14:paraId="045FB6C1"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4.</w:t>
      </w:r>
      <w:r w:rsidRPr="00330234">
        <w:rPr>
          <w:b/>
        </w:rPr>
        <w:tab/>
      </w:r>
      <w:r w:rsidRPr="00330234">
        <w:rPr>
          <w:b/>
          <w:spacing w:val="-2"/>
        </w:rPr>
        <w:t>PARTIJNUMMER</w:t>
      </w:r>
    </w:p>
    <w:p w14:paraId="0218EB49" w14:textId="465189B5" w:rsidR="00436DAA" w:rsidRPr="00330234" w:rsidRDefault="00436DAA" w:rsidP="009B0E27">
      <w:pPr>
        <w:pStyle w:val="a3"/>
        <w:widowControl/>
        <w:ind w:left="0"/>
      </w:pPr>
    </w:p>
    <w:p w14:paraId="11070C11" w14:textId="77777777" w:rsidR="00436DAA" w:rsidRPr="00330234" w:rsidRDefault="009B4B8E" w:rsidP="009B0E27">
      <w:pPr>
        <w:pStyle w:val="a3"/>
        <w:widowControl/>
        <w:ind w:left="0"/>
      </w:pPr>
      <w:r w:rsidRPr="00330234">
        <w:t>Lot</w:t>
      </w:r>
    </w:p>
    <w:p w14:paraId="566692A9" w14:textId="77777777" w:rsidR="00436DAA" w:rsidRPr="00330234" w:rsidRDefault="00436DAA" w:rsidP="009B0E27">
      <w:pPr>
        <w:pStyle w:val="a3"/>
        <w:widowControl/>
        <w:ind w:left="0"/>
      </w:pPr>
    </w:p>
    <w:p w14:paraId="3FBF75A9" w14:textId="77777777" w:rsidR="00467A20" w:rsidRPr="00330234" w:rsidRDefault="00467A20" w:rsidP="009B0E27">
      <w:pPr>
        <w:pStyle w:val="a3"/>
        <w:widowControl/>
        <w:ind w:left="0"/>
      </w:pPr>
    </w:p>
    <w:p w14:paraId="7034BBD7"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5.</w:t>
      </w:r>
      <w:r w:rsidRPr="00330234">
        <w:rPr>
          <w:b/>
        </w:rPr>
        <w:tab/>
        <w:t>INHOUD</w:t>
      </w:r>
      <w:r w:rsidRPr="00330234">
        <w:rPr>
          <w:b/>
          <w:spacing w:val="-8"/>
        </w:rPr>
        <w:t xml:space="preserve"> </w:t>
      </w:r>
      <w:r w:rsidRPr="00330234">
        <w:rPr>
          <w:b/>
        </w:rPr>
        <w:t>UITGEDRUKT</w:t>
      </w:r>
      <w:r w:rsidRPr="00330234">
        <w:rPr>
          <w:b/>
          <w:spacing w:val="-6"/>
        </w:rPr>
        <w:t xml:space="preserve"> </w:t>
      </w:r>
      <w:r w:rsidRPr="00330234">
        <w:rPr>
          <w:b/>
        </w:rPr>
        <w:t>IN</w:t>
      </w:r>
      <w:r w:rsidRPr="00330234">
        <w:rPr>
          <w:b/>
          <w:spacing w:val="-6"/>
        </w:rPr>
        <w:t xml:space="preserve"> </w:t>
      </w:r>
      <w:r w:rsidRPr="00330234">
        <w:rPr>
          <w:b/>
        </w:rPr>
        <w:t>GEWICHT,</w:t>
      </w:r>
      <w:r w:rsidRPr="00330234">
        <w:rPr>
          <w:b/>
          <w:spacing w:val="-5"/>
        </w:rPr>
        <w:t xml:space="preserve"> </w:t>
      </w:r>
      <w:r w:rsidRPr="00330234">
        <w:rPr>
          <w:b/>
        </w:rPr>
        <w:t>VOLUME</w:t>
      </w:r>
      <w:r w:rsidRPr="00330234">
        <w:rPr>
          <w:b/>
          <w:spacing w:val="-5"/>
        </w:rPr>
        <w:t xml:space="preserve"> </w:t>
      </w:r>
      <w:r w:rsidRPr="00330234">
        <w:rPr>
          <w:b/>
        </w:rPr>
        <w:t>OF</w:t>
      </w:r>
      <w:r w:rsidRPr="00330234">
        <w:rPr>
          <w:b/>
          <w:spacing w:val="-3"/>
        </w:rPr>
        <w:t xml:space="preserve"> </w:t>
      </w:r>
      <w:r w:rsidRPr="00330234">
        <w:rPr>
          <w:b/>
          <w:spacing w:val="-2"/>
        </w:rPr>
        <w:t>EENHEID</w:t>
      </w:r>
    </w:p>
    <w:p w14:paraId="38154DDD" w14:textId="18FD3E73" w:rsidR="00436DAA" w:rsidRPr="00330234" w:rsidRDefault="00436DAA" w:rsidP="009B0E27">
      <w:pPr>
        <w:pStyle w:val="a3"/>
        <w:widowControl/>
        <w:ind w:left="0"/>
      </w:pPr>
    </w:p>
    <w:p w14:paraId="2458E36A" w14:textId="77777777" w:rsidR="00436DAA" w:rsidRPr="00330234" w:rsidRDefault="009B4B8E" w:rsidP="009B0E27">
      <w:pPr>
        <w:pStyle w:val="a3"/>
        <w:widowControl/>
        <w:ind w:left="0"/>
      </w:pPr>
      <w:r w:rsidRPr="00330234">
        <w:t>162 mg/0,9 ml</w:t>
      </w:r>
    </w:p>
    <w:p w14:paraId="011921F8" w14:textId="77777777" w:rsidR="00436DAA" w:rsidRPr="00330234" w:rsidRDefault="00436DAA" w:rsidP="009B0E27">
      <w:pPr>
        <w:pStyle w:val="a3"/>
        <w:widowControl/>
        <w:ind w:left="0"/>
      </w:pPr>
    </w:p>
    <w:p w14:paraId="1A29A026" w14:textId="77777777" w:rsidR="009B0E27" w:rsidRPr="00330234" w:rsidRDefault="009B0E27" w:rsidP="009B0E27">
      <w:pPr>
        <w:pStyle w:val="a3"/>
        <w:widowControl/>
        <w:ind w:left="0"/>
      </w:pPr>
    </w:p>
    <w:p w14:paraId="72C2BF9C" w14:textId="77777777" w:rsidR="009B0E27" w:rsidRPr="00330234" w:rsidRDefault="009B0E27" w:rsidP="00F4240D">
      <w:pPr>
        <w:pBdr>
          <w:top w:val="single" w:sz="4" w:space="1" w:color="auto"/>
          <w:left w:val="single" w:sz="4" w:space="4" w:color="auto"/>
          <w:bottom w:val="single" w:sz="4" w:space="1" w:color="auto"/>
          <w:right w:val="single" w:sz="4" w:space="4" w:color="auto"/>
        </w:pBdr>
        <w:ind w:left="567" w:hanging="567"/>
        <w:rPr>
          <w:b/>
        </w:rPr>
      </w:pPr>
      <w:r w:rsidRPr="00330234">
        <w:rPr>
          <w:b/>
          <w:spacing w:val="-5"/>
        </w:rPr>
        <w:t>6.</w:t>
      </w:r>
      <w:r w:rsidRPr="00330234">
        <w:rPr>
          <w:b/>
        </w:rPr>
        <w:tab/>
      </w:r>
      <w:r w:rsidRPr="00330234">
        <w:rPr>
          <w:b/>
          <w:spacing w:val="-2"/>
        </w:rPr>
        <w:t>OVERIGE</w:t>
      </w:r>
    </w:p>
    <w:p w14:paraId="52E33DB2" w14:textId="77777777" w:rsidR="009B0E27" w:rsidRPr="00330234" w:rsidRDefault="009B0E27" w:rsidP="009B0E27">
      <w:pPr>
        <w:pStyle w:val="a3"/>
        <w:widowControl/>
        <w:ind w:left="0"/>
      </w:pPr>
    </w:p>
    <w:p w14:paraId="3C38CD02" w14:textId="6DDDC83D" w:rsidR="00436DAA" w:rsidRPr="00330234" w:rsidRDefault="00436DAA" w:rsidP="009B0E27">
      <w:pPr>
        <w:pStyle w:val="a3"/>
        <w:widowControl/>
        <w:ind w:left="0"/>
      </w:pPr>
    </w:p>
    <w:p w14:paraId="6A1D9C1E" w14:textId="3FA484BA" w:rsidR="009B0E27" w:rsidRPr="00330234" w:rsidRDefault="009B0E27" w:rsidP="009B0E27">
      <w:pPr>
        <w:widowControl/>
      </w:pPr>
      <w:r w:rsidRPr="00330234">
        <w:br w:type="page"/>
      </w:r>
    </w:p>
    <w:p w14:paraId="0CFB20C4" w14:textId="77777777" w:rsidR="00436DAA" w:rsidRPr="00330234" w:rsidRDefault="00436DAA" w:rsidP="00BD109B">
      <w:pPr>
        <w:pStyle w:val="a3"/>
        <w:widowControl/>
        <w:ind w:left="0"/>
      </w:pPr>
    </w:p>
    <w:p w14:paraId="1924A7F8" w14:textId="77777777" w:rsidR="00436DAA" w:rsidRPr="00330234" w:rsidRDefault="00436DAA" w:rsidP="00BD109B">
      <w:pPr>
        <w:pStyle w:val="a3"/>
        <w:widowControl/>
        <w:ind w:left="0"/>
      </w:pPr>
    </w:p>
    <w:p w14:paraId="2E4C8161" w14:textId="77777777" w:rsidR="00436DAA" w:rsidRPr="00330234" w:rsidRDefault="00436DAA" w:rsidP="00BD109B">
      <w:pPr>
        <w:pStyle w:val="a3"/>
        <w:widowControl/>
        <w:ind w:left="0"/>
      </w:pPr>
    </w:p>
    <w:p w14:paraId="480C2720" w14:textId="77777777" w:rsidR="00436DAA" w:rsidRPr="00330234" w:rsidRDefault="00436DAA" w:rsidP="00BD109B">
      <w:pPr>
        <w:pStyle w:val="a3"/>
        <w:widowControl/>
        <w:ind w:left="0"/>
      </w:pPr>
    </w:p>
    <w:p w14:paraId="1545DC02" w14:textId="77777777" w:rsidR="00436DAA" w:rsidRPr="00330234" w:rsidRDefault="00436DAA" w:rsidP="00BD109B">
      <w:pPr>
        <w:pStyle w:val="a3"/>
        <w:widowControl/>
        <w:ind w:left="0"/>
      </w:pPr>
    </w:p>
    <w:p w14:paraId="3415E2FD" w14:textId="77777777" w:rsidR="00436DAA" w:rsidRPr="00330234" w:rsidRDefault="00436DAA" w:rsidP="00BD109B">
      <w:pPr>
        <w:pStyle w:val="a3"/>
        <w:widowControl/>
        <w:ind w:left="0"/>
      </w:pPr>
    </w:p>
    <w:p w14:paraId="46B1C878" w14:textId="77777777" w:rsidR="00436DAA" w:rsidRPr="00330234" w:rsidRDefault="00436DAA" w:rsidP="00BD109B">
      <w:pPr>
        <w:pStyle w:val="a3"/>
        <w:widowControl/>
        <w:ind w:left="0"/>
      </w:pPr>
    </w:p>
    <w:p w14:paraId="2D648527" w14:textId="77777777" w:rsidR="00436DAA" w:rsidRPr="00330234" w:rsidRDefault="00436DAA" w:rsidP="00BD109B">
      <w:pPr>
        <w:pStyle w:val="a3"/>
        <w:widowControl/>
        <w:ind w:left="0"/>
      </w:pPr>
    </w:p>
    <w:p w14:paraId="0454EFAE" w14:textId="77777777" w:rsidR="00436DAA" w:rsidRPr="00330234" w:rsidRDefault="00436DAA" w:rsidP="00BD109B">
      <w:pPr>
        <w:pStyle w:val="a3"/>
        <w:widowControl/>
        <w:ind w:left="0"/>
      </w:pPr>
    </w:p>
    <w:p w14:paraId="497B96C4" w14:textId="77777777" w:rsidR="00436DAA" w:rsidRPr="00330234" w:rsidRDefault="00436DAA" w:rsidP="00BD109B">
      <w:pPr>
        <w:pStyle w:val="a3"/>
        <w:widowControl/>
        <w:ind w:left="0"/>
      </w:pPr>
    </w:p>
    <w:p w14:paraId="2553ABA8" w14:textId="77777777" w:rsidR="00436DAA" w:rsidRPr="00330234" w:rsidRDefault="00436DAA" w:rsidP="00BD109B">
      <w:pPr>
        <w:pStyle w:val="a3"/>
        <w:widowControl/>
        <w:ind w:left="0"/>
      </w:pPr>
    </w:p>
    <w:p w14:paraId="15ED0654" w14:textId="77777777" w:rsidR="00436DAA" w:rsidRPr="00330234" w:rsidRDefault="00436DAA" w:rsidP="00BD109B">
      <w:pPr>
        <w:pStyle w:val="a3"/>
        <w:widowControl/>
        <w:ind w:left="0"/>
      </w:pPr>
    </w:p>
    <w:p w14:paraId="41188421" w14:textId="77777777" w:rsidR="00436DAA" w:rsidRPr="00330234" w:rsidRDefault="00436DAA" w:rsidP="00BD109B">
      <w:pPr>
        <w:pStyle w:val="a3"/>
        <w:widowControl/>
        <w:ind w:left="0"/>
      </w:pPr>
    </w:p>
    <w:p w14:paraId="6491C7FE" w14:textId="77777777" w:rsidR="00436DAA" w:rsidRPr="00330234" w:rsidRDefault="00436DAA" w:rsidP="00BD109B">
      <w:pPr>
        <w:pStyle w:val="a3"/>
        <w:widowControl/>
        <w:ind w:left="0"/>
      </w:pPr>
    </w:p>
    <w:p w14:paraId="47B24B97" w14:textId="77777777" w:rsidR="00436DAA" w:rsidRPr="00330234" w:rsidRDefault="00436DAA" w:rsidP="00BD109B">
      <w:pPr>
        <w:pStyle w:val="a3"/>
        <w:widowControl/>
        <w:ind w:left="0"/>
      </w:pPr>
    </w:p>
    <w:p w14:paraId="1E0AC469" w14:textId="77777777" w:rsidR="00436DAA" w:rsidRPr="00330234" w:rsidRDefault="00436DAA" w:rsidP="00BD109B">
      <w:pPr>
        <w:pStyle w:val="a3"/>
        <w:widowControl/>
        <w:ind w:left="0"/>
      </w:pPr>
    </w:p>
    <w:p w14:paraId="767BE9FE" w14:textId="77777777" w:rsidR="00436DAA" w:rsidRPr="00330234" w:rsidRDefault="00436DAA" w:rsidP="00BD109B">
      <w:pPr>
        <w:pStyle w:val="a3"/>
        <w:widowControl/>
        <w:ind w:left="0"/>
      </w:pPr>
    </w:p>
    <w:p w14:paraId="0ACCB913" w14:textId="77777777" w:rsidR="00436DAA" w:rsidRPr="00330234" w:rsidRDefault="00436DAA" w:rsidP="00BD109B">
      <w:pPr>
        <w:pStyle w:val="a3"/>
        <w:widowControl/>
        <w:ind w:left="0"/>
      </w:pPr>
    </w:p>
    <w:p w14:paraId="29F438A0" w14:textId="77777777" w:rsidR="009B0E27" w:rsidRPr="00330234" w:rsidRDefault="009B0E27" w:rsidP="00BD109B">
      <w:pPr>
        <w:pStyle w:val="a3"/>
        <w:widowControl/>
        <w:ind w:left="0"/>
      </w:pPr>
    </w:p>
    <w:p w14:paraId="70116D0B" w14:textId="77777777" w:rsidR="009B0E27" w:rsidRPr="00330234" w:rsidRDefault="009B0E27" w:rsidP="00BD109B">
      <w:pPr>
        <w:pStyle w:val="a3"/>
        <w:widowControl/>
        <w:ind w:left="0"/>
      </w:pPr>
    </w:p>
    <w:p w14:paraId="4A6BD6B0" w14:textId="77777777" w:rsidR="009B0E27" w:rsidRPr="00330234" w:rsidRDefault="009B0E27" w:rsidP="00BD109B">
      <w:pPr>
        <w:pStyle w:val="a3"/>
        <w:widowControl/>
        <w:ind w:left="0"/>
      </w:pPr>
    </w:p>
    <w:p w14:paraId="00A8FD8C" w14:textId="77777777" w:rsidR="009B0E27" w:rsidRPr="00330234" w:rsidRDefault="009B0E27" w:rsidP="00BD109B">
      <w:pPr>
        <w:pStyle w:val="a3"/>
        <w:widowControl/>
        <w:ind w:left="0"/>
      </w:pPr>
    </w:p>
    <w:p w14:paraId="6AE4D4DB" w14:textId="30BFCC0B" w:rsidR="00436DAA" w:rsidRPr="00330234" w:rsidRDefault="005328BF" w:rsidP="000571FE">
      <w:pPr>
        <w:pStyle w:val="1"/>
        <w:jc w:val="center"/>
      </w:pPr>
      <w:bookmarkStart w:id="49" w:name="B._BIJSLUITER"/>
      <w:bookmarkEnd w:id="49"/>
      <w:r w:rsidRPr="00330234">
        <w:t>B.</w:t>
      </w:r>
      <w:r w:rsidR="009B0E27" w:rsidRPr="00330234">
        <w:t xml:space="preserve"> </w:t>
      </w:r>
      <w:r w:rsidR="009B4B8E" w:rsidRPr="00330234">
        <w:t>BIJSLUITER</w:t>
      </w:r>
    </w:p>
    <w:p w14:paraId="6E823491" w14:textId="77777777" w:rsidR="00436DAA" w:rsidRPr="00330234" w:rsidRDefault="00436DAA" w:rsidP="00BD109B">
      <w:pPr>
        <w:widowControl/>
      </w:pPr>
    </w:p>
    <w:p w14:paraId="52178AC1" w14:textId="4B0A4290" w:rsidR="00436DAA" w:rsidRPr="006009A7" w:rsidRDefault="009B0E27" w:rsidP="001B3E1E">
      <w:pPr>
        <w:widowControl/>
        <w:jc w:val="center"/>
      </w:pPr>
      <w:r w:rsidRPr="00330234">
        <w:br w:type="page"/>
      </w:r>
      <w:r w:rsidR="009B4B8E" w:rsidRPr="006009A7">
        <w:rPr>
          <w:b/>
          <w:bCs/>
        </w:rPr>
        <w:lastRenderedPageBreak/>
        <w:t>Bijsluiter: informatie voor de gebruiker</w:t>
      </w:r>
    </w:p>
    <w:p w14:paraId="6C32FEF4" w14:textId="77777777" w:rsidR="00436DAA" w:rsidRPr="00330234" w:rsidRDefault="00436DAA" w:rsidP="00467A20">
      <w:pPr>
        <w:pStyle w:val="a3"/>
        <w:widowControl/>
        <w:ind w:left="0"/>
        <w:jc w:val="center"/>
        <w:rPr>
          <w:b/>
        </w:rPr>
      </w:pPr>
    </w:p>
    <w:p w14:paraId="7B6BC59B" w14:textId="63A867DA" w:rsidR="00436DAA" w:rsidRPr="00330234" w:rsidRDefault="007A197C" w:rsidP="00467A20">
      <w:pPr>
        <w:widowControl/>
        <w:jc w:val="center"/>
        <w:rPr>
          <w:b/>
        </w:rPr>
      </w:pPr>
      <w:r w:rsidRPr="00330234">
        <w:rPr>
          <w:b/>
        </w:rPr>
        <w:t>Avtozma</w:t>
      </w:r>
      <w:r w:rsidR="009B4B8E" w:rsidRPr="00330234">
        <w:rPr>
          <w:b/>
        </w:rPr>
        <w:t>, 20 mg/ml concentraat voor oplossing voor infusie</w:t>
      </w:r>
    </w:p>
    <w:p w14:paraId="7088CBF5" w14:textId="77777777" w:rsidR="00436DAA" w:rsidRPr="00330234" w:rsidRDefault="009B4B8E" w:rsidP="00467A20">
      <w:pPr>
        <w:pStyle w:val="a3"/>
        <w:widowControl/>
        <w:ind w:left="0"/>
        <w:jc w:val="center"/>
      </w:pPr>
      <w:r w:rsidRPr="00330234">
        <w:t>tocilizumab</w:t>
      </w:r>
    </w:p>
    <w:p w14:paraId="7301531D" w14:textId="77777777" w:rsidR="00D855DD" w:rsidRPr="00330234" w:rsidRDefault="00D855DD" w:rsidP="00D855DD"/>
    <w:p w14:paraId="4B05718F" w14:textId="3AC4ABD4" w:rsidR="00436DAA" w:rsidRPr="00330234" w:rsidRDefault="00315255" w:rsidP="00D855DD">
      <w:pPr>
        <w:pStyle w:val="a3"/>
        <w:widowControl/>
        <w:ind w:left="0"/>
      </w:pPr>
      <w:r>
        <w:rPr>
          <w:noProof/>
          <w:lang w:val="en-US" w:eastAsia="ko-KR"/>
        </w:rPr>
        <w:drawing>
          <wp:inline distT="0" distB="0" distL="0" distR="0" wp14:anchorId="23C7F54E" wp14:editId="07FAC783">
            <wp:extent cx="201930" cy="170180"/>
            <wp:effectExtent l="0" t="0" r="0" b="0"/>
            <wp:docPr id="4" name="그림 30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0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 cy="170180"/>
                    </a:xfrm>
                    <a:prstGeom prst="rect">
                      <a:avLst/>
                    </a:prstGeom>
                    <a:noFill/>
                    <a:ln>
                      <a:noFill/>
                    </a:ln>
                  </pic:spPr>
                </pic:pic>
              </a:graphicData>
            </a:graphic>
          </wp:inline>
        </w:drawing>
      </w:r>
      <w:r w:rsidR="00D855DD" w:rsidRPr="00330234">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40B69018" w14:textId="77777777" w:rsidR="00D855DD" w:rsidRPr="00330234" w:rsidRDefault="00D855DD" w:rsidP="00D855DD">
      <w:pPr>
        <w:pStyle w:val="a3"/>
        <w:widowControl/>
        <w:ind w:left="0"/>
      </w:pPr>
    </w:p>
    <w:p w14:paraId="619B6D39" w14:textId="4BCA6351" w:rsidR="003003EB" w:rsidRPr="00330234" w:rsidRDefault="009B4B8E" w:rsidP="00467A20">
      <w:pPr>
        <w:rPr>
          <w:b/>
          <w:bCs/>
        </w:rPr>
      </w:pPr>
      <w:r w:rsidRPr="00330234">
        <w:rPr>
          <w:b/>
          <w:bCs/>
        </w:rPr>
        <w:t>Lees goed de hele bijsluiter voordat u dit geneesmiddel gaat gebruiken want er staat belangrijke informatie in voor u.</w:t>
      </w:r>
    </w:p>
    <w:p w14:paraId="4AE3B823" w14:textId="22315C6D" w:rsidR="00436DAA" w:rsidRPr="00330234" w:rsidRDefault="005328BF" w:rsidP="00467A20">
      <w:pPr>
        <w:pStyle w:val="bullet"/>
      </w:pPr>
      <w:r w:rsidRPr="00330234">
        <w:rPr>
          <w:rFonts w:eastAsia="Symbol"/>
        </w:rPr>
        <w:tab/>
      </w:r>
      <w:r w:rsidR="009B4B8E" w:rsidRPr="00330234">
        <w:t>Bewaar deze bijsluiter. Misschien heeft u hem later weer nodig.</w:t>
      </w:r>
    </w:p>
    <w:p w14:paraId="1D1BEFF5" w14:textId="5AB37BAA" w:rsidR="00436DAA" w:rsidRPr="00330234" w:rsidRDefault="005328BF" w:rsidP="00467A20">
      <w:pPr>
        <w:pStyle w:val="bullet"/>
      </w:pPr>
      <w:r w:rsidRPr="00330234">
        <w:rPr>
          <w:rFonts w:eastAsia="Symbol"/>
        </w:rPr>
        <w:tab/>
      </w:r>
      <w:r w:rsidR="009B4B8E" w:rsidRPr="00330234">
        <w:t>Heeft u nog vragen? Neem dan contact op met uw arts of verpleegkundige.</w:t>
      </w:r>
    </w:p>
    <w:p w14:paraId="53D14A4B" w14:textId="329C2032" w:rsidR="00436DAA" w:rsidRPr="00330234" w:rsidRDefault="005328BF" w:rsidP="00467A20">
      <w:pPr>
        <w:pStyle w:val="bullet"/>
      </w:pPr>
      <w:r w:rsidRPr="00330234">
        <w:rPr>
          <w:rFonts w:eastAsia="Symbol"/>
        </w:rPr>
        <w:tab/>
      </w:r>
      <w:r w:rsidR="009B4B8E" w:rsidRPr="00330234">
        <w:t>Geef dit geneesmiddel niet door aan anderen, want het is alleen aan u voorgeschreven. Het kan schadelijk zijn voor anderen, ook al hebben zij dezelfde klachten als u.</w:t>
      </w:r>
    </w:p>
    <w:p w14:paraId="1F1BF33E" w14:textId="2A8BE62C" w:rsidR="00436DAA" w:rsidRPr="00330234" w:rsidRDefault="005328BF" w:rsidP="00467A20">
      <w:pPr>
        <w:pStyle w:val="bullet"/>
      </w:pPr>
      <w:r w:rsidRPr="00330234">
        <w:rPr>
          <w:rFonts w:eastAsia="Symbol"/>
        </w:rPr>
        <w:tab/>
      </w:r>
      <w:r w:rsidR="009B4B8E" w:rsidRPr="00330234">
        <w:t>Krijgt u last van een van de bijwerkingen die in rubriek 4 staan? Of krijgt u een bijwerking die niet in deze bijsluiter staat? Neem dan contact op met uw arts of verpleegkundige.</w:t>
      </w:r>
    </w:p>
    <w:p w14:paraId="1C1B90AF" w14:textId="77777777" w:rsidR="00467A20" w:rsidRPr="00330234" w:rsidRDefault="00467A20" w:rsidP="00BD109B">
      <w:pPr>
        <w:pStyle w:val="a3"/>
        <w:widowControl/>
        <w:ind w:left="0"/>
      </w:pPr>
    </w:p>
    <w:p w14:paraId="0E4F5CC1" w14:textId="4EA4F25B" w:rsidR="00436DAA" w:rsidRPr="00330234" w:rsidRDefault="009B4B8E" w:rsidP="00BD109B">
      <w:pPr>
        <w:pStyle w:val="a3"/>
        <w:widowControl/>
        <w:ind w:left="0"/>
      </w:pPr>
      <w:r w:rsidRPr="00330234">
        <w:t xml:space="preserve">Naast deze bijsluiter ontvangt u een </w:t>
      </w:r>
      <w:r w:rsidRPr="00330234">
        <w:rPr>
          <w:b/>
        </w:rPr>
        <w:t xml:space="preserve">patiëntenwaarschuwingskaart. </w:t>
      </w:r>
      <w:r w:rsidRPr="00330234">
        <w:t xml:space="preserve">Deze kaart bevat belangrijke risicoinformatie waarvan u op de hoogte moet zijn vóór en tijdens de behandeling met </w:t>
      </w:r>
      <w:r w:rsidR="007A197C" w:rsidRPr="00330234">
        <w:t>Avtozma</w:t>
      </w:r>
      <w:r w:rsidRPr="00330234">
        <w:t>.</w:t>
      </w:r>
    </w:p>
    <w:p w14:paraId="15A619AE" w14:textId="77777777" w:rsidR="00436DAA" w:rsidRPr="00330234" w:rsidRDefault="00436DAA" w:rsidP="00BD109B">
      <w:pPr>
        <w:pStyle w:val="a3"/>
        <w:widowControl/>
        <w:ind w:left="0"/>
      </w:pPr>
    </w:p>
    <w:p w14:paraId="2033D937" w14:textId="77777777" w:rsidR="00436DAA" w:rsidRPr="004A769F" w:rsidRDefault="009B4B8E" w:rsidP="004A769F">
      <w:pPr>
        <w:rPr>
          <w:b/>
          <w:bCs/>
        </w:rPr>
      </w:pPr>
      <w:r w:rsidRPr="004A769F">
        <w:rPr>
          <w:b/>
          <w:bCs/>
        </w:rPr>
        <w:t>Inhoud van deze bijsluiter</w:t>
      </w:r>
    </w:p>
    <w:p w14:paraId="0020E4E2" w14:textId="28F276EF" w:rsidR="00436DAA" w:rsidRPr="00330234" w:rsidRDefault="005328BF" w:rsidP="00467A20">
      <w:pPr>
        <w:widowControl/>
        <w:ind w:left="567" w:hanging="567"/>
      </w:pPr>
      <w:r w:rsidRPr="00330234">
        <w:t>1.</w:t>
      </w:r>
      <w:r w:rsidRPr="00330234">
        <w:tab/>
      </w:r>
      <w:r w:rsidR="009B4B8E" w:rsidRPr="00330234">
        <w:t xml:space="preserve">Wat is </w:t>
      </w:r>
      <w:r w:rsidR="007A197C" w:rsidRPr="00330234">
        <w:t>Avtozma</w:t>
      </w:r>
      <w:r w:rsidR="009B4B8E" w:rsidRPr="00330234">
        <w:t xml:space="preserve"> en waarvoor wordt dit middel gebruikt?</w:t>
      </w:r>
    </w:p>
    <w:p w14:paraId="08F953AC" w14:textId="2BC7B45A" w:rsidR="00436DAA" w:rsidRPr="00330234" w:rsidRDefault="005328BF" w:rsidP="00467A20">
      <w:pPr>
        <w:widowControl/>
        <w:ind w:left="567" w:hanging="567"/>
      </w:pPr>
      <w:r w:rsidRPr="00330234">
        <w:t>2.</w:t>
      </w:r>
      <w:r w:rsidRPr="00330234">
        <w:tab/>
      </w:r>
      <w:r w:rsidR="009B4B8E" w:rsidRPr="00330234">
        <w:t>Wanneer mag u dit middel niet gebruiken of moet u er extra voorzichtig mee zijn?</w:t>
      </w:r>
    </w:p>
    <w:p w14:paraId="600BAF59" w14:textId="5C7722F8" w:rsidR="00436DAA" w:rsidRPr="00330234" w:rsidRDefault="005328BF" w:rsidP="00467A20">
      <w:pPr>
        <w:widowControl/>
        <w:ind w:left="567" w:hanging="567"/>
      </w:pPr>
      <w:r w:rsidRPr="00330234">
        <w:t>3.</w:t>
      </w:r>
      <w:r w:rsidRPr="00330234">
        <w:tab/>
      </w:r>
      <w:r w:rsidR="009B4B8E" w:rsidRPr="00330234">
        <w:t>Hoe gebruikt u dit middel?</w:t>
      </w:r>
    </w:p>
    <w:p w14:paraId="3B52C496" w14:textId="67DDE94B" w:rsidR="00436DAA" w:rsidRPr="00330234" w:rsidRDefault="005328BF" w:rsidP="00467A20">
      <w:pPr>
        <w:widowControl/>
        <w:ind w:left="567" w:hanging="567"/>
      </w:pPr>
      <w:r w:rsidRPr="00330234">
        <w:t>4.</w:t>
      </w:r>
      <w:r w:rsidRPr="00330234">
        <w:tab/>
      </w:r>
      <w:r w:rsidR="009B4B8E" w:rsidRPr="00330234">
        <w:t>Mogelijke bijwerkingen</w:t>
      </w:r>
    </w:p>
    <w:p w14:paraId="714C822F" w14:textId="628D2E37" w:rsidR="00436DAA" w:rsidRPr="00330234" w:rsidRDefault="005328BF" w:rsidP="00467A20">
      <w:pPr>
        <w:widowControl/>
        <w:ind w:left="567" w:hanging="567"/>
      </w:pPr>
      <w:r w:rsidRPr="00330234">
        <w:t>5.</w:t>
      </w:r>
      <w:r w:rsidRPr="00330234">
        <w:tab/>
      </w:r>
      <w:r w:rsidR="009B4B8E" w:rsidRPr="00330234">
        <w:t>Hoe bewaart u dit middel?</w:t>
      </w:r>
    </w:p>
    <w:p w14:paraId="1F2B4128" w14:textId="45681314" w:rsidR="00436DAA" w:rsidRPr="00330234" w:rsidRDefault="005328BF" w:rsidP="00467A20">
      <w:pPr>
        <w:widowControl/>
        <w:ind w:left="567" w:hanging="567"/>
      </w:pPr>
      <w:r w:rsidRPr="00330234">
        <w:t>6.</w:t>
      </w:r>
      <w:r w:rsidRPr="00330234">
        <w:tab/>
      </w:r>
      <w:r w:rsidR="009B4B8E" w:rsidRPr="00330234">
        <w:t>Inhoud van de verpakking en overige informatie</w:t>
      </w:r>
    </w:p>
    <w:p w14:paraId="596F6D94" w14:textId="77777777" w:rsidR="00436DAA" w:rsidRPr="00330234" w:rsidRDefault="00436DAA" w:rsidP="00BD109B">
      <w:pPr>
        <w:pStyle w:val="a3"/>
        <w:widowControl/>
        <w:ind w:left="0"/>
      </w:pPr>
    </w:p>
    <w:p w14:paraId="22CB9CA3" w14:textId="77777777" w:rsidR="00436DAA" w:rsidRPr="00330234" w:rsidRDefault="00436DAA" w:rsidP="00BD109B">
      <w:pPr>
        <w:pStyle w:val="a3"/>
        <w:widowControl/>
        <w:ind w:left="0"/>
      </w:pPr>
    </w:p>
    <w:p w14:paraId="7844D2D5" w14:textId="78C97B8C" w:rsidR="00436DAA" w:rsidRPr="00330234" w:rsidRDefault="005328BF" w:rsidP="00BD109B">
      <w:pPr>
        <w:pStyle w:val="2"/>
      </w:pPr>
      <w:r w:rsidRPr="00330234">
        <w:t>1.</w:t>
      </w:r>
      <w:r w:rsidRPr="00330234">
        <w:tab/>
      </w:r>
      <w:r w:rsidR="009B4B8E" w:rsidRPr="00330234">
        <w:t xml:space="preserve">Wat is </w:t>
      </w:r>
      <w:r w:rsidR="007A197C" w:rsidRPr="00330234">
        <w:t>Avtozma</w:t>
      </w:r>
      <w:r w:rsidR="009B4B8E" w:rsidRPr="00330234">
        <w:t xml:space="preserve"> en waarvoor wordt dit middel gebruikt?</w:t>
      </w:r>
    </w:p>
    <w:p w14:paraId="63D8671D" w14:textId="77777777" w:rsidR="00467A20" w:rsidRPr="00330234" w:rsidRDefault="00467A20" w:rsidP="00BD109B">
      <w:pPr>
        <w:pStyle w:val="a3"/>
        <w:widowControl/>
        <w:ind w:left="0"/>
      </w:pPr>
    </w:p>
    <w:p w14:paraId="0359295F" w14:textId="7FD7C34E" w:rsidR="00436DAA" w:rsidRPr="00330234" w:rsidRDefault="00DB22D7" w:rsidP="00BD109B">
      <w:pPr>
        <w:pStyle w:val="a3"/>
        <w:widowControl/>
        <w:ind w:left="0"/>
      </w:pPr>
      <w:r w:rsidRPr="00330234">
        <w:t>Avtozma</w:t>
      </w:r>
      <w:r w:rsidR="009B4B8E" w:rsidRPr="00330234">
        <w:t xml:space="preserve"> bevat de werkzame stof tocilizumab. Dit is een eiwit dat gemaakt wordt door specifieke immuuncellen (monoklonaal antilichaam), dat de werking blokkeert van een specifiek eiwit (cytokine), genaamd interleukine-6. Interleukine-6 is betrokken bij ontstekingsprocessen in het lichaam en het blokkeren daarvan kan de ontstekingen in uw lichaam verminderen. </w:t>
      </w:r>
      <w:r w:rsidRPr="00330234">
        <w:t>Avtozma</w:t>
      </w:r>
      <w:r w:rsidR="009B4B8E" w:rsidRPr="00330234">
        <w:t xml:space="preserve"> helpt om de symptomen zoals pijn en zwelling in uw gewrichten te verminderen en kan het uitvoeren van dagelijkse taken verbeteren. Van </w:t>
      </w:r>
      <w:r w:rsidRPr="00330234">
        <w:t>Avtozma</w:t>
      </w:r>
      <w:r w:rsidR="009B4B8E" w:rsidRPr="00330234">
        <w:t xml:space="preserve"> is aangetoond dat het de beschadiging van het kraakbeen en het bot van de gewrichten, veroorzaakt door de aandoening, vertraagt en uw vermogen om de normale dagelijkse activiteiten uit te voeren verbetert.</w:t>
      </w:r>
    </w:p>
    <w:p w14:paraId="0E94DBE2" w14:textId="77777777" w:rsidR="00436DAA" w:rsidRPr="00330234" w:rsidRDefault="00436DAA" w:rsidP="00BD109B">
      <w:pPr>
        <w:pStyle w:val="a3"/>
        <w:widowControl/>
        <w:ind w:left="0"/>
      </w:pPr>
    </w:p>
    <w:p w14:paraId="7FC433AE" w14:textId="1251DD0F" w:rsidR="00436DAA" w:rsidRPr="00330234" w:rsidRDefault="005328BF" w:rsidP="00467A20">
      <w:pPr>
        <w:pStyle w:val="bullet"/>
      </w:pPr>
      <w:r w:rsidRPr="00330234">
        <w:rPr>
          <w:rFonts w:eastAsia="Symbol"/>
        </w:rPr>
        <w:tab/>
      </w:r>
      <w:r w:rsidR="00DB22D7" w:rsidRPr="00330234">
        <w:rPr>
          <w:b/>
        </w:rPr>
        <w:t>Avtozma</w:t>
      </w:r>
      <w:r w:rsidR="009B4B8E" w:rsidRPr="00330234">
        <w:rPr>
          <w:b/>
        </w:rPr>
        <w:t xml:space="preserve"> wordt gebruikt bij de behandeling van volwassenen </w:t>
      </w:r>
      <w:r w:rsidR="009B4B8E" w:rsidRPr="00330234">
        <w:t xml:space="preserve">met matige tot ernstige actieve reumatoïde artritis (RA), een auto-immuunziekte, wanneer eerdere behandelingen niet voldoende hebben gewerkt. </w:t>
      </w:r>
      <w:r w:rsidR="00DB22D7" w:rsidRPr="00330234">
        <w:t>Avtozma</w:t>
      </w:r>
      <w:r w:rsidR="009B4B8E" w:rsidRPr="00330234">
        <w:t xml:space="preserve"> wordt meestal in combinatie met methotrexaat gegeven. </w:t>
      </w:r>
      <w:r w:rsidR="00DB22D7" w:rsidRPr="00330234">
        <w:t>Avtozma</w:t>
      </w:r>
      <w:r w:rsidR="009B4B8E" w:rsidRPr="00330234">
        <w:t xml:space="preserve"> kan ook alleen worden gegeven, als uw arts bepaalt dat methotrexaat niet geschikt is.</w:t>
      </w:r>
    </w:p>
    <w:p w14:paraId="0CB87A5D" w14:textId="77777777" w:rsidR="00467A20" w:rsidRPr="00330234" w:rsidRDefault="00467A20" w:rsidP="00BD109B">
      <w:pPr>
        <w:widowControl/>
        <w:rPr>
          <w:rFonts w:eastAsia="Symbol"/>
        </w:rPr>
      </w:pPr>
    </w:p>
    <w:p w14:paraId="24FF9E76" w14:textId="699A509A" w:rsidR="00436DAA" w:rsidRPr="00330234" w:rsidRDefault="005328BF" w:rsidP="00467A20">
      <w:pPr>
        <w:pStyle w:val="bullet"/>
      </w:pPr>
      <w:r w:rsidRPr="00330234">
        <w:rPr>
          <w:rFonts w:eastAsia="Symbol"/>
        </w:rPr>
        <w:tab/>
      </w:r>
      <w:r w:rsidR="00DB22D7" w:rsidRPr="00330234">
        <w:t>Avtozma</w:t>
      </w:r>
      <w:r w:rsidR="009B4B8E" w:rsidRPr="00330234">
        <w:t xml:space="preserve"> kan ook worden gebruikt bij volwassenen voor de behandeling van ernstige, actieve en progressieve RA zonder voorafgaande behandeling met methotrexaat.</w:t>
      </w:r>
    </w:p>
    <w:p w14:paraId="7D6EDF44" w14:textId="77777777" w:rsidR="00436DAA" w:rsidRPr="00330234" w:rsidRDefault="00436DAA" w:rsidP="00BD109B">
      <w:pPr>
        <w:pStyle w:val="a3"/>
        <w:widowControl/>
        <w:ind w:left="0"/>
      </w:pPr>
    </w:p>
    <w:p w14:paraId="21784212" w14:textId="739F0731" w:rsidR="00436DAA" w:rsidRPr="00330234" w:rsidRDefault="005328BF" w:rsidP="00467A20">
      <w:pPr>
        <w:pStyle w:val="bullet"/>
      </w:pPr>
      <w:r w:rsidRPr="00330234">
        <w:rPr>
          <w:rFonts w:eastAsia="Symbol"/>
        </w:rPr>
        <w:tab/>
      </w:r>
      <w:r w:rsidR="00DB22D7" w:rsidRPr="00330234">
        <w:rPr>
          <w:b/>
          <w:bCs/>
        </w:rPr>
        <w:t>Avtozma</w:t>
      </w:r>
      <w:r w:rsidR="009B4B8E" w:rsidRPr="00330234">
        <w:rPr>
          <w:b/>
          <w:bCs/>
        </w:rPr>
        <w:t xml:space="preserve"> wordt gebruikt bij de behandeling van kinderen met sJIA.</w:t>
      </w:r>
      <w:r w:rsidR="009B4B8E" w:rsidRPr="00330234">
        <w:t xml:space="preserve"> </w:t>
      </w:r>
      <w:r w:rsidR="00DB22D7" w:rsidRPr="00330234">
        <w:t>Avtozma</w:t>
      </w:r>
      <w:r w:rsidR="009B4B8E" w:rsidRPr="00330234">
        <w:t xml:space="preserve"> wordt gebruikt bij kinderen van 2 jaar en ouder met </w:t>
      </w:r>
      <w:r w:rsidR="009B4B8E" w:rsidRPr="00330234">
        <w:rPr>
          <w:b/>
          <w:bCs/>
          <w:i/>
        </w:rPr>
        <w:t>actieve systemische juveniele idiopathische artritis (sJIA)</w:t>
      </w:r>
      <w:r w:rsidR="009B4B8E" w:rsidRPr="00330234">
        <w:rPr>
          <w:i/>
        </w:rPr>
        <w:t xml:space="preserve">, </w:t>
      </w:r>
      <w:r w:rsidR="009B4B8E" w:rsidRPr="00330234">
        <w:t xml:space="preserve">een ontstekingsziekte die pijn en zwelling van één of meer gewrichten en koorts en huiduitslag veroorzaakt. </w:t>
      </w:r>
      <w:r w:rsidR="00DB22D7" w:rsidRPr="00330234">
        <w:t>Avtozma</w:t>
      </w:r>
      <w:r w:rsidR="009B4B8E" w:rsidRPr="00330234">
        <w:t xml:space="preserve"> wordt gebruikt om de symptomen van sJIA te verbeteren en kan gegeven worden samen met methotrexaat of op zichzelf.</w:t>
      </w:r>
    </w:p>
    <w:p w14:paraId="1D8B6483" w14:textId="77777777" w:rsidR="00436DAA" w:rsidRPr="00330234" w:rsidRDefault="00436DAA" w:rsidP="00BD109B">
      <w:pPr>
        <w:pStyle w:val="a3"/>
        <w:widowControl/>
        <w:ind w:left="0"/>
      </w:pPr>
    </w:p>
    <w:p w14:paraId="079BC35F" w14:textId="7D167CE3" w:rsidR="00436DAA" w:rsidRPr="00330234" w:rsidRDefault="005328BF" w:rsidP="00260868">
      <w:pPr>
        <w:pStyle w:val="bullet"/>
      </w:pPr>
      <w:r w:rsidRPr="00330234">
        <w:rPr>
          <w:rFonts w:eastAsia="Symbol"/>
        </w:rPr>
        <w:lastRenderedPageBreak/>
        <w:tab/>
      </w:r>
      <w:r w:rsidR="00DB22D7" w:rsidRPr="00330234">
        <w:rPr>
          <w:b/>
          <w:bCs/>
        </w:rPr>
        <w:t>Avtozma</w:t>
      </w:r>
      <w:r w:rsidR="009B4B8E" w:rsidRPr="00330234">
        <w:rPr>
          <w:b/>
          <w:bCs/>
        </w:rPr>
        <w:t xml:space="preserve"> wordt gebruikt bij de behandeling van kinderen met pJIA.</w:t>
      </w:r>
      <w:r w:rsidR="009B4B8E" w:rsidRPr="00330234">
        <w:t xml:space="preserve"> </w:t>
      </w:r>
      <w:r w:rsidR="00DB22D7" w:rsidRPr="00330234">
        <w:t>Avtozma</w:t>
      </w:r>
      <w:r w:rsidR="009B4B8E" w:rsidRPr="00330234">
        <w:t xml:space="preserve"> wordt gebruikt bij kinderen van 2 jaar en ouder met </w:t>
      </w:r>
      <w:r w:rsidR="009B4B8E" w:rsidRPr="00330234">
        <w:rPr>
          <w:b/>
          <w:bCs/>
          <w:i/>
        </w:rPr>
        <w:t>actieve polyarticulaire juveniele idiopathische artritis (pJIA)</w:t>
      </w:r>
      <w:r w:rsidR="009B4B8E" w:rsidRPr="00330234">
        <w:t xml:space="preserve">, een ontstekingsziekte die pijn en zwelling van één of meer gewrichten veroorzaakt. </w:t>
      </w:r>
      <w:r w:rsidR="00DB22D7" w:rsidRPr="00330234">
        <w:t>Avtozma</w:t>
      </w:r>
      <w:r w:rsidR="009B4B8E" w:rsidRPr="00330234">
        <w:t xml:space="preserve"> wordt gebruikt om de symptomen van pJIA te verbeteren en kan worden gegeven samen met methotrexaat of op zichzelf.</w:t>
      </w:r>
    </w:p>
    <w:p w14:paraId="3B5408C3" w14:textId="77777777" w:rsidR="00436DAA" w:rsidRPr="00330234" w:rsidRDefault="00436DAA" w:rsidP="00BD109B">
      <w:pPr>
        <w:widowControl/>
      </w:pPr>
    </w:p>
    <w:p w14:paraId="661807D8" w14:textId="62C21383" w:rsidR="00436DAA" w:rsidRPr="00330234" w:rsidRDefault="00CF25C2" w:rsidP="001B3E1E">
      <w:pPr>
        <w:pStyle w:val="bullet"/>
      </w:pPr>
      <w:r w:rsidRPr="00330234">
        <w:rPr>
          <w:b/>
        </w:rPr>
        <w:tab/>
      </w:r>
      <w:r w:rsidR="00DB22D7" w:rsidRPr="00330234">
        <w:rPr>
          <w:b/>
        </w:rPr>
        <w:t>Avtozma</w:t>
      </w:r>
      <w:r w:rsidR="009B4B8E" w:rsidRPr="00330234">
        <w:rPr>
          <w:b/>
        </w:rPr>
        <w:t xml:space="preserve"> wordt gebruikt bij de behandeling van volwassenen en kinderen </w:t>
      </w:r>
      <w:r w:rsidR="009B4B8E" w:rsidRPr="00330234">
        <w:t>van 2 jaar en ouder met ernstige of levensbedreigende ‘</w:t>
      </w:r>
      <w:r w:rsidR="009B4B8E" w:rsidRPr="00330234">
        <w:rPr>
          <w:b/>
          <w:i/>
        </w:rPr>
        <w:t xml:space="preserve">cytokine-release syndrome’ </w:t>
      </w:r>
      <w:r w:rsidR="009B4B8E" w:rsidRPr="00330234">
        <w:rPr>
          <w:b/>
        </w:rPr>
        <w:t>(</w:t>
      </w:r>
      <w:r w:rsidR="009B4B8E" w:rsidRPr="00330234">
        <w:rPr>
          <w:b/>
          <w:i/>
        </w:rPr>
        <w:t>CRS</w:t>
      </w:r>
      <w:r w:rsidR="009B4B8E" w:rsidRPr="00330234">
        <w:rPr>
          <w:b/>
        </w:rPr>
        <w:t>)</w:t>
      </w:r>
      <w:r w:rsidR="009B4B8E" w:rsidRPr="00330234">
        <w:t>, een bijwerking bij patiënten die behandeld worden met chimerische antigeenreceptor (CAR) T-cel therapieën die gebruikt worden om bepaalde kankersoorten te behandelen.</w:t>
      </w:r>
    </w:p>
    <w:p w14:paraId="42F1C81A" w14:textId="77777777" w:rsidR="00436DAA" w:rsidRPr="00330234" w:rsidRDefault="00436DAA" w:rsidP="00BD109B">
      <w:pPr>
        <w:pStyle w:val="a3"/>
        <w:widowControl/>
        <w:ind w:left="0"/>
      </w:pPr>
    </w:p>
    <w:p w14:paraId="50967718" w14:textId="4A737CF4" w:rsidR="00436DAA" w:rsidRPr="00330234" w:rsidRDefault="00CF25C2" w:rsidP="001B3E1E">
      <w:pPr>
        <w:pStyle w:val="bullet"/>
      </w:pPr>
      <w:r w:rsidRPr="00330234">
        <w:rPr>
          <w:b/>
        </w:rPr>
        <w:tab/>
      </w:r>
      <w:r w:rsidR="00DB22D7" w:rsidRPr="00330234">
        <w:rPr>
          <w:b/>
        </w:rPr>
        <w:t>Avtozma</w:t>
      </w:r>
      <w:r w:rsidR="009B4B8E" w:rsidRPr="00330234">
        <w:rPr>
          <w:b/>
        </w:rPr>
        <w:t xml:space="preserve"> wordt gebruikt bij de behandeling van volwassenen </w:t>
      </w:r>
      <w:r w:rsidR="009B4B8E" w:rsidRPr="00330234">
        <w:t>met coronavirusziekte 2019 (COVID-19) die systemische corticosteroïden krijgen en die aanvullende zuurstof of mechanische beademing nodig hebben.</w:t>
      </w:r>
    </w:p>
    <w:p w14:paraId="3763B1E8" w14:textId="77777777" w:rsidR="00436DAA" w:rsidRPr="00330234" w:rsidRDefault="00436DAA" w:rsidP="00BD109B">
      <w:pPr>
        <w:pStyle w:val="a3"/>
        <w:widowControl/>
        <w:ind w:left="0"/>
      </w:pPr>
    </w:p>
    <w:p w14:paraId="06ACD120" w14:textId="77777777" w:rsidR="00436DAA" w:rsidRPr="00330234" w:rsidRDefault="00436DAA" w:rsidP="00BD109B">
      <w:pPr>
        <w:pStyle w:val="a3"/>
        <w:widowControl/>
        <w:ind w:left="0"/>
      </w:pPr>
    </w:p>
    <w:p w14:paraId="2EDF62D0" w14:textId="69AD8945" w:rsidR="00436DAA" w:rsidRPr="00330234" w:rsidRDefault="005328BF" w:rsidP="00BD109B">
      <w:pPr>
        <w:pStyle w:val="2"/>
      </w:pPr>
      <w:r w:rsidRPr="00330234">
        <w:t>2.</w:t>
      </w:r>
      <w:r w:rsidRPr="00330234">
        <w:tab/>
      </w:r>
      <w:r w:rsidR="009B4B8E" w:rsidRPr="00330234">
        <w:t>Wanneer mag u dit middel niet gebruiken of moet u er extra voorzichtig mee zijn?</w:t>
      </w:r>
    </w:p>
    <w:p w14:paraId="4ADE8327" w14:textId="77777777" w:rsidR="00436DAA" w:rsidRPr="00330234" w:rsidRDefault="00436DAA" w:rsidP="00BD109B">
      <w:pPr>
        <w:pStyle w:val="a3"/>
        <w:widowControl/>
        <w:ind w:left="0"/>
        <w:rPr>
          <w:b/>
        </w:rPr>
      </w:pPr>
    </w:p>
    <w:p w14:paraId="555A54D8" w14:textId="77777777" w:rsidR="00436DAA" w:rsidRPr="00330234" w:rsidRDefault="009B4B8E" w:rsidP="00BD109B">
      <w:pPr>
        <w:widowControl/>
        <w:rPr>
          <w:b/>
        </w:rPr>
      </w:pPr>
      <w:r w:rsidRPr="00330234">
        <w:rPr>
          <w:b/>
        </w:rPr>
        <w:t>Wanneer mag u dit middel niet gebruiken?</w:t>
      </w:r>
    </w:p>
    <w:p w14:paraId="0575CEF8" w14:textId="7D232E3F" w:rsidR="00436DAA" w:rsidRPr="00330234" w:rsidRDefault="005328BF" w:rsidP="00260868">
      <w:pPr>
        <w:pStyle w:val="bullet"/>
      </w:pPr>
      <w:r w:rsidRPr="00330234">
        <w:rPr>
          <w:rFonts w:eastAsia="Symbol"/>
        </w:rPr>
        <w:tab/>
      </w:r>
      <w:r w:rsidR="009B4B8E" w:rsidRPr="00330234">
        <w:t xml:space="preserve">U bent </w:t>
      </w:r>
      <w:r w:rsidR="009B4B8E" w:rsidRPr="00330234">
        <w:rPr>
          <w:b/>
        </w:rPr>
        <w:t xml:space="preserve">allergisch </w:t>
      </w:r>
      <w:r w:rsidR="009B4B8E" w:rsidRPr="00330234">
        <w:t>voor een van de stoffen in dit geneesmiddel. Deze stoffen kunt u vinden in rubriek 6.</w:t>
      </w:r>
      <w:r w:rsidR="002F717F">
        <w:t xml:space="preserve"> (</w:t>
      </w:r>
      <w:r w:rsidR="00B01230">
        <w:t>Zie bijzondere waarschuwingen aan het einde van deze rubriek onder “Avtozma bevat polysorbaat”)</w:t>
      </w:r>
    </w:p>
    <w:p w14:paraId="1391B42C" w14:textId="4C3BA1FD" w:rsidR="00436DAA" w:rsidRPr="00330234" w:rsidRDefault="005328BF" w:rsidP="00260868">
      <w:pPr>
        <w:pStyle w:val="bullet"/>
      </w:pPr>
      <w:r w:rsidRPr="00330234">
        <w:rPr>
          <w:rFonts w:eastAsia="Symbol"/>
        </w:rPr>
        <w:tab/>
      </w:r>
      <w:r w:rsidR="009B4B8E" w:rsidRPr="00330234">
        <w:t>U heeft een actieve, ernstige infectie.</w:t>
      </w:r>
    </w:p>
    <w:p w14:paraId="57B9B8AD" w14:textId="26C23523" w:rsidR="00436DAA" w:rsidRPr="00330234" w:rsidRDefault="009B4B8E" w:rsidP="00BD109B">
      <w:pPr>
        <w:pStyle w:val="a3"/>
        <w:widowControl/>
        <w:ind w:left="0"/>
      </w:pPr>
      <w:r w:rsidRPr="00330234">
        <w:t>Als één van bovengenoemde punten op u van toepassing is, vertel het dan aan een arts of verpleegkundige die u de infusie geeft.</w:t>
      </w:r>
    </w:p>
    <w:p w14:paraId="0AEEA3A3" w14:textId="77777777" w:rsidR="00436DAA" w:rsidRPr="00330234" w:rsidRDefault="00436DAA" w:rsidP="00BD109B">
      <w:pPr>
        <w:pStyle w:val="a3"/>
        <w:widowControl/>
        <w:ind w:left="0"/>
      </w:pPr>
    </w:p>
    <w:p w14:paraId="00084F14" w14:textId="77777777" w:rsidR="00436DAA" w:rsidRPr="004A769F" w:rsidRDefault="009B4B8E" w:rsidP="004A769F">
      <w:pPr>
        <w:rPr>
          <w:b/>
          <w:bCs/>
        </w:rPr>
      </w:pPr>
      <w:r w:rsidRPr="004A769F">
        <w:rPr>
          <w:b/>
          <w:bCs/>
        </w:rPr>
        <w:t>Wanneer moet u extra voorzichtig zijn met dit middel?</w:t>
      </w:r>
    </w:p>
    <w:p w14:paraId="59CE61D8" w14:textId="77777777" w:rsidR="00436DAA" w:rsidRPr="00330234" w:rsidRDefault="009B4B8E" w:rsidP="00BD109B">
      <w:pPr>
        <w:pStyle w:val="a3"/>
        <w:widowControl/>
        <w:ind w:left="0"/>
      </w:pPr>
      <w:r w:rsidRPr="00330234">
        <w:t>Neem contact op met uw arts of verpleegkundige voordat u dit middel toegediend krijgt.</w:t>
      </w:r>
    </w:p>
    <w:p w14:paraId="5D8C826C" w14:textId="77777777" w:rsidR="00436DAA" w:rsidRPr="00330234" w:rsidRDefault="00436DAA" w:rsidP="00BD109B">
      <w:pPr>
        <w:pStyle w:val="a3"/>
        <w:widowControl/>
        <w:ind w:left="0"/>
      </w:pPr>
    </w:p>
    <w:p w14:paraId="72744060" w14:textId="2C7DC27A" w:rsidR="00436DAA" w:rsidRPr="00330234" w:rsidRDefault="005328BF" w:rsidP="00260868">
      <w:pPr>
        <w:pStyle w:val="bullet"/>
      </w:pPr>
      <w:r w:rsidRPr="00330234">
        <w:rPr>
          <w:rFonts w:eastAsia="Symbol"/>
        </w:rPr>
        <w:tab/>
      </w:r>
      <w:r w:rsidR="009B4B8E" w:rsidRPr="00330234">
        <w:t xml:space="preserve">Als u </w:t>
      </w:r>
      <w:r w:rsidR="009B4B8E" w:rsidRPr="00330234">
        <w:rPr>
          <w:b/>
        </w:rPr>
        <w:t xml:space="preserve">allergische reacties </w:t>
      </w:r>
      <w:r w:rsidR="009B4B8E" w:rsidRPr="00330234">
        <w:t xml:space="preserve">ervaart, zoals een beklemmend gevoel op de borst, piepende ademhaling, ernstige duizeligheid of een licht gevoel in het hoofd, zwelling van de lippen of huiduitslag tijdens of na de infusie, </w:t>
      </w:r>
      <w:r w:rsidR="009B4B8E" w:rsidRPr="00330234">
        <w:rPr>
          <w:b/>
        </w:rPr>
        <w:t>meld dit direct aan uw arts</w:t>
      </w:r>
      <w:r w:rsidR="009B4B8E" w:rsidRPr="00330234">
        <w:t>.</w:t>
      </w:r>
    </w:p>
    <w:p w14:paraId="173DBB66" w14:textId="77777777" w:rsidR="00260868" w:rsidRPr="00330234" w:rsidRDefault="00260868" w:rsidP="00BD109B">
      <w:pPr>
        <w:widowControl/>
        <w:rPr>
          <w:rFonts w:eastAsia="Symbol"/>
        </w:rPr>
      </w:pPr>
    </w:p>
    <w:p w14:paraId="70D6863A" w14:textId="4B8D79DA" w:rsidR="00436DAA" w:rsidRPr="00330234" w:rsidRDefault="005328BF" w:rsidP="00260868">
      <w:pPr>
        <w:pStyle w:val="bullet"/>
      </w:pPr>
      <w:r w:rsidRPr="00330234">
        <w:rPr>
          <w:rFonts w:eastAsia="Symbol"/>
        </w:rPr>
        <w:tab/>
      </w:r>
      <w:r w:rsidR="009B4B8E" w:rsidRPr="00330234">
        <w:t xml:space="preserve">Als u een </w:t>
      </w:r>
      <w:r w:rsidR="009B4B8E" w:rsidRPr="00330234">
        <w:rPr>
          <w:b/>
        </w:rPr>
        <w:t xml:space="preserve">infectie </w:t>
      </w:r>
      <w:r w:rsidR="009B4B8E" w:rsidRPr="00330234">
        <w:t xml:space="preserve">heeft, wat voor infectie dan ook, kort- of langdurend, of als u vaak infecties krijgt, meld dit dan aan uw arts. </w:t>
      </w:r>
      <w:r w:rsidR="009B4B8E" w:rsidRPr="00330234">
        <w:rPr>
          <w:b/>
        </w:rPr>
        <w:t xml:space="preserve">Meld ook direct aan uw arts </w:t>
      </w:r>
      <w:r w:rsidR="009B4B8E" w:rsidRPr="00330234">
        <w:t xml:space="preserve">als u zich onwel voelt. </w:t>
      </w:r>
      <w:r w:rsidR="00DB22D7" w:rsidRPr="00330234">
        <w:t>Avtozma</w:t>
      </w:r>
      <w:r w:rsidR="009B4B8E" w:rsidRPr="00330234">
        <w:t xml:space="preserve"> kan ervoor zorgen dat uw lichaam minder goed in staat is om op infecties te reageren en het kan een bestaande infectie verergeren of het risico op het krijgen van een nieuwe infectie verhogen.</w:t>
      </w:r>
    </w:p>
    <w:p w14:paraId="225AB2FB" w14:textId="77777777" w:rsidR="00260868" w:rsidRPr="00330234" w:rsidRDefault="00260868" w:rsidP="00BD109B">
      <w:pPr>
        <w:widowControl/>
        <w:rPr>
          <w:rFonts w:eastAsia="Symbol"/>
        </w:rPr>
      </w:pPr>
    </w:p>
    <w:p w14:paraId="70E859E0" w14:textId="0D88788A" w:rsidR="00436DAA" w:rsidRPr="00330234" w:rsidRDefault="005328BF" w:rsidP="00260868">
      <w:pPr>
        <w:pStyle w:val="bullet"/>
      </w:pPr>
      <w:r w:rsidRPr="00330234">
        <w:rPr>
          <w:rFonts w:eastAsia="Symbol"/>
        </w:rPr>
        <w:tab/>
      </w:r>
      <w:r w:rsidR="009B4B8E" w:rsidRPr="00330234">
        <w:t xml:space="preserve">Als u een voorgeschiedenis heeft van </w:t>
      </w:r>
      <w:r w:rsidR="009B4B8E" w:rsidRPr="00330234">
        <w:rPr>
          <w:b/>
        </w:rPr>
        <w:t>tuberculose</w:t>
      </w:r>
      <w:r w:rsidR="009B4B8E" w:rsidRPr="00330234">
        <w:t xml:space="preserve">, meld dit dan aan uw arts. Uw arts zal u controleren op klachten of symptomen van tuberculose voordat u start met </w:t>
      </w:r>
      <w:r w:rsidR="00DB22D7" w:rsidRPr="00330234">
        <w:t>Avtozma</w:t>
      </w:r>
      <w:r w:rsidR="009B4B8E" w:rsidRPr="00330234">
        <w:t>. Als u tijdens of na de behandeling symptomen van tuberculose ervaart (aanhoudende hoest, gewichtsverlies, lusteloosheid, lichte koorts), of een andere infectie krijgt, meld dit direct aan uw arts.</w:t>
      </w:r>
    </w:p>
    <w:p w14:paraId="1CCCDB7E" w14:textId="77777777" w:rsidR="00436DAA" w:rsidRPr="00330234" w:rsidRDefault="00436DAA" w:rsidP="00BD109B">
      <w:pPr>
        <w:pStyle w:val="a3"/>
        <w:widowControl/>
        <w:ind w:left="0"/>
      </w:pPr>
    </w:p>
    <w:p w14:paraId="7A0D20A6" w14:textId="058C1224" w:rsidR="00436DAA" w:rsidRPr="00330234" w:rsidRDefault="005328BF" w:rsidP="00260868">
      <w:pPr>
        <w:pStyle w:val="bullet"/>
      </w:pPr>
      <w:r w:rsidRPr="00330234">
        <w:rPr>
          <w:rFonts w:eastAsia="Symbol"/>
        </w:rPr>
        <w:tab/>
      </w:r>
      <w:r w:rsidR="009B4B8E" w:rsidRPr="00330234">
        <w:t xml:space="preserve">Als u een voorgeschiedenis heeft van </w:t>
      </w:r>
      <w:r w:rsidR="009B4B8E" w:rsidRPr="00330234">
        <w:rPr>
          <w:b/>
        </w:rPr>
        <w:t xml:space="preserve">zweren in de darm </w:t>
      </w:r>
      <w:r w:rsidR="009B4B8E" w:rsidRPr="00330234">
        <w:t xml:space="preserve">of </w:t>
      </w:r>
      <w:r w:rsidR="009B4B8E" w:rsidRPr="00330234">
        <w:rPr>
          <w:b/>
        </w:rPr>
        <w:t xml:space="preserve">diverticulitis, </w:t>
      </w:r>
      <w:r w:rsidR="009B4B8E" w:rsidRPr="00330234">
        <w:t>meld dit dan aan uw arts. De symptomen kunnen bestaan uit buikpijn en onverklaarbare veranderingen van de stoelgang gepaard gaande met koorts.</w:t>
      </w:r>
    </w:p>
    <w:p w14:paraId="526F146C" w14:textId="77777777" w:rsidR="00260868" w:rsidRPr="00330234" w:rsidRDefault="00260868" w:rsidP="00BD109B">
      <w:pPr>
        <w:widowControl/>
        <w:rPr>
          <w:rFonts w:eastAsia="Symbol"/>
        </w:rPr>
      </w:pPr>
    </w:p>
    <w:p w14:paraId="64AA8321" w14:textId="4784FF87" w:rsidR="00436DAA" w:rsidRPr="00330234" w:rsidRDefault="005328BF" w:rsidP="00260868">
      <w:pPr>
        <w:pStyle w:val="bullet"/>
      </w:pPr>
      <w:r w:rsidRPr="00330234">
        <w:rPr>
          <w:rFonts w:eastAsia="Symbol"/>
        </w:rPr>
        <w:tab/>
      </w:r>
      <w:r w:rsidR="009B4B8E" w:rsidRPr="00330234">
        <w:t xml:space="preserve">Als u een </w:t>
      </w:r>
      <w:r w:rsidR="009B4B8E" w:rsidRPr="00330234">
        <w:rPr>
          <w:b/>
        </w:rPr>
        <w:t xml:space="preserve">leveraandoening </w:t>
      </w:r>
      <w:r w:rsidR="009B4B8E" w:rsidRPr="00330234">
        <w:t xml:space="preserve">heeft, meld dit dan aan uw arts. Voordat u start met </w:t>
      </w:r>
      <w:r w:rsidR="00DB22D7" w:rsidRPr="00330234">
        <w:t>Avtozma</w:t>
      </w:r>
      <w:r w:rsidR="009B4B8E" w:rsidRPr="00330234">
        <w:t xml:space="preserve"> kan uw arts een bloedonderzoek doen om uw leverfunctie te controleren.</w:t>
      </w:r>
    </w:p>
    <w:p w14:paraId="3139EF0E" w14:textId="77777777" w:rsidR="00260868" w:rsidRPr="00330234" w:rsidRDefault="00260868" w:rsidP="00BD109B">
      <w:pPr>
        <w:widowControl/>
        <w:rPr>
          <w:rFonts w:eastAsia="Symbol"/>
        </w:rPr>
      </w:pPr>
    </w:p>
    <w:p w14:paraId="7C756885" w14:textId="2EE8BBAB" w:rsidR="00436DAA" w:rsidRPr="00330234" w:rsidRDefault="005328BF" w:rsidP="00260868">
      <w:pPr>
        <w:pStyle w:val="bullet"/>
      </w:pPr>
      <w:r w:rsidRPr="00330234">
        <w:rPr>
          <w:rFonts w:eastAsia="Symbol"/>
        </w:rPr>
        <w:tab/>
      </w:r>
      <w:r w:rsidR="009B4B8E" w:rsidRPr="00330234">
        <w:t xml:space="preserve">Als u </w:t>
      </w:r>
      <w:r w:rsidR="009B4B8E" w:rsidRPr="00330234">
        <w:rPr>
          <w:b/>
        </w:rPr>
        <w:t xml:space="preserve">recent een vaccinatie heeft gehad </w:t>
      </w:r>
      <w:r w:rsidR="009B4B8E" w:rsidRPr="00330234">
        <w:t>(zowel volwassene als kind</w:t>
      </w:r>
      <w:r w:rsidR="009B4B8E" w:rsidRPr="00330234">
        <w:rPr>
          <w:b/>
        </w:rPr>
        <w:t>) of gevaccineerd gaat worden</w:t>
      </w:r>
      <w:r w:rsidR="009B4B8E" w:rsidRPr="00330234">
        <w:t xml:space="preserve">, meld dit dan aan uw arts. Het wordt voor alle patiënten, met name kinderen, aanbevolen om bij te zijn met al hun inentingen voordat gestart wordt met de </w:t>
      </w:r>
      <w:r w:rsidR="00DB22D7" w:rsidRPr="00330234">
        <w:t>Avtozma</w:t>
      </w:r>
      <w:r w:rsidR="009B4B8E" w:rsidRPr="00330234">
        <w:t>-</w:t>
      </w:r>
      <w:r w:rsidR="009B4B8E" w:rsidRPr="00330234">
        <w:lastRenderedPageBreak/>
        <w:t xml:space="preserve">behandeling, tenzij het nodig is de behandeling met spoed te geven. Bepaalde typen vaccins mogen niet gegeven worden tijdens de behandeling met </w:t>
      </w:r>
      <w:r w:rsidR="00DB22D7" w:rsidRPr="00330234">
        <w:t>Avtozma</w:t>
      </w:r>
      <w:r w:rsidR="009B4B8E" w:rsidRPr="00330234">
        <w:t>.</w:t>
      </w:r>
    </w:p>
    <w:p w14:paraId="3F37A6DC" w14:textId="77777777" w:rsidR="00436DAA" w:rsidRPr="00330234" w:rsidRDefault="00436DAA" w:rsidP="00BD109B">
      <w:pPr>
        <w:pStyle w:val="a3"/>
        <w:widowControl/>
        <w:ind w:left="0"/>
      </w:pPr>
    </w:p>
    <w:p w14:paraId="5509192B" w14:textId="31745149" w:rsidR="00436DAA" w:rsidRPr="00330234" w:rsidRDefault="005328BF" w:rsidP="00260868">
      <w:pPr>
        <w:pStyle w:val="bullet"/>
      </w:pPr>
      <w:r w:rsidRPr="00330234">
        <w:rPr>
          <w:rFonts w:eastAsia="Symbol"/>
        </w:rPr>
        <w:tab/>
      </w:r>
      <w:r w:rsidR="009B4B8E" w:rsidRPr="00330234">
        <w:t xml:space="preserve">Als u </w:t>
      </w:r>
      <w:r w:rsidR="009B4B8E" w:rsidRPr="00330234">
        <w:rPr>
          <w:b/>
        </w:rPr>
        <w:t xml:space="preserve">kanker </w:t>
      </w:r>
      <w:r w:rsidR="009B4B8E" w:rsidRPr="00330234">
        <w:t xml:space="preserve">heeft, meld dit dan aan uw arts. Uw arts zal dan beslissen of u toch </w:t>
      </w:r>
      <w:r w:rsidR="00DB22D7" w:rsidRPr="00330234">
        <w:t>Avtozma</w:t>
      </w:r>
      <w:r w:rsidR="009B4B8E" w:rsidRPr="00330234">
        <w:t xml:space="preserve"> mag krijgen.</w:t>
      </w:r>
    </w:p>
    <w:p w14:paraId="6002681D" w14:textId="77777777" w:rsidR="00436DAA" w:rsidRPr="00330234" w:rsidRDefault="00436DAA" w:rsidP="00BD109B">
      <w:pPr>
        <w:widowControl/>
      </w:pPr>
    </w:p>
    <w:p w14:paraId="6FBA0D99" w14:textId="565F1FE8" w:rsidR="00436DAA" w:rsidRPr="00330234" w:rsidRDefault="005328BF" w:rsidP="00260868">
      <w:pPr>
        <w:pStyle w:val="bullet"/>
      </w:pPr>
      <w:r w:rsidRPr="00330234">
        <w:rPr>
          <w:rFonts w:eastAsia="Symbol"/>
        </w:rPr>
        <w:tab/>
      </w:r>
      <w:r w:rsidR="009B4B8E" w:rsidRPr="00330234">
        <w:t xml:space="preserve">Als u </w:t>
      </w:r>
      <w:r w:rsidR="009B4B8E" w:rsidRPr="00330234">
        <w:rPr>
          <w:b/>
        </w:rPr>
        <w:t xml:space="preserve">cardiovasculaire risicofactoren </w:t>
      </w:r>
      <w:r w:rsidR="009B4B8E" w:rsidRPr="00330234">
        <w:t xml:space="preserve">heeft zoals een verhoogde bloeddruk en verhoogde cholesterolspiegels, meld dit dan aan uw arts. Deze factoren dienen te worden gecontroleerd gedurende de behandeling met </w:t>
      </w:r>
      <w:r w:rsidR="00DB22D7" w:rsidRPr="00330234">
        <w:t>Avtozma</w:t>
      </w:r>
      <w:r w:rsidR="009B4B8E" w:rsidRPr="00330234">
        <w:t>.</w:t>
      </w:r>
    </w:p>
    <w:p w14:paraId="4FA8A091" w14:textId="77777777" w:rsidR="00436DAA" w:rsidRPr="00330234" w:rsidRDefault="00436DAA" w:rsidP="00BD109B">
      <w:pPr>
        <w:pStyle w:val="a3"/>
        <w:widowControl/>
        <w:ind w:left="0"/>
      </w:pPr>
    </w:p>
    <w:p w14:paraId="1324A96E" w14:textId="5599B980" w:rsidR="00436DAA" w:rsidRPr="00330234" w:rsidRDefault="005328BF" w:rsidP="00260868">
      <w:pPr>
        <w:pStyle w:val="bullet"/>
      </w:pPr>
      <w:r w:rsidRPr="00330234">
        <w:rPr>
          <w:rFonts w:eastAsia="Symbol"/>
        </w:rPr>
        <w:tab/>
      </w:r>
      <w:r w:rsidR="009B4B8E" w:rsidRPr="00330234">
        <w:t xml:space="preserve">Als u matige tot ernstige </w:t>
      </w:r>
      <w:r w:rsidR="009B4B8E" w:rsidRPr="00330234">
        <w:rPr>
          <w:b/>
        </w:rPr>
        <w:t xml:space="preserve">nierfunctieproblemen </w:t>
      </w:r>
      <w:r w:rsidR="009B4B8E" w:rsidRPr="00330234">
        <w:t>heeft, zal uw arts u kritisch volgen.</w:t>
      </w:r>
    </w:p>
    <w:p w14:paraId="008490C5" w14:textId="77777777" w:rsidR="00436DAA" w:rsidRPr="00330234" w:rsidRDefault="00436DAA" w:rsidP="00BD109B">
      <w:pPr>
        <w:pStyle w:val="a3"/>
        <w:widowControl/>
        <w:ind w:left="0"/>
      </w:pPr>
    </w:p>
    <w:p w14:paraId="78B284B1" w14:textId="789DB499" w:rsidR="00436DAA" w:rsidRPr="00330234" w:rsidRDefault="005328BF" w:rsidP="00260868">
      <w:pPr>
        <w:pStyle w:val="bullet"/>
      </w:pPr>
      <w:r w:rsidRPr="00330234">
        <w:rPr>
          <w:rFonts w:eastAsia="Symbol"/>
        </w:rPr>
        <w:tab/>
      </w:r>
      <w:r w:rsidR="009B4B8E" w:rsidRPr="00330234">
        <w:t>Als u aanhoudende hoofdpijn heeft.</w:t>
      </w:r>
    </w:p>
    <w:p w14:paraId="396745D7" w14:textId="77777777" w:rsidR="00260868" w:rsidRPr="00330234" w:rsidRDefault="00260868" w:rsidP="00BD109B">
      <w:pPr>
        <w:pStyle w:val="a3"/>
        <w:widowControl/>
        <w:ind w:left="0"/>
      </w:pPr>
    </w:p>
    <w:p w14:paraId="7399842B" w14:textId="1A57DE93" w:rsidR="00436DAA" w:rsidRPr="00330234" w:rsidRDefault="009B4B8E" w:rsidP="00BD109B">
      <w:pPr>
        <w:pStyle w:val="a3"/>
        <w:widowControl/>
        <w:ind w:left="0"/>
      </w:pPr>
      <w:r w:rsidRPr="00330234">
        <w:t xml:space="preserve">Voordat u </w:t>
      </w:r>
      <w:r w:rsidR="00DB22D7" w:rsidRPr="00330234">
        <w:t>Avtozma</w:t>
      </w:r>
      <w:r w:rsidRPr="00330234">
        <w:t xml:space="preserve"> krijgt en tijdens uw behandeling, zal uw arts bloedonderzoeken doen om te bepalen of u een verlaagd aantal witte bloedcellen, een verlaagd aantal bloedplaatjes of verhoogde leverenzymwaarden heeft.</w:t>
      </w:r>
    </w:p>
    <w:p w14:paraId="63705364" w14:textId="77777777" w:rsidR="00436DAA" w:rsidRPr="00330234" w:rsidRDefault="00436DAA" w:rsidP="00BD109B">
      <w:pPr>
        <w:pStyle w:val="a3"/>
        <w:widowControl/>
        <w:ind w:left="0"/>
      </w:pPr>
    </w:p>
    <w:p w14:paraId="673C0136" w14:textId="77777777" w:rsidR="00436DAA" w:rsidRPr="004A769F" w:rsidRDefault="009B4B8E" w:rsidP="004A769F">
      <w:pPr>
        <w:rPr>
          <w:b/>
          <w:bCs/>
        </w:rPr>
      </w:pPr>
      <w:r w:rsidRPr="004A769F">
        <w:rPr>
          <w:b/>
          <w:bCs/>
        </w:rPr>
        <w:t>Kinderen en jongeren tot 18 jaar</w:t>
      </w:r>
    </w:p>
    <w:p w14:paraId="04076550" w14:textId="38027855" w:rsidR="00436DAA" w:rsidRPr="00330234" w:rsidRDefault="00DB22D7" w:rsidP="00BD109B">
      <w:pPr>
        <w:pStyle w:val="a3"/>
        <w:widowControl/>
        <w:ind w:left="0"/>
      </w:pPr>
      <w:r w:rsidRPr="00330234">
        <w:t>Avtozma</w:t>
      </w:r>
      <w:r w:rsidR="009B4B8E" w:rsidRPr="00330234">
        <w:t xml:space="preserve"> wordt niet aanbevolen voor gebruik bij kinderen jonger dan 2 jaar.</w:t>
      </w:r>
    </w:p>
    <w:p w14:paraId="2AC668BC" w14:textId="77777777" w:rsidR="00436DAA" w:rsidRPr="00330234" w:rsidRDefault="00436DAA" w:rsidP="00BD109B">
      <w:pPr>
        <w:pStyle w:val="a3"/>
        <w:widowControl/>
        <w:ind w:left="0"/>
      </w:pPr>
    </w:p>
    <w:p w14:paraId="18ACB064" w14:textId="51CF20EE" w:rsidR="00436DAA" w:rsidRPr="00330234" w:rsidRDefault="009B4B8E" w:rsidP="00BD109B">
      <w:pPr>
        <w:pStyle w:val="a3"/>
        <w:widowControl/>
        <w:ind w:left="0"/>
      </w:pPr>
      <w:r w:rsidRPr="00330234">
        <w:t xml:space="preserve">Als een kind het </w:t>
      </w:r>
      <w:r w:rsidRPr="00330234">
        <w:rPr>
          <w:b/>
          <w:i/>
        </w:rPr>
        <w:t xml:space="preserve">macrofaagactivatiesyndroom </w:t>
      </w:r>
      <w:r w:rsidRPr="00330234">
        <w:t xml:space="preserve">heeft gehad (activatie en ongecontroleerde groei van specifieke bloedcellen), vertel dit dan aan uw arts. Uw arts zal moeten besluiten of het kind nog wel </w:t>
      </w:r>
      <w:r w:rsidR="00DB22D7" w:rsidRPr="00330234">
        <w:t>Avtozma</w:t>
      </w:r>
      <w:r w:rsidRPr="00330234">
        <w:t xml:space="preserve"> kan krijgen.</w:t>
      </w:r>
    </w:p>
    <w:p w14:paraId="33F7B9BB" w14:textId="77777777" w:rsidR="00436DAA" w:rsidRPr="00330234" w:rsidRDefault="00436DAA" w:rsidP="00BD109B">
      <w:pPr>
        <w:pStyle w:val="a3"/>
        <w:widowControl/>
        <w:ind w:left="0"/>
      </w:pPr>
    </w:p>
    <w:p w14:paraId="419D06C3" w14:textId="77777777" w:rsidR="00436DAA" w:rsidRPr="00330234" w:rsidRDefault="009B4B8E" w:rsidP="004A769F">
      <w:r w:rsidRPr="004A769F">
        <w:rPr>
          <w:b/>
          <w:bCs/>
        </w:rPr>
        <w:t>Gebruikt u nog andere geneesmiddelen?</w:t>
      </w:r>
    </w:p>
    <w:p w14:paraId="401939C9" w14:textId="37A9F776" w:rsidR="00436DAA" w:rsidRPr="00330234" w:rsidRDefault="009B4B8E" w:rsidP="00BD109B">
      <w:pPr>
        <w:pStyle w:val="a3"/>
        <w:widowControl/>
        <w:ind w:left="0"/>
      </w:pPr>
      <w:r w:rsidRPr="00330234">
        <w:t xml:space="preserve">Gebruikt u (of uw kind, als deze de patiënt is) naast </w:t>
      </w:r>
      <w:r w:rsidR="00DB22D7" w:rsidRPr="00330234">
        <w:t>Avtozma</w:t>
      </w:r>
      <w:r w:rsidRPr="00330234">
        <w:t xml:space="preserve"> nog andere geneesmiddelen, heeft u dat kort geleden gedaan of bestaat de mogelijkheid dat u binnenkort andere geneesmiddelen gaat gebruiken? Vertel dat dan uw arts. Dit geldt ook voor geneesmiddelen die zonder een recept zijn verkregen. </w:t>
      </w:r>
      <w:r w:rsidR="00DB22D7" w:rsidRPr="00330234">
        <w:t>Avtozma</w:t>
      </w:r>
      <w:r w:rsidRPr="00330234">
        <w:t xml:space="preserve"> kan de werking van sommige geneesmiddelen beïnvloeden, waardoor aanpassing van de dosering van deze geneesmiddelen nodig kan zijn. Vertel uw arts wanneer u geneesmiddelen gebruikt die één van de volgende werkzame stoffen bevatten:</w:t>
      </w:r>
    </w:p>
    <w:p w14:paraId="3B30D04D" w14:textId="77777777" w:rsidR="003003EB" w:rsidRPr="00330234" w:rsidRDefault="003003EB" w:rsidP="00BD109B">
      <w:pPr>
        <w:pStyle w:val="a3"/>
        <w:widowControl/>
        <w:ind w:left="0"/>
      </w:pPr>
    </w:p>
    <w:p w14:paraId="22CAB0C8" w14:textId="110EA8A2" w:rsidR="00436DAA" w:rsidRPr="00330234" w:rsidRDefault="005328BF" w:rsidP="00260868">
      <w:pPr>
        <w:pStyle w:val="bullet"/>
      </w:pPr>
      <w:r w:rsidRPr="00330234">
        <w:rPr>
          <w:rFonts w:eastAsia="Symbol"/>
        </w:rPr>
        <w:tab/>
      </w:r>
      <w:r w:rsidR="009B4B8E" w:rsidRPr="00330234">
        <w:t>methylprednisolon, dexamethason, gebruikt om ontsteking te verminderen</w:t>
      </w:r>
    </w:p>
    <w:p w14:paraId="54ECBD8D" w14:textId="41712D4A" w:rsidR="00436DAA" w:rsidRPr="00330234" w:rsidRDefault="005328BF" w:rsidP="00260868">
      <w:pPr>
        <w:pStyle w:val="bullet"/>
        <w:rPr>
          <w:b/>
        </w:rPr>
      </w:pPr>
      <w:r w:rsidRPr="00330234">
        <w:rPr>
          <w:rFonts w:eastAsia="Symbol"/>
        </w:rPr>
        <w:tab/>
      </w:r>
      <w:r w:rsidR="009B4B8E" w:rsidRPr="00330234">
        <w:t xml:space="preserve">simvastatine of atorvastatine, voor verlaging van </w:t>
      </w:r>
      <w:r w:rsidR="009B4B8E" w:rsidRPr="00330234">
        <w:rPr>
          <w:b/>
        </w:rPr>
        <w:t>cholesterolspiegels</w:t>
      </w:r>
    </w:p>
    <w:p w14:paraId="19309C59" w14:textId="4B3FF927" w:rsidR="00436DAA" w:rsidRPr="00330234" w:rsidRDefault="005328BF" w:rsidP="00260868">
      <w:pPr>
        <w:pStyle w:val="bullet"/>
        <w:rPr>
          <w:b/>
        </w:rPr>
      </w:pPr>
      <w:r w:rsidRPr="00330234">
        <w:rPr>
          <w:rFonts w:eastAsia="Symbol"/>
        </w:rPr>
        <w:tab/>
      </w:r>
      <w:r w:rsidR="009B4B8E" w:rsidRPr="00330234">
        <w:t xml:space="preserve">calciumkanaalblokkers (bijv. amlodipine), voor de behandeling van </w:t>
      </w:r>
      <w:r w:rsidR="009B4B8E" w:rsidRPr="00330234">
        <w:rPr>
          <w:b/>
        </w:rPr>
        <w:t>verhoogde bloeddruk</w:t>
      </w:r>
    </w:p>
    <w:p w14:paraId="78EAB8CD" w14:textId="3A792667" w:rsidR="00436DAA" w:rsidRPr="00330234" w:rsidRDefault="005328BF" w:rsidP="00260868">
      <w:pPr>
        <w:pStyle w:val="bullet"/>
        <w:rPr>
          <w:b/>
        </w:rPr>
      </w:pPr>
      <w:r w:rsidRPr="00330234">
        <w:rPr>
          <w:rFonts w:eastAsia="Symbol"/>
        </w:rPr>
        <w:tab/>
      </w:r>
      <w:r w:rsidR="009B4B8E" w:rsidRPr="00330234">
        <w:t xml:space="preserve">theofylline, voor de behandeling van </w:t>
      </w:r>
      <w:r w:rsidR="009B4B8E" w:rsidRPr="00330234">
        <w:rPr>
          <w:b/>
        </w:rPr>
        <w:t>astma</w:t>
      </w:r>
    </w:p>
    <w:p w14:paraId="5FC092B2" w14:textId="34855A21" w:rsidR="00436DAA" w:rsidRPr="00330234" w:rsidRDefault="005328BF" w:rsidP="00260868">
      <w:pPr>
        <w:pStyle w:val="bullet"/>
        <w:rPr>
          <w:b/>
        </w:rPr>
      </w:pPr>
      <w:r w:rsidRPr="00330234">
        <w:rPr>
          <w:rFonts w:eastAsia="Symbol"/>
        </w:rPr>
        <w:tab/>
      </w:r>
      <w:r w:rsidR="009B4B8E" w:rsidRPr="00330234">
        <w:t xml:space="preserve">warfarine of fenprocoumon, </w:t>
      </w:r>
      <w:r w:rsidR="009B4B8E" w:rsidRPr="00330234">
        <w:rPr>
          <w:b/>
        </w:rPr>
        <w:t>bloedverdunners</w:t>
      </w:r>
    </w:p>
    <w:p w14:paraId="79C8AB2D" w14:textId="74C0578F" w:rsidR="00436DAA" w:rsidRPr="00330234" w:rsidRDefault="005328BF" w:rsidP="00260868">
      <w:pPr>
        <w:pStyle w:val="bullet"/>
        <w:rPr>
          <w:b/>
        </w:rPr>
      </w:pPr>
      <w:r w:rsidRPr="00330234">
        <w:rPr>
          <w:rFonts w:eastAsia="Symbol"/>
        </w:rPr>
        <w:tab/>
      </w:r>
      <w:r w:rsidR="009B4B8E" w:rsidRPr="00330234">
        <w:t xml:space="preserve">fenytoïne, voor de behandeling van </w:t>
      </w:r>
      <w:r w:rsidR="009B4B8E" w:rsidRPr="00330234">
        <w:rPr>
          <w:b/>
        </w:rPr>
        <w:t>stuipen</w:t>
      </w:r>
    </w:p>
    <w:p w14:paraId="225BC87F" w14:textId="21614DE9" w:rsidR="00436DAA" w:rsidRPr="00330234" w:rsidRDefault="005328BF" w:rsidP="00260868">
      <w:pPr>
        <w:pStyle w:val="bullet"/>
      </w:pPr>
      <w:r w:rsidRPr="00330234">
        <w:rPr>
          <w:rFonts w:eastAsia="Symbol"/>
        </w:rPr>
        <w:tab/>
      </w:r>
      <w:r w:rsidR="009B4B8E" w:rsidRPr="00330234">
        <w:t xml:space="preserve">ciclosporine, gebruikt voor </w:t>
      </w:r>
      <w:r w:rsidR="009B4B8E" w:rsidRPr="00330234">
        <w:rPr>
          <w:b/>
        </w:rPr>
        <w:t xml:space="preserve">onderdrukking van het immuunsysteem </w:t>
      </w:r>
      <w:r w:rsidR="009B4B8E" w:rsidRPr="00330234">
        <w:t>bij orgaantransplantatie</w:t>
      </w:r>
    </w:p>
    <w:p w14:paraId="36278063" w14:textId="3DF5AAB5" w:rsidR="00436DAA" w:rsidRPr="00330234" w:rsidRDefault="005328BF" w:rsidP="00260868">
      <w:pPr>
        <w:pStyle w:val="bullet"/>
        <w:rPr>
          <w:b/>
        </w:rPr>
      </w:pPr>
      <w:r w:rsidRPr="00330234">
        <w:rPr>
          <w:rFonts w:eastAsia="Symbol"/>
        </w:rPr>
        <w:tab/>
      </w:r>
      <w:r w:rsidR="009B4B8E" w:rsidRPr="00330234">
        <w:t xml:space="preserve">benzodiazepines (bijv. temazepam), voor </w:t>
      </w:r>
      <w:r w:rsidR="009B4B8E" w:rsidRPr="00330234">
        <w:rPr>
          <w:b/>
        </w:rPr>
        <w:t>verlichting van angst.</w:t>
      </w:r>
    </w:p>
    <w:p w14:paraId="3EA52EB0" w14:textId="77777777" w:rsidR="00260868" w:rsidRPr="00330234" w:rsidRDefault="00260868" w:rsidP="00BD109B">
      <w:pPr>
        <w:pStyle w:val="a3"/>
        <w:widowControl/>
        <w:ind w:left="0"/>
      </w:pPr>
    </w:p>
    <w:p w14:paraId="24751E0C" w14:textId="0E873FE3" w:rsidR="00436DAA" w:rsidRPr="00330234" w:rsidRDefault="009B4B8E" w:rsidP="00BD109B">
      <w:pPr>
        <w:pStyle w:val="a3"/>
        <w:widowControl/>
        <w:ind w:left="0"/>
      </w:pPr>
      <w:r w:rsidRPr="00330234">
        <w:t xml:space="preserve">Wegens het ontbreken van klinische ervaring, wordt </w:t>
      </w:r>
      <w:r w:rsidR="00DB22D7" w:rsidRPr="00330234">
        <w:t>tocilizumab</w:t>
      </w:r>
      <w:r w:rsidRPr="00330234">
        <w:t xml:space="preserve"> niet aanbevolen in combinatie met andere biologische geneesmiddelen voor de behandeling van RA, sJIA of pJIA.</w:t>
      </w:r>
    </w:p>
    <w:p w14:paraId="3C0E8229" w14:textId="77777777" w:rsidR="00436DAA" w:rsidRPr="00330234" w:rsidRDefault="00436DAA" w:rsidP="00BD109B">
      <w:pPr>
        <w:pStyle w:val="a3"/>
        <w:widowControl/>
        <w:ind w:left="0"/>
      </w:pPr>
    </w:p>
    <w:p w14:paraId="13A42388" w14:textId="77777777" w:rsidR="00436DAA" w:rsidRPr="004A769F" w:rsidRDefault="009B4B8E" w:rsidP="004A769F">
      <w:pPr>
        <w:rPr>
          <w:b/>
          <w:bCs/>
        </w:rPr>
      </w:pPr>
      <w:r w:rsidRPr="004A769F">
        <w:rPr>
          <w:b/>
          <w:bCs/>
        </w:rPr>
        <w:t>Zwangerschap en borstvoeding</w:t>
      </w:r>
    </w:p>
    <w:p w14:paraId="1AF3DA92" w14:textId="75AAAF05" w:rsidR="00436DAA" w:rsidRPr="00330234" w:rsidRDefault="00DB22D7" w:rsidP="00BD109B">
      <w:pPr>
        <w:widowControl/>
      </w:pPr>
      <w:r w:rsidRPr="00330234">
        <w:rPr>
          <w:b/>
        </w:rPr>
        <w:t>Avtozma</w:t>
      </w:r>
      <w:r w:rsidR="009B4B8E" w:rsidRPr="00330234">
        <w:rPr>
          <w:b/>
        </w:rPr>
        <w:t xml:space="preserve"> mag niet worden gebruikt tijdens de zwangerschap </w:t>
      </w:r>
      <w:r w:rsidR="009B4B8E" w:rsidRPr="00330234">
        <w:t>tenzij het echt noodzakelijk is. Bent u zwanger, denkt u zwanger te zijn, wilt u zwanger worden of geeft u borstvoeding? Neem dan contact op met uw arts voordat u dit geneesmiddel gebruikt.</w:t>
      </w:r>
    </w:p>
    <w:p w14:paraId="3B40D8CB" w14:textId="77777777" w:rsidR="00260868" w:rsidRPr="00330234" w:rsidRDefault="00260868" w:rsidP="00BD109B">
      <w:pPr>
        <w:widowControl/>
        <w:rPr>
          <w:b/>
        </w:rPr>
      </w:pPr>
    </w:p>
    <w:p w14:paraId="1814D56E" w14:textId="2D2D3B18" w:rsidR="00436DAA" w:rsidRPr="00330234" w:rsidRDefault="009B4B8E" w:rsidP="00BD109B">
      <w:pPr>
        <w:widowControl/>
      </w:pPr>
      <w:r w:rsidRPr="00330234">
        <w:rPr>
          <w:b/>
        </w:rPr>
        <w:t xml:space="preserve">Vrouwen die zwanger kunnen worden </w:t>
      </w:r>
      <w:r w:rsidRPr="00330234">
        <w:t>dienen gedurende de behandeling en tot 3 maanden daarna effectieve anticonceptie te gebruiken.</w:t>
      </w:r>
    </w:p>
    <w:p w14:paraId="724C8DE3" w14:textId="77777777" w:rsidR="00436DAA" w:rsidRPr="00330234" w:rsidRDefault="00436DAA" w:rsidP="00BD109B">
      <w:pPr>
        <w:pStyle w:val="a3"/>
        <w:widowControl/>
        <w:ind w:left="0"/>
      </w:pPr>
    </w:p>
    <w:p w14:paraId="7DEC2EC1" w14:textId="601B4063" w:rsidR="00436DAA" w:rsidRPr="00330234" w:rsidRDefault="009B4B8E" w:rsidP="00BD109B">
      <w:pPr>
        <w:widowControl/>
      </w:pPr>
      <w:r w:rsidRPr="00330234">
        <w:rPr>
          <w:b/>
        </w:rPr>
        <w:t xml:space="preserve">Stop met het geven van borstvoeding als u </w:t>
      </w:r>
      <w:r w:rsidR="00DB22D7" w:rsidRPr="00330234">
        <w:rPr>
          <w:b/>
        </w:rPr>
        <w:t>Avtozma</w:t>
      </w:r>
      <w:r w:rsidRPr="00330234">
        <w:rPr>
          <w:b/>
        </w:rPr>
        <w:t xml:space="preserve"> gaat gebruiken </w:t>
      </w:r>
      <w:r w:rsidRPr="00330234">
        <w:t xml:space="preserve">en overleg met uw arts. Voordat u borstvoeding gaat geven, moet de laatste </w:t>
      </w:r>
      <w:r w:rsidR="00DB22D7" w:rsidRPr="00330234">
        <w:t>Avtozma</w:t>
      </w:r>
      <w:r w:rsidRPr="00330234">
        <w:t xml:space="preserve">-infusie ten minste 3 maanden geleden zijn. Het is niet bekend of </w:t>
      </w:r>
      <w:r w:rsidR="00DB22D7" w:rsidRPr="00330234">
        <w:t>Avtozma</w:t>
      </w:r>
      <w:r w:rsidRPr="00330234">
        <w:t xml:space="preserve"> wordt uitgescheiden in de moedermelk.</w:t>
      </w:r>
    </w:p>
    <w:p w14:paraId="68CA9487" w14:textId="77777777" w:rsidR="00436DAA" w:rsidRPr="00330234" w:rsidRDefault="00436DAA" w:rsidP="00BD109B">
      <w:pPr>
        <w:pStyle w:val="a3"/>
        <w:widowControl/>
        <w:ind w:left="0"/>
      </w:pPr>
    </w:p>
    <w:p w14:paraId="3EB0E6F8" w14:textId="77777777" w:rsidR="00436DAA" w:rsidRPr="00330234" w:rsidRDefault="009B4B8E" w:rsidP="00BD109B">
      <w:pPr>
        <w:pStyle w:val="a3"/>
        <w:widowControl/>
        <w:ind w:left="0"/>
      </w:pPr>
      <w:r w:rsidRPr="00330234">
        <w:t>De data die op dit moment beschikbaar zijn wijzen niet op een effect op de vruchtbaarheid door deze behandeling.</w:t>
      </w:r>
    </w:p>
    <w:p w14:paraId="70CED3F1" w14:textId="77777777" w:rsidR="00436DAA" w:rsidRPr="00330234" w:rsidRDefault="00436DAA" w:rsidP="00BD109B">
      <w:pPr>
        <w:widowControl/>
      </w:pPr>
    </w:p>
    <w:p w14:paraId="552173C3" w14:textId="77777777" w:rsidR="00436DAA" w:rsidRPr="004A769F" w:rsidRDefault="009B4B8E" w:rsidP="004A769F">
      <w:pPr>
        <w:rPr>
          <w:b/>
          <w:bCs/>
        </w:rPr>
      </w:pPr>
      <w:r w:rsidRPr="004A769F">
        <w:rPr>
          <w:b/>
          <w:bCs/>
        </w:rPr>
        <w:t>Rijvaardigheid en het gebruik van machines</w:t>
      </w:r>
    </w:p>
    <w:p w14:paraId="7F62EE21" w14:textId="77777777" w:rsidR="00436DAA" w:rsidRPr="00330234" w:rsidRDefault="009B4B8E" w:rsidP="00260868">
      <w:pPr>
        <w:pStyle w:val="a3"/>
        <w:keepNext/>
        <w:keepLines/>
        <w:widowControl/>
        <w:ind w:left="0"/>
      </w:pPr>
      <w:r w:rsidRPr="00330234">
        <w:t>Dit geneesmiddel kan duizeligheid veroorzaken. Als u zich duizelig voelt, rij dan niet en bedien geen machines.</w:t>
      </w:r>
    </w:p>
    <w:p w14:paraId="11567694" w14:textId="77777777" w:rsidR="00436DAA" w:rsidRPr="00330234" w:rsidRDefault="00436DAA" w:rsidP="00BD109B">
      <w:pPr>
        <w:pStyle w:val="a3"/>
        <w:widowControl/>
        <w:ind w:left="0"/>
      </w:pPr>
    </w:p>
    <w:p w14:paraId="3D0FD8B8" w14:textId="6890CD30" w:rsidR="00436DAA" w:rsidRPr="004A769F" w:rsidRDefault="00DB22D7" w:rsidP="004A769F">
      <w:pPr>
        <w:rPr>
          <w:b/>
          <w:bCs/>
        </w:rPr>
      </w:pPr>
      <w:r w:rsidRPr="004A769F">
        <w:rPr>
          <w:b/>
          <w:bCs/>
        </w:rPr>
        <w:t>Avtozma</w:t>
      </w:r>
      <w:r w:rsidR="009B4B8E" w:rsidRPr="004A769F">
        <w:rPr>
          <w:b/>
          <w:bCs/>
        </w:rPr>
        <w:t xml:space="preserve"> bevat </w:t>
      </w:r>
      <w:r w:rsidRPr="004A769F">
        <w:rPr>
          <w:b/>
          <w:bCs/>
        </w:rPr>
        <w:t>polysorbaat</w:t>
      </w:r>
    </w:p>
    <w:p w14:paraId="23F9D33A" w14:textId="161CA5B3" w:rsidR="00436DAA" w:rsidRPr="00330234" w:rsidRDefault="009B4B8E" w:rsidP="00BD109B">
      <w:pPr>
        <w:pStyle w:val="a3"/>
        <w:widowControl/>
        <w:ind w:left="0"/>
      </w:pPr>
      <w:r w:rsidRPr="00330234">
        <w:t xml:space="preserve">Dit geneesmiddel bevat </w:t>
      </w:r>
      <w:r w:rsidR="00DB22D7" w:rsidRPr="00330234">
        <w:t xml:space="preserve">0,5 mg polysorbaat 80 in elke ml. </w:t>
      </w:r>
      <w:r w:rsidR="0099681E" w:rsidRPr="00330234">
        <w:t xml:space="preserve">Polysorbaten kunnen allergische reacties veroorzaken. Heeft u bekende </w:t>
      </w:r>
      <w:r w:rsidR="00BC2CD2" w:rsidRPr="00330234">
        <w:t>allergieën</w:t>
      </w:r>
      <w:r w:rsidR="0099681E" w:rsidRPr="00330234">
        <w:t>? Vertel dit aan uw arts.</w:t>
      </w:r>
    </w:p>
    <w:p w14:paraId="42291D61" w14:textId="77777777" w:rsidR="00436DAA" w:rsidRPr="00330234" w:rsidRDefault="00436DAA" w:rsidP="00BD109B">
      <w:pPr>
        <w:pStyle w:val="a3"/>
        <w:widowControl/>
        <w:ind w:left="0"/>
      </w:pPr>
    </w:p>
    <w:p w14:paraId="3E58ECC1" w14:textId="77777777" w:rsidR="00436DAA" w:rsidRPr="00330234" w:rsidRDefault="00436DAA" w:rsidP="00BD109B">
      <w:pPr>
        <w:pStyle w:val="a3"/>
        <w:widowControl/>
        <w:ind w:left="0"/>
      </w:pPr>
    </w:p>
    <w:p w14:paraId="747F6BC5" w14:textId="640D6FC9" w:rsidR="00436DAA" w:rsidRPr="00330234" w:rsidRDefault="005328BF" w:rsidP="00BD109B">
      <w:pPr>
        <w:pStyle w:val="2"/>
      </w:pPr>
      <w:r w:rsidRPr="00330234">
        <w:t>3.</w:t>
      </w:r>
      <w:r w:rsidRPr="00330234">
        <w:tab/>
      </w:r>
      <w:r w:rsidR="009B4B8E" w:rsidRPr="00330234">
        <w:t xml:space="preserve">Hoe gebruikt u </w:t>
      </w:r>
      <w:r w:rsidR="00DB22D7" w:rsidRPr="00330234">
        <w:t>Avtozma</w:t>
      </w:r>
      <w:r w:rsidR="009B4B8E" w:rsidRPr="00330234">
        <w:t>?</w:t>
      </w:r>
    </w:p>
    <w:p w14:paraId="1F4880B0" w14:textId="77777777" w:rsidR="00C21540" w:rsidRPr="00330234" w:rsidRDefault="00C21540" w:rsidP="00BD109B">
      <w:pPr>
        <w:pStyle w:val="a3"/>
        <w:widowControl/>
        <w:ind w:left="0"/>
      </w:pPr>
    </w:p>
    <w:p w14:paraId="57566598" w14:textId="632BB841" w:rsidR="00436DAA" w:rsidRPr="00330234" w:rsidRDefault="009B4B8E" w:rsidP="00BD109B">
      <w:pPr>
        <w:pStyle w:val="a3"/>
        <w:widowControl/>
        <w:ind w:left="0"/>
      </w:pPr>
      <w:r w:rsidRPr="00330234">
        <w:t>Voor dit geneesmiddel geldt een beperkt medisch voorschrift door uw arts.</w:t>
      </w:r>
    </w:p>
    <w:p w14:paraId="288449F8" w14:textId="77777777" w:rsidR="00436DAA" w:rsidRPr="00330234" w:rsidRDefault="00436DAA" w:rsidP="00BD109B">
      <w:pPr>
        <w:pStyle w:val="a3"/>
        <w:widowControl/>
        <w:ind w:left="0"/>
      </w:pPr>
    </w:p>
    <w:p w14:paraId="76166916" w14:textId="72864EDA" w:rsidR="00436DAA" w:rsidRPr="00330234" w:rsidRDefault="00DB22D7" w:rsidP="00BD109B">
      <w:pPr>
        <w:widowControl/>
      </w:pPr>
      <w:r w:rsidRPr="00330234">
        <w:t>Avtozma</w:t>
      </w:r>
      <w:r w:rsidR="009B4B8E" w:rsidRPr="00330234">
        <w:t xml:space="preserve"> zal </w:t>
      </w:r>
      <w:r w:rsidR="009B4B8E" w:rsidRPr="00330234">
        <w:rPr>
          <w:b/>
        </w:rPr>
        <w:t xml:space="preserve">door een arts of verpleegkundige aan u gegeven worden als een infuus in een bloedvat. </w:t>
      </w:r>
      <w:r w:rsidR="009B4B8E" w:rsidRPr="00330234">
        <w:t>Zij zullen de oplossing verdunnen, het intraveneuze infuus aanbrengen en u controleren tijdens en na afloop van de behandeling.</w:t>
      </w:r>
    </w:p>
    <w:p w14:paraId="54CA6175" w14:textId="77777777" w:rsidR="00436DAA" w:rsidRPr="00330234" w:rsidRDefault="00436DAA" w:rsidP="00BD109B">
      <w:pPr>
        <w:pStyle w:val="a3"/>
        <w:widowControl/>
        <w:ind w:left="0"/>
      </w:pPr>
    </w:p>
    <w:p w14:paraId="7309B811" w14:textId="77777777" w:rsidR="00436DAA" w:rsidRPr="00330234" w:rsidRDefault="009B4B8E" w:rsidP="00BD109B">
      <w:pPr>
        <w:widowControl/>
        <w:rPr>
          <w:b/>
        </w:rPr>
      </w:pPr>
      <w:r w:rsidRPr="001B3E1E">
        <w:rPr>
          <w:b/>
        </w:rPr>
        <w:t>Volwassen patiënten met RA</w:t>
      </w:r>
    </w:p>
    <w:p w14:paraId="56E759F6" w14:textId="258C036C" w:rsidR="00436DAA" w:rsidRPr="00330234" w:rsidRDefault="009B4B8E" w:rsidP="00BD109B">
      <w:pPr>
        <w:pStyle w:val="a3"/>
        <w:widowControl/>
        <w:ind w:left="0"/>
      </w:pPr>
      <w:r w:rsidRPr="00330234">
        <w:t xml:space="preserve">De gebruikelijke dosering van </w:t>
      </w:r>
      <w:r w:rsidR="00DB22D7" w:rsidRPr="00330234">
        <w:t>Avtozma</w:t>
      </w:r>
      <w:r w:rsidRPr="00330234">
        <w:t xml:space="preserve"> is 8 mg per kg lichaamsgewicht. Afhankelijk van uw respons kan uw arts de dosering verlagen naar 4 mg/kg en dan weer verhogen naar 8 mg/kg.</w:t>
      </w:r>
    </w:p>
    <w:p w14:paraId="5ECBD5CE" w14:textId="77777777" w:rsidR="00C21540" w:rsidRPr="00330234" w:rsidRDefault="00C21540" w:rsidP="00BD109B">
      <w:pPr>
        <w:pStyle w:val="a3"/>
        <w:widowControl/>
        <w:ind w:left="0"/>
      </w:pPr>
    </w:p>
    <w:p w14:paraId="047320E4" w14:textId="076C1463" w:rsidR="00436DAA" w:rsidRPr="00330234" w:rsidRDefault="009B4B8E" w:rsidP="00BD109B">
      <w:pPr>
        <w:pStyle w:val="a3"/>
        <w:widowControl/>
        <w:ind w:left="0"/>
      </w:pPr>
      <w:r w:rsidRPr="00330234">
        <w:t xml:space="preserve">Volwassenen krijgen </w:t>
      </w:r>
      <w:r w:rsidR="00DB22D7" w:rsidRPr="00330234">
        <w:t>Avtozma</w:t>
      </w:r>
      <w:r w:rsidRPr="00330234">
        <w:t xml:space="preserve"> eenmaal per 4 weken toegediend, via een infuus van een uur, in één van de bloedvaten (intraveneuze infusie).</w:t>
      </w:r>
    </w:p>
    <w:p w14:paraId="4FC17B3B" w14:textId="77777777" w:rsidR="00436DAA" w:rsidRPr="00330234" w:rsidRDefault="00436DAA" w:rsidP="00BD109B">
      <w:pPr>
        <w:pStyle w:val="a3"/>
        <w:widowControl/>
        <w:ind w:left="0"/>
      </w:pPr>
    </w:p>
    <w:p w14:paraId="4CA16D4F" w14:textId="77777777" w:rsidR="00436DAA" w:rsidRPr="00330234" w:rsidRDefault="009B4B8E" w:rsidP="00BD109B">
      <w:pPr>
        <w:widowControl/>
        <w:rPr>
          <w:b/>
        </w:rPr>
      </w:pPr>
      <w:r w:rsidRPr="00330234">
        <w:rPr>
          <w:b/>
          <w:u w:val="single"/>
        </w:rPr>
        <w:t>Kinderen met sJIA (2 jaar en ouder)</w:t>
      </w:r>
    </w:p>
    <w:p w14:paraId="67EB5899" w14:textId="5856DEBF" w:rsidR="00436DAA" w:rsidRPr="00330234" w:rsidRDefault="009B4B8E" w:rsidP="00BD109B">
      <w:pPr>
        <w:pStyle w:val="a3"/>
        <w:widowControl/>
        <w:ind w:left="0"/>
      </w:pPr>
      <w:r w:rsidRPr="00330234">
        <w:t xml:space="preserve">De gebruikelijke dosering van </w:t>
      </w:r>
      <w:r w:rsidR="00DB22D7" w:rsidRPr="00330234">
        <w:t>Avtozma</w:t>
      </w:r>
      <w:r w:rsidRPr="00330234">
        <w:t xml:space="preserve"> is afhankelijk van het gewicht.</w:t>
      </w:r>
    </w:p>
    <w:p w14:paraId="4AB2CACF" w14:textId="5CC5B0B1" w:rsidR="00436DAA" w:rsidRPr="00330234" w:rsidRDefault="005328BF" w:rsidP="00C21540">
      <w:pPr>
        <w:pStyle w:val="bullet"/>
      </w:pPr>
      <w:r w:rsidRPr="00330234">
        <w:rPr>
          <w:rFonts w:eastAsia="Symbol"/>
        </w:rPr>
        <w:tab/>
      </w:r>
      <w:r w:rsidR="009B4B8E" w:rsidRPr="00330234">
        <w:t xml:space="preserve">Als uw kind minder dan 30 kg weegt, is de dosering </w:t>
      </w:r>
      <w:r w:rsidR="009B4B8E" w:rsidRPr="00330234">
        <w:rPr>
          <w:b/>
        </w:rPr>
        <w:t>12 mg voor elke kilogram lichaamsgewicht</w:t>
      </w:r>
      <w:r w:rsidR="009B4B8E" w:rsidRPr="00330234">
        <w:t>.</w:t>
      </w:r>
    </w:p>
    <w:p w14:paraId="01B45A51" w14:textId="77777777" w:rsidR="00C21540" w:rsidRPr="00330234" w:rsidRDefault="005328BF" w:rsidP="00C21540">
      <w:pPr>
        <w:pStyle w:val="bullet"/>
      </w:pPr>
      <w:r w:rsidRPr="00330234">
        <w:rPr>
          <w:rFonts w:eastAsia="Symbol"/>
        </w:rPr>
        <w:tab/>
      </w:r>
      <w:r w:rsidR="009B4B8E" w:rsidRPr="00330234">
        <w:t xml:space="preserve">Als uw kind 30 kg of meer weegt, is de dosering </w:t>
      </w:r>
      <w:r w:rsidR="009B4B8E" w:rsidRPr="00330234">
        <w:rPr>
          <w:b/>
        </w:rPr>
        <w:t>8 mg voor elke kg lichaamsgewicht</w:t>
      </w:r>
      <w:r w:rsidR="009B4B8E" w:rsidRPr="00330234">
        <w:t>.</w:t>
      </w:r>
    </w:p>
    <w:p w14:paraId="481B5040" w14:textId="33132D0F" w:rsidR="00436DAA" w:rsidRPr="00330234" w:rsidRDefault="009B4B8E" w:rsidP="00C21540">
      <w:r w:rsidRPr="00330234">
        <w:t>De dosis wordt bij elke toediening berekend op basis van het lichaamsgewicht.</w:t>
      </w:r>
    </w:p>
    <w:p w14:paraId="544031AC" w14:textId="77777777" w:rsidR="00C21540" w:rsidRPr="00330234" w:rsidRDefault="00C21540" w:rsidP="00BD109B">
      <w:pPr>
        <w:pStyle w:val="a3"/>
        <w:widowControl/>
        <w:ind w:left="0"/>
      </w:pPr>
    </w:p>
    <w:p w14:paraId="5AE2740D" w14:textId="17AC3BDA" w:rsidR="00436DAA" w:rsidRPr="00330234" w:rsidRDefault="009B4B8E" w:rsidP="00BD109B">
      <w:pPr>
        <w:pStyle w:val="a3"/>
        <w:widowControl/>
        <w:ind w:left="0"/>
      </w:pPr>
      <w:r w:rsidRPr="00330234">
        <w:t xml:space="preserve">Kinderen met sJIA krijgen </w:t>
      </w:r>
      <w:r w:rsidR="00DB22D7" w:rsidRPr="00330234">
        <w:t>Avtozma</w:t>
      </w:r>
      <w:r w:rsidRPr="00330234">
        <w:t xml:space="preserve"> eenmaal per 2 weken toegediend via een infuus van een uur in één van de bloedvaten (intraveneuze infusie).</w:t>
      </w:r>
    </w:p>
    <w:p w14:paraId="3C8AF788" w14:textId="77777777" w:rsidR="00436DAA" w:rsidRPr="00330234" w:rsidRDefault="00436DAA" w:rsidP="00BD109B">
      <w:pPr>
        <w:pStyle w:val="a3"/>
        <w:widowControl/>
        <w:ind w:left="0"/>
      </w:pPr>
    </w:p>
    <w:p w14:paraId="3A46E9F5" w14:textId="77777777" w:rsidR="00436DAA" w:rsidRPr="00330234" w:rsidRDefault="009B4B8E" w:rsidP="00BD109B">
      <w:pPr>
        <w:widowControl/>
        <w:rPr>
          <w:b/>
        </w:rPr>
      </w:pPr>
      <w:r w:rsidRPr="00330234">
        <w:rPr>
          <w:b/>
          <w:u w:val="single"/>
        </w:rPr>
        <w:t>Kinderen met pJIA (2 jaar en ouder)</w:t>
      </w:r>
    </w:p>
    <w:p w14:paraId="4D8A35C4" w14:textId="4580D457" w:rsidR="00436DAA" w:rsidRPr="00330234" w:rsidRDefault="009B4B8E" w:rsidP="00BD109B">
      <w:pPr>
        <w:pStyle w:val="a3"/>
        <w:widowControl/>
        <w:ind w:left="0"/>
      </w:pPr>
      <w:r w:rsidRPr="00330234">
        <w:t xml:space="preserve">De gebruikelijke dosering van </w:t>
      </w:r>
      <w:r w:rsidR="00DB22D7" w:rsidRPr="00330234">
        <w:t>Avtozma</w:t>
      </w:r>
      <w:r w:rsidRPr="00330234">
        <w:t xml:space="preserve"> is afhankelijk van het gewicht.</w:t>
      </w:r>
    </w:p>
    <w:p w14:paraId="4A3D9145" w14:textId="19A96AB8" w:rsidR="00436DAA" w:rsidRPr="00330234" w:rsidRDefault="005328BF" w:rsidP="00C21540">
      <w:pPr>
        <w:pStyle w:val="bullet"/>
      </w:pPr>
      <w:r w:rsidRPr="00330234">
        <w:rPr>
          <w:rFonts w:eastAsia="Symbol"/>
        </w:rPr>
        <w:tab/>
      </w:r>
      <w:r w:rsidR="009B4B8E" w:rsidRPr="00330234">
        <w:t xml:space="preserve">Als uw kind minder dan 30 kg weegt, is de dosering </w:t>
      </w:r>
      <w:r w:rsidR="009B4B8E" w:rsidRPr="00330234">
        <w:rPr>
          <w:b/>
        </w:rPr>
        <w:t>10 mg voor elke kilogram lichaamsgewicht</w:t>
      </w:r>
      <w:r w:rsidR="009B4B8E" w:rsidRPr="00330234">
        <w:t>.</w:t>
      </w:r>
    </w:p>
    <w:p w14:paraId="0C9B1BC0" w14:textId="77777777" w:rsidR="00C21540" w:rsidRPr="00330234" w:rsidRDefault="005328BF" w:rsidP="00C21540">
      <w:pPr>
        <w:pStyle w:val="bullet"/>
      </w:pPr>
      <w:r w:rsidRPr="00330234">
        <w:rPr>
          <w:rFonts w:eastAsia="Symbol"/>
        </w:rPr>
        <w:tab/>
      </w:r>
      <w:r w:rsidR="009B4B8E" w:rsidRPr="00330234">
        <w:t xml:space="preserve">Als uw kind 30 kg of meer weegt, is de dosering </w:t>
      </w:r>
      <w:r w:rsidR="009B4B8E" w:rsidRPr="00330234">
        <w:rPr>
          <w:b/>
        </w:rPr>
        <w:t>8 mg voor elke kg lichaamsgewicht</w:t>
      </w:r>
      <w:r w:rsidR="009B4B8E" w:rsidRPr="00330234">
        <w:t>.</w:t>
      </w:r>
    </w:p>
    <w:p w14:paraId="36FAE194" w14:textId="455FF086" w:rsidR="00436DAA" w:rsidRPr="00330234" w:rsidRDefault="009B4B8E" w:rsidP="00C21540">
      <w:r w:rsidRPr="00330234">
        <w:t>De dosis wordt bij elke toediening berekend op basis van het lichaamsgewicht.</w:t>
      </w:r>
    </w:p>
    <w:p w14:paraId="13ED3F58" w14:textId="77777777" w:rsidR="00C21540" w:rsidRPr="00330234" w:rsidRDefault="00C21540" w:rsidP="00BD109B">
      <w:pPr>
        <w:pStyle w:val="a3"/>
        <w:widowControl/>
        <w:ind w:left="0"/>
      </w:pPr>
    </w:p>
    <w:p w14:paraId="51ACB89E" w14:textId="7A5EE5A5" w:rsidR="00436DAA" w:rsidRPr="00330234" w:rsidRDefault="009B4B8E" w:rsidP="00BD109B">
      <w:pPr>
        <w:pStyle w:val="a3"/>
        <w:widowControl/>
        <w:ind w:left="0"/>
      </w:pPr>
      <w:r w:rsidRPr="00330234">
        <w:t xml:space="preserve">Kinderen met pJIA krijgen </w:t>
      </w:r>
      <w:r w:rsidR="00DB22D7" w:rsidRPr="00330234">
        <w:t>Avtozma</w:t>
      </w:r>
      <w:r w:rsidRPr="00330234">
        <w:t xml:space="preserve"> eenmaal per 4 weken toegediend via een infuus van een uur in één van de bloedvaten (intraveneuze infusie).</w:t>
      </w:r>
    </w:p>
    <w:p w14:paraId="6A3354AC" w14:textId="77777777" w:rsidR="00436DAA" w:rsidRPr="00330234" w:rsidRDefault="00436DAA" w:rsidP="00BD109B">
      <w:pPr>
        <w:pStyle w:val="a3"/>
        <w:widowControl/>
        <w:ind w:left="0"/>
      </w:pPr>
    </w:p>
    <w:p w14:paraId="4E442B11" w14:textId="77777777" w:rsidR="00436DAA" w:rsidRPr="00330234" w:rsidRDefault="009B4B8E" w:rsidP="00BD109B">
      <w:pPr>
        <w:widowControl/>
        <w:rPr>
          <w:b/>
        </w:rPr>
      </w:pPr>
      <w:r w:rsidRPr="001B3E1E">
        <w:rPr>
          <w:b/>
        </w:rPr>
        <w:t>Kinderen met CRS</w:t>
      </w:r>
    </w:p>
    <w:p w14:paraId="28350A30" w14:textId="259CD531" w:rsidR="00436DAA" w:rsidRPr="00330234" w:rsidRDefault="009B4B8E" w:rsidP="00BD109B">
      <w:pPr>
        <w:widowControl/>
      </w:pPr>
      <w:r w:rsidRPr="00330234">
        <w:t xml:space="preserve">De gebruikelijke dosering van </w:t>
      </w:r>
      <w:r w:rsidR="00DB22D7" w:rsidRPr="00330234">
        <w:t>Avtozma</w:t>
      </w:r>
      <w:r w:rsidRPr="00330234">
        <w:t xml:space="preserve"> is </w:t>
      </w:r>
      <w:r w:rsidRPr="00330234">
        <w:rPr>
          <w:b/>
        </w:rPr>
        <w:t>8 mg voor elke kilogram lichaamsgewicht als uw kind 30 kg of meer weegt</w:t>
      </w:r>
      <w:r w:rsidRPr="00330234">
        <w:t>.</w:t>
      </w:r>
    </w:p>
    <w:p w14:paraId="15D49334" w14:textId="0CAB8229" w:rsidR="00436DAA" w:rsidRPr="00330234" w:rsidRDefault="009B4B8E" w:rsidP="00BD109B">
      <w:pPr>
        <w:widowControl/>
      </w:pPr>
      <w:r w:rsidRPr="00330234">
        <w:t xml:space="preserve">De dosering van </w:t>
      </w:r>
      <w:r w:rsidR="00DB22D7" w:rsidRPr="00330234">
        <w:t>Avtozma</w:t>
      </w:r>
      <w:r w:rsidRPr="00330234">
        <w:t xml:space="preserve"> is </w:t>
      </w:r>
      <w:r w:rsidRPr="00330234">
        <w:rPr>
          <w:b/>
        </w:rPr>
        <w:t>12 mg voor elke kg lichaamsgewicht als uw kind minder dan 30 kg weegt</w:t>
      </w:r>
      <w:r w:rsidRPr="00330234">
        <w:t>.</w:t>
      </w:r>
    </w:p>
    <w:p w14:paraId="171FFB79" w14:textId="2AAD0BB4" w:rsidR="00436DAA" w:rsidRPr="00330234" w:rsidRDefault="00DB22D7" w:rsidP="00BD109B">
      <w:pPr>
        <w:pStyle w:val="a3"/>
        <w:widowControl/>
        <w:ind w:left="0"/>
      </w:pPr>
      <w:r w:rsidRPr="00330234">
        <w:t>Avtozma</w:t>
      </w:r>
      <w:r w:rsidR="009B4B8E" w:rsidRPr="00330234">
        <w:t xml:space="preserve"> kan alleen of in combinatie met corticosteroïden worden gegeven.</w:t>
      </w:r>
    </w:p>
    <w:p w14:paraId="40FF12AB" w14:textId="77777777" w:rsidR="00436DAA" w:rsidRPr="00330234" w:rsidRDefault="00436DAA" w:rsidP="00BD109B">
      <w:pPr>
        <w:pStyle w:val="a3"/>
        <w:widowControl/>
        <w:ind w:left="0"/>
      </w:pPr>
    </w:p>
    <w:p w14:paraId="147C0F6D" w14:textId="77777777" w:rsidR="00436DAA" w:rsidRPr="004A769F" w:rsidRDefault="009B4B8E" w:rsidP="004A769F">
      <w:pPr>
        <w:rPr>
          <w:b/>
          <w:bCs/>
        </w:rPr>
      </w:pPr>
      <w:r w:rsidRPr="004A769F">
        <w:rPr>
          <w:b/>
          <w:bCs/>
        </w:rPr>
        <w:t>Patiënten met COVID-19</w:t>
      </w:r>
    </w:p>
    <w:p w14:paraId="76689240" w14:textId="4BA6C3B1" w:rsidR="00436DAA" w:rsidRPr="00330234" w:rsidRDefault="009B4B8E" w:rsidP="00BD109B">
      <w:pPr>
        <w:widowControl/>
      </w:pPr>
      <w:r w:rsidRPr="00330234">
        <w:lastRenderedPageBreak/>
        <w:t xml:space="preserve">De gebruikelijke dosering van </w:t>
      </w:r>
      <w:r w:rsidR="00DB22D7" w:rsidRPr="00330234">
        <w:t>Avtozma</w:t>
      </w:r>
      <w:r w:rsidRPr="00330234">
        <w:t xml:space="preserve"> is </w:t>
      </w:r>
      <w:r w:rsidRPr="00330234">
        <w:rPr>
          <w:b/>
        </w:rPr>
        <w:t xml:space="preserve">8 mg voor elke kilogram lichaamsgewicht. </w:t>
      </w:r>
      <w:r w:rsidRPr="00330234">
        <w:t>Misschien is een tweede dosis nodig.</w:t>
      </w:r>
    </w:p>
    <w:p w14:paraId="19F24A3A" w14:textId="77777777" w:rsidR="00436DAA" w:rsidRPr="00330234" w:rsidRDefault="00436DAA" w:rsidP="00BD109B">
      <w:pPr>
        <w:widowControl/>
      </w:pPr>
    </w:p>
    <w:p w14:paraId="640F6E93" w14:textId="77777777" w:rsidR="00436DAA" w:rsidRPr="004A769F" w:rsidRDefault="009B4B8E" w:rsidP="004A769F">
      <w:pPr>
        <w:rPr>
          <w:b/>
          <w:bCs/>
        </w:rPr>
      </w:pPr>
      <w:r w:rsidRPr="004A769F">
        <w:rPr>
          <w:b/>
          <w:bCs/>
        </w:rPr>
        <w:t>Heeft u te veel van dit middel gebruikt?</w:t>
      </w:r>
    </w:p>
    <w:p w14:paraId="3F11FBBB" w14:textId="57AE4C32" w:rsidR="00436DAA" w:rsidRPr="00330234" w:rsidRDefault="009B4B8E" w:rsidP="00C21540">
      <w:pPr>
        <w:pStyle w:val="a3"/>
        <w:keepNext/>
        <w:keepLines/>
        <w:widowControl/>
        <w:ind w:left="0"/>
      </w:pPr>
      <w:r w:rsidRPr="00330234">
        <w:t xml:space="preserve">Omdat </w:t>
      </w:r>
      <w:r w:rsidR="00DB22D7" w:rsidRPr="00330234">
        <w:t>Avtozma</w:t>
      </w:r>
      <w:r w:rsidRPr="00330234">
        <w:t xml:space="preserve"> door een arts of een verpleegkundige wordt toegediend, is het onwaarschijnlijk dat u te veel krijgt. Echter als u zich toch zorgen maakt, overleg dan met uw arts of verpleegkundige.</w:t>
      </w:r>
    </w:p>
    <w:p w14:paraId="2FF31837" w14:textId="77777777" w:rsidR="00436DAA" w:rsidRPr="00330234" w:rsidRDefault="00436DAA" w:rsidP="00BD109B">
      <w:pPr>
        <w:pStyle w:val="a3"/>
        <w:widowControl/>
        <w:ind w:left="0"/>
      </w:pPr>
    </w:p>
    <w:p w14:paraId="1BF4C34F" w14:textId="77777777" w:rsidR="00436DAA" w:rsidRPr="004A769F" w:rsidRDefault="009B4B8E" w:rsidP="004A769F">
      <w:pPr>
        <w:rPr>
          <w:b/>
          <w:bCs/>
        </w:rPr>
      </w:pPr>
      <w:r w:rsidRPr="004A769F">
        <w:rPr>
          <w:b/>
          <w:bCs/>
        </w:rPr>
        <w:t>Bent u vergeten dit middel te gebruiken?</w:t>
      </w:r>
    </w:p>
    <w:p w14:paraId="17F57290" w14:textId="54ADED69" w:rsidR="00436DAA" w:rsidRPr="00330234" w:rsidRDefault="009B4B8E" w:rsidP="00BD109B">
      <w:pPr>
        <w:pStyle w:val="a3"/>
        <w:widowControl/>
        <w:ind w:left="0"/>
      </w:pPr>
      <w:r w:rsidRPr="00330234">
        <w:t xml:space="preserve">Omdat </w:t>
      </w:r>
      <w:r w:rsidR="00DB22D7" w:rsidRPr="00330234">
        <w:t>Avtozma</w:t>
      </w:r>
      <w:r w:rsidRPr="00330234">
        <w:t xml:space="preserve"> door een arts of een verpleegkundige wordt toegediend, is het onwaarschijnlijk dat u een dosis mist. Echter als u zich toch zorgen maakt, overleg dan met uw arts of verpleegkundige.</w:t>
      </w:r>
    </w:p>
    <w:p w14:paraId="3E38AF04" w14:textId="77777777" w:rsidR="00436DAA" w:rsidRPr="00330234" w:rsidRDefault="00436DAA" w:rsidP="00BD109B">
      <w:pPr>
        <w:pStyle w:val="a3"/>
        <w:widowControl/>
        <w:ind w:left="0"/>
      </w:pPr>
    </w:p>
    <w:p w14:paraId="1F9F08D8" w14:textId="77777777" w:rsidR="00436DAA" w:rsidRPr="004A769F" w:rsidRDefault="009B4B8E" w:rsidP="004A769F">
      <w:pPr>
        <w:rPr>
          <w:b/>
          <w:bCs/>
        </w:rPr>
      </w:pPr>
      <w:r w:rsidRPr="004A769F">
        <w:rPr>
          <w:b/>
          <w:bCs/>
        </w:rPr>
        <w:t>Als u stopt met het gebruik van dit middel</w:t>
      </w:r>
    </w:p>
    <w:p w14:paraId="3322F886" w14:textId="2F79A76B" w:rsidR="00436DAA" w:rsidRPr="00330234" w:rsidRDefault="009B4B8E" w:rsidP="00BD109B">
      <w:pPr>
        <w:pStyle w:val="a3"/>
        <w:widowControl/>
        <w:ind w:left="0"/>
      </w:pPr>
      <w:r w:rsidRPr="00330234">
        <w:t xml:space="preserve">U mag niet stoppen met </w:t>
      </w:r>
      <w:r w:rsidR="00DB22D7" w:rsidRPr="00330234">
        <w:t>Avtozma</w:t>
      </w:r>
      <w:r w:rsidRPr="00330234">
        <w:t xml:space="preserve"> zonder dat u dat eerst met uw arts heeft besproken.</w:t>
      </w:r>
    </w:p>
    <w:p w14:paraId="5FA4ED0B" w14:textId="77777777" w:rsidR="00436DAA" w:rsidRPr="00330234" w:rsidRDefault="00436DAA" w:rsidP="00BD109B">
      <w:pPr>
        <w:pStyle w:val="a3"/>
        <w:widowControl/>
        <w:ind w:left="0"/>
      </w:pPr>
    </w:p>
    <w:p w14:paraId="552699F5" w14:textId="77777777" w:rsidR="00436DAA" w:rsidRPr="00330234" w:rsidRDefault="009B4B8E" w:rsidP="00BD109B">
      <w:pPr>
        <w:pStyle w:val="a3"/>
        <w:widowControl/>
        <w:ind w:left="0"/>
      </w:pPr>
      <w:r w:rsidRPr="00330234">
        <w:t>Heeft u nog andere vragen over het gebruik van dit geneesmiddel? Neem dan contact op met uw arts of verpleegkundige.</w:t>
      </w:r>
    </w:p>
    <w:p w14:paraId="44ED3979" w14:textId="77777777" w:rsidR="00436DAA" w:rsidRPr="00330234" w:rsidRDefault="00436DAA" w:rsidP="00BD109B">
      <w:pPr>
        <w:pStyle w:val="a3"/>
        <w:widowControl/>
        <w:ind w:left="0"/>
      </w:pPr>
    </w:p>
    <w:p w14:paraId="5BC2BF41" w14:textId="77777777" w:rsidR="00436DAA" w:rsidRPr="00330234" w:rsidRDefault="00436DAA" w:rsidP="00BD109B">
      <w:pPr>
        <w:pStyle w:val="a3"/>
        <w:widowControl/>
        <w:ind w:left="0"/>
      </w:pPr>
    </w:p>
    <w:p w14:paraId="59301AD2" w14:textId="6992E659" w:rsidR="00436DAA" w:rsidRPr="00330234" w:rsidRDefault="005328BF" w:rsidP="00BD109B">
      <w:pPr>
        <w:pStyle w:val="2"/>
      </w:pPr>
      <w:r w:rsidRPr="00330234">
        <w:t>4.</w:t>
      </w:r>
      <w:r w:rsidRPr="00330234">
        <w:tab/>
      </w:r>
      <w:r w:rsidR="009B4B8E" w:rsidRPr="00330234">
        <w:t>Mogelijke bijwerkingen</w:t>
      </w:r>
    </w:p>
    <w:p w14:paraId="2D36C977" w14:textId="77777777" w:rsidR="0089715D" w:rsidRPr="00330234" w:rsidRDefault="0089715D" w:rsidP="00BD109B">
      <w:pPr>
        <w:pStyle w:val="a3"/>
        <w:widowControl/>
        <w:ind w:left="0"/>
      </w:pPr>
    </w:p>
    <w:p w14:paraId="2581CDF2" w14:textId="69187847" w:rsidR="00436DAA" w:rsidRPr="00330234" w:rsidRDefault="009B4B8E" w:rsidP="00BD109B">
      <w:pPr>
        <w:pStyle w:val="a3"/>
        <w:widowControl/>
        <w:ind w:left="0"/>
      </w:pPr>
      <w:r w:rsidRPr="00330234">
        <w:t xml:space="preserve">Zoals elk geneesmiddel kan ook dit geneesmiddel bijwerkingen hebben, al krijgt niet iedereen daarmee te maken. Bijwerkingen kunnen nog voorkomen tot 3 maanden of langer na de laatste toediening van </w:t>
      </w:r>
      <w:r w:rsidR="00DB22D7" w:rsidRPr="00330234">
        <w:t>Avtozma</w:t>
      </w:r>
      <w:r w:rsidRPr="00330234">
        <w:t>.</w:t>
      </w:r>
    </w:p>
    <w:p w14:paraId="7FC686B7" w14:textId="77777777" w:rsidR="00436DAA" w:rsidRPr="00330234" w:rsidRDefault="00436DAA" w:rsidP="00BD109B">
      <w:pPr>
        <w:pStyle w:val="a3"/>
        <w:widowControl/>
        <w:ind w:left="0"/>
      </w:pPr>
    </w:p>
    <w:p w14:paraId="7E2B1775" w14:textId="77777777" w:rsidR="00436DAA" w:rsidRPr="00330234" w:rsidRDefault="009B4B8E" w:rsidP="00BD109B">
      <w:pPr>
        <w:widowControl/>
      </w:pPr>
      <w:r w:rsidRPr="00330234">
        <w:rPr>
          <w:b/>
        </w:rPr>
        <w:t>Mogelijke ernstige bijwerkingen</w:t>
      </w:r>
      <w:r w:rsidRPr="00330234">
        <w:t>: meld dit direct aan een arts.</w:t>
      </w:r>
    </w:p>
    <w:p w14:paraId="562FE2CE" w14:textId="77777777" w:rsidR="00436DAA" w:rsidRPr="00330234" w:rsidRDefault="009B4B8E" w:rsidP="00BD109B">
      <w:pPr>
        <w:widowControl/>
        <w:rPr>
          <w:i/>
        </w:rPr>
      </w:pPr>
      <w:r w:rsidRPr="00330234">
        <w:rPr>
          <w:i/>
        </w:rPr>
        <w:t>Deze komen vaak voor: kunnen voorkomen bij minder dan 1 op de 10 gebruikers</w:t>
      </w:r>
    </w:p>
    <w:p w14:paraId="061CEA0E" w14:textId="77777777" w:rsidR="00436DAA" w:rsidRPr="00330234" w:rsidRDefault="00436DAA" w:rsidP="00BD109B">
      <w:pPr>
        <w:pStyle w:val="a3"/>
        <w:widowControl/>
        <w:ind w:left="0"/>
        <w:rPr>
          <w:i/>
        </w:rPr>
      </w:pPr>
    </w:p>
    <w:p w14:paraId="1E4BE02C" w14:textId="77777777" w:rsidR="00436DAA" w:rsidRPr="00330234" w:rsidRDefault="009B4B8E" w:rsidP="00BD109B">
      <w:pPr>
        <w:widowControl/>
      </w:pPr>
      <w:r w:rsidRPr="00330234">
        <w:rPr>
          <w:b/>
        </w:rPr>
        <w:t xml:space="preserve">Allergische reacties </w:t>
      </w:r>
      <w:r w:rsidRPr="00330234">
        <w:t>tijdens of na injectie:</w:t>
      </w:r>
    </w:p>
    <w:p w14:paraId="5FE3BD97" w14:textId="736DB888" w:rsidR="00436DAA" w:rsidRPr="00330234" w:rsidRDefault="005328BF" w:rsidP="0089715D">
      <w:pPr>
        <w:pStyle w:val="bullet"/>
      </w:pPr>
      <w:r w:rsidRPr="00330234">
        <w:rPr>
          <w:rFonts w:eastAsia="Symbol"/>
        </w:rPr>
        <w:tab/>
      </w:r>
      <w:r w:rsidR="009B4B8E" w:rsidRPr="00330234">
        <w:t>moeite met ademhalen, beklemmend gevoel op de borst of een licht gevoel in het hoofd</w:t>
      </w:r>
    </w:p>
    <w:p w14:paraId="3526AC48" w14:textId="77777777" w:rsidR="0089715D" w:rsidRPr="00330234" w:rsidRDefault="005328BF" w:rsidP="0089715D">
      <w:pPr>
        <w:pStyle w:val="bullet"/>
      </w:pPr>
      <w:r w:rsidRPr="00330234">
        <w:rPr>
          <w:rFonts w:eastAsia="Symbol"/>
        </w:rPr>
        <w:tab/>
      </w:r>
      <w:r w:rsidR="009B4B8E" w:rsidRPr="00330234">
        <w:t>huiduitslag, jeuk, netelroos, zwelling van de lippen, tong of gezicht</w:t>
      </w:r>
    </w:p>
    <w:p w14:paraId="0E718C8C" w14:textId="77777777" w:rsidR="0089715D" w:rsidRPr="00330234" w:rsidRDefault="0089715D" w:rsidP="0089715D"/>
    <w:p w14:paraId="3EED403E" w14:textId="27AC0CBE" w:rsidR="00436DAA" w:rsidRPr="00330234" w:rsidRDefault="009B4B8E" w:rsidP="0089715D">
      <w:r w:rsidRPr="00330234">
        <w:t xml:space="preserve">Als u één van deze reacties opmerkt, vertel dit dan </w:t>
      </w:r>
      <w:r w:rsidRPr="00330234">
        <w:rPr>
          <w:b/>
        </w:rPr>
        <w:t xml:space="preserve">direct </w:t>
      </w:r>
      <w:r w:rsidRPr="00330234">
        <w:t>aan uw arts.</w:t>
      </w:r>
    </w:p>
    <w:p w14:paraId="08BAE3C8" w14:textId="77777777" w:rsidR="0089715D" w:rsidRPr="00330234" w:rsidRDefault="0089715D" w:rsidP="00BD109B">
      <w:pPr>
        <w:widowControl/>
      </w:pPr>
    </w:p>
    <w:p w14:paraId="2EC66410" w14:textId="77777777" w:rsidR="00436DAA" w:rsidRPr="004A769F" w:rsidRDefault="009B4B8E" w:rsidP="004A769F">
      <w:pPr>
        <w:rPr>
          <w:b/>
          <w:bCs/>
        </w:rPr>
      </w:pPr>
      <w:r w:rsidRPr="004A769F">
        <w:rPr>
          <w:b/>
          <w:bCs/>
        </w:rPr>
        <w:t>Tekenen van ernstige infecties:</w:t>
      </w:r>
    </w:p>
    <w:p w14:paraId="0BF995FA" w14:textId="12D8F424" w:rsidR="00436DAA" w:rsidRPr="00330234" w:rsidRDefault="005328BF" w:rsidP="0089715D">
      <w:pPr>
        <w:pStyle w:val="bullet"/>
      </w:pPr>
      <w:r w:rsidRPr="00330234">
        <w:rPr>
          <w:rFonts w:eastAsia="Symbol"/>
        </w:rPr>
        <w:tab/>
      </w:r>
      <w:r w:rsidR="009B4B8E" w:rsidRPr="00330234">
        <w:t>koorts en rillingen</w:t>
      </w:r>
    </w:p>
    <w:p w14:paraId="00FB5B56" w14:textId="281AD37C" w:rsidR="00436DAA" w:rsidRPr="00330234" w:rsidRDefault="005328BF" w:rsidP="0089715D">
      <w:pPr>
        <w:pStyle w:val="bullet"/>
      </w:pPr>
      <w:r w:rsidRPr="00330234">
        <w:rPr>
          <w:rFonts w:eastAsia="Symbol"/>
        </w:rPr>
        <w:tab/>
      </w:r>
      <w:r w:rsidR="009B4B8E" w:rsidRPr="00330234">
        <w:t>blaren in de mond of op de huid</w:t>
      </w:r>
    </w:p>
    <w:p w14:paraId="45EB989B" w14:textId="282FFDB0" w:rsidR="00436DAA" w:rsidRPr="00330234" w:rsidRDefault="005328BF" w:rsidP="0089715D">
      <w:pPr>
        <w:pStyle w:val="bullet"/>
      </w:pPr>
      <w:r w:rsidRPr="00330234">
        <w:rPr>
          <w:rFonts w:eastAsia="Symbol"/>
        </w:rPr>
        <w:tab/>
      </w:r>
      <w:r w:rsidR="009B4B8E" w:rsidRPr="00330234">
        <w:t>buikpijn</w:t>
      </w:r>
    </w:p>
    <w:p w14:paraId="7A4A4C25" w14:textId="77777777" w:rsidR="00436DAA" w:rsidRPr="00330234" w:rsidRDefault="00436DAA" w:rsidP="00BD109B">
      <w:pPr>
        <w:pStyle w:val="a3"/>
        <w:widowControl/>
        <w:ind w:left="0"/>
      </w:pPr>
    </w:p>
    <w:p w14:paraId="0F582AF2" w14:textId="77777777" w:rsidR="00436DAA" w:rsidRPr="004A769F" w:rsidRDefault="009B4B8E" w:rsidP="004A769F">
      <w:pPr>
        <w:rPr>
          <w:b/>
          <w:bCs/>
        </w:rPr>
      </w:pPr>
      <w:r w:rsidRPr="004A769F">
        <w:rPr>
          <w:b/>
          <w:bCs/>
        </w:rPr>
        <w:t>Tekenen van levertoxiciteit:</w:t>
      </w:r>
    </w:p>
    <w:p w14:paraId="447430FF" w14:textId="77777777" w:rsidR="00436DAA" w:rsidRPr="00330234" w:rsidRDefault="009B4B8E" w:rsidP="00BD109B">
      <w:pPr>
        <w:widowControl/>
        <w:rPr>
          <w:i/>
        </w:rPr>
      </w:pPr>
      <w:r w:rsidRPr="00330234">
        <w:rPr>
          <w:i/>
        </w:rPr>
        <w:t>Deze kunnen voorkomen bij minder dan 1 op de 1000 gebruikers</w:t>
      </w:r>
    </w:p>
    <w:p w14:paraId="3888917C" w14:textId="42A19D0C" w:rsidR="00436DAA" w:rsidRPr="00330234" w:rsidRDefault="005328BF" w:rsidP="0089715D">
      <w:pPr>
        <w:pStyle w:val="bullet"/>
      </w:pPr>
      <w:r w:rsidRPr="00330234">
        <w:rPr>
          <w:rFonts w:eastAsia="Symbol"/>
        </w:rPr>
        <w:tab/>
      </w:r>
      <w:r w:rsidR="009B4B8E" w:rsidRPr="00330234">
        <w:t>vermoeidheid</w:t>
      </w:r>
    </w:p>
    <w:p w14:paraId="6A421CA2" w14:textId="4D129B7E" w:rsidR="00436DAA" w:rsidRPr="00330234" w:rsidRDefault="005328BF" w:rsidP="0089715D">
      <w:pPr>
        <w:pStyle w:val="bullet"/>
      </w:pPr>
      <w:r w:rsidRPr="00330234">
        <w:rPr>
          <w:rFonts w:eastAsia="Symbol"/>
        </w:rPr>
        <w:tab/>
      </w:r>
      <w:r w:rsidR="009B4B8E" w:rsidRPr="00330234">
        <w:t>buikpijn</w:t>
      </w:r>
    </w:p>
    <w:p w14:paraId="055163D9" w14:textId="5DE40B36" w:rsidR="00436DAA" w:rsidRPr="00330234" w:rsidRDefault="005328BF" w:rsidP="0089715D">
      <w:pPr>
        <w:pStyle w:val="bullet"/>
      </w:pPr>
      <w:r w:rsidRPr="00330234">
        <w:rPr>
          <w:rFonts w:eastAsia="Symbol"/>
        </w:rPr>
        <w:tab/>
      </w:r>
      <w:r w:rsidR="009B4B8E" w:rsidRPr="00330234">
        <w:t>geelzucht (gele verkleuring van de huid of ogen)</w:t>
      </w:r>
    </w:p>
    <w:p w14:paraId="0443B86D" w14:textId="77777777" w:rsidR="0089715D" w:rsidRPr="00330234" w:rsidRDefault="0089715D" w:rsidP="00BD109B">
      <w:pPr>
        <w:widowControl/>
      </w:pPr>
    </w:p>
    <w:p w14:paraId="1E702C03" w14:textId="542400E8" w:rsidR="00436DAA" w:rsidRPr="00330234" w:rsidRDefault="009B4B8E" w:rsidP="00BD109B">
      <w:pPr>
        <w:widowControl/>
      </w:pPr>
      <w:r w:rsidRPr="00330234">
        <w:t xml:space="preserve">Als u één van deze reacties opmerkt, vertel dit dan </w:t>
      </w:r>
      <w:r w:rsidRPr="00330234">
        <w:rPr>
          <w:b/>
        </w:rPr>
        <w:t xml:space="preserve">zo snel mogelijk </w:t>
      </w:r>
      <w:r w:rsidRPr="00330234">
        <w:t>aan uw arts.</w:t>
      </w:r>
    </w:p>
    <w:p w14:paraId="50554110" w14:textId="77777777" w:rsidR="00436DAA" w:rsidRPr="00330234" w:rsidRDefault="00436DAA" w:rsidP="00BD109B">
      <w:pPr>
        <w:pStyle w:val="a3"/>
        <w:widowControl/>
        <w:ind w:left="0"/>
      </w:pPr>
    </w:p>
    <w:p w14:paraId="71ADD1B6" w14:textId="77777777" w:rsidR="00436DAA" w:rsidRPr="004A769F" w:rsidRDefault="009B4B8E" w:rsidP="004A769F">
      <w:pPr>
        <w:rPr>
          <w:b/>
          <w:bCs/>
        </w:rPr>
      </w:pPr>
      <w:r w:rsidRPr="004A769F">
        <w:rPr>
          <w:b/>
          <w:bCs/>
        </w:rPr>
        <w:t>Zeer vaak voorkomende bijwerkingen:</w:t>
      </w:r>
    </w:p>
    <w:p w14:paraId="34531739" w14:textId="77777777" w:rsidR="00436DAA" w:rsidRPr="00330234" w:rsidRDefault="009B4B8E" w:rsidP="00BD109B">
      <w:pPr>
        <w:widowControl/>
        <w:rPr>
          <w:i/>
        </w:rPr>
      </w:pPr>
      <w:r w:rsidRPr="00330234">
        <w:rPr>
          <w:i/>
        </w:rPr>
        <w:t>Deze kunnen voorkomen bij meer dan 1 op de 10 gebruikers</w:t>
      </w:r>
    </w:p>
    <w:p w14:paraId="72AEB2F5" w14:textId="32B29D38" w:rsidR="00436DAA" w:rsidRPr="00330234" w:rsidRDefault="005328BF" w:rsidP="0089715D">
      <w:pPr>
        <w:pStyle w:val="bullet"/>
      </w:pPr>
      <w:r w:rsidRPr="00330234">
        <w:rPr>
          <w:rFonts w:eastAsia="Symbol"/>
        </w:rPr>
        <w:tab/>
      </w:r>
      <w:r w:rsidR="009B4B8E" w:rsidRPr="00330234">
        <w:t>infecties van de bovenste luchtwegen, met typische symptomen zoals hoesten, verstopte neus, loopneus, keelpijn en hoofdpijn</w:t>
      </w:r>
    </w:p>
    <w:p w14:paraId="33144542" w14:textId="09462BC3" w:rsidR="00436DAA" w:rsidRPr="00330234" w:rsidRDefault="005328BF" w:rsidP="0089715D">
      <w:pPr>
        <w:pStyle w:val="bullet"/>
      </w:pPr>
      <w:r w:rsidRPr="00330234">
        <w:rPr>
          <w:rFonts w:eastAsia="Symbol"/>
        </w:rPr>
        <w:tab/>
      </w:r>
      <w:r w:rsidR="009B4B8E" w:rsidRPr="00330234">
        <w:t>hoog vetgehalte (cholesterol) in het bloed</w:t>
      </w:r>
    </w:p>
    <w:p w14:paraId="580D1A44" w14:textId="77777777" w:rsidR="0089715D" w:rsidRPr="00330234" w:rsidRDefault="0089715D" w:rsidP="00BD109B">
      <w:pPr>
        <w:widowControl/>
      </w:pPr>
    </w:p>
    <w:p w14:paraId="2BB1D051" w14:textId="77777777" w:rsidR="00436DAA" w:rsidRPr="004A769F" w:rsidRDefault="009B4B8E" w:rsidP="004A769F">
      <w:pPr>
        <w:rPr>
          <w:b/>
          <w:bCs/>
        </w:rPr>
      </w:pPr>
      <w:r w:rsidRPr="004A769F">
        <w:rPr>
          <w:b/>
          <w:bCs/>
        </w:rPr>
        <w:t>Vaak voorkomende bijwerkingen:</w:t>
      </w:r>
    </w:p>
    <w:p w14:paraId="5F917702" w14:textId="77777777" w:rsidR="00436DAA" w:rsidRPr="00330234" w:rsidRDefault="009B4B8E" w:rsidP="00BD109B">
      <w:pPr>
        <w:widowControl/>
        <w:rPr>
          <w:i/>
        </w:rPr>
      </w:pPr>
      <w:r w:rsidRPr="00330234">
        <w:rPr>
          <w:i/>
        </w:rPr>
        <w:t>Deze kunnen voorkomen bij minder dan 1 op de 10 gebruikers</w:t>
      </w:r>
    </w:p>
    <w:p w14:paraId="6A8F81C8" w14:textId="0E1BD988" w:rsidR="00436DAA" w:rsidRPr="00330234" w:rsidRDefault="005328BF" w:rsidP="0089715D">
      <w:pPr>
        <w:pStyle w:val="bullet"/>
      </w:pPr>
      <w:r w:rsidRPr="00330234">
        <w:rPr>
          <w:rFonts w:eastAsia="Symbol"/>
        </w:rPr>
        <w:tab/>
      </w:r>
      <w:r w:rsidR="009B4B8E" w:rsidRPr="00330234">
        <w:t>longinfectie (pneumonie)</w:t>
      </w:r>
    </w:p>
    <w:p w14:paraId="1E72D1BD" w14:textId="5D74E9A8" w:rsidR="00436DAA" w:rsidRPr="00330234" w:rsidRDefault="005328BF" w:rsidP="0089715D">
      <w:pPr>
        <w:pStyle w:val="bullet"/>
      </w:pPr>
      <w:r w:rsidRPr="00330234">
        <w:rPr>
          <w:rFonts w:eastAsia="Symbol"/>
        </w:rPr>
        <w:tab/>
      </w:r>
      <w:r w:rsidR="009B4B8E" w:rsidRPr="00330234">
        <w:t>gordelroos (herpes zoster)</w:t>
      </w:r>
    </w:p>
    <w:p w14:paraId="35E511B5" w14:textId="6934B529" w:rsidR="00436DAA" w:rsidRPr="00330234" w:rsidRDefault="005328BF" w:rsidP="0089715D">
      <w:pPr>
        <w:pStyle w:val="bullet"/>
      </w:pPr>
      <w:r w:rsidRPr="00330234">
        <w:rPr>
          <w:rFonts w:eastAsia="Symbol"/>
        </w:rPr>
        <w:lastRenderedPageBreak/>
        <w:tab/>
      </w:r>
      <w:r w:rsidR="009B4B8E" w:rsidRPr="00330234">
        <w:t>koortsblaasjes (orale herpes simplex), blaren</w:t>
      </w:r>
    </w:p>
    <w:p w14:paraId="2FE5229F" w14:textId="2616CBA6" w:rsidR="00436DAA" w:rsidRPr="00330234" w:rsidRDefault="005328BF" w:rsidP="0089715D">
      <w:pPr>
        <w:pStyle w:val="bullet"/>
      </w:pPr>
      <w:r w:rsidRPr="00330234">
        <w:rPr>
          <w:rFonts w:eastAsia="Symbol"/>
        </w:rPr>
        <w:tab/>
      </w:r>
      <w:r w:rsidR="009B4B8E" w:rsidRPr="00330234">
        <w:t>huidontsteking (cellulitis), soms met koorts en rillingen</w:t>
      </w:r>
    </w:p>
    <w:p w14:paraId="046E0DC0" w14:textId="538F6C68" w:rsidR="00436DAA" w:rsidRPr="00330234" w:rsidRDefault="005328BF" w:rsidP="0089715D">
      <w:pPr>
        <w:pStyle w:val="bullet"/>
      </w:pPr>
      <w:r w:rsidRPr="00330234">
        <w:rPr>
          <w:rFonts w:eastAsia="Symbol"/>
        </w:rPr>
        <w:tab/>
      </w:r>
      <w:r w:rsidR="009B4B8E" w:rsidRPr="00330234">
        <w:t>huiduitslag en jeuk, netelroos</w:t>
      </w:r>
    </w:p>
    <w:p w14:paraId="0C4921D3" w14:textId="403EA819" w:rsidR="00436DAA" w:rsidRPr="00330234" w:rsidRDefault="005328BF" w:rsidP="0089715D">
      <w:pPr>
        <w:pStyle w:val="bullet"/>
      </w:pPr>
      <w:r w:rsidRPr="00330234">
        <w:rPr>
          <w:rFonts w:eastAsia="Symbol"/>
        </w:rPr>
        <w:tab/>
      </w:r>
      <w:r w:rsidR="009B4B8E" w:rsidRPr="00330234">
        <w:t>allergische (overgevoeligheids)reacties</w:t>
      </w:r>
    </w:p>
    <w:p w14:paraId="6CA3623B" w14:textId="3EC3AA83" w:rsidR="00436DAA" w:rsidRPr="00330234" w:rsidRDefault="005328BF" w:rsidP="0089715D">
      <w:pPr>
        <w:pStyle w:val="bullet"/>
      </w:pPr>
      <w:r w:rsidRPr="00330234">
        <w:rPr>
          <w:rFonts w:eastAsia="Symbol"/>
        </w:rPr>
        <w:tab/>
      </w:r>
      <w:r w:rsidR="009B4B8E" w:rsidRPr="00330234">
        <w:t>ooginfectie (conjunctivitis)</w:t>
      </w:r>
    </w:p>
    <w:p w14:paraId="52FC75AE" w14:textId="73713EDA" w:rsidR="00436DAA" w:rsidRPr="00330234" w:rsidRDefault="005328BF" w:rsidP="0089715D">
      <w:pPr>
        <w:pStyle w:val="bullet"/>
      </w:pPr>
      <w:r w:rsidRPr="00330234">
        <w:rPr>
          <w:rFonts w:eastAsia="Symbol"/>
        </w:rPr>
        <w:tab/>
      </w:r>
      <w:r w:rsidR="009B4B8E" w:rsidRPr="00330234">
        <w:t>hoofdpijn, duizeligheid, hoge bloeddruk</w:t>
      </w:r>
    </w:p>
    <w:p w14:paraId="3A3B84FB" w14:textId="5A85142D" w:rsidR="00436DAA" w:rsidRPr="00330234" w:rsidRDefault="005328BF" w:rsidP="0089715D">
      <w:pPr>
        <w:pStyle w:val="bullet"/>
      </w:pPr>
      <w:r w:rsidRPr="00330234">
        <w:rPr>
          <w:rFonts w:eastAsia="Symbol"/>
        </w:rPr>
        <w:tab/>
      </w:r>
      <w:r w:rsidR="009B4B8E" w:rsidRPr="00330234">
        <w:t>zweren in de mond, maagpijn</w:t>
      </w:r>
    </w:p>
    <w:p w14:paraId="186952D3" w14:textId="3E63DA3D" w:rsidR="00436DAA" w:rsidRPr="00330234" w:rsidRDefault="005328BF" w:rsidP="0089715D">
      <w:pPr>
        <w:pStyle w:val="bullet"/>
      </w:pPr>
      <w:r w:rsidRPr="00330234">
        <w:rPr>
          <w:rFonts w:eastAsia="Symbol"/>
        </w:rPr>
        <w:tab/>
      </w:r>
      <w:r w:rsidR="009B4B8E" w:rsidRPr="00330234">
        <w:t>het vasthouden van vocht (oedeem) in de onderbenen, gewichtstoename</w:t>
      </w:r>
    </w:p>
    <w:p w14:paraId="1B9B20A0" w14:textId="17B83279" w:rsidR="00436DAA" w:rsidRPr="00330234" w:rsidRDefault="005328BF" w:rsidP="0089715D">
      <w:pPr>
        <w:pStyle w:val="bullet"/>
      </w:pPr>
      <w:r w:rsidRPr="00330234">
        <w:rPr>
          <w:rFonts w:eastAsia="Symbol"/>
        </w:rPr>
        <w:tab/>
      </w:r>
      <w:r w:rsidR="009B4B8E" w:rsidRPr="00330234">
        <w:t>hoesten, kortademigheid</w:t>
      </w:r>
    </w:p>
    <w:p w14:paraId="293F67E7" w14:textId="10751D68" w:rsidR="00436DAA" w:rsidRPr="00330234" w:rsidRDefault="005328BF" w:rsidP="0089715D">
      <w:pPr>
        <w:pStyle w:val="bullet"/>
      </w:pPr>
      <w:r w:rsidRPr="00330234">
        <w:rPr>
          <w:rFonts w:eastAsia="Symbol"/>
        </w:rPr>
        <w:tab/>
      </w:r>
      <w:r w:rsidR="009B4B8E" w:rsidRPr="00330234">
        <w:t>verlaagd aantal witte bloedcellen bij bloedonderzoek (neutropenie, leukopenie)</w:t>
      </w:r>
    </w:p>
    <w:p w14:paraId="0081D13A" w14:textId="77F5E343" w:rsidR="00436DAA" w:rsidRPr="00330234" w:rsidRDefault="005328BF" w:rsidP="0089715D">
      <w:pPr>
        <w:pStyle w:val="bullet"/>
      </w:pPr>
      <w:r w:rsidRPr="00330234">
        <w:rPr>
          <w:rFonts w:eastAsia="Symbol"/>
        </w:rPr>
        <w:tab/>
      </w:r>
      <w:r w:rsidR="009B4B8E" w:rsidRPr="00330234">
        <w:t>afwijkende leverfunctietesten (verhoogde transaminasen)</w:t>
      </w:r>
    </w:p>
    <w:p w14:paraId="0F445C6A" w14:textId="2F1C824B" w:rsidR="00436DAA" w:rsidRPr="00330234" w:rsidRDefault="005328BF" w:rsidP="0089715D">
      <w:pPr>
        <w:pStyle w:val="bullet"/>
      </w:pPr>
      <w:r w:rsidRPr="00330234">
        <w:rPr>
          <w:rFonts w:eastAsia="Symbol"/>
        </w:rPr>
        <w:tab/>
      </w:r>
      <w:r w:rsidR="009B4B8E" w:rsidRPr="00330234">
        <w:t>verhoogd bilirubine, vastgesteld bij bloedonderzoek</w:t>
      </w:r>
    </w:p>
    <w:p w14:paraId="4C9A06C8" w14:textId="73BF41F2" w:rsidR="00436DAA" w:rsidRPr="00330234" w:rsidRDefault="005328BF" w:rsidP="0089715D">
      <w:pPr>
        <w:pStyle w:val="bullet"/>
      </w:pPr>
      <w:r w:rsidRPr="00330234">
        <w:rPr>
          <w:rFonts w:eastAsia="Symbol"/>
        </w:rPr>
        <w:tab/>
      </w:r>
      <w:r w:rsidR="009B4B8E" w:rsidRPr="00330234">
        <w:t>verlaagde hoeveelheid fibrinogeen (een eiwit dat bij de bloedstolling betrokken is) in het bloed</w:t>
      </w:r>
    </w:p>
    <w:p w14:paraId="4C02F571" w14:textId="77777777" w:rsidR="00436DAA" w:rsidRPr="00330234" w:rsidRDefault="00436DAA" w:rsidP="00BD109B">
      <w:pPr>
        <w:pStyle w:val="a3"/>
        <w:widowControl/>
        <w:ind w:left="0"/>
      </w:pPr>
    </w:p>
    <w:p w14:paraId="288EDCD9" w14:textId="77777777" w:rsidR="00436DAA" w:rsidRPr="004A769F" w:rsidRDefault="009B4B8E" w:rsidP="004A769F">
      <w:pPr>
        <w:rPr>
          <w:b/>
          <w:bCs/>
        </w:rPr>
      </w:pPr>
      <w:r w:rsidRPr="004A769F">
        <w:rPr>
          <w:b/>
          <w:bCs/>
        </w:rPr>
        <w:t>Soms voorkomende bijwerkingen:</w:t>
      </w:r>
    </w:p>
    <w:p w14:paraId="0BBB40C9" w14:textId="77777777" w:rsidR="00436DAA" w:rsidRPr="00330234" w:rsidRDefault="009B4B8E" w:rsidP="00BD109B">
      <w:pPr>
        <w:widowControl/>
        <w:rPr>
          <w:i/>
        </w:rPr>
      </w:pPr>
      <w:r w:rsidRPr="00330234">
        <w:rPr>
          <w:i/>
        </w:rPr>
        <w:t>Deze kunnen voorkomen bij minder dan 1 op de 100 gebruikers</w:t>
      </w:r>
    </w:p>
    <w:p w14:paraId="29B10B3B" w14:textId="571DC0DA" w:rsidR="00436DAA" w:rsidRPr="00330234" w:rsidRDefault="005328BF" w:rsidP="0089715D">
      <w:pPr>
        <w:pStyle w:val="bullet"/>
      </w:pPr>
      <w:r w:rsidRPr="00330234">
        <w:rPr>
          <w:rFonts w:eastAsia="Symbol"/>
        </w:rPr>
        <w:tab/>
      </w:r>
      <w:r w:rsidR="009B4B8E" w:rsidRPr="00330234">
        <w:t>infectie van de darmuitstulpingen (diverticulitis; koorts, misselijkheid, diarree, verstopping, buikpijn)</w:t>
      </w:r>
    </w:p>
    <w:p w14:paraId="0808905B" w14:textId="4BD78BD8" w:rsidR="00436DAA" w:rsidRPr="00330234" w:rsidRDefault="005328BF" w:rsidP="0089715D">
      <w:pPr>
        <w:pStyle w:val="bullet"/>
      </w:pPr>
      <w:r w:rsidRPr="00330234">
        <w:rPr>
          <w:rFonts w:eastAsia="Symbol"/>
        </w:rPr>
        <w:tab/>
      </w:r>
      <w:r w:rsidR="009B4B8E" w:rsidRPr="00330234">
        <w:t>rode opgezwollen plekken in de mond</w:t>
      </w:r>
    </w:p>
    <w:p w14:paraId="4B96B632" w14:textId="271CBFA0" w:rsidR="00436DAA" w:rsidRPr="00330234" w:rsidRDefault="005328BF" w:rsidP="0089715D">
      <w:pPr>
        <w:pStyle w:val="bullet"/>
      </w:pPr>
      <w:r w:rsidRPr="00330234">
        <w:rPr>
          <w:rFonts w:eastAsia="Symbol"/>
        </w:rPr>
        <w:tab/>
      </w:r>
      <w:r w:rsidR="009B4B8E" w:rsidRPr="00330234">
        <w:t>hoog vetgehalte in het bloed (triglyceridespiegels)</w:t>
      </w:r>
    </w:p>
    <w:p w14:paraId="6FD86C69" w14:textId="14F03505" w:rsidR="00436DAA" w:rsidRPr="00330234" w:rsidRDefault="005328BF" w:rsidP="0089715D">
      <w:pPr>
        <w:pStyle w:val="bullet"/>
      </w:pPr>
      <w:r w:rsidRPr="00330234">
        <w:rPr>
          <w:rFonts w:eastAsia="Symbol"/>
        </w:rPr>
        <w:tab/>
      </w:r>
      <w:r w:rsidR="009B4B8E" w:rsidRPr="00330234">
        <w:t>maagzweer</w:t>
      </w:r>
    </w:p>
    <w:p w14:paraId="5CC3E696" w14:textId="5E2EB6C3" w:rsidR="00436DAA" w:rsidRPr="00330234" w:rsidRDefault="005328BF" w:rsidP="0089715D">
      <w:pPr>
        <w:pStyle w:val="bullet"/>
      </w:pPr>
      <w:r w:rsidRPr="00330234">
        <w:rPr>
          <w:rFonts w:eastAsia="Symbol"/>
        </w:rPr>
        <w:tab/>
      </w:r>
      <w:r w:rsidR="009B4B8E" w:rsidRPr="00330234">
        <w:t>nierstenen</w:t>
      </w:r>
    </w:p>
    <w:p w14:paraId="6271FECD" w14:textId="41264EA7" w:rsidR="00436DAA" w:rsidRPr="00330234" w:rsidRDefault="005328BF" w:rsidP="0089715D">
      <w:pPr>
        <w:pStyle w:val="bullet"/>
      </w:pPr>
      <w:r w:rsidRPr="00330234">
        <w:rPr>
          <w:rFonts w:eastAsia="Symbol"/>
        </w:rPr>
        <w:tab/>
      </w:r>
      <w:r w:rsidR="009B4B8E" w:rsidRPr="00330234">
        <w:t>traagwerkende schildklier</w:t>
      </w:r>
    </w:p>
    <w:p w14:paraId="4A48F768" w14:textId="77777777" w:rsidR="00436DAA" w:rsidRPr="00330234" w:rsidRDefault="00436DAA" w:rsidP="00BD109B">
      <w:pPr>
        <w:pStyle w:val="a3"/>
        <w:widowControl/>
        <w:ind w:left="0"/>
      </w:pPr>
    </w:p>
    <w:p w14:paraId="6C483110" w14:textId="77777777" w:rsidR="00436DAA" w:rsidRPr="004A769F" w:rsidRDefault="009B4B8E" w:rsidP="004A769F">
      <w:pPr>
        <w:rPr>
          <w:b/>
          <w:bCs/>
        </w:rPr>
      </w:pPr>
      <w:r w:rsidRPr="004A769F">
        <w:rPr>
          <w:b/>
          <w:bCs/>
        </w:rPr>
        <w:t>Zelden voorkomende bijwerkingen:</w:t>
      </w:r>
    </w:p>
    <w:p w14:paraId="288F1C50" w14:textId="77777777" w:rsidR="00436DAA" w:rsidRPr="00330234" w:rsidRDefault="009B4B8E" w:rsidP="00BD109B">
      <w:pPr>
        <w:widowControl/>
        <w:rPr>
          <w:i/>
        </w:rPr>
      </w:pPr>
      <w:r w:rsidRPr="00330234">
        <w:rPr>
          <w:i/>
        </w:rPr>
        <w:t>Deze kunnen voorkomen bij minder dan 1 op de 1.000 gebruikers</w:t>
      </w:r>
    </w:p>
    <w:p w14:paraId="153DF950" w14:textId="44E8F0AF" w:rsidR="00436DAA" w:rsidRPr="00330234" w:rsidRDefault="005328BF" w:rsidP="0089715D">
      <w:pPr>
        <w:pStyle w:val="bullet"/>
      </w:pPr>
      <w:r w:rsidRPr="00330234">
        <w:rPr>
          <w:rFonts w:eastAsia="Symbol"/>
        </w:rPr>
        <w:tab/>
      </w:r>
      <w:r w:rsidR="009B4B8E" w:rsidRPr="00330234">
        <w:t>stevens-johnsonsyndroom (huiduitslag, wat kan leiden tot ernstige blaarvorming en vervelling van de huid)</w:t>
      </w:r>
    </w:p>
    <w:p w14:paraId="05923A26" w14:textId="37663BC5" w:rsidR="00436DAA" w:rsidRPr="00330234" w:rsidRDefault="005328BF" w:rsidP="0089715D">
      <w:pPr>
        <w:pStyle w:val="bullet"/>
      </w:pPr>
      <w:r w:rsidRPr="00330234">
        <w:rPr>
          <w:rFonts w:eastAsia="Symbol"/>
        </w:rPr>
        <w:tab/>
      </w:r>
      <w:r w:rsidR="009B4B8E" w:rsidRPr="00330234">
        <w:t>fatale anafylaxie (fatale heftige reactie door uw lichaam door een erge allergie)</w:t>
      </w:r>
    </w:p>
    <w:p w14:paraId="55CD6D3D" w14:textId="680FD85E" w:rsidR="00436DAA" w:rsidRPr="00330234" w:rsidRDefault="005328BF" w:rsidP="0089715D">
      <w:pPr>
        <w:pStyle w:val="bullet"/>
      </w:pPr>
      <w:r w:rsidRPr="00330234">
        <w:rPr>
          <w:rFonts w:eastAsia="Symbol"/>
        </w:rPr>
        <w:tab/>
      </w:r>
      <w:r w:rsidR="009B4B8E" w:rsidRPr="00330234">
        <w:t>leverontsteking (hepatitis), geelzucht</w:t>
      </w:r>
    </w:p>
    <w:p w14:paraId="44E4A828" w14:textId="77777777" w:rsidR="00436DAA" w:rsidRPr="00330234" w:rsidRDefault="00436DAA" w:rsidP="00BD109B">
      <w:pPr>
        <w:pStyle w:val="a3"/>
        <w:widowControl/>
        <w:ind w:left="0"/>
      </w:pPr>
    </w:p>
    <w:p w14:paraId="1313EF0F" w14:textId="77777777" w:rsidR="00436DAA" w:rsidRPr="004A769F" w:rsidRDefault="009B4B8E" w:rsidP="004A769F">
      <w:pPr>
        <w:rPr>
          <w:b/>
          <w:bCs/>
        </w:rPr>
      </w:pPr>
      <w:r w:rsidRPr="004A769F">
        <w:rPr>
          <w:b/>
          <w:bCs/>
        </w:rPr>
        <w:t>Zeer zelden voorkomende bijwerkingen:</w:t>
      </w:r>
    </w:p>
    <w:p w14:paraId="7EC6D4D5" w14:textId="77777777" w:rsidR="00436DAA" w:rsidRPr="00330234" w:rsidRDefault="009B4B8E" w:rsidP="00BD109B">
      <w:pPr>
        <w:widowControl/>
        <w:rPr>
          <w:i/>
        </w:rPr>
      </w:pPr>
      <w:r w:rsidRPr="00330234">
        <w:rPr>
          <w:i/>
        </w:rPr>
        <w:t>Deze kunnen voorkomen bij minder dan 1 op de 10.000 gebruikers</w:t>
      </w:r>
    </w:p>
    <w:p w14:paraId="2CDFED09" w14:textId="3AC7BF44" w:rsidR="00436DAA" w:rsidRPr="00330234" w:rsidRDefault="005328BF" w:rsidP="0089715D">
      <w:pPr>
        <w:pStyle w:val="bullet"/>
      </w:pPr>
      <w:r w:rsidRPr="00330234">
        <w:rPr>
          <w:rFonts w:eastAsia="Symbol"/>
        </w:rPr>
        <w:tab/>
      </w:r>
      <w:r w:rsidR="009B4B8E" w:rsidRPr="00330234">
        <w:t>verlaagde waarden van witte bloedcellen, rode bloedcellen en bloedplaatjes bij bloedonderzoek</w:t>
      </w:r>
    </w:p>
    <w:p w14:paraId="25953D46" w14:textId="1C015425" w:rsidR="00436DAA" w:rsidRPr="00330234" w:rsidRDefault="005328BF" w:rsidP="0089715D">
      <w:pPr>
        <w:pStyle w:val="bullet"/>
      </w:pPr>
      <w:r w:rsidRPr="00330234">
        <w:rPr>
          <w:rFonts w:eastAsia="Symbol"/>
        </w:rPr>
        <w:tab/>
      </w:r>
      <w:r w:rsidR="009B4B8E" w:rsidRPr="00330234">
        <w:t>leverfalen</w:t>
      </w:r>
    </w:p>
    <w:p w14:paraId="695C7973" w14:textId="77777777" w:rsidR="00436DAA" w:rsidRPr="00330234" w:rsidRDefault="00436DAA" w:rsidP="00BD109B">
      <w:pPr>
        <w:pStyle w:val="a3"/>
        <w:widowControl/>
        <w:ind w:left="0"/>
      </w:pPr>
    </w:p>
    <w:p w14:paraId="1BAC1482" w14:textId="77777777" w:rsidR="00436DAA" w:rsidRPr="004A769F" w:rsidRDefault="009B4B8E" w:rsidP="004A769F">
      <w:pPr>
        <w:rPr>
          <w:b/>
          <w:bCs/>
        </w:rPr>
      </w:pPr>
      <w:r w:rsidRPr="004A769F">
        <w:rPr>
          <w:b/>
          <w:bCs/>
        </w:rPr>
        <w:t>Het melden van bijwerkingen</w:t>
      </w:r>
    </w:p>
    <w:p w14:paraId="339B9000" w14:textId="13A24BA5" w:rsidR="00436DAA" w:rsidRPr="00330234" w:rsidRDefault="009B4B8E" w:rsidP="00BD109B">
      <w:pPr>
        <w:pStyle w:val="a3"/>
        <w:widowControl/>
        <w:ind w:left="0"/>
      </w:pPr>
      <w:r w:rsidRPr="00330234">
        <w:t xml:space="preserve">Krijgt u last van bijwerkingen, neem dan contact op met uw arts, apotheker of verpleegkundige. Dit geldt ook voor mogelijke bijwerkingen die niet in deze bijsluiter staan. U kunt bijwerkingen ook rechtstreeks melden via </w:t>
      </w:r>
      <w:r w:rsidRPr="00330234">
        <w:rPr>
          <w:color w:val="000000"/>
          <w:shd w:val="pct35" w:color="auto" w:fill="auto"/>
        </w:rPr>
        <w:t xml:space="preserve">het nationale meldsysteem zoals vermeld in </w:t>
      </w:r>
      <w:hyperlink r:id="rId21">
        <w:r w:rsidRPr="00330234">
          <w:rPr>
            <w:color w:val="0000FF"/>
            <w:u w:val="single" w:color="0000FF"/>
            <w:shd w:val="pct35" w:color="auto" w:fill="auto"/>
          </w:rPr>
          <w:t>aanhangsel V</w:t>
        </w:r>
        <w:r w:rsidR="005B3219" w:rsidRPr="00330234">
          <w:rPr>
            <w:color w:val="000000"/>
          </w:rPr>
          <w:t>.</w:t>
        </w:r>
      </w:hyperlink>
      <w:r w:rsidRPr="00330234">
        <w:rPr>
          <w:color w:val="000000"/>
        </w:rPr>
        <w:t xml:space="preserve"> Door bijwerkingen te melden, kunt u ons helpen meer informatie te verkrijgen over de veiligheid van dit geneesmiddel.</w:t>
      </w:r>
    </w:p>
    <w:p w14:paraId="71F0227E" w14:textId="77777777" w:rsidR="00436DAA" w:rsidRPr="00330234" w:rsidRDefault="00436DAA" w:rsidP="00BD109B">
      <w:pPr>
        <w:pStyle w:val="a3"/>
        <w:widowControl/>
        <w:ind w:left="0"/>
      </w:pPr>
    </w:p>
    <w:p w14:paraId="24683B74" w14:textId="77777777" w:rsidR="00436DAA" w:rsidRPr="004A769F" w:rsidRDefault="009B4B8E" w:rsidP="004A769F">
      <w:pPr>
        <w:rPr>
          <w:b/>
          <w:bCs/>
        </w:rPr>
      </w:pPr>
      <w:r w:rsidRPr="004A769F">
        <w:rPr>
          <w:b/>
          <w:bCs/>
        </w:rPr>
        <w:t>Kinderen met sJIA</w:t>
      </w:r>
    </w:p>
    <w:p w14:paraId="4DBD9866" w14:textId="77777777" w:rsidR="00436DAA" w:rsidRPr="00330234" w:rsidRDefault="009B4B8E" w:rsidP="00BD109B">
      <w:pPr>
        <w:pStyle w:val="a3"/>
        <w:widowControl/>
        <w:ind w:left="0"/>
      </w:pPr>
      <w:r w:rsidRPr="00330234">
        <w:t>Over het algemeen waren de bijwerkingen bij sJIA-patiënten vergelijkbaar met de bijwerkingen die gezien werden bij volwassenen met RA. Sommige bijwerkingen werden vaker gezien: ontsteking van de neus en keel, diarree, een lager aantal witte bloedcellen en verhoogde leverenzymen.</w:t>
      </w:r>
    </w:p>
    <w:p w14:paraId="7D8C50ED" w14:textId="77777777" w:rsidR="00436DAA" w:rsidRPr="00330234" w:rsidRDefault="00436DAA" w:rsidP="00BD109B">
      <w:pPr>
        <w:pStyle w:val="a3"/>
        <w:widowControl/>
        <w:ind w:left="0"/>
      </w:pPr>
    </w:p>
    <w:p w14:paraId="0B098611" w14:textId="77777777" w:rsidR="00436DAA" w:rsidRPr="004A769F" w:rsidRDefault="009B4B8E" w:rsidP="004A769F">
      <w:pPr>
        <w:rPr>
          <w:b/>
          <w:bCs/>
        </w:rPr>
      </w:pPr>
      <w:r w:rsidRPr="004A769F">
        <w:rPr>
          <w:b/>
          <w:bCs/>
        </w:rPr>
        <w:t>Kinderen met pJIA</w:t>
      </w:r>
    </w:p>
    <w:p w14:paraId="0768F84C" w14:textId="77777777" w:rsidR="00436DAA" w:rsidRPr="00330234" w:rsidRDefault="009B4B8E" w:rsidP="00BD109B">
      <w:pPr>
        <w:pStyle w:val="a3"/>
        <w:widowControl/>
        <w:ind w:left="0"/>
      </w:pPr>
      <w:r w:rsidRPr="00330234">
        <w:t>Over het algemeen waren de bijwerkingen bij pJIA-patiënten vergelijkbaar met de bijwerkingen die gezien werden bij volwassenen met RA. Sommige bijwerkingen werden vaker gezien: ontsteking van de neus en keel, hoofdpijn, misselijkheid en een lager aantal witte bloedcellen.</w:t>
      </w:r>
    </w:p>
    <w:p w14:paraId="13BCAD57" w14:textId="77777777" w:rsidR="00436DAA" w:rsidRPr="00330234" w:rsidRDefault="00436DAA" w:rsidP="00BD109B">
      <w:pPr>
        <w:widowControl/>
      </w:pPr>
    </w:p>
    <w:p w14:paraId="23689466" w14:textId="77777777" w:rsidR="0089715D" w:rsidRPr="00330234" w:rsidRDefault="0089715D" w:rsidP="00BD109B">
      <w:pPr>
        <w:widowControl/>
      </w:pPr>
    </w:p>
    <w:p w14:paraId="5C532C78" w14:textId="725D3541" w:rsidR="00436DAA" w:rsidRPr="00330234" w:rsidRDefault="005328BF" w:rsidP="0089715D">
      <w:pPr>
        <w:pStyle w:val="2"/>
        <w:keepNext/>
        <w:keepLines/>
      </w:pPr>
      <w:r w:rsidRPr="00330234">
        <w:lastRenderedPageBreak/>
        <w:t>5.</w:t>
      </w:r>
      <w:r w:rsidRPr="00330234">
        <w:tab/>
      </w:r>
      <w:r w:rsidR="009B4B8E" w:rsidRPr="00330234">
        <w:t>Hoe bewaart u dit middel?</w:t>
      </w:r>
    </w:p>
    <w:p w14:paraId="0B6FC36F" w14:textId="77777777" w:rsidR="0089715D" w:rsidRPr="00330234" w:rsidRDefault="0089715D" w:rsidP="0089715D">
      <w:pPr>
        <w:pStyle w:val="a3"/>
        <w:keepNext/>
        <w:keepLines/>
        <w:widowControl/>
        <w:ind w:left="0"/>
      </w:pPr>
    </w:p>
    <w:p w14:paraId="7DDDD4A7" w14:textId="7E11C998" w:rsidR="00436DAA" w:rsidRPr="00330234" w:rsidRDefault="009B4B8E" w:rsidP="0089715D">
      <w:pPr>
        <w:pStyle w:val="a3"/>
        <w:keepNext/>
        <w:keepLines/>
        <w:widowControl/>
        <w:ind w:left="0"/>
      </w:pPr>
      <w:r w:rsidRPr="00330234">
        <w:t>Buiten het zicht en bereik van kinderen houden.</w:t>
      </w:r>
    </w:p>
    <w:p w14:paraId="4233FB6F" w14:textId="77777777" w:rsidR="00436DAA" w:rsidRPr="00330234" w:rsidRDefault="00436DAA" w:rsidP="0089715D">
      <w:pPr>
        <w:pStyle w:val="a3"/>
        <w:keepNext/>
        <w:keepLines/>
        <w:widowControl/>
        <w:ind w:left="0"/>
      </w:pPr>
    </w:p>
    <w:p w14:paraId="5F41B966" w14:textId="6ACB35C6" w:rsidR="00436DAA" w:rsidRPr="00330234" w:rsidRDefault="009B4B8E" w:rsidP="0089715D">
      <w:pPr>
        <w:pStyle w:val="a3"/>
        <w:keepNext/>
        <w:keepLines/>
        <w:widowControl/>
        <w:ind w:left="0"/>
      </w:pPr>
      <w:r w:rsidRPr="00330234">
        <w:t>Gebruik dit geneesmiddel niet meer na de uiterste houdbaarheidsdatum. Die vindt u op de verpakking. Daar staat een maand en een jaar. De laatste dag van die maand is de uiterste houdbaarheidsdatum.</w:t>
      </w:r>
    </w:p>
    <w:p w14:paraId="7772635B" w14:textId="77777777" w:rsidR="00436DAA" w:rsidRPr="00330234" w:rsidRDefault="00436DAA" w:rsidP="00BD109B">
      <w:pPr>
        <w:pStyle w:val="a3"/>
        <w:widowControl/>
        <w:ind w:left="0"/>
      </w:pPr>
    </w:p>
    <w:p w14:paraId="7A5A8A13" w14:textId="77777777" w:rsidR="00436DAA" w:rsidRPr="00330234" w:rsidRDefault="009B4B8E" w:rsidP="00BD109B">
      <w:pPr>
        <w:pStyle w:val="a3"/>
        <w:widowControl/>
        <w:ind w:left="0"/>
      </w:pPr>
      <w:r w:rsidRPr="00330234">
        <w:t>Bewaren in de koelkast (2°C - 8°C). Niet invriezen.</w:t>
      </w:r>
    </w:p>
    <w:p w14:paraId="7E6FEA04" w14:textId="77777777" w:rsidR="00436DAA" w:rsidRPr="00330234" w:rsidRDefault="00436DAA" w:rsidP="00BD109B">
      <w:pPr>
        <w:pStyle w:val="a3"/>
        <w:widowControl/>
        <w:ind w:left="0"/>
      </w:pPr>
    </w:p>
    <w:p w14:paraId="2671AA0B" w14:textId="77777777" w:rsidR="00436DAA" w:rsidRPr="00330234" w:rsidRDefault="009B4B8E" w:rsidP="00BD109B">
      <w:pPr>
        <w:pStyle w:val="a3"/>
        <w:widowControl/>
        <w:ind w:left="0"/>
      </w:pPr>
      <w:r w:rsidRPr="00330234">
        <w:t>Het geneesmiddel in de buitenverpakking bewaren ter bescherming tegen licht.</w:t>
      </w:r>
    </w:p>
    <w:p w14:paraId="70E45769" w14:textId="0CB39C52" w:rsidR="0099681E" w:rsidRPr="00330234" w:rsidRDefault="006D1A65" w:rsidP="00BD109B">
      <w:pPr>
        <w:pStyle w:val="a3"/>
        <w:widowControl/>
        <w:ind w:left="0"/>
      </w:pPr>
      <w:r w:rsidRPr="00330234">
        <w:t>Indien nodig kan de verdunde infusieoplossing met 0,9% natriumchloride</w:t>
      </w:r>
      <w:r w:rsidR="008C5F16" w:rsidRPr="00330234">
        <w:t xml:space="preserve"> voor injectie</w:t>
      </w:r>
      <w:r w:rsidRPr="00330234">
        <w:t xml:space="preserve"> of 0,45% natriumchloride </w:t>
      </w:r>
      <w:r w:rsidR="008C5F16" w:rsidRPr="00330234">
        <w:t xml:space="preserve">voor injectie </w:t>
      </w:r>
      <w:r w:rsidRPr="00330234">
        <w:t>gedurende maximaal 1 maand in de koelkast worden bewaard of maximaal 48 uur bij kamertemperatuur tot 30°C.</w:t>
      </w:r>
    </w:p>
    <w:p w14:paraId="44B893FE" w14:textId="77777777" w:rsidR="006D1A65" w:rsidRPr="00330234" w:rsidRDefault="006D1A65" w:rsidP="00BD109B">
      <w:pPr>
        <w:pStyle w:val="a3"/>
        <w:widowControl/>
        <w:ind w:left="0"/>
      </w:pPr>
    </w:p>
    <w:p w14:paraId="7CE8A2B7" w14:textId="6352416D" w:rsidR="006D1A65" w:rsidRPr="00330234" w:rsidRDefault="006D1A65" w:rsidP="00BD109B">
      <w:pPr>
        <w:pStyle w:val="a3"/>
        <w:widowControl/>
        <w:ind w:left="0"/>
      </w:pPr>
      <w:r w:rsidRPr="00330234">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719534F2" w14:textId="77777777" w:rsidR="00436DAA" w:rsidRPr="00330234" w:rsidRDefault="00436DAA" w:rsidP="00BD109B">
      <w:pPr>
        <w:pStyle w:val="a3"/>
        <w:widowControl/>
        <w:ind w:left="0"/>
      </w:pPr>
    </w:p>
    <w:p w14:paraId="40CA6B00" w14:textId="77777777" w:rsidR="0089715D" w:rsidRPr="00330234" w:rsidRDefault="0089715D" w:rsidP="00BD109B">
      <w:pPr>
        <w:pStyle w:val="a3"/>
        <w:widowControl/>
        <w:ind w:left="0"/>
      </w:pPr>
    </w:p>
    <w:p w14:paraId="4AAA94D9" w14:textId="77777777" w:rsidR="0089715D" w:rsidRPr="00330234" w:rsidRDefault="005328BF" w:rsidP="00BD109B">
      <w:pPr>
        <w:pStyle w:val="2"/>
      </w:pPr>
      <w:r w:rsidRPr="00330234">
        <w:t>6.</w:t>
      </w:r>
      <w:r w:rsidRPr="00330234">
        <w:tab/>
      </w:r>
      <w:r w:rsidR="009B4B8E" w:rsidRPr="00330234">
        <w:t>Inhoud van de verpakking en overige informatie</w:t>
      </w:r>
    </w:p>
    <w:p w14:paraId="30CAFD8A" w14:textId="77777777" w:rsidR="0089715D" w:rsidRPr="00330234" w:rsidRDefault="0089715D" w:rsidP="000571FE">
      <w:pPr>
        <w:rPr>
          <w:b/>
          <w:bCs/>
        </w:rPr>
      </w:pPr>
    </w:p>
    <w:p w14:paraId="041D16A9" w14:textId="0D1D1C15" w:rsidR="00436DAA" w:rsidRPr="004A769F" w:rsidRDefault="009B4B8E" w:rsidP="004A769F">
      <w:pPr>
        <w:rPr>
          <w:b/>
          <w:bCs/>
        </w:rPr>
      </w:pPr>
      <w:r w:rsidRPr="004A769F">
        <w:rPr>
          <w:b/>
          <w:bCs/>
        </w:rPr>
        <w:t>Welke stoffen zitten er in dit middel?</w:t>
      </w:r>
    </w:p>
    <w:p w14:paraId="6AFB16DA" w14:textId="233A8EFF" w:rsidR="00436DAA" w:rsidRPr="00330234" w:rsidRDefault="005328BF" w:rsidP="0089715D">
      <w:pPr>
        <w:pStyle w:val="bullet"/>
      </w:pPr>
      <w:r w:rsidRPr="00330234">
        <w:rPr>
          <w:rFonts w:eastAsia="Symbol"/>
        </w:rPr>
        <w:tab/>
      </w:r>
      <w:r w:rsidR="009B4B8E" w:rsidRPr="00330234">
        <w:t>De werkzame stof in dit middel is tocilizumab.</w:t>
      </w:r>
    </w:p>
    <w:p w14:paraId="2EE56959" w14:textId="77777777" w:rsidR="0089715D" w:rsidRPr="00330234" w:rsidRDefault="009B4B8E" w:rsidP="0089715D">
      <w:pPr>
        <w:ind w:left="567"/>
      </w:pPr>
      <w:r w:rsidRPr="00330234">
        <w:t>Elke 4 ml injectieflacon bevat 80 mg tocilizumab (20 mg/ml).</w:t>
      </w:r>
    </w:p>
    <w:p w14:paraId="6B5F032F" w14:textId="77777777" w:rsidR="0089715D" w:rsidRPr="00330234" w:rsidRDefault="009B4B8E" w:rsidP="0089715D">
      <w:pPr>
        <w:ind w:left="567"/>
      </w:pPr>
      <w:r w:rsidRPr="00330234">
        <w:t>Elke 10 ml injectieflacon bevat 200 mg tocilizumab (20 mg/ml).</w:t>
      </w:r>
    </w:p>
    <w:p w14:paraId="3DA891A5" w14:textId="5E472B8F" w:rsidR="00436DAA" w:rsidRDefault="009B4B8E" w:rsidP="0089715D">
      <w:pPr>
        <w:ind w:left="567"/>
        <w:rPr>
          <w:rFonts w:eastAsia="맑은 고딕"/>
          <w:lang w:eastAsia="ko-KR"/>
        </w:rPr>
      </w:pPr>
      <w:r w:rsidRPr="00330234">
        <w:t>Elke 20 ml injectieflacon bevat 400 mg tocilizumab (20 mg/ml).</w:t>
      </w:r>
    </w:p>
    <w:p w14:paraId="66A8A5B2" w14:textId="77777777" w:rsidR="00F00A3B" w:rsidRPr="00F00A3B" w:rsidRDefault="00F00A3B" w:rsidP="0089715D">
      <w:pPr>
        <w:ind w:left="567"/>
        <w:rPr>
          <w:rFonts w:eastAsia="맑은 고딕"/>
          <w:lang w:eastAsia="ko-KR"/>
        </w:rPr>
      </w:pPr>
    </w:p>
    <w:p w14:paraId="06E848E0" w14:textId="7A5B711F" w:rsidR="00436DAA" w:rsidRPr="00330234" w:rsidRDefault="005328BF" w:rsidP="0089715D">
      <w:pPr>
        <w:pStyle w:val="bullet"/>
      </w:pPr>
      <w:r w:rsidRPr="00330234">
        <w:rPr>
          <w:rFonts w:eastAsia="Symbol"/>
        </w:rPr>
        <w:tab/>
      </w:r>
      <w:r w:rsidR="009B4B8E" w:rsidRPr="00330234">
        <w:t xml:space="preserve">De andere stoffen (hulpstoffen) in dit middel zijn </w:t>
      </w:r>
      <w:r w:rsidR="006D1A65" w:rsidRPr="00330234">
        <w:rPr>
          <w:rFonts w:hint="eastAsia"/>
        </w:rPr>
        <w:t>L</w:t>
      </w:r>
      <w:r w:rsidR="006D1A65" w:rsidRPr="00330234">
        <w:noBreakHyphen/>
        <w:t>histidine,</w:t>
      </w:r>
      <w:r w:rsidR="0065408F">
        <w:rPr>
          <w:rFonts w:eastAsia="맑은 고딕" w:hint="eastAsia"/>
          <w:lang w:eastAsia="ko-KR"/>
        </w:rPr>
        <w:t xml:space="preserve"> </w:t>
      </w:r>
      <w:r w:rsidR="0065408F" w:rsidRPr="0065408F">
        <w:rPr>
          <w:rFonts w:eastAsia="맑은 고딕" w:hint="eastAsia"/>
          <w:lang w:eastAsia="ko-KR"/>
        </w:rPr>
        <w:t>L-histidine monohydrochloride monohydraat</w:t>
      </w:r>
      <w:r w:rsidR="0065408F">
        <w:rPr>
          <w:rFonts w:eastAsia="맑은 고딕" w:hint="eastAsia"/>
          <w:lang w:eastAsia="ko-KR"/>
        </w:rPr>
        <w:t>,</w:t>
      </w:r>
      <w:r w:rsidR="006D1A65" w:rsidRPr="00330234">
        <w:t xml:space="preserve"> </w:t>
      </w:r>
      <w:r w:rsidR="006D1A65" w:rsidRPr="00330234">
        <w:rPr>
          <w:rFonts w:hint="eastAsia"/>
        </w:rPr>
        <w:t>L</w:t>
      </w:r>
      <w:r w:rsidR="006D1A65" w:rsidRPr="00330234">
        <w:noBreakHyphen/>
        <w:t xml:space="preserve">threonine, </w:t>
      </w:r>
      <w:r w:rsidR="006D1A65" w:rsidRPr="00330234">
        <w:rPr>
          <w:rFonts w:hint="eastAsia"/>
        </w:rPr>
        <w:t>L</w:t>
      </w:r>
      <w:r w:rsidR="006D1A65" w:rsidRPr="00330234">
        <w:noBreakHyphen/>
        <w:t>methionine</w:t>
      </w:r>
      <w:r w:rsidR="009B4B8E" w:rsidRPr="00330234">
        <w:t>, polysorbaat 80 en water voor injecties.</w:t>
      </w:r>
    </w:p>
    <w:p w14:paraId="18407C5D" w14:textId="77777777" w:rsidR="00436DAA" w:rsidRPr="00330234" w:rsidRDefault="00436DAA" w:rsidP="00BD109B">
      <w:pPr>
        <w:pStyle w:val="a3"/>
        <w:widowControl/>
        <w:ind w:left="0"/>
      </w:pPr>
    </w:p>
    <w:p w14:paraId="7CEFBE18" w14:textId="08767EA0" w:rsidR="00436DAA" w:rsidRPr="004A769F" w:rsidRDefault="009B4B8E" w:rsidP="004A769F">
      <w:pPr>
        <w:rPr>
          <w:b/>
          <w:bCs/>
        </w:rPr>
      </w:pPr>
      <w:r w:rsidRPr="004A769F">
        <w:rPr>
          <w:b/>
          <w:bCs/>
        </w:rPr>
        <w:t xml:space="preserve">Hoe ziet </w:t>
      </w:r>
      <w:r w:rsidR="00DB22D7" w:rsidRPr="004A769F">
        <w:rPr>
          <w:b/>
          <w:bCs/>
        </w:rPr>
        <w:t>Avtozma</w:t>
      </w:r>
      <w:r w:rsidRPr="004A769F">
        <w:rPr>
          <w:b/>
          <w:bCs/>
        </w:rPr>
        <w:t xml:space="preserve"> eruit en hoeveel zit er in een verpakking?</w:t>
      </w:r>
    </w:p>
    <w:p w14:paraId="145C9568" w14:textId="0C08630D" w:rsidR="00436DAA" w:rsidRPr="00330234" w:rsidRDefault="00DB22D7" w:rsidP="00BD109B">
      <w:pPr>
        <w:pStyle w:val="a3"/>
        <w:widowControl/>
        <w:ind w:left="0"/>
      </w:pPr>
      <w:r w:rsidRPr="00330234">
        <w:t>Avtozma</w:t>
      </w:r>
      <w:r w:rsidR="009B4B8E" w:rsidRPr="00330234">
        <w:t xml:space="preserve"> is een concentraat voor oplossing voor infusie. Het concentraat is een heldere tot </w:t>
      </w:r>
      <w:r w:rsidR="00B97880" w:rsidRPr="00330234">
        <w:t xml:space="preserve">enigszins </w:t>
      </w:r>
      <w:r w:rsidR="009B4B8E" w:rsidRPr="00330234">
        <w:t>doorschijnende, kleurloze tot lichtgele vloeistof.</w:t>
      </w:r>
    </w:p>
    <w:p w14:paraId="3EDC85D5" w14:textId="38CC9EB3" w:rsidR="00436DAA" w:rsidRPr="00330234" w:rsidRDefault="00DB22D7" w:rsidP="00BD109B">
      <w:pPr>
        <w:pStyle w:val="a3"/>
        <w:widowControl/>
        <w:ind w:left="0"/>
      </w:pPr>
      <w:r w:rsidRPr="00330234">
        <w:t>Avtozma</w:t>
      </w:r>
      <w:r w:rsidR="009B4B8E" w:rsidRPr="00330234">
        <w:t xml:space="preserve"> wordt geleverd in injectieflacons met 4 ml, 10 ml en 20 ml concentraat voor oplossing voor infusie. Verpakkingsgroottes van 1 en 4 injectieflacons. Het is mogelijk dat niet alle verpakkingsgroottes op de markt worden gebracht.</w:t>
      </w:r>
    </w:p>
    <w:p w14:paraId="2D07080F" w14:textId="77777777" w:rsidR="00436DAA" w:rsidRPr="00330234" w:rsidRDefault="00436DAA" w:rsidP="00BD109B">
      <w:pPr>
        <w:pStyle w:val="a3"/>
        <w:widowControl/>
        <w:ind w:left="0"/>
      </w:pPr>
    </w:p>
    <w:p w14:paraId="01CCEC76" w14:textId="77777777" w:rsidR="00436DAA" w:rsidRPr="004A769F" w:rsidRDefault="009B4B8E" w:rsidP="004A769F">
      <w:pPr>
        <w:rPr>
          <w:b/>
          <w:bCs/>
        </w:rPr>
      </w:pPr>
      <w:r w:rsidRPr="004A769F">
        <w:rPr>
          <w:b/>
          <w:bCs/>
        </w:rPr>
        <w:t>Houder van de vergunning voor het in de handel brengen</w:t>
      </w:r>
    </w:p>
    <w:p w14:paraId="3929C705" w14:textId="2BBAA256" w:rsidR="00B97880" w:rsidRPr="00330234" w:rsidRDefault="00B97880" w:rsidP="00B97880">
      <w:pPr>
        <w:keepNext/>
      </w:pPr>
      <w:r w:rsidRPr="00330234">
        <w:t>Celltrion Healthcare Hungary Kft.</w:t>
      </w:r>
    </w:p>
    <w:p w14:paraId="12C4EE8D" w14:textId="77777777" w:rsidR="00B97880" w:rsidRPr="00330234" w:rsidRDefault="00B97880" w:rsidP="00B97880">
      <w:pPr>
        <w:keepNext/>
      </w:pPr>
      <w:r w:rsidRPr="00330234">
        <w:t>1062 Budapest</w:t>
      </w:r>
    </w:p>
    <w:p w14:paraId="280041A2" w14:textId="77777777" w:rsidR="00B97880" w:rsidRPr="00330234" w:rsidRDefault="00B97880" w:rsidP="00B97880">
      <w:pPr>
        <w:keepNext/>
      </w:pPr>
      <w:r w:rsidRPr="00330234">
        <w:t>Váci út 1-3. WestEnd Office Building B torony</w:t>
      </w:r>
    </w:p>
    <w:p w14:paraId="2CE2B659" w14:textId="00EEE93F" w:rsidR="00B97880" w:rsidRPr="00330234" w:rsidRDefault="00B97880" w:rsidP="00B97880">
      <w:r w:rsidRPr="00330234">
        <w:t>Hongarije</w:t>
      </w:r>
    </w:p>
    <w:p w14:paraId="7B4F10AD" w14:textId="77777777" w:rsidR="00436DAA" w:rsidRPr="00330234" w:rsidRDefault="00436DAA" w:rsidP="00BD109B">
      <w:pPr>
        <w:pStyle w:val="a3"/>
        <w:widowControl/>
        <w:ind w:left="0"/>
      </w:pPr>
    </w:p>
    <w:p w14:paraId="233FB9D5" w14:textId="77777777" w:rsidR="00436DAA" w:rsidRPr="004A769F" w:rsidRDefault="009B4B8E" w:rsidP="004A769F">
      <w:pPr>
        <w:rPr>
          <w:b/>
          <w:bCs/>
        </w:rPr>
      </w:pPr>
      <w:r w:rsidRPr="004A769F">
        <w:rPr>
          <w:b/>
          <w:bCs/>
        </w:rPr>
        <w:t>Fabrikant</w:t>
      </w:r>
    </w:p>
    <w:p w14:paraId="52E84EB8" w14:textId="77777777" w:rsidR="00B97880" w:rsidRPr="00330234" w:rsidRDefault="00B97880" w:rsidP="00B97880">
      <w:pPr>
        <w:keepNext/>
      </w:pPr>
      <w:r w:rsidRPr="00330234">
        <w:t>Nuvisan France SARL</w:t>
      </w:r>
    </w:p>
    <w:p w14:paraId="3520D916" w14:textId="57DB85FD" w:rsidR="00B97880" w:rsidRPr="00330234" w:rsidRDefault="00B97880" w:rsidP="00B97880">
      <w:pPr>
        <w:keepNext/>
      </w:pPr>
      <w:r w:rsidRPr="00330234">
        <w:t>2400</w:t>
      </w:r>
      <w:del w:id="50" w:author="만든 이">
        <w:r w:rsidRPr="00330234" w:rsidDel="00D1666A">
          <w:delText>,</w:delText>
        </w:r>
      </w:del>
      <w:r w:rsidRPr="00330234">
        <w:t xml:space="preserve"> Route des Colles,</w:t>
      </w:r>
    </w:p>
    <w:p w14:paraId="4834FE94" w14:textId="4A953C1F" w:rsidR="00B97880" w:rsidRPr="00330234" w:rsidRDefault="00B97880" w:rsidP="00B97880">
      <w:pPr>
        <w:keepNext/>
      </w:pPr>
      <w:r w:rsidRPr="00330234">
        <w:t>06410</w:t>
      </w:r>
      <w:del w:id="51" w:author="만든 이">
        <w:r w:rsidRPr="00330234" w:rsidDel="00D1666A">
          <w:delText>,</w:delText>
        </w:r>
      </w:del>
      <w:r w:rsidRPr="00330234">
        <w:t xml:space="preserve"> Biot, </w:t>
      </w:r>
    </w:p>
    <w:p w14:paraId="34174896" w14:textId="40FBCEA5" w:rsidR="00B97880" w:rsidRPr="00330234" w:rsidRDefault="00B97880" w:rsidP="00B97880">
      <w:r w:rsidRPr="00330234">
        <w:t>Frankrijk</w:t>
      </w:r>
    </w:p>
    <w:p w14:paraId="7C486DA4" w14:textId="77777777" w:rsidR="00B97880" w:rsidRPr="00330234" w:rsidRDefault="00B97880" w:rsidP="00B97880"/>
    <w:p w14:paraId="01A333E7" w14:textId="77777777" w:rsidR="00B97880" w:rsidRPr="00330234" w:rsidRDefault="00B97880" w:rsidP="00B97880">
      <w:pPr>
        <w:keepNext/>
      </w:pPr>
      <w:r w:rsidRPr="00330234">
        <w:t>Midas Pharma GmbH</w:t>
      </w:r>
    </w:p>
    <w:p w14:paraId="6D0ADA31" w14:textId="712863EB" w:rsidR="00B97880" w:rsidRPr="00330234" w:rsidRDefault="00B97880" w:rsidP="00B97880">
      <w:pPr>
        <w:keepNext/>
      </w:pPr>
      <w:r w:rsidRPr="00330234">
        <w:t>Rheinstr. 49,</w:t>
      </w:r>
    </w:p>
    <w:p w14:paraId="54616942" w14:textId="77777777" w:rsidR="00B97880" w:rsidRPr="00330234" w:rsidRDefault="00B97880" w:rsidP="00B97880">
      <w:pPr>
        <w:keepNext/>
      </w:pPr>
      <w:r w:rsidRPr="00330234">
        <w:t>55218 Ingelheim,</w:t>
      </w:r>
    </w:p>
    <w:p w14:paraId="380FFE17" w14:textId="58828AA7" w:rsidR="00B97880" w:rsidRPr="00330234" w:rsidRDefault="00B97880" w:rsidP="00B97880">
      <w:r w:rsidRPr="00330234">
        <w:t>Duitsland</w:t>
      </w:r>
    </w:p>
    <w:p w14:paraId="58938E86" w14:textId="77777777" w:rsidR="00B97880" w:rsidRPr="00330234" w:rsidRDefault="00B97880" w:rsidP="00B97880"/>
    <w:p w14:paraId="2FCF802D" w14:textId="78FC2A26" w:rsidR="00B97880" w:rsidRPr="00330234" w:rsidRDefault="00B97880" w:rsidP="00B97880">
      <w:pPr>
        <w:keepNext/>
      </w:pPr>
      <w:r w:rsidRPr="00330234">
        <w:lastRenderedPageBreak/>
        <w:t>KYMOS S.L.</w:t>
      </w:r>
    </w:p>
    <w:p w14:paraId="4674FB7D" w14:textId="18EB01DB" w:rsidR="00B97880" w:rsidRPr="00330234" w:rsidRDefault="00B97880" w:rsidP="00B97880">
      <w:pPr>
        <w:keepNext/>
      </w:pPr>
      <w:r w:rsidRPr="00330234">
        <w:t>Ronda Can Fatjó, 7B.</w:t>
      </w:r>
    </w:p>
    <w:p w14:paraId="10E0CCA5" w14:textId="74141F5F" w:rsidR="00B97880" w:rsidRPr="00330234" w:rsidRDefault="00B97880" w:rsidP="00B97880">
      <w:pPr>
        <w:keepNext/>
      </w:pPr>
      <w:r w:rsidRPr="00330234">
        <w:t>08290 Cerdanyola del Vallès,</w:t>
      </w:r>
    </w:p>
    <w:p w14:paraId="1B178E71" w14:textId="0F82FC43" w:rsidR="00B97880" w:rsidRPr="00330234" w:rsidRDefault="00B97880" w:rsidP="00B97880">
      <w:pPr>
        <w:keepNext/>
      </w:pPr>
      <w:r w:rsidRPr="00330234">
        <w:t>Barcelona,</w:t>
      </w:r>
    </w:p>
    <w:p w14:paraId="71C036E0" w14:textId="1D336812" w:rsidR="00B97880" w:rsidRPr="00330234" w:rsidRDefault="00B97880" w:rsidP="00B97880">
      <w:r w:rsidRPr="00330234">
        <w:t>Spanje</w:t>
      </w:r>
    </w:p>
    <w:p w14:paraId="31CD1109" w14:textId="77777777" w:rsidR="0089715D" w:rsidRPr="00330234" w:rsidRDefault="0089715D" w:rsidP="00BD109B">
      <w:pPr>
        <w:pStyle w:val="a3"/>
        <w:widowControl/>
        <w:ind w:left="0"/>
      </w:pPr>
    </w:p>
    <w:p w14:paraId="32039C23" w14:textId="77777777" w:rsidR="00436DAA" w:rsidRPr="00330234" w:rsidRDefault="009B4B8E" w:rsidP="00BD109B">
      <w:pPr>
        <w:pStyle w:val="a3"/>
        <w:widowControl/>
        <w:ind w:left="0"/>
      </w:pPr>
      <w:r w:rsidRPr="00330234">
        <w:t>Neem voor alle informatie over dit geneesmiddel contact op met de lokale vertegenwoordiger van de houder van de vergunning voor het in de handel brengen:</w:t>
      </w:r>
    </w:p>
    <w:p w14:paraId="2CAC3987" w14:textId="77777777" w:rsidR="00B97880" w:rsidRPr="00330234" w:rsidRDefault="00B97880" w:rsidP="00B97880"/>
    <w:tbl>
      <w:tblPr>
        <w:tblW w:w="5000" w:type="pct"/>
        <w:tblLayout w:type="fixed"/>
        <w:tblCellMar>
          <w:top w:w="28" w:type="dxa"/>
          <w:bottom w:w="28" w:type="dxa"/>
        </w:tblCellMar>
        <w:tblLook w:val="04A0" w:firstRow="1" w:lastRow="0" w:firstColumn="1" w:lastColumn="0" w:noHBand="0" w:noVBand="1"/>
      </w:tblPr>
      <w:tblGrid>
        <w:gridCol w:w="4537"/>
        <w:gridCol w:w="4537"/>
      </w:tblGrid>
      <w:tr w:rsidR="000030F7" w:rsidRPr="00330234" w14:paraId="1450F934" w14:textId="77777777">
        <w:trPr>
          <w:cantSplit/>
        </w:trPr>
        <w:tc>
          <w:tcPr>
            <w:tcW w:w="2500" w:type="pct"/>
            <w:hideMark/>
          </w:tcPr>
          <w:p w14:paraId="6627BAF8" w14:textId="77777777" w:rsidR="00B97880" w:rsidRPr="00330234" w:rsidRDefault="00B97880">
            <w:pPr>
              <w:suppressAutoHyphens/>
              <w:rPr>
                <w:b/>
                <w:lang w:eastAsia="fr-FR"/>
              </w:rPr>
            </w:pPr>
            <w:r w:rsidRPr="00330234">
              <w:rPr>
                <w:rFonts w:eastAsia="맑은 고딕"/>
                <w:b/>
                <w:lang w:eastAsia="fr-FR"/>
              </w:rPr>
              <w:t>België/Belgique/Belgien</w:t>
            </w:r>
          </w:p>
          <w:p w14:paraId="1D3CAE83" w14:textId="77777777" w:rsidR="00B97880" w:rsidRPr="00330234" w:rsidRDefault="00B97880">
            <w:pPr>
              <w:suppressAutoHyphens/>
              <w:rPr>
                <w:rFonts w:eastAsia="맑은 고딕"/>
                <w:lang w:eastAsia="fr-FR"/>
              </w:rPr>
            </w:pPr>
            <w:r w:rsidRPr="00330234">
              <w:rPr>
                <w:rFonts w:eastAsia="맑은 고딕"/>
                <w:lang w:eastAsia="fr-FR"/>
              </w:rPr>
              <w:t>Celltrion Healthcare Belgium BVBA</w:t>
            </w:r>
          </w:p>
          <w:p w14:paraId="3BFF9914" w14:textId="77777777" w:rsidR="00B97880" w:rsidRPr="00330234" w:rsidRDefault="00B97880">
            <w:pPr>
              <w:suppressAutoHyphens/>
              <w:rPr>
                <w:b/>
                <w:lang w:eastAsia="fr-FR"/>
              </w:rPr>
            </w:pPr>
            <w:r w:rsidRPr="00330234">
              <w:rPr>
                <w:rFonts w:eastAsia="맑은 고딕"/>
                <w:lang w:eastAsia="fr-FR"/>
              </w:rPr>
              <w:t>Tél/Tel: +32 2 643 71 81</w:t>
            </w:r>
          </w:p>
          <w:p w14:paraId="57A064AA" w14:textId="77777777" w:rsidR="00B97880" w:rsidRPr="00330234" w:rsidRDefault="00B97880">
            <w:pPr>
              <w:suppressAutoHyphens/>
              <w:rPr>
                <w:rFonts w:eastAsia="맑은 고딕"/>
                <w:lang w:eastAsia="fr-FR"/>
              </w:rPr>
            </w:pPr>
            <w:r w:rsidRPr="00330234">
              <w:rPr>
                <w:rFonts w:eastAsia="맑은 고딕"/>
                <w:lang w:eastAsia="fr-FR"/>
              </w:rPr>
              <w:t>BEinfo@celltrionhc.com</w:t>
            </w:r>
          </w:p>
          <w:p w14:paraId="3F42A3C7" w14:textId="77777777" w:rsidR="00B97880" w:rsidRPr="00330234" w:rsidRDefault="00B97880">
            <w:pPr>
              <w:suppressAutoHyphens/>
              <w:rPr>
                <w:rFonts w:eastAsia="맑은 고딕"/>
                <w:lang w:eastAsia="ko-KR"/>
              </w:rPr>
            </w:pPr>
          </w:p>
        </w:tc>
        <w:tc>
          <w:tcPr>
            <w:tcW w:w="2500" w:type="pct"/>
          </w:tcPr>
          <w:p w14:paraId="7A91D0D9" w14:textId="77777777" w:rsidR="00B97880" w:rsidRPr="00330234" w:rsidRDefault="00B97880">
            <w:pPr>
              <w:tabs>
                <w:tab w:val="left" w:pos="-720"/>
              </w:tabs>
              <w:suppressAutoHyphens/>
              <w:rPr>
                <w:b/>
                <w:lang w:eastAsia="fr-FR"/>
              </w:rPr>
            </w:pPr>
            <w:r w:rsidRPr="00330234">
              <w:rPr>
                <w:b/>
                <w:lang w:eastAsia="fr-FR"/>
              </w:rPr>
              <w:t>Lietuva</w:t>
            </w:r>
          </w:p>
          <w:p w14:paraId="47060094"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Celltrion Healthcare Hungary Kft.</w:t>
            </w:r>
          </w:p>
          <w:p w14:paraId="4C510F66" w14:textId="77777777" w:rsidR="00B97880" w:rsidRPr="00330234" w:rsidRDefault="00B97880">
            <w:pPr>
              <w:suppressAutoHyphens/>
              <w:adjustRightInd w:val="0"/>
              <w:rPr>
                <w:lang w:eastAsia="fr-FR"/>
              </w:rPr>
            </w:pPr>
            <w:r w:rsidRPr="00330234">
              <w:rPr>
                <w:rFonts w:eastAsia="맑은 고딕"/>
                <w:lang w:eastAsia="fr-FR"/>
              </w:rPr>
              <w:t>Tel.: +36 1 231 0493</w:t>
            </w:r>
          </w:p>
          <w:p w14:paraId="5CC88987" w14:textId="77777777" w:rsidR="00B97880" w:rsidRPr="00330234" w:rsidRDefault="00B97880">
            <w:pPr>
              <w:suppressAutoHyphens/>
              <w:adjustRightInd w:val="0"/>
              <w:rPr>
                <w:lang w:eastAsia="fr-FR"/>
              </w:rPr>
            </w:pPr>
          </w:p>
        </w:tc>
      </w:tr>
      <w:tr w:rsidR="000030F7" w:rsidRPr="00330234" w14:paraId="03C8775B" w14:textId="77777777">
        <w:trPr>
          <w:cantSplit/>
        </w:trPr>
        <w:tc>
          <w:tcPr>
            <w:tcW w:w="2500" w:type="pct"/>
          </w:tcPr>
          <w:p w14:paraId="01750EB8" w14:textId="77777777" w:rsidR="00B97880" w:rsidRPr="00330234" w:rsidRDefault="00B97880">
            <w:pPr>
              <w:suppressAutoHyphens/>
              <w:rPr>
                <w:rFonts w:eastAsia="맑은 고딕"/>
                <w:b/>
                <w:lang w:eastAsia="fr-FR"/>
              </w:rPr>
            </w:pPr>
            <w:r w:rsidRPr="00330234">
              <w:rPr>
                <w:b/>
                <w:bCs/>
              </w:rPr>
              <w:t>България</w:t>
            </w:r>
          </w:p>
          <w:p w14:paraId="02C25F9F"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Celltrion Healthcare Hungary Kft.</w:t>
            </w:r>
          </w:p>
          <w:p w14:paraId="75DB01C5" w14:textId="77777777" w:rsidR="00B97880" w:rsidRPr="00330234" w:rsidRDefault="00B97880">
            <w:pPr>
              <w:suppressAutoHyphens/>
              <w:rPr>
                <w:rFonts w:eastAsia="맑은 고딕"/>
                <w:lang w:eastAsia="fr-FR"/>
              </w:rPr>
            </w:pPr>
            <w:r w:rsidRPr="00330234">
              <w:rPr>
                <w:rFonts w:eastAsia="맑은 고딕"/>
                <w:lang w:eastAsia="fr-FR"/>
              </w:rPr>
              <w:t>Teл.: +36 1 231 0493</w:t>
            </w:r>
          </w:p>
          <w:p w14:paraId="6DDFD1F1" w14:textId="77777777" w:rsidR="00B97880" w:rsidRPr="00330234" w:rsidRDefault="00B97880">
            <w:pPr>
              <w:suppressAutoHyphens/>
              <w:rPr>
                <w:lang w:eastAsia="fr-FR"/>
              </w:rPr>
            </w:pPr>
          </w:p>
        </w:tc>
        <w:tc>
          <w:tcPr>
            <w:tcW w:w="2500" w:type="pct"/>
            <w:hideMark/>
          </w:tcPr>
          <w:p w14:paraId="3E86074F" w14:textId="77777777" w:rsidR="00B97880" w:rsidRPr="00330234" w:rsidRDefault="00B97880">
            <w:pPr>
              <w:tabs>
                <w:tab w:val="left" w:pos="-720"/>
              </w:tabs>
              <w:suppressAutoHyphens/>
              <w:rPr>
                <w:lang w:eastAsia="fr-FR"/>
              </w:rPr>
            </w:pPr>
            <w:r w:rsidRPr="00330234">
              <w:rPr>
                <w:rFonts w:eastAsia="맑은 고딕"/>
                <w:b/>
                <w:lang w:eastAsia="fr-FR"/>
              </w:rPr>
              <w:t>Luxembourg/Luxemburg</w:t>
            </w:r>
          </w:p>
          <w:p w14:paraId="36D325CF" w14:textId="77777777" w:rsidR="00B97880" w:rsidRPr="00330234" w:rsidRDefault="00B97880">
            <w:pPr>
              <w:suppressAutoHyphens/>
              <w:rPr>
                <w:rFonts w:eastAsia="맑은 고딕"/>
                <w:lang w:eastAsia="fr-FR"/>
              </w:rPr>
            </w:pPr>
            <w:r w:rsidRPr="00330234">
              <w:rPr>
                <w:rFonts w:eastAsia="맑은 고딕"/>
                <w:lang w:eastAsia="fr-FR"/>
              </w:rPr>
              <w:t>Celltrion Healthcare Belgium BVBA</w:t>
            </w:r>
          </w:p>
          <w:p w14:paraId="5D5E544F"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Tél/Tel: +32 2 643 71 81</w:t>
            </w:r>
          </w:p>
          <w:p w14:paraId="06D539F0" w14:textId="77777777" w:rsidR="00B97880" w:rsidRPr="00330234" w:rsidRDefault="00B97880">
            <w:pPr>
              <w:suppressAutoHyphens/>
              <w:rPr>
                <w:rFonts w:eastAsia="맑은 고딕"/>
                <w:lang w:eastAsia="ko-KR"/>
              </w:rPr>
            </w:pPr>
            <w:r w:rsidRPr="00330234">
              <w:rPr>
                <w:rFonts w:eastAsia="맑은 고딕"/>
                <w:lang w:eastAsia="fr-FR"/>
              </w:rPr>
              <w:t>BEinfo@celltrionhc.com</w:t>
            </w:r>
          </w:p>
          <w:p w14:paraId="3D1C5A7E" w14:textId="77777777" w:rsidR="00B97880" w:rsidRPr="00330234" w:rsidRDefault="00B97880">
            <w:pPr>
              <w:tabs>
                <w:tab w:val="left" w:pos="-720"/>
              </w:tabs>
              <w:suppressAutoHyphens/>
              <w:rPr>
                <w:rFonts w:eastAsia="맑은 고딕"/>
                <w:lang w:eastAsia="ko-KR"/>
              </w:rPr>
            </w:pPr>
          </w:p>
        </w:tc>
      </w:tr>
      <w:tr w:rsidR="000030F7" w:rsidRPr="00330234" w14:paraId="1E33A7E2" w14:textId="77777777">
        <w:trPr>
          <w:cantSplit/>
        </w:trPr>
        <w:tc>
          <w:tcPr>
            <w:tcW w:w="2500" w:type="pct"/>
            <w:hideMark/>
          </w:tcPr>
          <w:p w14:paraId="3C97A0E5" w14:textId="77777777" w:rsidR="00B97880" w:rsidRPr="00330234" w:rsidRDefault="00B97880">
            <w:pPr>
              <w:tabs>
                <w:tab w:val="left" w:pos="-720"/>
              </w:tabs>
              <w:suppressAutoHyphens/>
              <w:rPr>
                <w:rFonts w:eastAsia="맑은 고딕"/>
                <w:b/>
                <w:lang w:eastAsia="fr-FR"/>
              </w:rPr>
            </w:pPr>
            <w:r w:rsidRPr="00330234">
              <w:rPr>
                <w:rFonts w:eastAsia="맑은 고딕"/>
                <w:b/>
                <w:lang w:eastAsia="fr-FR"/>
              </w:rPr>
              <w:t>Česká republika</w:t>
            </w:r>
          </w:p>
          <w:p w14:paraId="20044BEF"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Celltrion Healthcare Hungary Kft.</w:t>
            </w:r>
          </w:p>
          <w:p w14:paraId="5FE1C206"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Tel: +36 1 231 0493</w:t>
            </w:r>
          </w:p>
          <w:p w14:paraId="72DD54D7" w14:textId="77777777" w:rsidR="00B97880" w:rsidRPr="00330234" w:rsidRDefault="00B97880">
            <w:pPr>
              <w:tabs>
                <w:tab w:val="left" w:pos="-720"/>
              </w:tabs>
              <w:suppressAutoHyphens/>
              <w:rPr>
                <w:lang w:eastAsia="fr-FR"/>
              </w:rPr>
            </w:pPr>
          </w:p>
        </w:tc>
        <w:tc>
          <w:tcPr>
            <w:tcW w:w="2500" w:type="pct"/>
          </w:tcPr>
          <w:p w14:paraId="300CB531" w14:textId="77777777" w:rsidR="00B97880" w:rsidRPr="00330234" w:rsidRDefault="00B97880">
            <w:pPr>
              <w:suppressAutoHyphens/>
              <w:rPr>
                <w:rFonts w:eastAsia="맑은 고딕"/>
                <w:b/>
                <w:lang w:eastAsia="fr-FR"/>
              </w:rPr>
            </w:pPr>
            <w:r w:rsidRPr="00330234">
              <w:rPr>
                <w:b/>
              </w:rPr>
              <w:t>Magyarország</w:t>
            </w:r>
          </w:p>
          <w:p w14:paraId="728FE0A7"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Celltrion Healthcare Hungary Kft.</w:t>
            </w:r>
          </w:p>
          <w:p w14:paraId="14AA6E4B" w14:textId="77777777" w:rsidR="00B97880" w:rsidRPr="00330234" w:rsidRDefault="00B97880">
            <w:pPr>
              <w:suppressAutoHyphens/>
              <w:rPr>
                <w:rFonts w:eastAsia="맑은 고딕"/>
                <w:lang w:eastAsia="fr-FR"/>
              </w:rPr>
            </w:pPr>
            <w:r w:rsidRPr="00330234">
              <w:rPr>
                <w:rFonts w:eastAsia="맑은 고딕"/>
                <w:lang w:eastAsia="fr-FR"/>
              </w:rPr>
              <w:t>Tel:. +36 1 231 0493</w:t>
            </w:r>
          </w:p>
          <w:p w14:paraId="6955DE07" w14:textId="77777777" w:rsidR="00B97880" w:rsidRPr="00330234" w:rsidRDefault="00B97880">
            <w:pPr>
              <w:suppressAutoHyphens/>
              <w:rPr>
                <w:rFonts w:eastAsia="맑은 고딕"/>
                <w:lang w:eastAsia="ko-KR"/>
              </w:rPr>
            </w:pPr>
          </w:p>
        </w:tc>
      </w:tr>
      <w:tr w:rsidR="000030F7" w:rsidRPr="00330234" w14:paraId="726E97C0" w14:textId="77777777">
        <w:trPr>
          <w:cantSplit/>
        </w:trPr>
        <w:tc>
          <w:tcPr>
            <w:tcW w:w="2500" w:type="pct"/>
            <w:hideMark/>
          </w:tcPr>
          <w:p w14:paraId="3EBC4DD0" w14:textId="31CE3F8E" w:rsidR="00B97880" w:rsidRPr="00330234" w:rsidRDefault="00B97880">
            <w:pPr>
              <w:tabs>
                <w:tab w:val="left" w:pos="-720"/>
              </w:tabs>
              <w:suppressAutoHyphens/>
              <w:rPr>
                <w:b/>
                <w:bCs/>
                <w:i/>
                <w:iCs/>
                <w:lang w:eastAsia="fr-FR"/>
              </w:rPr>
            </w:pPr>
            <w:r w:rsidRPr="00330234">
              <w:rPr>
                <w:b/>
              </w:rPr>
              <w:t>D</w:t>
            </w:r>
            <w:r w:rsidR="00A14D1E">
              <w:rPr>
                <w:b/>
              </w:rPr>
              <w:t>e</w:t>
            </w:r>
            <w:r w:rsidRPr="00330234">
              <w:rPr>
                <w:b/>
              </w:rPr>
              <w:t>nmark</w:t>
            </w:r>
          </w:p>
          <w:p w14:paraId="5901EDB1" w14:textId="5068EC5F" w:rsidR="00B97880" w:rsidRPr="00330234" w:rsidRDefault="00B97880">
            <w:pPr>
              <w:tabs>
                <w:tab w:val="left" w:pos="-720"/>
              </w:tabs>
              <w:suppressAutoHyphens/>
              <w:rPr>
                <w:rFonts w:eastAsia="맑은 고딕"/>
                <w:noProof/>
                <w:lang w:eastAsia="fr-FR"/>
              </w:rPr>
            </w:pPr>
            <w:r w:rsidRPr="00330234">
              <w:rPr>
                <w:rFonts w:eastAsia="맑은 고딕"/>
                <w:lang w:eastAsia="fr-FR"/>
              </w:rPr>
              <w:t xml:space="preserve">Celltrion Healthcare </w:t>
            </w:r>
            <w:r w:rsidR="00A14D1E">
              <w:rPr>
                <w:rFonts w:eastAsia="맑은 고딕" w:hint="eastAsia"/>
                <w:noProof/>
                <w:lang w:eastAsia="ko-KR"/>
              </w:rPr>
              <w:t>Denmark ApS</w:t>
            </w:r>
          </w:p>
          <w:p w14:paraId="1808A993" w14:textId="6440E4C8" w:rsidR="00B97880" w:rsidRDefault="00B97880">
            <w:pPr>
              <w:tabs>
                <w:tab w:val="left" w:pos="-720"/>
              </w:tabs>
              <w:suppressAutoHyphens/>
              <w:rPr>
                <w:rFonts w:eastAsia="맑은 고딕"/>
                <w:lang w:eastAsia="fr-FR"/>
              </w:rPr>
            </w:pPr>
            <w:r w:rsidRPr="00330234">
              <w:rPr>
                <w:rFonts w:eastAsia="맑은 고딕"/>
                <w:lang w:eastAsia="fr-FR"/>
              </w:rPr>
              <w:t>Tlf: +</w:t>
            </w:r>
            <w:r w:rsidR="00A14D1E">
              <w:rPr>
                <w:rFonts w:eastAsia="맑은 고딕" w:hint="eastAsia"/>
                <w:noProof/>
                <w:lang w:eastAsia="ko-KR"/>
              </w:rPr>
              <w:t>45 3535 2989</w:t>
            </w:r>
          </w:p>
          <w:p w14:paraId="35CF663C" w14:textId="4251428F" w:rsidR="00A14D1E" w:rsidRDefault="00A14D1E">
            <w:pPr>
              <w:tabs>
                <w:tab w:val="left" w:pos="-720"/>
              </w:tabs>
              <w:suppressAutoHyphens/>
              <w:rPr>
                <w:rFonts w:eastAsia="맑은 고딕"/>
                <w:lang w:eastAsia="fr-FR"/>
              </w:rPr>
            </w:pPr>
            <w:r w:rsidRPr="002738BB">
              <w:rPr>
                <w:rFonts w:eastAsia="맑은 고딕"/>
                <w:noProof/>
                <w:lang w:eastAsia="ko-KR"/>
              </w:rPr>
              <w:t>Contact_dk@celltrionhc.com</w:t>
            </w:r>
          </w:p>
          <w:p w14:paraId="3A0883EE" w14:textId="1CD51690" w:rsidR="00A14D1E" w:rsidRPr="00330234" w:rsidRDefault="00A14D1E">
            <w:pPr>
              <w:tabs>
                <w:tab w:val="left" w:pos="-720"/>
              </w:tabs>
              <w:suppressAutoHyphens/>
              <w:rPr>
                <w:rFonts w:eastAsia="맑은 고딕"/>
                <w:lang w:eastAsia="fr-FR"/>
              </w:rPr>
            </w:pPr>
          </w:p>
        </w:tc>
        <w:tc>
          <w:tcPr>
            <w:tcW w:w="2500" w:type="pct"/>
          </w:tcPr>
          <w:p w14:paraId="73BA1920" w14:textId="77777777" w:rsidR="00B97880" w:rsidRPr="00330234" w:rsidRDefault="00B97880">
            <w:pPr>
              <w:suppressAutoHyphens/>
              <w:rPr>
                <w:lang w:eastAsia="fr-FR"/>
              </w:rPr>
            </w:pPr>
            <w:r w:rsidRPr="00330234">
              <w:rPr>
                <w:rFonts w:eastAsia="맑은 고딕"/>
                <w:b/>
                <w:lang w:eastAsia="fr-FR"/>
              </w:rPr>
              <w:t>Malta</w:t>
            </w:r>
          </w:p>
          <w:p w14:paraId="4562CE65"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Mint Health Ltd.</w:t>
            </w:r>
          </w:p>
          <w:p w14:paraId="7A94D693" w14:textId="77777777" w:rsidR="00B97880" w:rsidRPr="00330234" w:rsidRDefault="00B97880">
            <w:pPr>
              <w:suppressAutoHyphens/>
              <w:rPr>
                <w:rFonts w:eastAsia="맑은 고딕"/>
                <w:lang w:eastAsia="ko-KR"/>
              </w:rPr>
            </w:pPr>
            <w:r w:rsidRPr="00330234">
              <w:rPr>
                <w:rFonts w:eastAsia="맑은 고딕"/>
                <w:lang w:eastAsia="fr-FR"/>
              </w:rPr>
              <w:t>Tel: +356 2093 9800</w:t>
            </w:r>
          </w:p>
          <w:p w14:paraId="3AF8B618" w14:textId="77777777" w:rsidR="00B97880" w:rsidRPr="00330234" w:rsidRDefault="00B97880">
            <w:pPr>
              <w:suppressAutoHyphens/>
              <w:rPr>
                <w:rFonts w:eastAsia="맑은 고딕"/>
                <w:lang w:eastAsia="ko-KR"/>
              </w:rPr>
            </w:pPr>
          </w:p>
        </w:tc>
      </w:tr>
      <w:tr w:rsidR="000030F7" w:rsidRPr="00330234" w14:paraId="73FC1CD4" w14:textId="77777777">
        <w:trPr>
          <w:cantSplit/>
        </w:trPr>
        <w:tc>
          <w:tcPr>
            <w:tcW w:w="2500" w:type="pct"/>
            <w:hideMark/>
          </w:tcPr>
          <w:p w14:paraId="17C08335" w14:textId="77777777" w:rsidR="00B97880" w:rsidRPr="00330234" w:rsidRDefault="00B97880">
            <w:pPr>
              <w:suppressAutoHyphens/>
              <w:rPr>
                <w:b/>
                <w:lang w:eastAsia="fr-FR"/>
              </w:rPr>
            </w:pPr>
            <w:r w:rsidRPr="00330234">
              <w:rPr>
                <w:rFonts w:eastAsia="맑은 고딕"/>
                <w:b/>
                <w:lang w:eastAsia="fr-FR"/>
              </w:rPr>
              <w:t>Deutschland</w:t>
            </w:r>
          </w:p>
          <w:p w14:paraId="4F7655CE"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Celltrion Healthcare Deutschland GmbH</w:t>
            </w:r>
          </w:p>
          <w:p w14:paraId="09C6999B"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Tel: +49(0)30 346494150</w:t>
            </w:r>
          </w:p>
          <w:p w14:paraId="22FF73A7"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infoDE@celltrionhc.com</w:t>
            </w:r>
          </w:p>
          <w:p w14:paraId="3D0484D1" w14:textId="77777777" w:rsidR="00B97880" w:rsidRPr="00330234" w:rsidRDefault="00B97880">
            <w:pPr>
              <w:tabs>
                <w:tab w:val="left" w:pos="-720"/>
              </w:tabs>
              <w:suppressAutoHyphens/>
              <w:rPr>
                <w:rFonts w:eastAsia="맑은 고딕"/>
                <w:lang w:eastAsia="fr-FR"/>
              </w:rPr>
            </w:pPr>
          </w:p>
        </w:tc>
        <w:tc>
          <w:tcPr>
            <w:tcW w:w="2500" w:type="pct"/>
          </w:tcPr>
          <w:p w14:paraId="716813C6" w14:textId="77777777" w:rsidR="00B97880" w:rsidRPr="00330234" w:rsidRDefault="00B97880">
            <w:pPr>
              <w:suppressAutoHyphens/>
              <w:rPr>
                <w:lang w:eastAsia="fr-FR"/>
              </w:rPr>
            </w:pPr>
            <w:r w:rsidRPr="00330234">
              <w:rPr>
                <w:rFonts w:eastAsia="맑은 고딕"/>
                <w:b/>
                <w:lang w:eastAsia="fr-FR"/>
              </w:rPr>
              <w:t>Nederland</w:t>
            </w:r>
          </w:p>
          <w:p w14:paraId="40CB8891" w14:textId="77777777" w:rsidR="00B97880" w:rsidRPr="00330234" w:rsidRDefault="00B97880">
            <w:pPr>
              <w:suppressAutoHyphens/>
              <w:rPr>
                <w:rFonts w:eastAsia="맑은 고딕"/>
                <w:lang w:eastAsia="fr-FR"/>
              </w:rPr>
            </w:pPr>
            <w:r w:rsidRPr="00330234">
              <w:rPr>
                <w:rFonts w:eastAsia="맑은 고딕"/>
                <w:lang w:eastAsia="fr-FR"/>
              </w:rPr>
              <w:t>Celltrion Healthcare Netherlands B.V.</w:t>
            </w:r>
          </w:p>
          <w:p w14:paraId="5B430368" w14:textId="77777777" w:rsidR="00B97880" w:rsidRPr="00330234" w:rsidRDefault="00B97880">
            <w:pPr>
              <w:suppressAutoHyphens/>
              <w:rPr>
                <w:rFonts w:eastAsia="맑은 고딕"/>
                <w:lang w:eastAsia="fr-FR"/>
              </w:rPr>
            </w:pPr>
            <w:r w:rsidRPr="00330234">
              <w:rPr>
                <w:rFonts w:eastAsia="맑은 고딕"/>
                <w:lang w:eastAsia="fr-FR"/>
              </w:rPr>
              <w:t>Tel: + 31 20 888 7300</w:t>
            </w:r>
          </w:p>
          <w:p w14:paraId="34E699BA" w14:textId="77777777" w:rsidR="00B97880" w:rsidRPr="00330234" w:rsidRDefault="00B97880">
            <w:pPr>
              <w:suppressAutoHyphens/>
              <w:rPr>
                <w:rFonts w:eastAsia="맑은 고딕"/>
                <w:lang w:eastAsia="fr-FR"/>
              </w:rPr>
            </w:pPr>
            <w:hyperlink r:id="rId22" w:history="1">
              <w:r w:rsidRPr="00330234">
                <w:rPr>
                  <w:rStyle w:val="ab"/>
                  <w:rFonts w:eastAsia="맑은 고딕"/>
                  <w:lang w:eastAsia="fr-FR"/>
                </w:rPr>
                <w:t>NLinfo@celltrionh</w:t>
              </w:r>
              <w:r w:rsidRPr="00330234">
                <w:rPr>
                  <w:rStyle w:val="ab"/>
                </w:rPr>
                <w:t>c</w:t>
              </w:r>
              <w:r w:rsidRPr="00330234">
                <w:rPr>
                  <w:rStyle w:val="ab"/>
                  <w:rFonts w:eastAsia="맑은 고딕"/>
                  <w:lang w:eastAsia="fr-FR"/>
                </w:rPr>
                <w:t>.com</w:t>
              </w:r>
            </w:hyperlink>
          </w:p>
          <w:p w14:paraId="0DA45275" w14:textId="77777777" w:rsidR="00B97880" w:rsidRPr="00330234" w:rsidRDefault="00B97880">
            <w:pPr>
              <w:suppressAutoHyphens/>
              <w:rPr>
                <w:rFonts w:eastAsia="맑은 고딕"/>
                <w:lang w:eastAsia="fr-FR"/>
              </w:rPr>
            </w:pPr>
          </w:p>
        </w:tc>
      </w:tr>
      <w:tr w:rsidR="000030F7" w:rsidRPr="00330234" w14:paraId="18B19229" w14:textId="77777777">
        <w:trPr>
          <w:cantSplit/>
        </w:trPr>
        <w:tc>
          <w:tcPr>
            <w:tcW w:w="2500" w:type="pct"/>
            <w:hideMark/>
          </w:tcPr>
          <w:p w14:paraId="29EAF86A" w14:textId="77777777" w:rsidR="00B97880" w:rsidRPr="00330234" w:rsidRDefault="00B97880">
            <w:pPr>
              <w:tabs>
                <w:tab w:val="left" w:pos="-720"/>
                <w:tab w:val="left" w:pos="4536"/>
              </w:tabs>
              <w:suppressAutoHyphens/>
              <w:rPr>
                <w:b/>
                <w:lang w:eastAsia="fr-FR"/>
              </w:rPr>
            </w:pPr>
            <w:r w:rsidRPr="00330234">
              <w:rPr>
                <w:rFonts w:eastAsia="맑은 고딕"/>
                <w:b/>
                <w:lang w:eastAsia="fr-FR"/>
              </w:rPr>
              <w:t>Eesti</w:t>
            </w:r>
          </w:p>
          <w:p w14:paraId="3648B6AD"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Celltrion Healthcare Hungary Kft.</w:t>
            </w:r>
          </w:p>
          <w:p w14:paraId="1E94DF38"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Tel: +36 1 231 0493</w:t>
            </w:r>
          </w:p>
          <w:p w14:paraId="50442F0D" w14:textId="77777777" w:rsidR="00B97880" w:rsidRPr="00330234" w:rsidRDefault="00B97880">
            <w:pPr>
              <w:tabs>
                <w:tab w:val="left" w:pos="-720"/>
              </w:tabs>
              <w:suppressAutoHyphens/>
              <w:rPr>
                <w:rFonts w:eastAsia="맑은 고딕"/>
                <w:lang w:eastAsia="ko-KR"/>
              </w:rPr>
            </w:pPr>
          </w:p>
        </w:tc>
        <w:tc>
          <w:tcPr>
            <w:tcW w:w="2500" w:type="pct"/>
          </w:tcPr>
          <w:p w14:paraId="62CDD90B" w14:textId="77777777" w:rsidR="00B97880" w:rsidRPr="00330234" w:rsidRDefault="00B97880">
            <w:pPr>
              <w:tabs>
                <w:tab w:val="left" w:pos="-720"/>
              </w:tabs>
              <w:suppressAutoHyphens/>
              <w:rPr>
                <w:lang w:eastAsia="fr-FR"/>
              </w:rPr>
            </w:pPr>
            <w:r w:rsidRPr="00330234">
              <w:rPr>
                <w:rFonts w:eastAsia="맑은 고딕"/>
                <w:b/>
                <w:lang w:eastAsia="fr-FR"/>
              </w:rPr>
              <w:t>Norge</w:t>
            </w:r>
          </w:p>
          <w:p w14:paraId="2E3286E5" w14:textId="12D5E8A5" w:rsidR="00A14D1E" w:rsidRDefault="00B97880">
            <w:pPr>
              <w:tabs>
                <w:tab w:val="left" w:pos="-720"/>
              </w:tabs>
              <w:suppressAutoHyphens/>
              <w:rPr>
                <w:rFonts w:eastAsia="맑은 고딕"/>
                <w:lang w:eastAsia="fr-FR"/>
              </w:rPr>
            </w:pPr>
            <w:r w:rsidRPr="00330234">
              <w:rPr>
                <w:rFonts w:eastAsia="맑은 고딕"/>
                <w:lang w:eastAsia="fr-FR"/>
              </w:rPr>
              <w:t xml:space="preserve">Celltrion Healthcare </w:t>
            </w:r>
            <w:r w:rsidR="00A14D1E">
              <w:rPr>
                <w:rFonts w:eastAsia="맑은 고딕" w:hint="eastAsia"/>
                <w:noProof/>
                <w:lang w:eastAsia="ko-KR"/>
              </w:rPr>
              <w:t>Norway AS</w:t>
            </w:r>
            <w:r w:rsidR="00A14D1E" w:rsidRPr="00330234" w:rsidDel="00A14D1E">
              <w:rPr>
                <w:rFonts w:eastAsia="맑은 고딕"/>
                <w:lang w:eastAsia="fr-FR"/>
              </w:rPr>
              <w:t xml:space="preserve"> </w:t>
            </w:r>
          </w:p>
          <w:p w14:paraId="0A086874" w14:textId="334AB93D" w:rsidR="00B97880" w:rsidRPr="00330234" w:rsidRDefault="00A14D1E">
            <w:pPr>
              <w:tabs>
                <w:tab w:val="left" w:pos="-720"/>
              </w:tabs>
              <w:suppressAutoHyphens/>
              <w:rPr>
                <w:rFonts w:eastAsia="맑은 고딕"/>
                <w:noProof/>
                <w:lang w:eastAsia="ko-KR"/>
              </w:rPr>
            </w:pPr>
            <w:r>
              <w:rPr>
                <w:rFonts w:eastAsia="맑은 고딕" w:hint="eastAsia"/>
                <w:noProof/>
                <w:lang w:eastAsia="ko-KR"/>
              </w:rPr>
              <w:t>Contact_no@celltrionhs.com</w:t>
            </w:r>
          </w:p>
          <w:p w14:paraId="7F9BD7C5" w14:textId="77777777" w:rsidR="00B97880" w:rsidRPr="00330234" w:rsidRDefault="00B97880">
            <w:pPr>
              <w:tabs>
                <w:tab w:val="left" w:pos="-720"/>
              </w:tabs>
              <w:suppressAutoHyphens/>
              <w:rPr>
                <w:rFonts w:eastAsia="맑은 고딕"/>
                <w:lang w:eastAsia="ko-KR"/>
              </w:rPr>
            </w:pPr>
          </w:p>
        </w:tc>
      </w:tr>
      <w:tr w:rsidR="000030F7" w:rsidRPr="00330234" w14:paraId="33428C79" w14:textId="77777777">
        <w:trPr>
          <w:cantSplit/>
        </w:trPr>
        <w:tc>
          <w:tcPr>
            <w:tcW w:w="2500" w:type="pct"/>
            <w:hideMark/>
          </w:tcPr>
          <w:p w14:paraId="6F40F074" w14:textId="77777777" w:rsidR="00B97880" w:rsidRPr="00330234" w:rsidRDefault="00B97880">
            <w:pPr>
              <w:suppressAutoHyphens/>
              <w:rPr>
                <w:lang w:eastAsia="fr-FR"/>
              </w:rPr>
            </w:pPr>
            <w:r w:rsidRPr="00330234">
              <w:rPr>
                <w:b/>
              </w:rPr>
              <w:t>España</w:t>
            </w:r>
          </w:p>
          <w:p w14:paraId="29558FDF" w14:textId="185A1517" w:rsidR="00B97880" w:rsidRPr="00330234" w:rsidRDefault="00B97880">
            <w:pPr>
              <w:suppressAutoHyphens/>
              <w:rPr>
                <w:rFonts w:eastAsia="맑은 고딕"/>
                <w:lang w:eastAsia="fr-FR"/>
              </w:rPr>
            </w:pPr>
            <w:r w:rsidRPr="00330234">
              <w:rPr>
                <w:rFonts w:eastAsia="맑은 고딕"/>
                <w:lang w:eastAsia="fr-FR"/>
              </w:rPr>
              <w:t>CELLTRION FARMACEUTICA (ESPAÑA) S.L.</w:t>
            </w:r>
          </w:p>
          <w:p w14:paraId="527D300F" w14:textId="676A6A75" w:rsidR="00B97880" w:rsidRPr="00330234" w:rsidRDefault="00B97880">
            <w:pPr>
              <w:suppressAutoHyphens/>
              <w:rPr>
                <w:rFonts w:eastAsia="맑은 고딕"/>
                <w:lang w:eastAsia="fr-FR"/>
              </w:rPr>
            </w:pPr>
            <w:r w:rsidRPr="00330234">
              <w:rPr>
                <w:rFonts w:eastAsia="맑은 고딕"/>
                <w:lang w:eastAsia="fr-FR"/>
              </w:rPr>
              <w:t xml:space="preserve">Tel: +34 </w:t>
            </w:r>
            <w:r w:rsidR="00474CDA">
              <w:rPr>
                <w:rFonts w:eastAsia="맑은 고딕"/>
                <w:lang w:eastAsia="fr-FR"/>
              </w:rPr>
              <w:t>910 498 478</w:t>
            </w:r>
          </w:p>
          <w:p w14:paraId="27A98552" w14:textId="77777777" w:rsidR="00B97880" w:rsidRPr="00330234" w:rsidRDefault="00B97880">
            <w:pPr>
              <w:suppressAutoHyphens/>
              <w:rPr>
                <w:b/>
                <w:lang w:eastAsia="fr-FR"/>
              </w:rPr>
            </w:pPr>
          </w:p>
        </w:tc>
        <w:tc>
          <w:tcPr>
            <w:tcW w:w="2500" w:type="pct"/>
          </w:tcPr>
          <w:p w14:paraId="2D6C5469" w14:textId="77777777" w:rsidR="00B97880" w:rsidRPr="00330234" w:rsidRDefault="00B97880">
            <w:pPr>
              <w:suppressAutoHyphens/>
              <w:rPr>
                <w:lang w:eastAsia="fr-FR"/>
              </w:rPr>
            </w:pPr>
            <w:r w:rsidRPr="00330234">
              <w:rPr>
                <w:b/>
              </w:rPr>
              <w:t>Österreich</w:t>
            </w:r>
          </w:p>
          <w:p w14:paraId="2FEF0DC6" w14:textId="77777777" w:rsidR="00B97880" w:rsidRPr="00330234" w:rsidRDefault="00B97880">
            <w:pPr>
              <w:suppressAutoHyphens/>
              <w:rPr>
                <w:rFonts w:eastAsia="맑은 고딕"/>
                <w:lang w:eastAsia="ko-KR"/>
              </w:rPr>
            </w:pPr>
            <w:r w:rsidRPr="00330234">
              <w:rPr>
                <w:rFonts w:eastAsia="맑은 고딕"/>
                <w:lang w:eastAsia="fr-FR"/>
              </w:rPr>
              <w:t>Astro-Pharma GmbH</w:t>
            </w:r>
          </w:p>
          <w:p w14:paraId="00F01F4E"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Tel: +43 1 97 99 860</w:t>
            </w:r>
          </w:p>
          <w:p w14:paraId="16ED938F" w14:textId="77777777" w:rsidR="00B97880" w:rsidRPr="00330234" w:rsidRDefault="00B97880">
            <w:pPr>
              <w:tabs>
                <w:tab w:val="left" w:pos="-720"/>
              </w:tabs>
              <w:suppressAutoHyphens/>
              <w:rPr>
                <w:lang w:eastAsia="fr-FR"/>
              </w:rPr>
            </w:pPr>
          </w:p>
        </w:tc>
      </w:tr>
      <w:tr w:rsidR="000030F7" w:rsidRPr="00330234" w14:paraId="31E87416" w14:textId="77777777">
        <w:trPr>
          <w:cantSplit/>
        </w:trPr>
        <w:tc>
          <w:tcPr>
            <w:tcW w:w="2500" w:type="pct"/>
          </w:tcPr>
          <w:p w14:paraId="1B13D3CA" w14:textId="77777777" w:rsidR="00B97880" w:rsidRPr="00330234" w:rsidRDefault="00B97880">
            <w:pPr>
              <w:suppressAutoHyphens/>
              <w:rPr>
                <w:b/>
                <w:lang w:eastAsia="fr-FR"/>
              </w:rPr>
            </w:pPr>
            <w:r w:rsidRPr="00330234">
              <w:rPr>
                <w:b/>
                <w:lang w:eastAsia="fr-FR"/>
              </w:rPr>
              <w:t>Ελλάδα</w:t>
            </w:r>
          </w:p>
          <w:p w14:paraId="62B0B5B3" w14:textId="77777777" w:rsidR="00B97880" w:rsidRPr="00330234" w:rsidRDefault="00B97880">
            <w:pPr>
              <w:suppressAutoHyphens/>
              <w:rPr>
                <w:lang w:eastAsia="fr-FR"/>
              </w:rPr>
            </w:pPr>
            <w:r w:rsidRPr="00330234">
              <w:rPr>
                <w:lang w:eastAsia="fr-FR"/>
              </w:rPr>
              <w:t>ΒΙΑΝΕΞ Α.Ε.</w:t>
            </w:r>
          </w:p>
          <w:p w14:paraId="303776E6" w14:textId="77777777" w:rsidR="00B97880" w:rsidRPr="00330234" w:rsidRDefault="00B97880">
            <w:pPr>
              <w:suppressAutoHyphens/>
              <w:rPr>
                <w:lang w:eastAsia="fr-FR"/>
              </w:rPr>
            </w:pPr>
            <w:r w:rsidRPr="00330234">
              <w:rPr>
                <w:lang w:eastAsia="fr-FR"/>
              </w:rPr>
              <w:t xml:space="preserve">Τηλ: +30 210 8009111 </w:t>
            </w:r>
          </w:p>
          <w:p w14:paraId="5AD90FB3" w14:textId="77777777" w:rsidR="00B97880" w:rsidRPr="00330234" w:rsidRDefault="00B97880">
            <w:pPr>
              <w:suppressAutoHyphens/>
              <w:rPr>
                <w:rFonts w:eastAsia="맑은 고딕"/>
                <w:lang w:eastAsia="fr-FR"/>
              </w:rPr>
            </w:pPr>
          </w:p>
        </w:tc>
        <w:tc>
          <w:tcPr>
            <w:tcW w:w="2500" w:type="pct"/>
          </w:tcPr>
          <w:p w14:paraId="543C1E11" w14:textId="77777777" w:rsidR="00B97880" w:rsidRPr="00330234" w:rsidRDefault="00B97880">
            <w:pPr>
              <w:suppressAutoHyphens/>
              <w:rPr>
                <w:rFonts w:eastAsia="맑은 고딕"/>
                <w:b/>
                <w:lang w:eastAsia="fr-FR"/>
              </w:rPr>
            </w:pPr>
            <w:r w:rsidRPr="00330234">
              <w:rPr>
                <w:rFonts w:eastAsia="맑은 고딕"/>
                <w:b/>
                <w:lang w:eastAsia="fr-FR"/>
              </w:rPr>
              <w:t>Polska</w:t>
            </w:r>
          </w:p>
          <w:p w14:paraId="215A5C6D"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Celltrion Healthcare Hungary Kft.</w:t>
            </w:r>
          </w:p>
          <w:p w14:paraId="22988ACE" w14:textId="77777777" w:rsidR="00B97880" w:rsidRPr="00330234" w:rsidRDefault="00B97880">
            <w:pPr>
              <w:suppressAutoHyphens/>
              <w:rPr>
                <w:rFonts w:eastAsia="맑은 고딕"/>
                <w:lang w:eastAsia="fr-FR"/>
              </w:rPr>
            </w:pPr>
            <w:r w:rsidRPr="00330234">
              <w:rPr>
                <w:rFonts w:eastAsia="맑은 고딕"/>
                <w:lang w:eastAsia="fr-FR"/>
              </w:rPr>
              <w:t>Tel.: +36 1 231 0493</w:t>
            </w:r>
          </w:p>
          <w:p w14:paraId="5111C612" w14:textId="77777777" w:rsidR="00B97880" w:rsidRPr="00330234" w:rsidRDefault="00B97880">
            <w:pPr>
              <w:suppressAutoHyphens/>
              <w:rPr>
                <w:b/>
              </w:rPr>
            </w:pPr>
          </w:p>
        </w:tc>
      </w:tr>
      <w:tr w:rsidR="000030F7" w:rsidRPr="00330234" w14:paraId="7517961A" w14:textId="77777777">
        <w:trPr>
          <w:cantSplit/>
        </w:trPr>
        <w:tc>
          <w:tcPr>
            <w:tcW w:w="2500" w:type="pct"/>
          </w:tcPr>
          <w:p w14:paraId="3DBA37C6" w14:textId="77777777" w:rsidR="00B97880" w:rsidRPr="00330234" w:rsidRDefault="00B97880">
            <w:pPr>
              <w:suppressAutoHyphens/>
              <w:rPr>
                <w:b/>
                <w:lang w:eastAsia="ko-KR"/>
              </w:rPr>
            </w:pPr>
            <w:r w:rsidRPr="00330234">
              <w:rPr>
                <w:b/>
                <w:lang w:eastAsia="ko-KR"/>
              </w:rPr>
              <w:t>France</w:t>
            </w:r>
          </w:p>
          <w:p w14:paraId="2BFA8138" w14:textId="77777777" w:rsidR="00B97880" w:rsidRPr="00330234" w:rsidRDefault="00B97880">
            <w:pPr>
              <w:suppressAutoHyphens/>
              <w:rPr>
                <w:lang w:eastAsia="ko-KR"/>
              </w:rPr>
            </w:pPr>
            <w:r w:rsidRPr="00330234">
              <w:rPr>
                <w:lang w:eastAsia="ko-KR"/>
              </w:rPr>
              <w:t>Celltrion Healthcare France SAS</w:t>
            </w:r>
          </w:p>
          <w:p w14:paraId="443C1676" w14:textId="77777777" w:rsidR="00B97880" w:rsidRPr="00330234" w:rsidRDefault="00B97880">
            <w:pPr>
              <w:suppressAutoHyphens/>
              <w:rPr>
                <w:rFonts w:eastAsia="맑은 고딕"/>
                <w:lang w:eastAsia="ko-KR"/>
              </w:rPr>
            </w:pPr>
            <w:r w:rsidRPr="00330234">
              <w:rPr>
                <w:lang w:eastAsia="ko-KR"/>
              </w:rPr>
              <w:t>T</w:t>
            </w:r>
            <w:r w:rsidRPr="00330234">
              <w:t>é</w:t>
            </w:r>
            <w:r w:rsidRPr="00330234">
              <w:rPr>
                <w:lang w:eastAsia="ko-KR"/>
              </w:rPr>
              <w:t>l.: +33 (0)1 71 25 27 00</w:t>
            </w:r>
          </w:p>
          <w:p w14:paraId="503693E5" w14:textId="77777777" w:rsidR="00B97880" w:rsidRPr="00330234" w:rsidRDefault="00B97880">
            <w:pPr>
              <w:suppressAutoHyphens/>
              <w:rPr>
                <w:rFonts w:eastAsia="맑은 고딕"/>
                <w:lang w:eastAsia="fr-FR"/>
              </w:rPr>
            </w:pPr>
          </w:p>
        </w:tc>
        <w:tc>
          <w:tcPr>
            <w:tcW w:w="2500" w:type="pct"/>
          </w:tcPr>
          <w:p w14:paraId="58D488AA" w14:textId="77777777" w:rsidR="00B97880" w:rsidRPr="00330234" w:rsidRDefault="00B97880">
            <w:pPr>
              <w:suppressAutoHyphens/>
              <w:adjustRightInd w:val="0"/>
              <w:rPr>
                <w:lang w:eastAsia="fr-FR"/>
              </w:rPr>
            </w:pPr>
            <w:r w:rsidRPr="00330234">
              <w:rPr>
                <w:rFonts w:eastAsia="맑은 고딕"/>
                <w:b/>
                <w:lang w:eastAsia="fr-FR"/>
              </w:rPr>
              <w:t>Portugal</w:t>
            </w:r>
          </w:p>
          <w:p w14:paraId="6C8BBEBE" w14:textId="77777777" w:rsidR="00B97880" w:rsidRPr="00330234" w:rsidRDefault="00B97880">
            <w:pPr>
              <w:suppressAutoHyphens/>
              <w:adjustRightInd w:val="0"/>
              <w:rPr>
                <w:rFonts w:eastAsia="맑은 고딕"/>
                <w:lang w:eastAsia="ko-KR"/>
              </w:rPr>
            </w:pPr>
            <w:r w:rsidRPr="00330234">
              <w:rPr>
                <w:rFonts w:eastAsia="맑은 고딕"/>
                <w:lang w:eastAsia="fr-FR"/>
              </w:rPr>
              <w:t>CELLTRION PORTUGAL, UNIPESSOAL LDA.</w:t>
            </w:r>
          </w:p>
          <w:p w14:paraId="482168D2" w14:textId="77777777" w:rsidR="00B97880" w:rsidRPr="00330234" w:rsidRDefault="00B97880">
            <w:pPr>
              <w:suppressAutoHyphens/>
              <w:rPr>
                <w:b/>
              </w:rPr>
            </w:pPr>
            <w:r w:rsidRPr="00330234">
              <w:t xml:space="preserve">Tel: </w:t>
            </w:r>
            <w:r w:rsidRPr="00330234">
              <w:rPr>
                <w:rFonts w:eastAsia="맑은 고딕"/>
                <w:lang w:eastAsia="fr-FR"/>
              </w:rPr>
              <w:t>+351 21 936 8542</w:t>
            </w:r>
          </w:p>
          <w:p w14:paraId="44BF2C69" w14:textId="77777777" w:rsidR="00B97880" w:rsidRPr="00330234" w:rsidRDefault="00B97880">
            <w:pPr>
              <w:suppressAutoHyphens/>
              <w:rPr>
                <w:b/>
              </w:rPr>
            </w:pPr>
          </w:p>
        </w:tc>
      </w:tr>
      <w:tr w:rsidR="000030F7" w:rsidRPr="00330234" w14:paraId="3E037846" w14:textId="77777777">
        <w:trPr>
          <w:cantSplit/>
        </w:trPr>
        <w:tc>
          <w:tcPr>
            <w:tcW w:w="2500" w:type="pct"/>
          </w:tcPr>
          <w:p w14:paraId="24E65B1C" w14:textId="77777777" w:rsidR="00B97880" w:rsidRPr="00330234" w:rsidRDefault="00B97880">
            <w:pPr>
              <w:suppressAutoHyphens/>
              <w:rPr>
                <w:b/>
                <w:lang w:eastAsia="ko-KR"/>
              </w:rPr>
            </w:pPr>
            <w:r w:rsidRPr="00330234">
              <w:rPr>
                <w:b/>
                <w:lang w:eastAsia="ko-KR"/>
              </w:rPr>
              <w:t>Hrvatska</w:t>
            </w:r>
          </w:p>
          <w:p w14:paraId="3441F7CC" w14:textId="77777777" w:rsidR="00B97880" w:rsidRPr="00330234" w:rsidRDefault="00B97880">
            <w:pPr>
              <w:suppressAutoHyphens/>
              <w:rPr>
                <w:lang w:eastAsia="ko-KR"/>
              </w:rPr>
            </w:pPr>
            <w:r w:rsidRPr="00330234">
              <w:rPr>
                <w:lang w:eastAsia="ko-KR"/>
              </w:rPr>
              <w:t>Oktal Pharma d.o.o.</w:t>
            </w:r>
          </w:p>
          <w:p w14:paraId="61CC108B" w14:textId="77777777" w:rsidR="00B97880" w:rsidRPr="00330234" w:rsidRDefault="00B97880">
            <w:pPr>
              <w:suppressAutoHyphens/>
              <w:rPr>
                <w:lang w:eastAsia="ko-KR"/>
              </w:rPr>
            </w:pPr>
            <w:r w:rsidRPr="00330234">
              <w:rPr>
                <w:lang w:eastAsia="ko-KR"/>
              </w:rPr>
              <w:t>Tel: +385 1 6595 777</w:t>
            </w:r>
          </w:p>
          <w:p w14:paraId="6CA3909D" w14:textId="77777777" w:rsidR="00B97880" w:rsidRPr="00330234" w:rsidRDefault="00B97880">
            <w:pPr>
              <w:suppressAutoHyphens/>
              <w:rPr>
                <w:rFonts w:eastAsia="맑은 고딕"/>
                <w:lang w:eastAsia="fr-FR"/>
              </w:rPr>
            </w:pPr>
          </w:p>
        </w:tc>
        <w:tc>
          <w:tcPr>
            <w:tcW w:w="2500" w:type="pct"/>
          </w:tcPr>
          <w:p w14:paraId="59EFDB5B" w14:textId="77777777" w:rsidR="00B97880" w:rsidRPr="00330234" w:rsidRDefault="00B97880">
            <w:pPr>
              <w:tabs>
                <w:tab w:val="left" w:pos="-720"/>
              </w:tabs>
              <w:suppressAutoHyphens/>
              <w:rPr>
                <w:rFonts w:eastAsia="맑은 고딕"/>
                <w:b/>
                <w:lang w:eastAsia="fr-FR"/>
              </w:rPr>
            </w:pPr>
            <w:r w:rsidRPr="00330234">
              <w:rPr>
                <w:b/>
              </w:rPr>
              <w:t>România</w:t>
            </w:r>
          </w:p>
          <w:p w14:paraId="61BF29DE"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Celltrion Healthcare Hungary Kft.</w:t>
            </w:r>
          </w:p>
          <w:p w14:paraId="7DB6147E" w14:textId="77777777" w:rsidR="00B97880" w:rsidRPr="00330234" w:rsidRDefault="00B97880">
            <w:pPr>
              <w:suppressAutoHyphens/>
              <w:rPr>
                <w:rFonts w:eastAsia="맑은 고딕"/>
                <w:lang w:eastAsia="fr-FR"/>
              </w:rPr>
            </w:pPr>
            <w:r w:rsidRPr="00330234">
              <w:rPr>
                <w:rFonts w:eastAsia="맑은 고딕"/>
                <w:lang w:eastAsia="fr-FR"/>
              </w:rPr>
              <w:t>Tel: +36 1 231 0493</w:t>
            </w:r>
          </w:p>
          <w:p w14:paraId="4D3D26B9" w14:textId="77777777" w:rsidR="00B97880" w:rsidRPr="00330234" w:rsidRDefault="00B97880">
            <w:pPr>
              <w:suppressAutoHyphens/>
              <w:rPr>
                <w:b/>
              </w:rPr>
            </w:pPr>
          </w:p>
        </w:tc>
      </w:tr>
      <w:tr w:rsidR="000030F7" w:rsidRPr="00330234" w14:paraId="725ABCAC" w14:textId="77777777">
        <w:trPr>
          <w:cantSplit/>
        </w:trPr>
        <w:tc>
          <w:tcPr>
            <w:tcW w:w="2500" w:type="pct"/>
          </w:tcPr>
          <w:p w14:paraId="2629F2F1" w14:textId="77777777" w:rsidR="00B97880" w:rsidRPr="00330234" w:rsidRDefault="00B97880">
            <w:pPr>
              <w:tabs>
                <w:tab w:val="left" w:pos="-720"/>
              </w:tabs>
              <w:suppressAutoHyphens/>
              <w:rPr>
                <w:lang w:eastAsia="fr-FR"/>
              </w:rPr>
            </w:pPr>
            <w:r w:rsidRPr="00330234">
              <w:rPr>
                <w:rFonts w:eastAsia="맑은 고딕"/>
                <w:b/>
                <w:lang w:eastAsia="fr-FR"/>
              </w:rPr>
              <w:lastRenderedPageBreak/>
              <w:t>Ireland</w:t>
            </w:r>
          </w:p>
          <w:p w14:paraId="3259D567" w14:textId="77777777" w:rsidR="00B97880" w:rsidRPr="00330234" w:rsidRDefault="00B97880">
            <w:pPr>
              <w:suppressAutoHyphens/>
              <w:rPr>
                <w:rFonts w:eastAsia="맑은 고딕"/>
                <w:lang w:eastAsia="fr-FR"/>
              </w:rPr>
            </w:pPr>
            <w:r w:rsidRPr="00330234">
              <w:rPr>
                <w:rFonts w:eastAsia="맑은 고딕"/>
                <w:lang w:eastAsia="fr-FR"/>
              </w:rPr>
              <w:t>Celltrion Healthcare Ireland Limited</w:t>
            </w:r>
          </w:p>
          <w:p w14:paraId="3B5C9FB1" w14:textId="77777777" w:rsidR="00B97880" w:rsidRPr="00330234" w:rsidRDefault="00B97880">
            <w:pPr>
              <w:suppressAutoHyphens/>
              <w:rPr>
                <w:rFonts w:eastAsia="맑은 고딕"/>
                <w:lang w:eastAsia="fr-FR"/>
              </w:rPr>
            </w:pPr>
            <w:r w:rsidRPr="00330234">
              <w:rPr>
                <w:rFonts w:eastAsia="맑은 고딕"/>
                <w:lang w:eastAsia="fr-FR"/>
              </w:rPr>
              <w:t>Tel: +353 1 223 4026</w:t>
            </w:r>
          </w:p>
          <w:p w14:paraId="6B6729E2" w14:textId="77777777" w:rsidR="00B97880" w:rsidRPr="00330234" w:rsidRDefault="00B97880">
            <w:pPr>
              <w:suppressAutoHyphens/>
              <w:rPr>
                <w:rFonts w:eastAsia="맑은 고딕"/>
                <w:lang w:eastAsia="fr-FR"/>
              </w:rPr>
            </w:pPr>
          </w:p>
        </w:tc>
        <w:tc>
          <w:tcPr>
            <w:tcW w:w="2500" w:type="pct"/>
          </w:tcPr>
          <w:p w14:paraId="6FBEA21C" w14:textId="77777777" w:rsidR="00B97880" w:rsidRPr="00330234" w:rsidRDefault="00B97880">
            <w:pPr>
              <w:suppressAutoHyphens/>
              <w:rPr>
                <w:rFonts w:eastAsia="맑은 고딕"/>
                <w:b/>
                <w:lang w:eastAsia="fr-FR"/>
              </w:rPr>
            </w:pPr>
            <w:r w:rsidRPr="00330234">
              <w:rPr>
                <w:rFonts w:eastAsia="맑은 고딕"/>
                <w:b/>
                <w:lang w:eastAsia="fr-FR"/>
              </w:rPr>
              <w:t>Slovenija</w:t>
            </w:r>
          </w:p>
          <w:p w14:paraId="7F5DF24C" w14:textId="77777777" w:rsidR="00B97880" w:rsidRPr="00330234" w:rsidRDefault="00B97880">
            <w:pPr>
              <w:suppressAutoHyphens/>
              <w:rPr>
                <w:rFonts w:eastAsia="맑은 고딕"/>
                <w:lang w:eastAsia="fr-FR"/>
              </w:rPr>
            </w:pPr>
            <w:r w:rsidRPr="00330234">
              <w:rPr>
                <w:rFonts w:eastAsia="맑은 고딕"/>
                <w:lang w:eastAsia="fr-FR"/>
              </w:rPr>
              <w:t>OPH Oktal Pharma d.o.o.</w:t>
            </w:r>
          </w:p>
          <w:p w14:paraId="52253DA0" w14:textId="77777777" w:rsidR="00B97880" w:rsidRPr="00330234" w:rsidRDefault="00B97880">
            <w:pPr>
              <w:suppressAutoHyphens/>
              <w:rPr>
                <w:rFonts w:eastAsia="맑은 고딕"/>
                <w:lang w:eastAsia="fr-FR"/>
              </w:rPr>
            </w:pPr>
            <w:r w:rsidRPr="00330234">
              <w:rPr>
                <w:rFonts w:eastAsia="맑은 고딕"/>
                <w:lang w:eastAsia="fr-FR"/>
              </w:rPr>
              <w:t>Tel.: +386 1 519 29 22</w:t>
            </w:r>
          </w:p>
          <w:p w14:paraId="79BA123E" w14:textId="77777777" w:rsidR="00B97880" w:rsidRPr="00330234" w:rsidRDefault="00B97880">
            <w:pPr>
              <w:suppressAutoHyphens/>
              <w:rPr>
                <w:b/>
              </w:rPr>
            </w:pPr>
          </w:p>
        </w:tc>
      </w:tr>
      <w:tr w:rsidR="000030F7" w:rsidRPr="00330234" w14:paraId="1172B769" w14:textId="77777777">
        <w:trPr>
          <w:cantSplit/>
        </w:trPr>
        <w:tc>
          <w:tcPr>
            <w:tcW w:w="2500" w:type="pct"/>
          </w:tcPr>
          <w:p w14:paraId="1E04FEE8" w14:textId="77777777" w:rsidR="00B97880" w:rsidRPr="00330234" w:rsidRDefault="00B97880">
            <w:pPr>
              <w:suppressAutoHyphens/>
              <w:rPr>
                <w:rFonts w:eastAsia="맑은 고딕"/>
                <w:lang w:eastAsia="fr-FR"/>
              </w:rPr>
            </w:pPr>
            <w:r w:rsidRPr="00330234">
              <w:rPr>
                <w:rFonts w:eastAsia="맑은 고딕"/>
                <w:b/>
                <w:lang w:eastAsia="fr-FR"/>
              </w:rPr>
              <w:t>Ísland</w:t>
            </w:r>
          </w:p>
          <w:p w14:paraId="40B3DDD4"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Celltrion Healthcare Hungary Kft.</w:t>
            </w:r>
          </w:p>
          <w:p w14:paraId="4F51D5CC" w14:textId="77777777" w:rsidR="00B97880" w:rsidRPr="00330234" w:rsidRDefault="00B97880">
            <w:pPr>
              <w:suppressAutoHyphens/>
              <w:rPr>
                <w:rFonts w:eastAsia="맑은 고딕"/>
                <w:lang w:eastAsia="fr-FR"/>
              </w:rPr>
            </w:pPr>
            <w:r w:rsidRPr="00330234">
              <w:rPr>
                <w:rFonts w:eastAsia="맑은 고딕"/>
                <w:lang w:eastAsia="fr-FR"/>
              </w:rPr>
              <w:t>Sími: +36 1 231 0493</w:t>
            </w:r>
          </w:p>
          <w:p w14:paraId="1183CD67" w14:textId="77777777" w:rsidR="00B97880" w:rsidRPr="00330234" w:rsidRDefault="00B97880">
            <w:pPr>
              <w:suppressAutoHyphens/>
              <w:rPr>
                <w:rFonts w:eastAsia="맑은 고딕"/>
                <w:lang w:eastAsia="fr-FR"/>
              </w:rPr>
            </w:pPr>
          </w:p>
        </w:tc>
        <w:tc>
          <w:tcPr>
            <w:tcW w:w="2500" w:type="pct"/>
          </w:tcPr>
          <w:p w14:paraId="086B972D" w14:textId="77777777" w:rsidR="00B97880" w:rsidRPr="00330234" w:rsidRDefault="00B97880">
            <w:pPr>
              <w:suppressAutoHyphens/>
              <w:rPr>
                <w:rFonts w:eastAsia="맑은 고딕"/>
                <w:b/>
                <w:lang w:eastAsia="fr-FR"/>
              </w:rPr>
            </w:pPr>
            <w:r w:rsidRPr="00330234">
              <w:rPr>
                <w:b/>
              </w:rPr>
              <w:t>Slovenská republika</w:t>
            </w:r>
          </w:p>
          <w:p w14:paraId="22935A03"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Celltrion Healthcare Hungary Kft.</w:t>
            </w:r>
          </w:p>
          <w:p w14:paraId="09F0F591" w14:textId="77777777" w:rsidR="00B97880" w:rsidRPr="00330234" w:rsidRDefault="00B97880">
            <w:pPr>
              <w:suppressAutoHyphens/>
              <w:rPr>
                <w:rFonts w:eastAsia="맑은 고딕"/>
                <w:lang w:eastAsia="fr-FR"/>
              </w:rPr>
            </w:pPr>
            <w:r w:rsidRPr="00330234">
              <w:rPr>
                <w:rFonts w:eastAsia="맑은 고딕"/>
                <w:lang w:eastAsia="fr-FR"/>
              </w:rPr>
              <w:t>Tel: +36 1 231 0493</w:t>
            </w:r>
          </w:p>
          <w:p w14:paraId="7C09724C" w14:textId="77777777" w:rsidR="00B97880" w:rsidRPr="00330234" w:rsidRDefault="00B97880">
            <w:pPr>
              <w:suppressAutoHyphens/>
              <w:rPr>
                <w:rFonts w:eastAsia="맑은 고딕"/>
                <w:b/>
                <w:lang w:eastAsia="fr-FR"/>
              </w:rPr>
            </w:pPr>
          </w:p>
        </w:tc>
      </w:tr>
      <w:tr w:rsidR="000030F7" w:rsidRPr="00330234" w14:paraId="790E5199" w14:textId="77777777">
        <w:trPr>
          <w:cantSplit/>
        </w:trPr>
        <w:tc>
          <w:tcPr>
            <w:tcW w:w="2500" w:type="pct"/>
          </w:tcPr>
          <w:p w14:paraId="78F2FCE6" w14:textId="77777777" w:rsidR="00B97880" w:rsidRPr="00330234" w:rsidRDefault="00B97880">
            <w:pPr>
              <w:suppressAutoHyphens/>
              <w:rPr>
                <w:lang w:eastAsia="fr-FR"/>
              </w:rPr>
            </w:pPr>
            <w:r w:rsidRPr="00330234">
              <w:rPr>
                <w:rFonts w:eastAsia="맑은 고딕"/>
                <w:b/>
                <w:lang w:eastAsia="fr-FR"/>
              </w:rPr>
              <w:t>Italia</w:t>
            </w:r>
          </w:p>
          <w:p w14:paraId="1CDD07E1" w14:textId="77777777" w:rsidR="00B97880" w:rsidRPr="00330234" w:rsidRDefault="00B97880">
            <w:pPr>
              <w:suppressAutoHyphens/>
              <w:rPr>
                <w:rFonts w:eastAsia="맑은 고딕"/>
                <w:lang w:eastAsia="fr-FR"/>
              </w:rPr>
            </w:pPr>
            <w:r w:rsidRPr="00330234">
              <w:rPr>
                <w:rFonts w:eastAsia="맑은 고딕"/>
                <w:lang w:eastAsia="fr-FR"/>
              </w:rPr>
              <w:t>Celltrion Healthcare Italy S.r.l.</w:t>
            </w:r>
          </w:p>
          <w:p w14:paraId="6684142F" w14:textId="77777777" w:rsidR="00B97880" w:rsidRPr="00330234" w:rsidRDefault="00B97880">
            <w:pPr>
              <w:suppressAutoHyphens/>
              <w:rPr>
                <w:rFonts w:eastAsia="맑은 고딕"/>
                <w:lang w:eastAsia="fr-FR"/>
              </w:rPr>
            </w:pPr>
            <w:r w:rsidRPr="00330234">
              <w:rPr>
                <w:rFonts w:eastAsia="맑은 고딕"/>
                <w:lang w:eastAsia="fr-FR"/>
              </w:rPr>
              <w:t>Tel: +39 02 47927040</w:t>
            </w:r>
          </w:p>
          <w:p w14:paraId="740739EB" w14:textId="77777777" w:rsidR="00B97880" w:rsidRPr="00330234" w:rsidRDefault="00B97880">
            <w:pPr>
              <w:suppressAutoHyphens/>
              <w:rPr>
                <w:rFonts w:eastAsia="맑은 고딕"/>
                <w:lang w:eastAsia="fr-FR"/>
              </w:rPr>
            </w:pPr>
          </w:p>
        </w:tc>
        <w:tc>
          <w:tcPr>
            <w:tcW w:w="2500" w:type="pct"/>
          </w:tcPr>
          <w:p w14:paraId="5445ED52" w14:textId="77777777" w:rsidR="00B97880" w:rsidRPr="00330234" w:rsidRDefault="00B97880">
            <w:pPr>
              <w:suppressAutoHyphens/>
              <w:rPr>
                <w:lang w:eastAsia="fr-FR"/>
              </w:rPr>
            </w:pPr>
            <w:r w:rsidRPr="00330234">
              <w:rPr>
                <w:rFonts w:eastAsia="맑은 고딕"/>
                <w:b/>
                <w:lang w:eastAsia="fr-FR"/>
              </w:rPr>
              <w:t>Suomi/Finland</w:t>
            </w:r>
          </w:p>
          <w:p w14:paraId="19AE53DC"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 xml:space="preserve">Celltrion Healthcare Finland Oy. </w:t>
            </w:r>
          </w:p>
          <w:p w14:paraId="4FD3D612" w14:textId="54B134F2" w:rsidR="00B97880" w:rsidRDefault="00B97880">
            <w:pPr>
              <w:suppressAutoHyphens/>
              <w:adjustRightInd w:val="0"/>
              <w:rPr>
                <w:rFonts w:eastAsia="맑은 고딕"/>
                <w:lang w:eastAsia="fr-FR"/>
              </w:rPr>
            </w:pPr>
            <w:r w:rsidRPr="00330234">
              <w:rPr>
                <w:rFonts w:eastAsia="맑은 고딕"/>
                <w:lang w:eastAsia="fr-FR"/>
              </w:rPr>
              <w:t>Tel: +358 29 170 7755</w:t>
            </w:r>
          </w:p>
          <w:p w14:paraId="47BCDF32" w14:textId="2D965007" w:rsidR="00A14D1E" w:rsidRPr="00144E79" w:rsidRDefault="00A14D1E" w:rsidP="00144E79">
            <w:pPr>
              <w:adjustRightInd w:val="0"/>
              <w:rPr>
                <w:rFonts w:eastAsia="맑은 고딕"/>
                <w:noProof/>
                <w:lang w:eastAsia="ko-KR"/>
              </w:rPr>
            </w:pPr>
            <w:r w:rsidRPr="00144E79">
              <w:rPr>
                <w:rFonts w:eastAsia="맑은 고딕"/>
                <w:noProof/>
                <w:lang w:eastAsia="ko-KR"/>
              </w:rPr>
              <w:t xml:space="preserve">contact_fi@celltrionhc.com </w:t>
            </w:r>
          </w:p>
          <w:p w14:paraId="0CC83E65" w14:textId="77777777" w:rsidR="00B97880" w:rsidRPr="00330234" w:rsidRDefault="00B97880">
            <w:pPr>
              <w:suppressAutoHyphens/>
              <w:adjustRightInd w:val="0"/>
              <w:rPr>
                <w:rFonts w:eastAsia="맑은 고딕"/>
                <w:lang w:eastAsia="ko-KR"/>
              </w:rPr>
            </w:pPr>
          </w:p>
        </w:tc>
      </w:tr>
      <w:tr w:rsidR="000030F7" w:rsidRPr="00330234" w14:paraId="04F3EB91" w14:textId="77777777">
        <w:trPr>
          <w:cantSplit/>
        </w:trPr>
        <w:tc>
          <w:tcPr>
            <w:tcW w:w="2500" w:type="pct"/>
          </w:tcPr>
          <w:p w14:paraId="355D6187" w14:textId="77777777" w:rsidR="00B97880" w:rsidRPr="00330234" w:rsidRDefault="00B97880">
            <w:pPr>
              <w:tabs>
                <w:tab w:val="left" w:pos="-720"/>
              </w:tabs>
              <w:suppressAutoHyphens/>
              <w:rPr>
                <w:b/>
                <w:bCs/>
                <w:lang w:eastAsia="fr-FR"/>
              </w:rPr>
            </w:pPr>
            <w:r w:rsidRPr="00330234">
              <w:rPr>
                <w:b/>
              </w:rPr>
              <w:t>Κύπρος</w:t>
            </w:r>
          </w:p>
          <w:p w14:paraId="5A735720" w14:textId="77777777" w:rsidR="00B97880" w:rsidRPr="00330234" w:rsidRDefault="00B97880">
            <w:pPr>
              <w:tabs>
                <w:tab w:val="left" w:pos="-720"/>
              </w:tabs>
              <w:suppressAutoHyphens/>
              <w:rPr>
                <w:rFonts w:eastAsia="맑은 고딕"/>
                <w:lang w:eastAsia="ko-KR"/>
              </w:rPr>
            </w:pPr>
            <w:r w:rsidRPr="00330234">
              <w:rPr>
                <w:rFonts w:eastAsia="맑은 고딕"/>
                <w:lang w:eastAsia="fr-FR"/>
              </w:rPr>
              <w:t>C.A. Papaellinas Ltd</w:t>
            </w:r>
          </w:p>
          <w:p w14:paraId="15E253B9" w14:textId="77777777" w:rsidR="00B97880" w:rsidRPr="00330234" w:rsidRDefault="00B97880">
            <w:pPr>
              <w:suppressAutoHyphens/>
              <w:adjustRightInd w:val="0"/>
              <w:rPr>
                <w:rFonts w:eastAsia="맑은 고딕"/>
                <w:b/>
                <w:bCs/>
                <w:lang w:eastAsia="fr-FR"/>
              </w:rPr>
            </w:pPr>
            <w:r w:rsidRPr="00330234">
              <w:t xml:space="preserve">Τηλ: </w:t>
            </w:r>
            <w:r w:rsidRPr="00330234">
              <w:rPr>
                <w:rFonts w:eastAsia="맑은 고딕"/>
                <w:lang w:eastAsia="fr-FR"/>
              </w:rPr>
              <w:t>+357 22741741</w:t>
            </w:r>
          </w:p>
          <w:p w14:paraId="26B2A5AB" w14:textId="77777777" w:rsidR="00B97880" w:rsidRPr="00330234" w:rsidRDefault="00B97880">
            <w:pPr>
              <w:suppressAutoHyphens/>
              <w:adjustRightInd w:val="0"/>
              <w:rPr>
                <w:rFonts w:eastAsia="맑은 고딕"/>
                <w:b/>
                <w:lang w:eastAsia="fr-FR"/>
              </w:rPr>
            </w:pPr>
          </w:p>
        </w:tc>
        <w:tc>
          <w:tcPr>
            <w:tcW w:w="2500" w:type="pct"/>
          </w:tcPr>
          <w:p w14:paraId="2E8A5336" w14:textId="77777777" w:rsidR="00B97880" w:rsidRPr="00330234" w:rsidRDefault="00B97880">
            <w:pPr>
              <w:tabs>
                <w:tab w:val="left" w:pos="-720"/>
              </w:tabs>
              <w:suppressAutoHyphens/>
              <w:rPr>
                <w:b/>
                <w:lang w:eastAsia="fr-FR"/>
              </w:rPr>
            </w:pPr>
            <w:r w:rsidRPr="00330234">
              <w:rPr>
                <w:b/>
              </w:rPr>
              <w:t>Sverige</w:t>
            </w:r>
          </w:p>
          <w:p w14:paraId="0BA6FA0A" w14:textId="575855AE" w:rsidR="00B97880" w:rsidRDefault="00B97880">
            <w:pPr>
              <w:tabs>
                <w:tab w:val="left" w:pos="-720"/>
              </w:tabs>
              <w:suppressAutoHyphens/>
              <w:rPr>
                <w:rFonts w:eastAsia="맑은 고딕"/>
                <w:lang w:eastAsia="ko-KR"/>
              </w:rPr>
            </w:pPr>
            <w:r w:rsidRPr="00330234">
              <w:rPr>
                <w:rFonts w:eastAsia="맑은 고딕"/>
                <w:lang w:eastAsia="fr-FR"/>
              </w:rPr>
              <w:t xml:space="preserve">Celltrion </w:t>
            </w:r>
            <w:r w:rsidR="000E5726">
              <w:rPr>
                <w:rFonts w:eastAsia="맑은 고딕" w:hint="eastAsia"/>
                <w:lang w:eastAsia="ko-KR"/>
              </w:rPr>
              <w:t>Sweden AB</w:t>
            </w:r>
          </w:p>
          <w:p w14:paraId="72DBDA43" w14:textId="3864FDB9" w:rsidR="00A14D1E" w:rsidRPr="00330234" w:rsidRDefault="00A14D1E">
            <w:pPr>
              <w:tabs>
                <w:tab w:val="left" w:pos="-720"/>
              </w:tabs>
              <w:suppressAutoHyphens/>
              <w:rPr>
                <w:rFonts w:eastAsia="맑은 고딕"/>
                <w:noProof/>
                <w:lang w:eastAsia="ko-KR"/>
              </w:rPr>
            </w:pPr>
            <w:r>
              <w:rPr>
                <w:rFonts w:eastAsia="맑은 고딕" w:hint="eastAsia"/>
                <w:noProof/>
                <w:lang w:eastAsia="ko-KR"/>
              </w:rPr>
              <w:t>Tel: +46 8 80 11 77</w:t>
            </w:r>
          </w:p>
          <w:p w14:paraId="1FD306AF" w14:textId="2D491550" w:rsidR="00B97880" w:rsidRPr="00330234" w:rsidRDefault="00A14D1E">
            <w:pPr>
              <w:tabs>
                <w:tab w:val="left" w:pos="-720"/>
              </w:tabs>
              <w:suppressAutoHyphens/>
              <w:rPr>
                <w:rFonts w:eastAsia="맑은 고딕"/>
                <w:b/>
                <w:lang w:eastAsia="fr-FR"/>
              </w:rPr>
            </w:pPr>
            <w:r>
              <w:rPr>
                <w:rFonts w:eastAsia="맑은 고딕"/>
                <w:lang w:eastAsia="fr-FR"/>
              </w:rPr>
              <w:t>C</w:t>
            </w:r>
            <w:r w:rsidR="000E5726" w:rsidRPr="000E5726">
              <w:rPr>
                <w:rFonts w:eastAsia="맑은 고딕"/>
                <w:lang w:eastAsia="fr-FR"/>
              </w:rPr>
              <w:t>ontact_se@celltrionhc.com</w:t>
            </w:r>
          </w:p>
          <w:p w14:paraId="7DB43220" w14:textId="77777777" w:rsidR="00B97880" w:rsidRPr="00330234" w:rsidRDefault="00B97880">
            <w:pPr>
              <w:tabs>
                <w:tab w:val="left" w:pos="-720"/>
              </w:tabs>
              <w:suppressAutoHyphens/>
              <w:rPr>
                <w:rFonts w:eastAsia="맑은 고딕"/>
                <w:b/>
                <w:lang w:eastAsia="fr-FR"/>
              </w:rPr>
            </w:pPr>
          </w:p>
        </w:tc>
      </w:tr>
      <w:tr w:rsidR="000030F7" w:rsidRPr="00330234" w14:paraId="3937FA9A" w14:textId="77777777">
        <w:trPr>
          <w:cantSplit/>
        </w:trPr>
        <w:tc>
          <w:tcPr>
            <w:tcW w:w="2500" w:type="pct"/>
          </w:tcPr>
          <w:p w14:paraId="1CA0C98F" w14:textId="77777777" w:rsidR="00B97880" w:rsidRPr="00330234" w:rsidRDefault="00B97880">
            <w:pPr>
              <w:suppressAutoHyphens/>
              <w:rPr>
                <w:rFonts w:eastAsia="맑은 고딕"/>
                <w:b/>
                <w:lang w:eastAsia="fr-FR"/>
              </w:rPr>
            </w:pPr>
            <w:r w:rsidRPr="00330234">
              <w:rPr>
                <w:rFonts w:eastAsia="맑은 고딕"/>
                <w:b/>
                <w:lang w:eastAsia="fr-FR"/>
              </w:rPr>
              <w:t>Latvija</w:t>
            </w:r>
          </w:p>
          <w:p w14:paraId="5F61290C" w14:textId="77777777" w:rsidR="00B97880" w:rsidRPr="00330234" w:rsidRDefault="00B97880">
            <w:pPr>
              <w:tabs>
                <w:tab w:val="left" w:pos="-720"/>
              </w:tabs>
              <w:suppressAutoHyphens/>
              <w:rPr>
                <w:rFonts w:eastAsia="맑은 고딕"/>
                <w:lang w:eastAsia="fr-FR"/>
              </w:rPr>
            </w:pPr>
            <w:r w:rsidRPr="00330234">
              <w:rPr>
                <w:rFonts w:eastAsia="맑은 고딕"/>
                <w:lang w:eastAsia="fr-FR"/>
              </w:rPr>
              <w:t>Celltrion Healthcare Hungary Kft.</w:t>
            </w:r>
          </w:p>
          <w:p w14:paraId="2D7090BF" w14:textId="77777777" w:rsidR="00B97880" w:rsidRPr="00330234" w:rsidRDefault="00B97880">
            <w:pPr>
              <w:suppressAutoHyphens/>
              <w:adjustRightInd w:val="0"/>
              <w:rPr>
                <w:rFonts w:eastAsia="맑은 고딕"/>
                <w:lang w:eastAsia="fr-FR"/>
              </w:rPr>
            </w:pPr>
            <w:r w:rsidRPr="00330234">
              <w:rPr>
                <w:rFonts w:eastAsia="맑은 고딕"/>
                <w:lang w:eastAsia="fr-FR"/>
              </w:rPr>
              <w:t>Tālr.: +36 1 231 0493</w:t>
            </w:r>
          </w:p>
          <w:p w14:paraId="526DABA1" w14:textId="77777777" w:rsidR="00B97880" w:rsidRPr="00330234" w:rsidRDefault="00B97880">
            <w:pPr>
              <w:suppressAutoHyphens/>
              <w:adjustRightInd w:val="0"/>
              <w:rPr>
                <w:rFonts w:eastAsia="맑은 고딕"/>
                <w:b/>
                <w:bCs/>
                <w:lang w:eastAsia="fr-FR"/>
              </w:rPr>
            </w:pPr>
          </w:p>
        </w:tc>
        <w:tc>
          <w:tcPr>
            <w:tcW w:w="2500" w:type="pct"/>
          </w:tcPr>
          <w:p w14:paraId="545E1AD3" w14:textId="77777777" w:rsidR="00B97880" w:rsidRPr="00330234" w:rsidRDefault="00B97880">
            <w:pPr>
              <w:tabs>
                <w:tab w:val="left" w:pos="-720"/>
              </w:tabs>
              <w:suppressAutoHyphens/>
              <w:rPr>
                <w:rFonts w:eastAsia="맑은 고딕"/>
                <w:b/>
                <w:lang w:eastAsia="fr-FR"/>
              </w:rPr>
            </w:pPr>
          </w:p>
        </w:tc>
      </w:tr>
    </w:tbl>
    <w:p w14:paraId="1F53BD9C" w14:textId="77777777" w:rsidR="00436DAA" w:rsidRPr="00330234" w:rsidRDefault="00436DAA" w:rsidP="00BD109B">
      <w:pPr>
        <w:pStyle w:val="a3"/>
        <w:widowControl/>
        <w:ind w:left="0"/>
      </w:pPr>
    </w:p>
    <w:p w14:paraId="5DA5EB08" w14:textId="77777777" w:rsidR="00B97880" w:rsidRPr="004A769F" w:rsidRDefault="009B4B8E" w:rsidP="004A769F">
      <w:pPr>
        <w:rPr>
          <w:b/>
          <w:bCs/>
        </w:rPr>
      </w:pPr>
      <w:r w:rsidRPr="004A769F">
        <w:rPr>
          <w:b/>
          <w:bCs/>
        </w:rPr>
        <w:t xml:space="preserve">Deze bijsluiter is voor het laatst goedgekeurd in </w:t>
      </w:r>
    </w:p>
    <w:p w14:paraId="608847C8" w14:textId="77777777" w:rsidR="00B97880" w:rsidRPr="004A769F" w:rsidRDefault="00B97880" w:rsidP="000571FE">
      <w:pPr>
        <w:rPr>
          <w:b/>
          <w:bCs/>
        </w:rPr>
      </w:pPr>
    </w:p>
    <w:p w14:paraId="6A9DD9D8" w14:textId="4136708A" w:rsidR="00436DAA" w:rsidRPr="004A769F" w:rsidRDefault="009B4B8E" w:rsidP="004A769F">
      <w:pPr>
        <w:rPr>
          <w:b/>
          <w:bCs/>
        </w:rPr>
      </w:pPr>
      <w:r w:rsidRPr="004A769F">
        <w:rPr>
          <w:b/>
          <w:bCs/>
        </w:rPr>
        <w:t>Andere informatiebronnen</w:t>
      </w:r>
    </w:p>
    <w:p w14:paraId="44BB1AF2" w14:textId="59C368BE" w:rsidR="00436DAA" w:rsidRPr="00330234" w:rsidRDefault="009B4B8E" w:rsidP="00BD109B">
      <w:pPr>
        <w:pStyle w:val="a3"/>
        <w:widowControl/>
        <w:ind w:left="0"/>
      </w:pPr>
      <w:r w:rsidRPr="00330234">
        <w:t xml:space="preserve">Meer informatie over dit geneesmiddel is beschikbaar op de website van het Europees Geneesmiddelenbureau: </w:t>
      </w:r>
      <w:hyperlink r:id="rId23" w:history="1">
        <w:r w:rsidR="00524F62" w:rsidRPr="00524F62">
          <w:rPr>
            <w:rStyle w:val="ab"/>
          </w:rPr>
          <w:t>http</w:t>
        </w:r>
        <w:r w:rsidR="00524F62" w:rsidRPr="00405901">
          <w:rPr>
            <w:rStyle w:val="ab"/>
            <w:rFonts w:eastAsia="맑은 고딕" w:hint="eastAsia"/>
            <w:lang w:eastAsia="ko-KR"/>
          </w:rPr>
          <w:t>s</w:t>
        </w:r>
        <w:r w:rsidR="00524F62" w:rsidRPr="00524F62">
          <w:rPr>
            <w:rStyle w:val="ab"/>
          </w:rPr>
          <w:t>://www.ema.europa.eu</w:t>
        </w:r>
      </w:hyperlink>
      <w:r w:rsidRPr="00330234">
        <w:t>.</w:t>
      </w:r>
    </w:p>
    <w:p w14:paraId="11F17020" w14:textId="77777777" w:rsidR="00436DAA" w:rsidRPr="00330234" w:rsidRDefault="00436DAA" w:rsidP="00BD109B">
      <w:pPr>
        <w:widowControl/>
      </w:pPr>
    </w:p>
    <w:p w14:paraId="44859B00" w14:textId="36FA5816" w:rsidR="00436DAA" w:rsidRPr="00330234" w:rsidRDefault="00631B32" w:rsidP="004A769F">
      <w:r w:rsidRPr="00330234">
        <w:br w:type="page"/>
      </w:r>
      <w:r w:rsidR="009B4B8E" w:rsidRPr="004A769F">
        <w:rPr>
          <w:b/>
          <w:bCs/>
        </w:rPr>
        <w:lastRenderedPageBreak/>
        <w:t>De volgende informatie is alleen bestemd voor beroepsbeoefenaren in de gezondheidszorg:</w:t>
      </w:r>
    </w:p>
    <w:p w14:paraId="54983B0C" w14:textId="77777777" w:rsidR="00436DAA" w:rsidRPr="00330234" w:rsidRDefault="00436DAA" w:rsidP="00BD109B">
      <w:pPr>
        <w:pStyle w:val="a3"/>
        <w:widowControl/>
        <w:ind w:left="0"/>
        <w:rPr>
          <w:b/>
        </w:rPr>
      </w:pPr>
    </w:p>
    <w:p w14:paraId="6F1E1259" w14:textId="77777777" w:rsidR="00436DAA" w:rsidRPr="00330234" w:rsidRDefault="009B4B8E" w:rsidP="00BD109B">
      <w:pPr>
        <w:widowControl/>
        <w:rPr>
          <w:b/>
        </w:rPr>
      </w:pPr>
      <w:r w:rsidRPr="00330234">
        <w:rPr>
          <w:b/>
        </w:rPr>
        <w:t>Instructies voor verdunning voorafgaand aan toediening</w:t>
      </w:r>
    </w:p>
    <w:p w14:paraId="6FB2DC1C" w14:textId="0FE74364" w:rsidR="00436DAA" w:rsidRPr="00330234" w:rsidRDefault="009B4B8E" w:rsidP="00BD109B">
      <w:pPr>
        <w:pStyle w:val="a3"/>
        <w:widowControl/>
        <w:ind w:left="0"/>
      </w:pPr>
      <w:r w:rsidRPr="00330234">
        <w:t xml:space="preserve">Parenterale geneesmiddelen dienen voor gebruik geïnspecteerd te worden op aanwezigheid van deeltjes of verkleuring. Alleen oplossingen die helder tot </w:t>
      </w:r>
      <w:r w:rsidR="00417CB3">
        <w:t>enigszins</w:t>
      </w:r>
      <w:r w:rsidR="00417CB3" w:rsidRPr="00330234">
        <w:t xml:space="preserve"> </w:t>
      </w:r>
      <w:r w:rsidRPr="00330234">
        <w:t xml:space="preserve">doorschijnend, kleurloos of lichtgeel en vrij van zichtbare deeltjes zijn, mogen worden verdund. Gebruik een steriele naald en spuit om </w:t>
      </w:r>
      <w:r w:rsidR="00DB22D7" w:rsidRPr="00330234">
        <w:t>Avtozma</w:t>
      </w:r>
      <w:r w:rsidRPr="00330234">
        <w:t xml:space="preserve"> te bereiden.</w:t>
      </w:r>
      <w:r w:rsidR="00417CB3">
        <w:t xml:space="preserve"> </w:t>
      </w:r>
      <w:r w:rsidR="00417CB3" w:rsidRPr="00330234">
        <w:t>Voor infuuszakken gemaakt van polyvinylchloride (PVC) moeten infuuszakken worden gebruikt die vrij zijn van di(2</w:t>
      </w:r>
      <w:r w:rsidR="00417CB3" w:rsidRPr="00330234">
        <w:noBreakHyphen/>
        <w:t>ethylhexyl)ftalaat (DEHP</w:t>
      </w:r>
      <w:r w:rsidR="00417CB3" w:rsidRPr="00330234">
        <w:noBreakHyphen/>
        <w:t>vrij).</w:t>
      </w:r>
    </w:p>
    <w:p w14:paraId="3BB32112" w14:textId="77777777" w:rsidR="00436DAA" w:rsidRPr="00330234" w:rsidRDefault="00436DAA" w:rsidP="00BD109B">
      <w:pPr>
        <w:pStyle w:val="a3"/>
        <w:widowControl/>
        <w:ind w:left="0"/>
      </w:pPr>
    </w:p>
    <w:p w14:paraId="620895F7" w14:textId="77777777" w:rsidR="00436DAA" w:rsidRPr="004A769F" w:rsidRDefault="009B4B8E" w:rsidP="004A769F">
      <w:pPr>
        <w:rPr>
          <w:b/>
          <w:bCs/>
        </w:rPr>
      </w:pPr>
      <w:r w:rsidRPr="004A769F">
        <w:rPr>
          <w:b/>
          <w:bCs/>
        </w:rPr>
        <w:t>Volwassen RA-, COVID-19- en CRS-patiënten (≥ 30 kg)</w:t>
      </w:r>
    </w:p>
    <w:p w14:paraId="5E8984AA" w14:textId="7A2A3C0B" w:rsidR="00436DAA" w:rsidRPr="00330234" w:rsidRDefault="009B4B8E" w:rsidP="00631B32">
      <w:pPr>
        <w:pStyle w:val="a3"/>
        <w:widowControl/>
        <w:ind w:left="0"/>
      </w:pPr>
      <w:r w:rsidRPr="00330234">
        <w:t>Onttrek, onder aseptische omstandigheden, een volume steriele, pyrogeenvrije natriumchloride</w:t>
      </w:r>
      <w:r w:rsidR="00631B32" w:rsidRPr="00330234">
        <w:t xml:space="preserve"> </w:t>
      </w:r>
      <w:r w:rsidRPr="00330234">
        <w:t>9</w:t>
      </w:r>
      <w:r w:rsidR="00631B32" w:rsidRPr="00330234">
        <w:t> </w:t>
      </w:r>
      <w:r w:rsidRPr="00330234">
        <w:t>mg/ml (0,9 %)</w:t>
      </w:r>
      <w:r w:rsidR="00222DE4" w:rsidRPr="00222DE4">
        <w:t xml:space="preserve"> </w:t>
      </w:r>
      <w:r w:rsidR="00222DE4" w:rsidRPr="00330234">
        <w:t>of 4,5 mg/ml (0,45%)</w:t>
      </w:r>
      <w:r w:rsidRPr="00330234">
        <w:t xml:space="preserve"> oplossing voor injectie vanuit een 100 ml infuuszak dat gelijk is aan het volume van </w:t>
      </w:r>
      <w:r w:rsidR="00DB22D7" w:rsidRPr="00330234">
        <w:t>Avtozma</w:t>
      </w:r>
      <w:r w:rsidRPr="00330234">
        <w:t xml:space="preserve">-concentraat dat nodig is voor de dosis van de patiënt. De benodigde hoeveelheid </w:t>
      </w:r>
      <w:r w:rsidR="00DB22D7" w:rsidRPr="00330234">
        <w:t>Avtozma</w:t>
      </w:r>
      <w:r w:rsidRPr="00330234">
        <w:t>-concentraat (</w:t>
      </w:r>
      <w:r w:rsidRPr="00330234">
        <w:rPr>
          <w:b/>
        </w:rPr>
        <w:t>0,4 ml/kg</w:t>
      </w:r>
      <w:r w:rsidRPr="00330234">
        <w:t>) moet uit de injectieflacon worden getrokken en in de infuuszak van 100 ml worden gespoten. Dit dient te resulteren in een eindvolume van 100 ml. Voor het mengen van de oplossing de infuuszak voorzichtig omkeren, om schuimvorming te voorkomen.</w:t>
      </w:r>
    </w:p>
    <w:p w14:paraId="2E90A92B" w14:textId="77777777" w:rsidR="00631B32" w:rsidRPr="00330234" w:rsidRDefault="00631B32" w:rsidP="00631B32">
      <w:pPr>
        <w:pStyle w:val="a3"/>
        <w:widowControl/>
        <w:ind w:left="0"/>
      </w:pPr>
    </w:p>
    <w:p w14:paraId="747A079A" w14:textId="77777777" w:rsidR="00631B32" w:rsidRPr="00330234" w:rsidRDefault="009B4B8E" w:rsidP="004A769F">
      <w:r w:rsidRPr="004A769F">
        <w:rPr>
          <w:b/>
          <w:bCs/>
        </w:rPr>
        <w:t>Gebruik bij pediatrische patiënten</w:t>
      </w:r>
    </w:p>
    <w:p w14:paraId="157C6E00" w14:textId="77777777" w:rsidR="00631B32" w:rsidRPr="004A769F" w:rsidRDefault="00631B32" w:rsidP="000571FE">
      <w:pPr>
        <w:rPr>
          <w:b/>
          <w:bCs/>
        </w:rPr>
      </w:pPr>
    </w:p>
    <w:p w14:paraId="5CB354A2" w14:textId="08829AE1" w:rsidR="00436DAA" w:rsidRPr="004A769F" w:rsidRDefault="009B4B8E" w:rsidP="004A769F">
      <w:pPr>
        <w:rPr>
          <w:b/>
          <w:bCs/>
        </w:rPr>
      </w:pPr>
      <w:r w:rsidRPr="004A769F">
        <w:rPr>
          <w:b/>
          <w:bCs/>
        </w:rPr>
        <w:t>sJIA-, pJIA- en CRS-patiënten ≥ 30 kg</w:t>
      </w:r>
    </w:p>
    <w:p w14:paraId="5676B1FA" w14:textId="3243C11B" w:rsidR="00436DAA" w:rsidRPr="00330234" w:rsidRDefault="009B4B8E" w:rsidP="00631B32">
      <w:pPr>
        <w:pStyle w:val="a3"/>
        <w:widowControl/>
        <w:ind w:left="0"/>
      </w:pPr>
      <w:r w:rsidRPr="00330234">
        <w:t>Onttrek, onder aseptische omstandigheden, een volume steriele, pyrogeenvrije natriumchloride 9</w:t>
      </w:r>
      <w:r w:rsidR="00631B32" w:rsidRPr="00330234">
        <w:t> </w:t>
      </w:r>
      <w:r w:rsidRPr="00330234">
        <w:t xml:space="preserve">mg/ml (0,9%) </w:t>
      </w:r>
      <w:r w:rsidR="00417CB3" w:rsidRPr="00330234">
        <w:t xml:space="preserve">of 4,5 mg/ml (0,45%) </w:t>
      </w:r>
      <w:r w:rsidRPr="00330234">
        <w:t xml:space="preserve">oplossing voor injectie vanuit een 100 ml infuuszak dat gelijk is aan het volume </w:t>
      </w:r>
      <w:r w:rsidR="00DB22D7" w:rsidRPr="00330234">
        <w:t>Avtozma</w:t>
      </w:r>
      <w:r w:rsidRPr="00330234">
        <w:t>-concentraat dat nodig is voor de dosis van de patiënt. De benodigde hoeveelheid</w:t>
      </w:r>
      <w:r w:rsidR="00631B32" w:rsidRPr="00330234">
        <w:t xml:space="preserve"> </w:t>
      </w:r>
      <w:r w:rsidR="00DB22D7" w:rsidRPr="00330234">
        <w:t>Avtozma</w:t>
      </w:r>
      <w:r w:rsidRPr="00330234">
        <w:t>-concentraat (</w:t>
      </w:r>
      <w:r w:rsidRPr="00330234">
        <w:rPr>
          <w:b/>
        </w:rPr>
        <w:t>0,4 ml/kg</w:t>
      </w:r>
      <w:r w:rsidRPr="00330234">
        <w:t>) moet uit de injectieflacon worden getrokken en in de infuuszak van 100 ml worden gespoten. Dit dient te resulteren in een totaalvolume van 100 ml. Voor het mengen van de oplossing de infuuszak voorzichtig omkeren, om schuimvorming te voorkomen.</w:t>
      </w:r>
    </w:p>
    <w:p w14:paraId="2296ACDF" w14:textId="77777777" w:rsidR="00436DAA" w:rsidRPr="00330234" w:rsidRDefault="00436DAA" w:rsidP="00BD109B">
      <w:pPr>
        <w:pStyle w:val="a3"/>
        <w:widowControl/>
        <w:ind w:left="0"/>
      </w:pPr>
    </w:p>
    <w:p w14:paraId="0972B3D1" w14:textId="77777777" w:rsidR="00436DAA" w:rsidRPr="004A769F" w:rsidRDefault="009B4B8E" w:rsidP="004A769F">
      <w:pPr>
        <w:rPr>
          <w:b/>
          <w:bCs/>
        </w:rPr>
      </w:pPr>
      <w:r w:rsidRPr="004A769F">
        <w:rPr>
          <w:b/>
          <w:bCs/>
        </w:rPr>
        <w:t>sJIA- en CRS-patiënten &lt; 30 kg</w:t>
      </w:r>
    </w:p>
    <w:p w14:paraId="2A18F110" w14:textId="2CC0D685" w:rsidR="00436DAA" w:rsidRPr="00330234" w:rsidRDefault="009B4B8E" w:rsidP="004348EF">
      <w:pPr>
        <w:pStyle w:val="a3"/>
        <w:widowControl/>
        <w:ind w:left="0"/>
      </w:pPr>
      <w:r w:rsidRPr="00330234">
        <w:t>Onttrek, onder aseptische omstandigheden, een volume steriele, pyrogeenvrije natriumchloride 9</w:t>
      </w:r>
      <w:r w:rsidR="004348EF" w:rsidRPr="00330234">
        <w:t> </w:t>
      </w:r>
      <w:r w:rsidRPr="00330234">
        <w:t xml:space="preserve">mg/ml (0,9%) </w:t>
      </w:r>
      <w:r w:rsidR="00417CB3" w:rsidRPr="00330234">
        <w:t xml:space="preserve">of 4,5 mg/ml (0,45%) </w:t>
      </w:r>
      <w:r w:rsidRPr="00330234">
        <w:t xml:space="preserve">oplossing voor injectie vanuit een 50 ml infuuszak dat gelijk is aan het volume </w:t>
      </w:r>
      <w:r w:rsidR="00DB22D7" w:rsidRPr="00330234">
        <w:t>Avtozma</w:t>
      </w:r>
      <w:r w:rsidRPr="00330234">
        <w:t>-concentraat dat nodig is voor de dosis van de patiënt. De benodigde hoeveelheid</w:t>
      </w:r>
      <w:r w:rsidR="004348EF" w:rsidRPr="00330234">
        <w:t xml:space="preserve"> </w:t>
      </w:r>
      <w:r w:rsidR="00DB22D7" w:rsidRPr="00330234">
        <w:t>Avtozma</w:t>
      </w:r>
      <w:r w:rsidRPr="00330234">
        <w:t>-concentraat (</w:t>
      </w:r>
      <w:r w:rsidRPr="00330234">
        <w:rPr>
          <w:b/>
        </w:rPr>
        <w:t>0,6 ml/kg</w:t>
      </w:r>
      <w:r w:rsidRPr="00330234">
        <w:t>) moet uit de injectieflacon worden getrokken en in de infuuszak van 50 ml worden gespoten. Dit dient te resulteren in een totaalvolume van 50 ml. Voor het mengen van de oplossing de infuuszak voorzichtig omkeren, om schuimvorming te voorkomen.</w:t>
      </w:r>
    </w:p>
    <w:p w14:paraId="19E4CC94" w14:textId="77777777" w:rsidR="00436DAA" w:rsidRPr="00330234" w:rsidRDefault="00436DAA" w:rsidP="00BD109B">
      <w:pPr>
        <w:pStyle w:val="a3"/>
        <w:widowControl/>
        <w:ind w:left="0"/>
      </w:pPr>
    </w:p>
    <w:p w14:paraId="79891477" w14:textId="77777777" w:rsidR="00436DAA" w:rsidRPr="00330234" w:rsidRDefault="009B4B8E" w:rsidP="004A769F">
      <w:r w:rsidRPr="004A769F">
        <w:rPr>
          <w:b/>
          <w:bCs/>
        </w:rPr>
        <w:t>pJIA-patiënten &lt; 30 kg</w:t>
      </w:r>
    </w:p>
    <w:p w14:paraId="15E062A9" w14:textId="357A5F9B" w:rsidR="00436DAA" w:rsidRPr="00330234" w:rsidRDefault="009B4B8E" w:rsidP="004348EF">
      <w:pPr>
        <w:pStyle w:val="a3"/>
        <w:widowControl/>
        <w:ind w:left="0"/>
      </w:pPr>
      <w:r w:rsidRPr="00330234">
        <w:t>Onttrek, onder aseptische omstandigheden, een volume steriele, pyrogeenvrije natriumchloride 9</w:t>
      </w:r>
      <w:r w:rsidR="004348EF" w:rsidRPr="00330234">
        <w:t> </w:t>
      </w:r>
      <w:r w:rsidRPr="00330234">
        <w:t xml:space="preserve">mg/ml (0,9%) </w:t>
      </w:r>
      <w:r w:rsidR="00417CB3" w:rsidRPr="00330234">
        <w:t xml:space="preserve">of 4,5 mg/ml (0,45%) </w:t>
      </w:r>
      <w:r w:rsidRPr="00330234">
        <w:t xml:space="preserve">oplossing voor injectie vanuit een 50 ml infuuszak dat gelijk is aan het volume </w:t>
      </w:r>
      <w:r w:rsidR="00DB22D7" w:rsidRPr="00330234">
        <w:t>Avtozma</w:t>
      </w:r>
      <w:r w:rsidRPr="00330234">
        <w:t>-concentraat dat nodig is voor de dosis van de patiënt. De benodigde hoeveelheid</w:t>
      </w:r>
      <w:r w:rsidR="004348EF" w:rsidRPr="00330234">
        <w:t xml:space="preserve"> </w:t>
      </w:r>
      <w:r w:rsidR="00DB22D7" w:rsidRPr="00330234">
        <w:t>Avtozma</w:t>
      </w:r>
      <w:r w:rsidRPr="00330234">
        <w:t>-concentraat (</w:t>
      </w:r>
      <w:r w:rsidRPr="00330234">
        <w:rPr>
          <w:b/>
        </w:rPr>
        <w:t>0,5 ml/kg</w:t>
      </w:r>
      <w:r w:rsidRPr="00330234">
        <w:t>) moet uit de injectieflacon worden getrokken en in de infuuszak van 50 ml worden gespoten. Dit dient te resulteren in een totaalvolume van 50 ml. Voor het mengen van de oplossing de infuuszak voorzichtig omkeren, om schuimvorming te voorkomen.</w:t>
      </w:r>
    </w:p>
    <w:p w14:paraId="3A9F870A" w14:textId="77777777" w:rsidR="004348EF" w:rsidRPr="00330234" w:rsidRDefault="004348EF" w:rsidP="004348EF">
      <w:pPr>
        <w:pStyle w:val="a3"/>
        <w:widowControl/>
        <w:ind w:left="0"/>
      </w:pPr>
    </w:p>
    <w:p w14:paraId="5C35BCAB" w14:textId="6F47EE3E" w:rsidR="00436DAA" w:rsidRPr="00330234" w:rsidRDefault="00DB22D7" w:rsidP="00BD109B">
      <w:pPr>
        <w:pStyle w:val="a3"/>
        <w:widowControl/>
        <w:ind w:left="0"/>
      </w:pPr>
      <w:r w:rsidRPr="00330234">
        <w:t>Avtozma</w:t>
      </w:r>
      <w:r w:rsidR="009B4B8E" w:rsidRPr="00330234">
        <w:t xml:space="preserve"> is voor eenmalig gebruik.</w:t>
      </w:r>
    </w:p>
    <w:p w14:paraId="1493CCB5" w14:textId="77777777" w:rsidR="00436DAA" w:rsidRPr="00330234" w:rsidRDefault="00436DAA" w:rsidP="00BD109B">
      <w:pPr>
        <w:pStyle w:val="a3"/>
        <w:widowControl/>
        <w:ind w:left="0"/>
      </w:pPr>
    </w:p>
    <w:p w14:paraId="0520F467" w14:textId="77777777" w:rsidR="00436DAA" w:rsidRPr="00330234" w:rsidRDefault="009B4B8E" w:rsidP="00BD109B">
      <w:pPr>
        <w:pStyle w:val="a3"/>
        <w:widowControl/>
        <w:ind w:left="0"/>
      </w:pPr>
      <w:r w:rsidRPr="00330234">
        <w:t>Al het ongebruikte product of afvalmateriaal dient te worden vernietigd overeenkomstig lokale voorschriften.</w:t>
      </w:r>
    </w:p>
    <w:p w14:paraId="171FF2B9" w14:textId="77777777" w:rsidR="004348EF" w:rsidRPr="00330234" w:rsidRDefault="004348EF" w:rsidP="00BD109B">
      <w:pPr>
        <w:pStyle w:val="a3"/>
        <w:widowControl/>
        <w:ind w:left="0"/>
      </w:pPr>
    </w:p>
    <w:p w14:paraId="0A4E7BA8" w14:textId="358BAF45" w:rsidR="00436DAA" w:rsidRPr="004A769F" w:rsidRDefault="004348EF" w:rsidP="004A769F">
      <w:pPr>
        <w:jc w:val="center"/>
        <w:rPr>
          <w:b/>
          <w:bCs/>
        </w:rPr>
      </w:pPr>
      <w:r w:rsidRPr="00330234">
        <w:br w:type="page"/>
      </w:r>
      <w:r w:rsidR="009B4B8E" w:rsidRPr="004A769F">
        <w:rPr>
          <w:b/>
          <w:bCs/>
        </w:rPr>
        <w:lastRenderedPageBreak/>
        <w:t>Bijsluiter: informatie voor de gebruiker</w:t>
      </w:r>
    </w:p>
    <w:p w14:paraId="7FEA9DBD" w14:textId="77777777" w:rsidR="00436DAA" w:rsidRPr="00330234" w:rsidRDefault="00436DAA" w:rsidP="004348EF">
      <w:pPr>
        <w:pStyle w:val="a3"/>
        <w:widowControl/>
        <w:ind w:left="0"/>
        <w:jc w:val="center"/>
        <w:rPr>
          <w:b/>
        </w:rPr>
      </w:pPr>
    </w:p>
    <w:p w14:paraId="66B26753" w14:textId="4ACFAF86" w:rsidR="00436DAA" w:rsidRPr="00330234" w:rsidRDefault="00B666BC" w:rsidP="004348EF">
      <w:pPr>
        <w:widowControl/>
        <w:jc w:val="center"/>
        <w:rPr>
          <w:b/>
        </w:rPr>
      </w:pPr>
      <w:r w:rsidRPr="00330234">
        <w:rPr>
          <w:b/>
        </w:rPr>
        <w:t>Avtozma</w:t>
      </w:r>
      <w:r w:rsidR="009B4B8E" w:rsidRPr="00330234">
        <w:rPr>
          <w:b/>
        </w:rPr>
        <w:t xml:space="preserve"> 162 mg oplossing voor injectie in een voorgevulde spuit</w:t>
      </w:r>
    </w:p>
    <w:p w14:paraId="6532CB2B" w14:textId="77777777" w:rsidR="00436DAA" w:rsidRPr="00330234" w:rsidRDefault="009B4B8E" w:rsidP="004348EF">
      <w:pPr>
        <w:pStyle w:val="a3"/>
        <w:widowControl/>
        <w:ind w:left="0"/>
        <w:jc w:val="center"/>
      </w:pPr>
      <w:r w:rsidRPr="00330234">
        <w:t>tocilizumab</w:t>
      </w:r>
    </w:p>
    <w:p w14:paraId="62F60E17" w14:textId="77777777" w:rsidR="00D855DD" w:rsidRPr="00330234" w:rsidRDefault="00D855DD" w:rsidP="00D855DD"/>
    <w:p w14:paraId="1487711C" w14:textId="3030D5DB" w:rsidR="00D855DD" w:rsidRPr="00330234" w:rsidRDefault="00315255" w:rsidP="00D855DD">
      <w:pPr>
        <w:pStyle w:val="a3"/>
        <w:widowControl/>
        <w:ind w:left="0"/>
      </w:pPr>
      <w:r>
        <w:rPr>
          <w:noProof/>
          <w:lang w:val="en-US" w:eastAsia="ko-KR"/>
        </w:rPr>
        <w:drawing>
          <wp:inline distT="0" distB="0" distL="0" distR="0" wp14:anchorId="1F0020C6" wp14:editId="030967AA">
            <wp:extent cx="223520" cy="170180"/>
            <wp:effectExtent l="0" t="0" r="0" b="0"/>
            <wp:docPr id="5"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3520" cy="170180"/>
                    </a:xfrm>
                    <a:prstGeom prst="rect">
                      <a:avLst/>
                    </a:prstGeom>
                    <a:noFill/>
                    <a:ln>
                      <a:noFill/>
                    </a:ln>
                  </pic:spPr>
                </pic:pic>
              </a:graphicData>
            </a:graphic>
          </wp:inline>
        </w:drawing>
      </w:r>
      <w:r w:rsidR="00D855DD" w:rsidRPr="00330234">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68A91FAA" w14:textId="77777777" w:rsidR="00436DAA" w:rsidRPr="00330234" w:rsidRDefault="00436DAA" w:rsidP="00BD109B">
      <w:pPr>
        <w:pStyle w:val="a3"/>
        <w:widowControl/>
        <w:ind w:left="0"/>
      </w:pPr>
    </w:p>
    <w:p w14:paraId="3B309DF1" w14:textId="77777777" w:rsidR="00436DAA" w:rsidRPr="004A769F" w:rsidRDefault="009B4B8E" w:rsidP="004A769F">
      <w:pPr>
        <w:rPr>
          <w:b/>
          <w:bCs/>
        </w:rPr>
      </w:pPr>
      <w:r w:rsidRPr="004A769F">
        <w:rPr>
          <w:b/>
          <w:bCs/>
        </w:rPr>
        <w:t>Lees goed de hele bijsluiter voordat u dit geneesmiddel gaat gebruiken want er staat belangrijke informatie in voor u.</w:t>
      </w:r>
    </w:p>
    <w:p w14:paraId="5327F094" w14:textId="62BA1121" w:rsidR="00436DAA" w:rsidRPr="00330234" w:rsidRDefault="005328BF" w:rsidP="004348EF">
      <w:pPr>
        <w:pStyle w:val="bullet"/>
      </w:pPr>
      <w:r w:rsidRPr="00330234">
        <w:rPr>
          <w:rFonts w:eastAsia="Symbol"/>
        </w:rPr>
        <w:tab/>
      </w:r>
      <w:r w:rsidR="009B4B8E" w:rsidRPr="00330234">
        <w:t>Bewaar deze bijsluiter. Misschien heeft u hem later weer nodig.</w:t>
      </w:r>
    </w:p>
    <w:p w14:paraId="3E45494A" w14:textId="17300066" w:rsidR="00436DAA" w:rsidRPr="00330234" w:rsidRDefault="005328BF" w:rsidP="004348EF">
      <w:pPr>
        <w:pStyle w:val="bullet"/>
      </w:pPr>
      <w:r w:rsidRPr="00330234">
        <w:rPr>
          <w:rFonts w:eastAsia="Symbol"/>
        </w:rPr>
        <w:tab/>
      </w:r>
      <w:r w:rsidR="009B4B8E" w:rsidRPr="00330234">
        <w:t>Heeft u nog vragen? Neem dan contact op met uw arts, apotheker of verpleegkundige.</w:t>
      </w:r>
    </w:p>
    <w:p w14:paraId="03196877" w14:textId="278C01A1" w:rsidR="00436DAA" w:rsidRPr="00330234" w:rsidRDefault="005328BF" w:rsidP="004348EF">
      <w:pPr>
        <w:pStyle w:val="bullet"/>
      </w:pPr>
      <w:r w:rsidRPr="00330234">
        <w:rPr>
          <w:rFonts w:eastAsia="Symbol"/>
        </w:rPr>
        <w:tab/>
      </w:r>
      <w:r w:rsidR="009B4B8E" w:rsidRPr="00330234">
        <w:t>Geef dit geneesmiddel niet door aan anderen, want het is alleen aan u voorgeschreven. Het kan schadelijk zijn voor anderen, ook al hebben zij dezelfde klachten als u.</w:t>
      </w:r>
    </w:p>
    <w:p w14:paraId="00C942C6" w14:textId="41273649" w:rsidR="00436DAA" w:rsidRPr="00330234" w:rsidRDefault="005328BF" w:rsidP="004348EF">
      <w:pPr>
        <w:pStyle w:val="bullet"/>
      </w:pPr>
      <w:r w:rsidRPr="00330234">
        <w:rPr>
          <w:rFonts w:eastAsia="Symbol"/>
        </w:rPr>
        <w:tab/>
      </w:r>
      <w:r w:rsidR="009B4B8E" w:rsidRPr="00330234">
        <w:t>Krijgt u last van een van de bijwerkingen die in rubriek 4 staan? Of krijgt u een bijwerking die niet in deze bijsluiter staat? Neem dan contact op met uw arts, apotheker of verpleegkundige.</w:t>
      </w:r>
    </w:p>
    <w:p w14:paraId="0FF26FDC" w14:textId="77777777" w:rsidR="004348EF" w:rsidRPr="00330234" w:rsidRDefault="004348EF" w:rsidP="00BD109B">
      <w:pPr>
        <w:pStyle w:val="a3"/>
        <w:widowControl/>
        <w:ind w:left="0"/>
      </w:pPr>
    </w:p>
    <w:p w14:paraId="4413597C" w14:textId="1C8D9022" w:rsidR="00436DAA" w:rsidRPr="00330234" w:rsidRDefault="009B4B8E" w:rsidP="00BD109B">
      <w:pPr>
        <w:pStyle w:val="a3"/>
        <w:widowControl/>
        <w:ind w:left="0"/>
      </w:pPr>
      <w:r w:rsidRPr="00330234">
        <w:t xml:space="preserve">Naast deze bijsluiter ontvangt u een </w:t>
      </w:r>
      <w:r w:rsidRPr="00330234">
        <w:rPr>
          <w:b/>
        </w:rPr>
        <w:t xml:space="preserve">patiëntenwaarschuwingskaart. </w:t>
      </w:r>
      <w:r w:rsidRPr="00330234">
        <w:t xml:space="preserve">Deze kaart bevat belangrijke risicoinformatie waarvan u op de hoogte moet zijn vóór en tijdens de behandeling met </w:t>
      </w:r>
      <w:r w:rsidR="00B666BC" w:rsidRPr="00330234">
        <w:t>Avtozma</w:t>
      </w:r>
      <w:r w:rsidRPr="00330234">
        <w:t>.</w:t>
      </w:r>
    </w:p>
    <w:p w14:paraId="355CB352" w14:textId="77777777" w:rsidR="00436DAA" w:rsidRPr="00330234" w:rsidRDefault="00436DAA" w:rsidP="00BD109B">
      <w:pPr>
        <w:pStyle w:val="a3"/>
        <w:widowControl/>
        <w:ind w:left="0"/>
      </w:pPr>
    </w:p>
    <w:p w14:paraId="4058303F" w14:textId="77777777" w:rsidR="00436DAA" w:rsidRPr="004A769F" w:rsidRDefault="009B4B8E" w:rsidP="004A769F">
      <w:pPr>
        <w:rPr>
          <w:b/>
          <w:bCs/>
        </w:rPr>
      </w:pPr>
      <w:r w:rsidRPr="004A769F">
        <w:rPr>
          <w:b/>
          <w:bCs/>
        </w:rPr>
        <w:t>Inhoud van deze bijsluiter</w:t>
      </w:r>
    </w:p>
    <w:p w14:paraId="123FCA77" w14:textId="7DDF23C4" w:rsidR="00436DAA" w:rsidRPr="00330234" w:rsidRDefault="005328BF" w:rsidP="004348EF">
      <w:pPr>
        <w:widowControl/>
        <w:ind w:left="567" w:hanging="567"/>
      </w:pPr>
      <w:r w:rsidRPr="00330234">
        <w:t>1.</w:t>
      </w:r>
      <w:r w:rsidRPr="00330234">
        <w:tab/>
      </w:r>
      <w:r w:rsidR="009B4B8E" w:rsidRPr="00330234">
        <w:t xml:space="preserve">Wat is </w:t>
      </w:r>
      <w:r w:rsidR="00B666BC" w:rsidRPr="00330234">
        <w:t>Avtozma</w:t>
      </w:r>
      <w:r w:rsidR="009B4B8E" w:rsidRPr="00330234">
        <w:t xml:space="preserve"> en waarvoor wordt dit middel gebruikt?</w:t>
      </w:r>
    </w:p>
    <w:p w14:paraId="3446E816" w14:textId="5C99CC4E" w:rsidR="00436DAA" w:rsidRPr="00330234" w:rsidRDefault="005328BF" w:rsidP="004348EF">
      <w:pPr>
        <w:widowControl/>
        <w:ind w:left="567" w:hanging="567"/>
      </w:pPr>
      <w:r w:rsidRPr="00330234">
        <w:t>2.</w:t>
      </w:r>
      <w:r w:rsidRPr="00330234">
        <w:tab/>
      </w:r>
      <w:r w:rsidR="009B4B8E" w:rsidRPr="00330234">
        <w:t>Wanneer mag u dit middel niet gebruiken of moet u er extra voorzichtig mee zijn?</w:t>
      </w:r>
    </w:p>
    <w:p w14:paraId="1F4257F4" w14:textId="18BA79EC" w:rsidR="00436DAA" w:rsidRPr="00330234" w:rsidRDefault="005328BF" w:rsidP="004348EF">
      <w:pPr>
        <w:widowControl/>
        <w:ind w:left="567" w:hanging="567"/>
      </w:pPr>
      <w:r w:rsidRPr="00330234">
        <w:t>3.</w:t>
      </w:r>
      <w:r w:rsidRPr="00330234">
        <w:tab/>
      </w:r>
      <w:r w:rsidR="009B4B8E" w:rsidRPr="00330234">
        <w:t>Hoe gebruikt u dit middel?</w:t>
      </w:r>
    </w:p>
    <w:p w14:paraId="4F34FBD0" w14:textId="35ECDD58" w:rsidR="00436DAA" w:rsidRPr="00330234" w:rsidRDefault="005328BF" w:rsidP="004348EF">
      <w:pPr>
        <w:widowControl/>
        <w:ind w:left="567" w:hanging="567"/>
      </w:pPr>
      <w:r w:rsidRPr="00330234">
        <w:t>4.</w:t>
      </w:r>
      <w:r w:rsidRPr="00330234">
        <w:tab/>
      </w:r>
      <w:r w:rsidR="009B4B8E" w:rsidRPr="00330234">
        <w:t>Mogelijke bijwerkingen</w:t>
      </w:r>
    </w:p>
    <w:p w14:paraId="3EAD420A" w14:textId="5927EAB2" w:rsidR="00436DAA" w:rsidRPr="00330234" w:rsidRDefault="005328BF" w:rsidP="004348EF">
      <w:pPr>
        <w:widowControl/>
        <w:ind w:left="567" w:hanging="567"/>
      </w:pPr>
      <w:r w:rsidRPr="00330234">
        <w:t>5.</w:t>
      </w:r>
      <w:r w:rsidRPr="00330234">
        <w:tab/>
      </w:r>
      <w:r w:rsidR="009B4B8E" w:rsidRPr="00330234">
        <w:t>Hoe bewaart u dit middel?</w:t>
      </w:r>
    </w:p>
    <w:p w14:paraId="17CB4D8E" w14:textId="23B88575" w:rsidR="00436DAA" w:rsidRDefault="005328BF" w:rsidP="004348EF">
      <w:pPr>
        <w:widowControl/>
        <w:ind w:left="567" w:hanging="567"/>
      </w:pPr>
      <w:r w:rsidRPr="00330234">
        <w:t>6.</w:t>
      </w:r>
      <w:r w:rsidRPr="00330234">
        <w:tab/>
      </w:r>
      <w:r w:rsidR="009B4B8E" w:rsidRPr="00330234">
        <w:t>Inhoud van de verpakking en overige informatie</w:t>
      </w:r>
    </w:p>
    <w:p w14:paraId="1284953D" w14:textId="4B38EA08" w:rsidR="00417CB3" w:rsidRPr="00330234" w:rsidRDefault="00417CB3" w:rsidP="004348EF">
      <w:pPr>
        <w:widowControl/>
        <w:ind w:left="567" w:hanging="567"/>
      </w:pPr>
      <w:r>
        <w:t>7.</w:t>
      </w:r>
      <w:r>
        <w:tab/>
        <w:t>Instructies voor gebruik</w:t>
      </w:r>
    </w:p>
    <w:p w14:paraId="6D6B04D8" w14:textId="77777777" w:rsidR="00436DAA" w:rsidRPr="00330234" w:rsidRDefault="00436DAA" w:rsidP="00BD109B">
      <w:pPr>
        <w:pStyle w:val="a3"/>
        <w:widowControl/>
        <w:ind w:left="0"/>
      </w:pPr>
    </w:p>
    <w:p w14:paraId="3DA5BE84" w14:textId="77777777" w:rsidR="00436DAA" w:rsidRPr="00330234" w:rsidRDefault="00436DAA" w:rsidP="00BD109B">
      <w:pPr>
        <w:pStyle w:val="a3"/>
        <w:widowControl/>
        <w:ind w:left="0"/>
      </w:pPr>
    </w:p>
    <w:p w14:paraId="1A8AA519" w14:textId="746C17FA" w:rsidR="00436DAA" w:rsidRPr="00330234" w:rsidRDefault="005328BF" w:rsidP="00BD109B">
      <w:pPr>
        <w:pStyle w:val="2"/>
      </w:pPr>
      <w:r w:rsidRPr="00330234">
        <w:t>1.</w:t>
      </w:r>
      <w:r w:rsidRPr="00330234">
        <w:tab/>
      </w:r>
      <w:r w:rsidR="009B4B8E" w:rsidRPr="00330234">
        <w:t xml:space="preserve">Wat is </w:t>
      </w:r>
      <w:r w:rsidR="00B666BC" w:rsidRPr="00330234">
        <w:t>Avtozma</w:t>
      </w:r>
      <w:r w:rsidR="009B4B8E" w:rsidRPr="00330234">
        <w:t xml:space="preserve"> en waarvoor wordt dit middel gebruikt?</w:t>
      </w:r>
    </w:p>
    <w:p w14:paraId="0C525626" w14:textId="77777777" w:rsidR="004348EF" w:rsidRPr="00330234" w:rsidRDefault="004348EF" w:rsidP="00BD109B">
      <w:pPr>
        <w:pStyle w:val="a3"/>
        <w:widowControl/>
        <w:ind w:left="0"/>
      </w:pPr>
    </w:p>
    <w:p w14:paraId="53EC6D13" w14:textId="569B9C4F" w:rsidR="00436DAA" w:rsidRPr="00330234" w:rsidRDefault="00B666BC" w:rsidP="00BD109B">
      <w:pPr>
        <w:pStyle w:val="a3"/>
        <w:widowControl/>
        <w:ind w:left="0"/>
      </w:pPr>
      <w:r w:rsidRPr="00330234">
        <w:t>Avtozma</w:t>
      </w:r>
      <w:r w:rsidR="009B4B8E" w:rsidRPr="00330234">
        <w:t xml:space="preserve"> bevat de werkzame stof tocilizumab. Dit is een eiwit, gemaakt door specifieke immuuncellen (monoklonaal antilichaam), dat de werking blokkeert van een specifiek eiwit (cytokine) genaamd interleukine-6. Interleukine-6 is betrokken bij ontstekingsprocessen in het lichaam en het blokkeren daarvan kan de ontstekingen in uw lichaam verminderen. </w:t>
      </w:r>
      <w:r w:rsidRPr="00330234">
        <w:t>Avtozma</w:t>
      </w:r>
      <w:r w:rsidR="009B4B8E" w:rsidRPr="00330234">
        <w:t xml:space="preserve"> wordt gebruikt bij de behandeling van:</w:t>
      </w:r>
    </w:p>
    <w:p w14:paraId="30214633" w14:textId="77777777" w:rsidR="00436DAA" w:rsidRPr="00330234" w:rsidRDefault="00436DAA" w:rsidP="00BD109B">
      <w:pPr>
        <w:pStyle w:val="a3"/>
        <w:widowControl/>
        <w:ind w:left="0"/>
      </w:pPr>
    </w:p>
    <w:p w14:paraId="078ED345" w14:textId="3F22CDCD" w:rsidR="00436DAA" w:rsidRPr="00330234" w:rsidRDefault="005328BF" w:rsidP="004348EF">
      <w:pPr>
        <w:pStyle w:val="bullet"/>
      </w:pPr>
      <w:r w:rsidRPr="00330234">
        <w:rPr>
          <w:rFonts w:eastAsia="Symbol"/>
        </w:rPr>
        <w:tab/>
      </w:r>
      <w:r w:rsidR="009B4B8E" w:rsidRPr="00330234">
        <w:rPr>
          <w:b/>
        </w:rPr>
        <w:t>volwassenen met matige tot ernstige actieve reumatoïde artritis (RA)</w:t>
      </w:r>
      <w:r w:rsidR="009B4B8E" w:rsidRPr="00330234">
        <w:t>, een auto- immuunziekte, wanneer eerdere behandelingen niet voldoende hebben gewerkt.</w:t>
      </w:r>
    </w:p>
    <w:p w14:paraId="06F594EB" w14:textId="77777777" w:rsidR="004348EF" w:rsidRPr="00330234" w:rsidRDefault="004348EF" w:rsidP="004348EF"/>
    <w:p w14:paraId="0D4BAF26" w14:textId="4BEC874D" w:rsidR="00436DAA" w:rsidRPr="00330234" w:rsidRDefault="005328BF" w:rsidP="004348EF">
      <w:pPr>
        <w:pStyle w:val="bullet"/>
      </w:pPr>
      <w:r w:rsidRPr="00330234">
        <w:rPr>
          <w:rFonts w:eastAsia="Symbol"/>
        </w:rPr>
        <w:tab/>
      </w:r>
      <w:r w:rsidR="009B4B8E" w:rsidRPr="00330234">
        <w:rPr>
          <w:b/>
        </w:rPr>
        <w:t xml:space="preserve">volwassenen met ernstige, actieve en progressieve RA </w:t>
      </w:r>
      <w:r w:rsidR="009B4B8E" w:rsidRPr="00330234">
        <w:t>die niet eerder methotrexaatbehandeling hebben ontvangen.</w:t>
      </w:r>
    </w:p>
    <w:p w14:paraId="73DFB90D" w14:textId="77777777" w:rsidR="00F76AA5" w:rsidRPr="00330234" w:rsidRDefault="00F76AA5" w:rsidP="004348EF">
      <w:pPr>
        <w:pStyle w:val="a3"/>
        <w:widowControl/>
        <w:ind w:left="567"/>
      </w:pPr>
    </w:p>
    <w:p w14:paraId="2B8AF74F" w14:textId="6411661D" w:rsidR="00436DAA" w:rsidRPr="00330234" w:rsidRDefault="00B666BC" w:rsidP="004348EF">
      <w:pPr>
        <w:pStyle w:val="a3"/>
        <w:widowControl/>
        <w:ind w:left="567"/>
      </w:pPr>
      <w:r w:rsidRPr="00330234">
        <w:t>Avtozma</w:t>
      </w:r>
      <w:r w:rsidR="009B4B8E" w:rsidRPr="00330234">
        <w:t xml:space="preserve"> helpt om de symptomen van RA, zoals pijn en zwelling in uw gewrichten, te verminderen en kan het uitvoeren van dagelijkse taken doen verbeteren. Van </w:t>
      </w:r>
      <w:r w:rsidRPr="00330234">
        <w:t>Avtozma</w:t>
      </w:r>
      <w:r w:rsidR="009B4B8E" w:rsidRPr="00330234">
        <w:t xml:space="preserve"> is aangetoond dat het de beschadiging van het kraakbeen en het bot van de gewrichten, veroorzaakt door de aandoening, vertraagt en uw vermogen om de normale dagelijkse activiteiten uit te voeren verbetert.</w:t>
      </w:r>
    </w:p>
    <w:p w14:paraId="66A1B57A" w14:textId="77777777" w:rsidR="004348EF" w:rsidRPr="00330234" w:rsidRDefault="004348EF" w:rsidP="00BD109B">
      <w:pPr>
        <w:pStyle w:val="a3"/>
        <w:widowControl/>
        <w:ind w:left="0"/>
      </w:pPr>
    </w:p>
    <w:p w14:paraId="0D3E5583" w14:textId="033EA339" w:rsidR="00436DAA" w:rsidRPr="00330234" w:rsidRDefault="00B666BC" w:rsidP="004348EF">
      <w:pPr>
        <w:pStyle w:val="a3"/>
        <w:widowControl/>
        <w:ind w:left="567"/>
      </w:pPr>
      <w:r w:rsidRPr="00330234">
        <w:t>Avtozma</w:t>
      </w:r>
      <w:r w:rsidR="009B4B8E" w:rsidRPr="00330234">
        <w:t xml:space="preserve"> wordt meestal in combinatie met een ander geneesmiddel voor RA gegeven dat methotrexaat wordt genoemd. </w:t>
      </w:r>
      <w:r w:rsidRPr="00330234">
        <w:t>Avtozma</w:t>
      </w:r>
      <w:r w:rsidR="009B4B8E" w:rsidRPr="00330234">
        <w:t xml:space="preserve"> kan echter ook alleen worden gegeven, als uw arts bepaalt dat methotrexaat niet geschikt is.</w:t>
      </w:r>
    </w:p>
    <w:p w14:paraId="4EC5A76D" w14:textId="77777777" w:rsidR="00436DAA" w:rsidRPr="00330234" w:rsidRDefault="00436DAA" w:rsidP="00BD109B">
      <w:pPr>
        <w:widowControl/>
      </w:pPr>
    </w:p>
    <w:p w14:paraId="1A544260" w14:textId="1F1EBDCD" w:rsidR="00436DAA" w:rsidRPr="00330234" w:rsidRDefault="005328BF" w:rsidP="004348EF">
      <w:pPr>
        <w:pStyle w:val="bullet"/>
      </w:pPr>
      <w:r w:rsidRPr="00330234">
        <w:rPr>
          <w:rFonts w:eastAsia="Symbol"/>
        </w:rPr>
        <w:lastRenderedPageBreak/>
        <w:tab/>
      </w:r>
      <w:r w:rsidR="009B4B8E" w:rsidRPr="00330234">
        <w:rPr>
          <w:b/>
        </w:rPr>
        <w:t xml:space="preserve">volwassenen met een aandoening van de slagaderen, die </w:t>
      </w:r>
      <w:r w:rsidR="009B4B8E" w:rsidRPr="00330234">
        <w:rPr>
          <w:b/>
          <w:i/>
        </w:rPr>
        <w:t xml:space="preserve">Giant Cell Arteritis </w:t>
      </w:r>
      <w:r w:rsidR="009B4B8E" w:rsidRPr="00330234">
        <w:rPr>
          <w:b/>
        </w:rPr>
        <w:t>(GCA) of reuscelarteritis wordt genoemd</w:t>
      </w:r>
      <w:r w:rsidR="009B4B8E" w:rsidRPr="00330234">
        <w:t>, veroorzaakt door ontsteking van de grootste slagaderen van het lichaam, met name de slagaderen die zorgen voor de bloedtoevoer naar het hoofd en de hals. De symptomen zijn onder andere hoofdpijn, vermoeidheid en pijn aan de kaak. De gevolgen kunnen onder andere beroertes en blindheid zijn.</w:t>
      </w:r>
    </w:p>
    <w:p w14:paraId="0F989F0C" w14:textId="77777777" w:rsidR="004348EF" w:rsidRPr="00330234" w:rsidRDefault="004348EF" w:rsidP="00BD109B">
      <w:pPr>
        <w:pStyle w:val="a3"/>
        <w:widowControl/>
        <w:ind w:left="0"/>
      </w:pPr>
    </w:p>
    <w:p w14:paraId="2D8309AF" w14:textId="1508659A" w:rsidR="00436DAA" w:rsidRPr="00330234" w:rsidRDefault="00B666BC" w:rsidP="004348EF">
      <w:pPr>
        <w:pStyle w:val="a3"/>
        <w:widowControl/>
        <w:ind w:left="567"/>
      </w:pPr>
      <w:r w:rsidRPr="00330234">
        <w:t>Avtozma</w:t>
      </w:r>
      <w:r w:rsidR="009B4B8E" w:rsidRPr="00330234">
        <w:t xml:space="preserve"> kan de pijn en zwelling van de slagaderen en aders in uw hoofd, hals en armen verminderen.</w:t>
      </w:r>
    </w:p>
    <w:p w14:paraId="4FD65779" w14:textId="77777777" w:rsidR="004348EF" w:rsidRPr="00330234" w:rsidRDefault="004348EF" w:rsidP="00BD109B">
      <w:pPr>
        <w:pStyle w:val="a3"/>
        <w:widowControl/>
        <w:ind w:left="0"/>
      </w:pPr>
    </w:p>
    <w:p w14:paraId="171749E1" w14:textId="7E2E78A5" w:rsidR="00436DAA" w:rsidRPr="00330234" w:rsidRDefault="009B4B8E" w:rsidP="004348EF">
      <w:pPr>
        <w:pStyle w:val="a3"/>
        <w:widowControl/>
        <w:ind w:left="567"/>
      </w:pPr>
      <w:r w:rsidRPr="00330234">
        <w:t xml:space="preserve">GCA wordt meestal behandeld met geneesmiddelen die steroïden worden genoemd. Deze middelen zijn meestal effectief, maar kunnen bijwerkingen veroorzaken als ze voor lange tijd in hoge doses gebruikt worden. Het verminderen van de dosering van steroïden kan er ook toe leiden dat er een ‘flare-up’ (opvlamming) van GCA optreedt. Door </w:t>
      </w:r>
      <w:r w:rsidR="00B666BC" w:rsidRPr="00330234">
        <w:t>Avtozma</w:t>
      </w:r>
      <w:r w:rsidRPr="00330234">
        <w:t xml:space="preserve"> aan de behandeling toe te voegen kunnen steroïden voor een kortere tijd gebruikt worden, terwijl de GCA toch onder controle blijft.</w:t>
      </w:r>
    </w:p>
    <w:p w14:paraId="737A0544" w14:textId="77777777" w:rsidR="00436DAA" w:rsidRPr="00330234" w:rsidRDefault="00436DAA" w:rsidP="00BD109B">
      <w:pPr>
        <w:pStyle w:val="a3"/>
        <w:widowControl/>
        <w:ind w:left="0"/>
      </w:pPr>
    </w:p>
    <w:p w14:paraId="2B28FB50" w14:textId="73961069" w:rsidR="00436DAA" w:rsidRPr="00330234" w:rsidRDefault="005328BF" w:rsidP="004348EF">
      <w:pPr>
        <w:pStyle w:val="bullet"/>
      </w:pPr>
      <w:r w:rsidRPr="00330234">
        <w:rPr>
          <w:rFonts w:eastAsia="Symbol"/>
        </w:rPr>
        <w:tab/>
      </w:r>
      <w:r w:rsidR="009B4B8E" w:rsidRPr="00330234">
        <w:rPr>
          <w:b/>
        </w:rPr>
        <w:t xml:space="preserve">kinderen en jongeren van 1 jaar en ouder met actieve </w:t>
      </w:r>
      <w:r w:rsidR="009B4B8E" w:rsidRPr="00330234">
        <w:rPr>
          <w:b/>
          <w:i/>
        </w:rPr>
        <w:t xml:space="preserve">systemische juveniele idiopathische artritis </w:t>
      </w:r>
      <w:r w:rsidR="009B4B8E" w:rsidRPr="00330234">
        <w:rPr>
          <w:b/>
        </w:rPr>
        <w:t>(sJIA)</w:t>
      </w:r>
      <w:r w:rsidR="009B4B8E" w:rsidRPr="00330234">
        <w:rPr>
          <w:b/>
          <w:i/>
        </w:rPr>
        <w:t xml:space="preserve">, </w:t>
      </w:r>
      <w:r w:rsidR="009B4B8E" w:rsidRPr="00330234">
        <w:t>een ontstekingsziekte die pijn en zwelling van één of meer gewrichten en koorts en huiduitslag veroorzaakt.</w:t>
      </w:r>
    </w:p>
    <w:p w14:paraId="3400B97A" w14:textId="77777777" w:rsidR="004348EF" w:rsidRPr="00330234" w:rsidRDefault="004348EF" w:rsidP="00BD109B">
      <w:pPr>
        <w:pStyle w:val="a3"/>
        <w:widowControl/>
        <w:ind w:left="0"/>
      </w:pPr>
    </w:p>
    <w:p w14:paraId="5E3DFE68" w14:textId="57D74F85" w:rsidR="00436DAA" w:rsidRPr="00330234" w:rsidRDefault="00B666BC" w:rsidP="004348EF">
      <w:pPr>
        <w:pStyle w:val="a3"/>
        <w:widowControl/>
        <w:ind w:left="567"/>
      </w:pPr>
      <w:r w:rsidRPr="00330234">
        <w:t>Avtozma</w:t>
      </w:r>
      <w:r w:rsidR="009B4B8E" w:rsidRPr="00330234">
        <w:t xml:space="preserve"> wordt gebruikt om de symptomen van sJIA te verbeteren en kan gegeven worden samen met methotrexaat of op zichzelf.</w:t>
      </w:r>
    </w:p>
    <w:p w14:paraId="0B55CD87" w14:textId="77777777" w:rsidR="00436DAA" w:rsidRPr="00330234" w:rsidRDefault="00436DAA" w:rsidP="00BD109B">
      <w:pPr>
        <w:pStyle w:val="a3"/>
        <w:widowControl/>
        <w:ind w:left="0"/>
      </w:pPr>
    </w:p>
    <w:p w14:paraId="75BA5D2D" w14:textId="2D9F1E20" w:rsidR="00436DAA" w:rsidRPr="00330234" w:rsidRDefault="005328BF" w:rsidP="004348EF">
      <w:pPr>
        <w:pStyle w:val="bullet"/>
      </w:pPr>
      <w:r w:rsidRPr="00330234">
        <w:rPr>
          <w:rFonts w:eastAsia="Symbol"/>
        </w:rPr>
        <w:tab/>
      </w:r>
      <w:r w:rsidR="009B4B8E" w:rsidRPr="00330234">
        <w:rPr>
          <w:b/>
          <w:bCs/>
        </w:rPr>
        <w:t xml:space="preserve">kinderen en jongeren van 2 jaar en ouder met actieve </w:t>
      </w:r>
      <w:r w:rsidR="009B4B8E" w:rsidRPr="00330234">
        <w:rPr>
          <w:b/>
          <w:bCs/>
          <w:i/>
        </w:rPr>
        <w:t xml:space="preserve">polyarticulaire juveniele idiopathische artritis </w:t>
      </w:r>
      <w:r w:rsidR="009B4B8E" w:rsidRPr="00330234">
        <w:rPr>
          <w:b/>
          <w:bCs/>
        </w:rPr>
        <w:t>(pJIA).</w:t>
      </w:r>
      <w:r w:rsidR="009B4B8E" w:rsidRPr="00330234">
        <w:t xml:space="preserve"> Dit is een ontstekingsziekte die pijn en zwelling van één of meer gewrichten veroorzaakt.</w:t>
      </w:r>
    </w:p>
    <w:p w14:paraId="3BD24923" w14:textId="77777777" w:rsidR="004348EF" w:rsidRPr="00330234" w:rsidRDefault="004348EF" w:rsidP="00BD109B">
      <w:pPr>
        <w:pStyle w:val="a3"/>
        <w:widowControl/>
        <w:ind w:left="0"/>
      </w:pPr>
    </w:p>
    <w:p w14:paraId="09957CD7" w14:textId="7A128BA3" w:rsidR="00436DAA" w:rsidRPr="00330234" w:rsidRDefault="00B666BC" w:rsidP="004348EF">
      <w:pPr>
        <w:pStyle w:val="a3"/>
        <w:widowControl/>
        <w:ind w:left="567"/>
      </w:pPr>
      <w:r w:rsidRPr="00330234">
        <w:t>Avtozma</w:t>
      </w:r>
      <w:r w:rsidR="009B4B8E" w:rsidRPr="00330234">
        <w:t xml:space="preserve"> wordt gebruikt om de symptomen van pJIA te verbeteren. Het kan gegeven worden samen met methotrexaat of op zichzelf.</w:t>
      </w:r>
    </w:p>
    <w:p w14:paraId="46E2F063" w14:textId="77777777" w:rsidR="00436DAA" w:rsidRPr="00330234" w:rsidRDefault="00436DAA" w:rsidP="00BD109B">
      <w:pPr>
        <w:pStyle w:val="a3"/>
        <w:widowControl/>
        <w:ind w:left="0"/>
      </w:pPr>
    </w:p>
    <w:p w14:paraId="0B2CED38" w14:textId="77777777" w:rsidR="00436DAA" w:rsidRPr="00330234" w:rsidRDefault="00436DAA" w:rsidP="00BD109B">
      <w:pPr>
        <w:pStyle w:val="a3"/>
        <w:widowControl/>
        <w:ind w:left="0"/>
      </w:pPr>
    </w:p>
    <w:p w14:paraId="55953C5C" w14:textId="1CDA7180" w:rsidR="00436DAA" w:rsidRPr="00330234" w:rsidRDefault="005328BF" w:rsidP="00BD109B">
      <w:pPr>
        <w:pStyle w:val="2"/>
      </w:pPr>
      <w:r w:rsidRPr="00330234">
        <w:t>2.</w:t>
      </w:r>
      <w:r w:rsidRPr="00330234">
        <w:tab/>
      </w:r>
      <w:r w:rsidR="009B4B8E" w:rsidRPr="00330234">
        <w:t>Wanneer mag u dit middel niet gebruiken of moet u er extra voorzichtig mee zijn?</w:t>
      </w:r>
    </w:p>
    <w:p w14:paraId="5939660B" w14:textId="77777777" w:rsidR="00436DAA" w:rsidRPr="00330234" w:rsidRDefault="00436DAA" w:rsidP="00BD109B">
      <w:pPr>
        <w:pStyle w:val="a3"/>
        <w:widowControl/>
        <w:ind w:left="0"/>
        <w:rPr>
          <w:b/>
        </w:rPr>
      </w:pPr>
    </w:p>
    <w:p w14:paraId="0A0C9EEC" w14:textId="77777777" w:rsidR="00436DAA" w:rsidRPr="00330234" w:rsidRDefault="009B4B8E" w:rsidP="00BD109B">
      <w:pPr>
        <w:widowControl/>
        <w:rPr>
          <w:b/>
        </w:rPr>
      </w:pPr>
      <w:r w:rsidRPr="00330234">
        <w:rPr>
          <w:b/>
        </w:rPr>
        <w:t>Wanneer mag u dit middel niet gebruiken?</w:t>
      </w:r>
    </w:p>
    <w:p w14:paraId="21397EEE" w14:textId="3EBB46B8" w:rsidR="00436DAA" w:rsidRPr="00330234" w:rsidRDefault="005328BF" w:rsidP="004348EF">
      <w:pPr>
        <w:pStyle w:val="bullet"/>
      </w:pPr>
      <w:r w:rsidRPr="00330234">
        <w:rPr>
          <w:rFonts w:eastAsia="Symbol"/>
        </w:rPr>
        <w:tab/>
      </w:r>
      <w:r w:rsidR="009B4B8E" w:rsidRPr="00330234">
        <w:t>U of uw kind is allergisch voor een van de stoffen in dit geneesmiddel. Deze stoffen kunt u vinden in rubriek 6.</w:t>
      </w:r>
      <w:r w:rsidR="00A65792" w:rsidRPr="00330234">
        <w:t xml:space="preserve"> (Zie de speciale waarschuwingen aan het einde van deze rubri</w:t>
      </w:r>
      <w:r w:rsidR="00ED2966" w:rsidRPr="00330234">
        <w:t>ek</w:t>
      </w:r>
      <w:r w:rsidR="00A65792" w:rsidRPr="00330234">
        <w:t xml:space="preserve"> onder de subtitel “Avtozma bevat polysorbaat”)</w:t>
      </w:r>
    </w:p>
    <w:p w14:paraId="35C736F8" w14:textId="11E8F606" w:rsidR="00436DAA" w:rsidRPr="00330234" w:rsidRDefault="005328BF" w:rsidP="004348EF">
      <w:pPr>
        <w:pStyle w:val="bullet"/>
      </w:pPr>
      <w:r w:rsidRPr="00330234">
        <w:rPr>
          <w:rFonts w:eastAsia="Symbol"/>
        </w:rPr>
        <w:tab/>
      </w:r>
      <w:r w:rsidR="009B4B8E" w:rsidRPr="00330234">
        <w:t>U of uw kind heeft een actieve, ernstige infectie.</w:t>
      </w:r>
    </w:p>
    <w:p w14:paraId="0C5F0DAE" w14:textId="77777777" w:rsidR="004348EF" w:rsidRPr="00330234" w:rsidRDefault="004348EF" w:rsidP="00BD109B">
      <w:pPr>
        <w:pStyle w:val="a3"/>
        <w:widowControl/>
        <w:ind w:left="0"/>
      </w:pPr>
    </w:p>
    <w:p w14:paraId="36949F03" w14:textId="3483E2C1" w:rsidR="00436DAA" w:rsidRPr="00330234" w:rsidRDefault="009B4B8E" w:rsidP="00BD109B">
      <w:pPr>
        <w:pStyle w:val="a3"/>
        <w:widowControl/>
        <w:ind w:left="0"/>
      </w:pPr>
      <w:r w:rsidRPr="00330234">
        <w:t xml:space="preserve">Als één van bovengenoemde punten op u van toepassing is, vertel het dan aan een arts. Gebruik </w:t>
      </w:r>
      <w:r w:rsidR="00B666BC" w:rsidRPr="00330234">
        <w:t>Avtozma</w:t>
      </w:r>
      <w:r w:rsidRPr="00330234">
        <w:t xml:space="preserve"> niet.</w:t>
      </w:r>
    </w:p>
    <w:p w14:paraId="7EA50489" w14:textId="77777777" w:rsidR="00436DAA" w:rsidRPr="00330234" w:rsidRDefault="00436DAA" w:rsidP="00BD109B">
      <w:pPr>
        <w:pStyle w:val="a3"/>
        <w:widowControl/>
        <w:ind w:left="0"/>
      </w:pPr>
    </w:p>
    <w:p w14:paraId="1BAC02CB" w14:textId="77777777" w:rsidR="00436DAA" w:rsidRPr="004A769F" w:rsidRDefault="009B4B8E" w:rsidP="004A769F">
      <w:pPr>
        <w:rPr>
          <w:b/>
          <w:bCs/>
        </w:rPr>
      </w:pPr>
      <w:r w:rsidRPr="004A769F">
        <w:rPr>
          <w:b/>
          <w:bCs/>
        </w:rPr>
        <w:t>Wanneer moet u extra voorzichtig zijn met dit middel?</w:t>
      </w:r>
    </w:p>
    <w:p w14:paraId="30F3E583" w14:textId="77777777" w:rsidR="00436DAA" w:rsidRPr="00330234" w:rsidRDefault="009B4B8E" w:rsidP="00BD109B">
      <w:pPr>
        <w:pStyle w:val="a3"/>
        <w:widowControl/>
        <w:ind w:left="0"/>
      </w:pPr>
      <w:r w:rsidRPr="00330234">
        <w:t>Neem contact op met uw arts, apotheker of verpleegkundige voordat u dit middel gebruikt.</w:t>
      </w:r>
    </w:p>
    <w:p w14:paraId="17B89C2C" w14:textId="77777777" w:rsidR="00436DAA" w:rsidRPr="00330234" w:rsidRDefault="00436DAA" w:rsidP="00BD109B">
      <w:pPr>
        <w:pStyle w:val="a3"/>
        <w:widowControl/>
        <w:ind w:left="0"/>
      </w:pPr>
    </w:p>
    <w:p w14:paraId="204C05B3" w14:textId="0BC1F78E" w:rsidR="00436DAA" w:rsidRPr="00330234" w:rsidRDefault="005328BF" w:rsidP="004348EF">
      <w:pPr>
        <w:pStyle w:val="bullet"/>
      </w:pPr>
      <w:r w:rsidRPr="00330234">
        <w:rPr>
          <w:rFonts w:eastAsia="Symbol"/>
        </w:rPr>
        <w:tab/>
      </w:r>
      <w:r w:rsidR="009B4B8E" w:rsidRPr="00330234">
        <w:t xml:space="preserve">Als u </w:t>
      </w:r>
      <w:r w:rsidR="009B4B8E" w:rsidRPr="00330234">
        <w:rPr>
          <w:b/>
        </w:rPr>
        <w:t xml:space="preserve">allergische reacties </w:t>
      </w:r>
      <w:r w:rsidR="009B4B8E" w:rsidRPr="00330234">
        <w:t xml:space="preserve">ervaart, zoals een beklemmend gevoel op de borst, piepende ademhaling, ernstige duizeligheid of een licht gevoel in het hoofd, zwelling van de lippen, tong of het gezicht of jeukende huid, netelroos of huiduitslag tijdens of na de injectie, </w:t>
      </w:r>
      <w:r w:rsidR="009B4B8E" w:rsidRPr="00330234">
        <w:rPr>
          <w:b/>
        </w:rPr>
        <w:t>meld dit direct aan uw arts</w:t>
      </w:r>
      <w:r w:rsidR="009B4B8E" w:rsidRPr="00330234">
        <w:t>.</w:t>
      </w:r>
    </w:p>
    <w:p w14:paraId="1F8362F8" w14:textId="77777777" w:rsidR="00436DAA" w:rsidRPr="00330234" w:rsidRDefault="00436DAA" w:rsidP="00BD109B">
      <w:pPr>
        <w:pStyle w:val="a3"/>
        <w:widowControl/>
        <w:ind w:left="0"/>
      </w:pPr>
    </w:p>
    <w:p w14:paraId="0E788DC0" w14:textId="429EC760" w:rsidR="00436DAA" w:rsidRPr="00330234" w:rsidRDefault="005328BF" w:rsidP="004348EF">
      <w:pPr>
        <w:pStyle w:val="bullet"/>
      </w:pPr>
      <w:r w:rsidRPr="00330234">
        <w:rPr>
          <w:rFonts w:eastAsia="Symbol"/>
        </w:rPr>
        <w:tab/>
      </w:r>
      <w:r w:rsidR="009B4B8E" w:rsidRPr="00330234">
        <w:t xml:space="preserve">Neem de volgende dosis niet als u symptomen heeft gehad van een allergische reactie na toediening van </w:t>
      </w:r>
      <w:r w:rsidR="00B666BC" w:rsidRPr="00330234">
        <w:t>Avtozma</w:t>
      </w:r>
      <w:r w:rsidR="009B4B8E" w:rsidRPr="00330234">
        <w:t>, totdat u uw arts heeft geïnformeerd EN uw arts u heeft verteld om de volgende dosis te nemen.</w:t>
      </w:r>
    </w:p>
    <w:p w14:paraId="0422ED9C" w14:textId="77777777" w:rsidR="00436DAA" w:rsidRPr="00330234" w:rsidRDefault="00436DAA" w:rsidP="00BD109B">
      <w:pPr>
        <w:widowControl/>
      </w:pPr>
    </w:p>
    <w:p w14:paraId="3409A825" w14:textId="60538FBB" w:rsidR="00436DAA" w:rsidRPr="00330234" w:rsidRDefault="005328BF" w:rsidP="004348EF">
      <w:pPr>
        <w:pStyle w:val="bullet"/>
      </w:pPr>
      <w:r w:rsidRPr="00330234">
        <w:rPr>
          <w:rFonts w:eastAsia="Symbol"/>
        </w:rPr>
        <w:tab/>
      </w:r>
      <w:r w:rsidR="009B4B8E" w:rsidRPr="00330234">
        <w:t xml:space="preserve">Als u een </w:t>
      </w:r>
      <w:r w:rsidR="009B4B8E" w:rsidRPr="00330234">
        <w:rPr>
          <w:b/>
        </w:rPr>
        <w:t xml:space="preserve">infectie </w:t>
      </w:r>
      <w:r w:rsidR="009B4B8E" w:rsidRPr="00330234">
        <w:t xml:space="preserve">heeft, wat voor infectie dan ook, kort- of langdurend, of als u vaak infecties krijgt, meld dit dan aan uw arts. </w:t>
      </w:r>
      <w:r w:rsidR="009B4B8E" w:rsidRPr="00330234">
        <w:rPr>
          <w:b/>
        </w:rPr>
        <w:t xml:space="preserve">Meld ook direct aan uw arts </w:t>
      </w:r>
      <w:r w:rsidR="009B4B8E" w:rsidRPr="00330234">
        <w:t xml:space="preserve">als u zich onwel voelt. </w:t>
      </w:r>
      <w:r w:rsidR="00B666BC" w:rsidRPr="00330234">
        <w:t>Avtozma</w:t>
      </w:r>
      <w:r w:rsidR="009B4B8E" w:rsidRPr="00330234">
        <w:t xml:space="preserve"> kan ervoor zorgen dat uw lichaam minder goed in staat is om op infecties te reageren </w:t>
      </w:r>
      <w:r w:rsidR="009B4B8E" w:rsidRPr="00330234">
        <w:lastRenderedPageBreak/>
        <w:t>en het kan een bestaande infectie verergeren of het risico op het krijgen van een nieuwe infectie verhogen.</w:t>
      </w:r>
    </w:p>
    <w:p w14:paraId="71845D78" w14:textId="77777777" w:rsidR="00436DAA" w:rsidRPr="00330234" w:rsidRDefault="00436DAA" w:rsidP="00BD109B">
      <w:pPr>
        <w:pStyle w:val="a3"/>
        <w:widowControl/>
        <w:ind w:left="0"/>
      </w:pPr>
    </w:p>
    <w:p w14:paraId="7E02B01D" w14:textId="00BDDB52" w:rsidR="00436DAA" w:rsidRPr="00330234" w:rsidRDefault="005328BF" w:rsidP="004348EF">
      <w:pPr>
        <w:pStyle w:val="bullet"/>
      </w:pPr>
      <w:r w:rsidRPr="00330234">
        <w:rPr>
          <w:rFonts w:eastAsia="Symbol"/>
        </w:rPr>
        <w:tab/>
      </w:r>
      <w:r w:rsidR="009B4B8E" w:rsidRPr="00330234">
        <w:t xml:space="preserve">Als u een voorgeschiedenis heeft van </w:t>
      </w:r>
      <w:r w:rsidR="009B4B8E" w:rsidRPr="00330234">
        <w:rPr>
          <w:b/>
        </w:rPr>
        <w:t>tuberculose</w:t>
      </w:r>
      <w:r w:rsidR="009B4B8E" w:rsidRPr="00330234">
        <w:t xml:space="preserve">, meld dit dan aan uw arts. Uw arts zal u controleren op klachten of symptomen van tuberculose voordat u start met </w:t>
      </w:r>
      <w:r w:rsidR="00B666BC" w:rsidRPr="00330234">
        <w:t>Avtozma</w:t>
      </w:r>
      <w:r w:rsidR="009B4B8E" w:rsidRPr="00330234">
        <w:t>. Als u tijdens of na de behandeling symptomen van tuberculose ervaart (aanhoudende hoest, gewichtsverlies, lusteloosheid, lichte koorts), of een andere infectie krijgt, meld dit direct aan uw arts.</w:t>
      </w:r>
    </w:p>
    <w:p w14:paraId="4116893F" w14:textId="77777777" w:rsidR="004348EF" w:rsidRPr="00330234" w:rsidRDefault="004348EF" w:rsidP="00BD109B">
      <w:pPr>
        <w:widowControl/>
      </w:pPr>
    </w:p>
    <w:p w14:paraId="482B3B8D" w14:textId="387B5961" w:rsidR="00436DAA" w:rsidRPr="00330234" w:rsidRDefault="005328BF" w:rsidP="004348EF">
      <w:pPr>
        <w:pStyle w:val="bullet"/>
      </w:pPr>
      <w:r w:rsidRPr="00330234">
        <w:rPr>
          <w:rFonts w:eastAsia="Symbol"/>
        </w:rPr>
        <w:tab/>
      </w:r>
      <w:r w:rsidR="009B4B8E" w:rsidRPr="00330234">
        <w:t xml:space="preserve">Als u een voorgeschiedenis heeft van </w:t>
      </w:r>
      <w:r w:rsidR="009B4B8E" w:rsidRPr="00330234">
        <w:rPr>
          <w:b/>
        </w:rPr>
        <w:t xml:space="preserve">zweren in de darm </w:t>
      </w:r>
      <w:r w:rsidR="009B4B8E" w:rsidRPr="00330234">
        <w:t xml:space="preserve">of </w:t>
      </w:r>
      <w:r w:rsidR="009B4B8E" w:rsidRPr="00330234">
        <w:rPr>
          <w:b/>
        </w:rPr>
        <w:t>diverticulitis</w:t>
      </w:r>
      <w:r w:rsidR="009B4B8E" w:rsidRPr="00330234">
        <w:t>, meld dit dan aan uw arts. De symptomen kunnen bestaan uit buikpijn en onverklaarbare veranderingen van de stoelgang gepaard gaande met koorts.</w:t>
      </w:r>
    </w:p>
    <w:p w14:paraId="3D98632B" w14:textId="77777777" w:rsidR="00436DAA" w:rsidRPr="00330234" w:rsidRDefault="00436DAA" w:rsidP="00BD109B">
      <w:pPr>
        <w:pStyle w:val="a3"/>
        <w:widowControl/>
        <w:ind w:left="0"/>
      </w:pPr>
    </w:p>
    <w:p w14:paraId="1A214563" w14:textId="0E9378DD" w:rsidR="00436DAA" w:rsidRPr="00330234" w:rsidRDefault="005328BF" w:rsidP="004348EF">
      <w:pPr>
        <w:pStyle w:val="bullet"/>
      </w:pPr>
      <w:r w:rsidRPr="00330234">
        <w:rPr>
          <w:rFonts w:eastAsia="Symbol"/>
        </w:rPr>
        <w:tab/>
      </w:r>
      <w:r w:rsidR="009B4B8E" w:rsidRPr="00330234">
        <w:t xml:space="preserve">Als u een </w:t>
      </w:r>
      <w:r w:rsidR="009B4B8E" w:rsidRPr="00330234">
        <w:rPr>
          <w:b/>
        </w:rPr>
        <w:t xml:space="preserve">leveraandoening </w:t>
      </w:r>
      <w:r w:rsidR="009B4B8E" w:rsidRPr="00330234">
        <w:t xml:space="preserve">heeft, meld dit dan aan uw arts. Voordat u start met </w:t>
      </w:r>
      <w:r w:rsidR="00B666BC" w:rsidRPr="00330234">
        <w:t>Avtozma</w:t>
      </w:r>
      <w:r w:rsidR="009B4B8E" w:rsidRPr="00330234">
        <w:t xml:space="preserve"> kan uw arts een bloedonderzoek doen om uw leverfunctie te controleren.</w:t>
      </w:r>
    </w:p>
    <w:p w14:paraId="096F9580" w14:textId="77777777" w:rsidR="00436DAA" w:rsidRPr="00330234" w:rsidRDefault="00436DAA" w:rsidP="00BD109B">
      <w:pPr>
        <w:pStyle w:val="a3"/>
        <w:widowControl/>
        <w:ind w:left="0"/>
      </w:pPr>
    </w:p>
    <w:p w14:paraId="18C6FB43" w14:textId="1FBACC16" w:rsidR="00436DAA" w:rsidRPr="00330234" w:rsidRDefault="005328BF" w:rsidP="004348EF">
      <w:pPr>
        <w:pStyle w:val="bullet"/>
      </w:pPr>
      <w:r w:rsidRPr="00330234">
        <w:rPr>
          <w:rFonts w:eastAsia="Symbol"/>
        </w:rPr>
        <w:tab/>
      </w:r>
      <w:r w:rsidR="009B4B8E" w:rsidRPr="00330234">
        <w:t xml:space="preserve">Als u </w:t>
      </w:r>
      <w:r w:rsidR="009B4B8E" w:rsidRPr="00330234">
        <w:rPr>
          <w:b/>
        </w:rPr>
        <w:t>recent een vaccinatie heeft gehad of gevaccineerd gaat worden</w:t>
      </w:r>
      <w:r w:rsidR="009B4B8E" w:rsidRPr="00330234">
        <w:t xml:space="preserve">, meld dit dan aan uw arts. Het wordt voor alle patiënten aanbevolen om bij te zijn met al hun inentingen voordat gestart wordt met de </w:t>
      </w:r>
      <w:r w:rsidR="00B666BC" w:rsidRPr="00330234">
        <w:t>Avtozma</w:t>
      </w:r>
      <w:r w:rsidR="009B4B8E" w:rsidRPr="00330234">
        <w:t xml:space="preserve">-behandeling. Bepaalde typen vaccins mogen niet gegeven worden tijdens de behandeling met </w:t>
      </w:r>
      <w:r w:rsidR="00B666BC" w:rsidRPr="00330234">
        <w:t>Avtozma</w:t>
      </w:r>
      <w:r w:rsidR="009B4B8E" w:rsidRPr="00330234">
        <w:t>.</w:t>
      </w:r>
    </w:p>
    <w:p w14:paraId="24A1EFD1" w14:textId="77777777" w:rsidR="00436DAA" w:rsidRPr="00330234" w:rsidRDefault="00436DAA" w:rsidP="00BD109B">
      <w:pPr>
        <w:pStyle w:val="a3"/>
        <w:widowControl/>
        <w:ind w:left="0"/>
      </w:pPr>
    </w:p>
    <w:p w14:paraId="7379DA6C" w14:textId="5C343085" w:rsidR="00436DAA" w:rsidRPr="00330234" w:rsidRDefault="005328BF" w:rsidP="004348EF">
      <w:pPr>
        <w:pStyle w:val="bullet"/>
      </w:pPr>
      <w:r w:rsidRPr="00330234">
        <w:rPr>
          <w:rFonts w:eastAsia="Symbol"/>
        </w:rPr>
        <w:tab/>
      </w:r>
      <w:r w:rsidR="009B4B8E" w:rsidRPr="00330234">
        <w:t xml:space="preserve">Als u </w:t>
      </w:r>
      <w:r w:rsidR="009B4B8E" w:rsidRPr="00330234">
        <w:rPr>
          <w:b/>
        </w:rPr>
        <w:t xml:space="preserve">kanker </w:t>
      </w:r>
      <w:r w:rsidR="009B4B8E" w:rsidRPr="00330234">
        <w:t xml:space="preserve">heeft, meld dit dan aan uw arts. Uw arts zal dan beslissen of u toch </w:t>
      </w:r>
      <w:r w:rsidR="00B666BC" w:rsidRPr="00330234">
        <w:t>Avtozma</w:t>
      </w:r>
      <w:r w:rsidR="009B4B8E" w:rsidRPr="00330234">
        <w:t xml:space="preserve"> mag krijgen.</w:t>
      </w:r>
    </w:p>
    <w:p w14:paraId="2ACE7D36" w14:textId="77777777" w:rsidR="004348EF" w:rsidRPr="00330234" w:rsidRDefault="004348EF" w:rsidP="00BD109B">
      <w:pPr>
        <w:widowControl/>
        <w:rPr>
          <w:rFonts w:eastAsia="Symbol"/>
        </w:rPr>
      </w:pPr>
    </w:p>
    <w:p w14:paraId="24BD559A" w14:textId="593657EC" w:rsidR="00436DAA" w:rsidRPr="00330234" w:rsidRDefault="005328BF" w:rsidP="004348EF">
      <w:pPr>
        <w:pStyle w:val="bullet"/>
      </w:pPr>
      <w:r w:rsidRPr="00330234">
        <w:rPr>
          <w:rFonts w:eastAsia="Symbol"/>
        </w:rPr>
        <w:tab/>
      </w:r>
      <w:r w:rsidR="009B4B8E" w:rsidRPr="00330234">
        <w:t xml:space="preserve">Als u </w:t>
      </w:r>
      <w:r w:rsidR="009B4B8E" w:rsidRPr="00330234">
        <w:rPr>
          <w:b/>
        </w:rPr>
        <w:t xml:space="preserve">cardiovasculaire risicofactoren </w:t>
      </w:r>
      <w:r w:rsidR="009B4B8E" w:rsidRPr="00330234">
        <w:t xml:space="preserve">heeft zoals een verhoogde bloeddruk en verhoogde cholesterolspiegels, meld dit dan aan uw arts. Deze factoren dienen te worden gecontroleerd gedurende de behandeling met </w:t>
      </w:r>
      <w:r w:rsidR="00B666BC" w:rsidRPr="00330234">
        <w:t>Avtozma</w:t>
      </w:r>
      <w:r w:rsidR="009B4B8E" w:rsidRPr="00330234">
        <w:t>.</w:t>
      </w:r>
    </w:p>
    <w:p w14:paraId="2E2E0D9D" w14:textId="77777777" w:rsidR="004348EF" w:rsidRPr="00330234" w:rsidRDefault="004348EF" w:rsidP="00BD109B">
      <w:pPr>
        <w:widowControl/>
        <w:rPr>
          <w:rFonts w:eastAsia="Symbol"/>
        </w:rPr>
      </w:pPr>
    </w:p>
    <w:p w14:paraId="0E89ABDF" w14:textId="1A5EE988" w:rsidR="00436DAA" w:rsidRPr="00330234" w:rsidRDefault="005328BF" w:rsidP="004348EF">
      <w:pPr>
        <w:pStyle w:val="bullet"/>
      </w:pPr>
      <w:r w:rsidRPr="00330234">
        <w:rPr>
          <w:rFonts w:eastAsia="Symbol"/>
        </w:rPr>
        <w:tab/>
      </w:r>
      <w:r w:rsidR="009B4B8E" w:rsidRPr="00330234">
        <w:t xml:space="preserve">Als u matige tot ernstige </w:t>
      </w:r>
      <w:r w:rsidR="009B4B8E" w:rsidRPr="00330234">
        <w:rPr>
          <w:b/>
        </w:rPr>
        <w:t xml:space="preserve">nierfunctieproblemen </w:t>
      </w:r>
      <w:r w:rsidR="009B4B8E" w:rsidRPr="00330234">
        <w:t>heeft, zal uw arts u nauwlettend controleren.</w:t>
      </w:r>
    </w:p>
    <w:p w14:paraId="529342F5" w14:textId="77777777" w:rsidR="00436DAA" w:rsidRPr="00330234" w:rsidRDefault="00436DAA" w:rsidP="00BD109B">
      <w:pPr>
        <w:pStyle w:val="a3"/>
        <w:widowControl/>
        <w:ind w:left="0"/>
      </w:pPr>
    </w:p>
    <w:p w14:paraId="767C8CA3" w14:textId="455851B4" w:rsidR="00436DAA" w:rsidRPr="00330234" w:rsidRDefault="005328BF" w:rsidP="004348EF">
      <w:pPr>
        <w:pStyle w:val="bullet"/>
      </w:pPr>
      <w:r w:rsidRPr="00330234">
        <w:rPr>
          <w:rFonts w:eastAsia="Symbol"/>
        </w:rPr>
        <w:tab/>
      </w:r>
      <w:r w:rsidR="009B4B8E" w:rsidRPr="00330234">
        <w:t>Als u aanhoudende hoofdpijn heeft.</w:t>
      </w:r>
    </w:p>
    <w:p w14:paraId="232C4F0A" w14:textId="77777777" w:rsidR="00436DAA" w:rsidRPr="00330234" w:rsidRDefault="00436DAA" w:rsidP="00BD109B">
      <w:pPr>
        <w:pStyle w:val="a3"/>
        <w:widowControl/>
        <w:ind w:left="0"/>
      </w:pPr>
    </w:p>
    <w:p w14:paraId="75E0F5FE" w14:textId="14D7F15F" w:rsidR="00436DAA" w:rsidRPr="00330234" w:rsidRDefault="009B4B8E" w:rsidP="00BD109B">
      <w:pPr>
        <w:pStyle w:val="a3"/>
        <w:widowControl/>
        <w:ind w:left="0"/>
      </w:pPr>
      <w:r w:rsidRPr="00330234">
        <w:t xml:space="preserve">Voordat u </w:t>
      </w:r>
      <w:r w:rsidR="00B666BC" w:rsidRPr="00330234">
        <w:t>Avtozma</w:t>
      </w:r>
      <w:r w:rsidRPr="00330234">
        <w:t xml:space="preserve"> krijgt, zal uw arts een bloedonderzoek doen om te bepalen of u een verlaagd aantal witte bloedcellen, een verlaagd aantal bloedplaatjes of verhoogde leverenzymwaarden heeft.</w:t>
      </w:r>
    </w:p>
    <w:p w14:paraId="5249F66D" w14:textId="77777777" w:rsidR="00436DAA" w:rsidRPr="00330234" w:rsidRDefault="00436DAA" w:rsidP="00BD109B">
      <w:pPr>
        <w:pStyle w:val="a3"/>
        <w:widowControl/>
        <w:ind w:left="0"/>
      </w:pPr>
    </w:p>
    <w:p w14:paraId="7A7F95D3" w14:textId="77777777" w:rsidR="00436DAA" w:rsidRPr="004A769F" w:rsidRDefault="009B4B8E" w:rsidP="004A769F">
      <w:pPr>
        <w:rPr>
          <w:b/>
          <w:bCs/>
        </w:rPr>
      </w:pPr>
      <w:r w:rsidRPr="004A769F">
        <w:rPr>
          <w:b/>
          <w:bCs/>
        </w:rPr>
        <w:t>Kinderen en jongeren tot 18 jaar</w:t>
      </w:r>
    </w:p>
    <w:p w14:paraId="0BA3C4E1" w14:textId="0F786A5C" w:rsidR="00436DAA" w:rsidRPr="00330234" w:rsidRDefault="00B666BC" w:rsidP="00BD109B">
      <w:pPr>
        <w:pStyle w:val="a3"/>
        <w:widowControl/>
        <w:ind w:left="0"/>
      </w:pPr>
      <w:r w:rsidRPr="00330234">
        <w:t>Avtozma</w:t>
      </w:r>
      <w:r w:rsidR="009B4B8E" w:rsidRPr="00330234">
        <w:t xml:space="preserve"> subcutane injectie wordt niet aanbevolen voor gebruik bij kinderen jonger dan 1 jaar. </w:t>
      </w:r>
      <w:r w:rsidRPr="00330234">
        <w:t>Avtozma</w:t>
      </w:r>
      <w:r w:rsidR="009B4B8E" w:rsidRPr="00330234">
        <w:t xml:space="preserve"> mag niet worden gegeven aan kinderen met sJIA die minder dan 10 kg wegen.</w:t>
      </w:r>
    </w:p>
    <w:p w14:paraId="761273F7" w14:textId="77777777" w:rsidR="004348EF" w:rsidRPr="00330234" w:rsidRDefault="004348EF" w:rsidP="00BD109B">
      <w:pPr>
        <w:pStyle w:val="a3"/>
        <w:widowControl/>
        <w:ind w:left="0"/>
      </w:pPr>
    </w:p>
    <w:p w14:paraId="24C49DB8" w14:textId="1994F3D0" w:rsidR="00436DAA" w:rsidRPr="00330234" w:rsidRDefault="009B4B8E" w:rsidP="00BD109B">
      <w:pPr>
        <w:pStyle w:val="a3"/>
        <w:widowControl/>
        <w:ind w:left="0"/>
      </w:pPr>
      <w:r w:rsidRPr="00330234">
        <w:t xml:space="preserve">Als een kind het </w:t>
      </w:r>
      <w:r w:rsidRPr="00330234">
        <w:rPr>
          <w:b/>
          <w:i/>
        </w:rPr>
        <w:t xml:space="preserve">macrofaagactivatiesyndroom </w:t>
      </w:r>
      <w:r w:rsidRPr="00330234">
        <w:t xml:space="preserve">heeft gehad (activatie en ongecontroleerde groei van specifieke bloedcellen), vertel dit dan aan uw arts. Uw arts zal moeten besluiten of het kind nog wel </w:t>
      </w:r>
      <w:r w:rsidR="00B666BC" w:rsidRPr="00330234">
        <w:t>Avtozma</w:t>
      </w:r>
      <w:r w:rsidRPr="00330234">
        <w:t xml:space="preserve"> kan krijgen.</w:t>
      </w:r>
    </w:p>
    <w:p w14:paraId="25E3553E" w14:textId="77777777" w:rsidR="00436DAA" w:rsidRPr="00330234" w:rsidRDefault="00436DAA" w:rsidP="00BD109B">
      <w:pPr>
        <w:pStyle w:val="a3"/>
        <w:widowControl/>
        <w:ind w:left="0"/>
      </w:pPr>
    </w:p>
    <w:p w14:paraId="1D49E43F" w14:textId="77777777" w:rsidR="00436DAA" w:rsidRPr="004A769F" w:rsidRDefault="009B4B8E" w:rsidP="004A769F">
      <w:pPr>
        <w:rPr>
          <w:b/>
          <w:bCs/>
        </w:rPr>
      </w:pPr>
      <w:r w:rsidRPr="004A769F">
        <w:rPr>
          <w:b/>
          <w:bCs/>
        </w:rPr>
        <w:t>Gebruikt u nog andere geneesmiddelen?</w:t>
      </w:r>
    </w:p>
    <w:p w14:paraId="66B89838" w14:textId="56E545A4" w:rsidR="00436DAA" w:rsidRPr="00330234" w:rsidRDefault="009B4B8E" w:rsidP="004348EF">
      <w:pPr>
        <w:pStyle w:val="a3"/>
        <w:widowControl/>
        <w:ind w:left="0"/>
      </w:pPr>
      <w:r w:rsidRPr="00330234">
        <w:t xml:space="preserve">Gebruikt u naast </w:t>
      </w:r>
      <w:r w:rsidR="00B666BC" w:rsidRPr="00330234">
        <w:t>Avtozma</w:t>
      </w:r>
      <w:r w:rsidRPr="00330234">
        <w:t xml:space="preserve"> nog andere geneesmiddelen, heeft u dat kort geleden gedaan of bestaat de mogelijkheid dat u binnenkort andere geneesmiddelen gaat gebruiken? Vertel dat dan uw arts.</w:t>
      </w:r>
      <w:r w:rsidR="004348EF" w:rsidRPr="00330234">
        <w:t xml:space="preserve"> </w:t>
      </w:r>
      <w:r w:rsidR="00B666BC" w:rsidRPr="00330234">
        <w:t>Avtozma</w:t>
      </w:r>
      <w:r w:rsidRPr="00330234">
        <w:t xml:space="preserve"> kan de werking van sommige geneesmiddelen beïnvloeden, waardoor aanpassing van de dosering van deze geneesmiddelen nodig kan zijn. Vertel uw arts wanneer u geneesmiddelen gebruikt die één van de volgende werkzame stoffen bevatten:</w:t>
      </w:r>
    </w:p>
    <w:p w14:paraId="52B484CB" w14:textId="073CD1DA" w:rsidR="00436DAA" w:rsidRPr="00330234" w:rsidRDefault="005328BF" w:rsidP="004348EF">
      <w:pPr>
        <w:pStyle w:val="bullet"/>
      </w:pPr>
      <w:r w:rsidRPr="00330234">
        <w:rPr>
          <w:rFonts w:eastAsia="Symbol"/>
        </w:rPr>
        <w:tab/>
      </w:r>
      <w:r w:rsidR="009B4B8E" w:rsidRPr="00330234">
        <w:t>methylprednisolon, dexamethason, gebruikt om ontsteking te verminderen</w:t>
      </w:r>
    </w:p>
    <w:p w14:paraId="72574186" w14:textId="434B539D" w:rsidR="00436DAA" w:rsidRPr="00330234" w:rsidRDefault="005328BF" w:rsidP="004348EF">
      <w:pPr>
        <w:pStyle w:val="bullet"/>
      </w:pPr>
      <w:r w:rsidRPr="00330234">
        <w:rPr>
          <w:rFonts w:eastAsia="Symbol"/>
        </w:rPr>
        <w:tab/>
      </w:r>
      <w:r w:rsidR="009B4B8E" w:rsidRPr="00330234">
        <w:t>simvastatine of atorvastatine, voor verlaging van cholesterolspiegels</w:t>
      </w:r>
    </w:p>
    <w:p w14:paraId="1879B375" w14:textId="3BD38973" w:rsidR="00436DAA" w:rsidRPr="00330234" w:rsidRDefault="005328BF" w:rsidP="004348EF">
      <w:pPr>
        <w:pStyle w:val="bullet"/>
      </w:pPr>
      <w:r w:rsidRPr="00330234">
        <w:rPr>
          <w:rFonts w:eastAsia="Symbol"/>
        </w:rPr>
        <w:tab/>
      </w:r>
      <w:r w:rsidR="009B4B8E" w:rsidRPr="00330234">
        <w:t>calciumkanaalblokkers (bijv. amlodipine), voor de behandeling van verhoogde bloeddruk</w:t>
      </w:r>
    </w:p>
    <w:p w14:paraId="0FE65A10" w14:textId="3D4CCB55" w:rsidR="00436DAA" w:rsidRPr="00330234" w:rsidRDefault="005328BF" w:rsidP="004348EF">
      <w:pPr>
        <w:pStyle w:val="bullet"/>
      </w:pPr>
      <w:r w:rsidRPr="00330234">
        <w:rPr>
          <w:rFonts w:eastAsia="Symbol"/>
        </w:rPr>
        <w:tab/>
      </w:r>
      <w:r w:rsidR="009B4B8E" w:rsidRPr="00330234">
        <w:t>theofylline, voor de behandeling van astma</w:t>
      </w:r>
    </w:p>
    <w:p w14:paraId="5E0ED945" w14:textId="46214B74" w:rsidR="00436DAA" w:rsidRPr="00330234" w:rsidRDefault="005328BF" w:rsidP="004348EF">
      <w:pPr>
        <w:pStyle w:val="bullet"/>
      </w:pPr>
      <w:r w:rsidRPr="00330234">
        <w:rPr>
          <w:rFonts w:eastAsia="Symbol"/>
        </w:rPr>
        <w:tab/>
      </w:r>
      <w:r w:rsidR="009B4B8E" w:rsidRPr="00330234">
        <w:t>warfarine of fenprocoumon, bloedverdunners</w:t>
      </w:r>
    </w:p>
    <w:p w14:paraId="7AB220F4" w14:textId="0658773D" w:rsidR="00436DAA" w:rsidRPr="00330234" w:rsidRDefault="005328BF" w:rsidP="004348EF">
      <w:pPr>
        <w:pStyle w:val="bullet"/>
      </w:pPr>
      <w:r w:rsidRPr="00330234">
        <w:rPr>
          <w:rFonts w:eastAsia="Symbol"/>
        </w:rPr>
        <w:tab/>
      </w:r>
      <w:r w:rsidR="009B4B8E" w:rsidRPr="00330234">
        <w:t>fenytoïne, voor de behandeling van stuipen</w:t>
      </w:r>
    </w:p>
    <w:p w14:paraId="1EA71845" w14:textId="0AE30753" w:rsidR="00436DAA" w:rsidRPr="00330234" w:rsidRDefault="005328BF" w:rsidP="004348EF">
      <w:pPr>
        <w:pStyle w:val="bullet"/>
      </w:pPr>
      <w:r w:rsidRPr="00330234">
        <w:rPr>
          <w:rFonts w:eastAsia="Symbol"/>
        </w:rPr>
        <w:tab/>
      </w:r>
      <w:r w:rsidR="009B4B8E" w:rsidRPr="00330234">
        <w:t>ciclosporine, gebruikt voor onderdrukking van het immuunsysteem bij orgaantransplantatie</w:t>
      </w:r>
    </w:p>
    <w:p w14:paraId="0B5ACAA3" w14:textId="429CBC6A" w:rsidR="00436DAA" w:rsidRPr="00330234" w:rsidRDefault="005328BF" w:rsidP="004348EF">
      <w:pPr>
        <w:pStyle w:val="bullet"/>
      </w:pPr>
      <w:r w:rsidRPr="00330234">
        <w:rPr>
          <w:rFonts w:eastAsia="Symbol"/>
        </w:rPr>
        <w:lastRenderedPageBreak/>
        <w:tab/>
      </w:r>
      <w:r w:rsidR="009B4B8E" w:rsidRPr="00330234">
        <w:t>benzodiazepines (bijv. temazepam), voor verlichting van angst</w:t>
      </w:r>
    </w:p>
    <w:p w14:paraId="351C9234" w14:textId="77777777" w:rsidR="00436DAA" w:rsidRPr="00330234" w:rsidRDefault="00436DAA" w:rsidP="00BD109B">
      <w:pPr>
        <w:pStyle w:val="a3"/>
        <w:widowControl/>
        <w:ind w:left="0"/>
      </w:pPr>
    </w:p>
    <w:p w14:paraId="24219734" w14:textId="34AD8816" w:rsidR="00436DAA" w:rsidRPr="00330234" w:rsidRDefault="009B4B8E" w:rsidP="00BD109B">
      <w:pPr>
        <w:pStyle w:val="a3"/>
        <w:widowControl/>
        <w:ind w:left="0"/>
      </w:pPr>
      <w:r w:rsidRPr="00330234">
        <w:t xml:space="preserve">Wegens het ontbreken van klinische ervaring, wordt </w:t>
      </w:r>
      <w:r w:rsidR="00A65792" w:rsidRPr="00330234">
        <w:rPr>
          <w:rFonts w:hint="eastAsia"/>
          <w:lang w:eastAsia="ko-KR"/>
        </w:rPr>
        <w:t>tocilizumab</w:t>
      </w:r>
      <w:r w:rsidRPr="00330234">
        <w:t xml:space="preserve"> niet aanbevolen in combinatie met andere biologische geneesmiddelen voor de behandeling van RA, sJIA, pJIA of GCA.</w:t>
      </w:r>
    </w:p>
    <w:p w14:paraId="37B27637" w14:textId="77777777" w:rsidR="00436DAA" w:rsidRPr="00330234" w:rsidRDefault="00436DAA" w:rsidP="00BD109B">
      <w:pPr>
        <w:pStyle w:val="a3"/>
        <w:widowControl/>
        <w:ind w:left="0"/>
      </w:pPr>
    </w:p>
    <w:p w14:paraId="546DEB07" w14:textId="77777777" w:rsidR="00436DAA" w:rsidRPr="004A769F" w:rsidRDefault="009B4B8E" w:rsidP="004A769F">
      <w:pPr>
        <w:rPr>
          <w:b/>
          <w:bCs/>
        </w:rPr>
      </w:pPr>
      <w:r w:rsidRPr="004A769F">
        <w:rPr>
          <w:b/>
          <w:bCs/>
        </w:rPr>
        <w:t>Zwangerschap, borstvoeding en vruchtbaarheid</w:t>
      </w:r>
    </w:p>
    <w:p w14:paraId="0181A22C" w14:textId="77777777" w:rsidR="004348EF" w:rsidRPr="00330234" w:rsidRDefault="004348EF" w:rsidP="000B2126">
      <w:pPr>
        <w:keepNext/>
        <w:keepLines/>
        <w:widowControl/>
        <w:rPr>
          <w:b/>
        </w:rPr>
      </w:pPr>
    </w:p>
    <w:p w14:paraId="17DE5D96" w14:textId="004A86DE" w:rsidR="00436DAA" w:rsidRPr="00330234" w:rsidRDefault="00B666BC" w:rsidP="000B2126">
      <w:pPr>
        <w:keepNext/>
        <w:keepLines/>
        <w:widowControl/>
      </w:pPr>
      <w:r w:rsidRPr="00330234">
        <w:rPr>
          <w:b/>
        </w:rPr>
        <w:t>Avtozma</w:t>
      </w:r>
      <w:r w:rsidR="009B4B8E" w:rsidRPr="00330234">
        <w:rPr>
          <w:b/>
        </w:rPr>
        <w:t xml:space="preserve"> mag niet worden gebruikt tijdens de zwangerschap </w:t>
      </w:r>
      <w:r w:rsidR="009B4B8E" w:rsidRPr="00330234">
        <w:t>tenzij het echt noodzakelijk is. Bent u zwanger, denkt u zwanger te zijn, wilt u zwanger worden of geeft u borstvoeding? Neem dan contact op met uw arts voordat u dit geneesmiddel gebruikt.</w:t>
      </w:r>
    </w:p>
    <w:p w14:paraId="48B90880" w14:textId="77777777" w:rsidR="00436DAA" w:rsidRPr="00330234" w:rsidRDefault="00436DAA" w:rsidP="00BD109B">
      <w:pPr>
        <w:pStyle w:val="a3"/>
        <w:widowControl/>
        <w:ind w:left="0"/>
      </w:pPr>
    </w:p>
    <w:p w14:paraId="7D87FB80" w14:textId="77777777" w:rsidR="00436DAA" w:rsidRPr="00330234" w:rsidRDefault="009B4B8E" w:rsidP="00BD109B">
      <w:pPr>
        <w:widowControl/>
      </w:pPr>
      <w:r w:rsidRPr="00330234">
        <w:rPr>
          <w:b/>
        </w:rPr>
        <w:t xml:space="preserve">Vrouwen die zwanger kunnen worden moeten </w:t>
      </w:r>
      <w:r w:rsidRPr="00330234">
        <w:t>gedurende de behandeling en tot 3 maanden daarna effectieve anticonceptie gebruiken.</w:t>
      </w:r>
    </w:p>
    <w:p w14:paraId="64C85801" w14:textId="77777777" w:rsidR="00436DAA" w:rsidRPr="00330234" w:rsidRDefault="00436DAA" w:rsidP="00BD109B">
      <w:pPr>
        <w:pStyle w:val="a3"/>
        <w:widowControl/>
        <w:ind w:left="0"/>
      </w:pPr>
    </w:p>
    <w:p w14:paraId="74E51DF7" w14:textId="4646544A" w:rsidR="00436DAA" w:rsidRPr="00330234" w:rsidRDefault="009B4B8E" w:rsidP="00BD109B">
      <w:pPr>
        <w:widowControl/>
      </w:pPr>
      <w:r w:rsidRPr="00330234">
        <w:rPr>
          <w:b/>
        </w:rPr>
        <w:t xml:space="preserve">Stop met het geven van borstvoeding als u </w:t>
      </w:r>
      <w:r w:rsidR="00B666BC" w:rsidRPr="00330234">
        <w:rPr>
          <w:b/>
        </w:rPr>
        <w:t>Avtozma</w:t>
      </w:r>
      <w:r w:rsidRPr="00330234">
        <w:rPr>
          <w:b/>
        </w:rPr>
        <w:t xml:space="preserve"> gaat gebruiken </w:t>
      </w:r>
      <w:r w:rsidRPr="00330234">
        <w:t xml:space="preserve">en overleg met uw arts. Voordat u borstvoeding gaat geven, moet de laatste behandeling met </w:t>
      </w:r>
      <w:r w:rsidR="00B666BC" w:rsidRPr="00330234">
        <w:t>Avtozma</w:t>
      </w:r>
      <w:r w:rsidRPr="00330234">
        <w:t xml:space="preserve"> ten minste 3</w:t>
      </w:r>
      <w:r w:rsidR="004348EF" w:rsidRPr="00330234">
        <w:t> </w:t>
      </w:r>
      <w:r w:rsidRPr="00330234">
        <w:t xml:space="preserve">maanden geleden zijn. Het is niet bekend of </w:t>
      </w:r>
      <w:r w:rsidR="00B666BC" w:rsidRPr="00330234">
        <w:t>Avtozma</w:t>
      </w:r>
      <w:r w:rsidRPr="00330234">
        <w:t xml:space="preserve"> wordt uitgescheiden in de moedermelk.</w:t>
      </w:r>
    </w:p>
    <w:p w14:paraId="14BB7363" w14:textId="77777777" w:rsidR="00436DAA" w:rsidRPr="00330234" w:rsidRDefault="00436DAA" w:rsidP="00BD109B">
      <w:pPr>
        <w:pStyle w:val="a3"/>
        <w:widowControl/>
        <w:ind w:left="0"/>
      </w:pPr>
    </w:p>
    <w:p w14:paraId="76464ABE" w14:textId="77777777" w:rsidR="00436DAA" w:rsidRPr="00330234" w:rsidRDefault="009B4B8E" w:rsidP="004A769F">
      <w:r w:rsidRPr="004A769F">
        <w:rPr>
          <w:b/>
          <w:bCs/>
        </w:rPr>
        <w:t>Rijvaardigheid en het gebruik van machines</w:t>
      </w:r>
    </w:p>
    <w:p w14:paraId="01AE5A8E" w14:textId="77777777" w:rsidR="00436DAA" w:rsidRPr="00330234" w:rsidRDefault="009B4B8E" w:rsidP="00BD109B">
      <w:pPr>
        <w:pStyle w:val="a3"/>
        <w:widowControl/>
        <w:ind w:left="0"/>
      </w:pPr>
      <w:r w:rsidRPr="00330234">
        <w:t>Dit geneesmiddel kan duizeligheid veroorzaken. Als u zich duizelig voelt, rij dan niet en bedien geen machines.</w:t>
      </w:r>
    </w:p>
    <w:p w14:paraId="18D4B30F" w14:textId="77777777" w:rsidR="00436DAA" w:rsidRPr="00330234" w:rsidRDefault="00436DAA" w:rsidP="00BD109B">
      <w:pPr>
        <w:pStyle w:val="a3"/>
        <w:widowControl/>
        <w:ind w:left="0"/>
      </w:pPr>
    </w:p>
    <w:p w14:paraId="3DEA7309" w14:textId="77777777" w:rsidR="00AD1D5F" w:rsidRPr="004A769F" w:rsidRDefault="00AD1D5F" w:rsidP="004A769F">
      <w:pPr>
        <w:rPr>
          <w:b/>
          <w:bCs/>
        </w:rPr>
      </w:pPr>
      <w:r w:rsidRPr="004A769F">
        <w:rPr>
          <w:b/>
          <w:bCs/>
        </w:rPr>
        <w:t>Avtozma bevat polysorbaat</w:t>
      </w:r>
    </w:p>
    <w:p w14:paraId="664BE2F4" w14:textId="6B6F14A1" w:rsidR="00AD1D5F" w:rsidRPr="00330234" w:rsidRDefault="00AD1D5F" w:rsidP="00AD1D5F">
      <w:pPr>
        <w:pStyle w:val="a3"/>
        <w:widowControl/>
        <w:ind w:left="0"/>
      </w:pPr>
      <w:r w:rsidRPr="00330234">
        <w:t xml:space="preserve">Dit geneesmiddel bevat 0,2 mg polysorbaat 80 in elke voorgevulde spuit. Polysorbaten kunnen allergische reacties veroorzaken. Heeft u bekende </w:t>
      </w:r>
      <w:r w:rsidR="00BC2CD2" w:rsidRPr="00330234">
        <w:t>allergieën</w:t>
      </w:r>
      <w:r w:rsidRPr="00330234">
        <w:t>? Vertel dit aan uw arts.</w:t>
      </w:r>
    </w:p>
    <w:p w14:paraId="6EB2BE92" w14:textId="77777777" w:rsidR="00A65792" w:rsidRPr="00330234" w:rsidRDefault="00A65792" w:rsidP="00BD109B">
      <w:pPr>
        <w:pStyle w:val="a3"/>
        <w:widowControl/>
        <w:ind w:left="0"/>
      </w:pPr>
    </w:p>
    <w:p w14:paraId="32E60624" w14:textId="77777777" w:rsidR="00436DAA" w:rsidRPr="00330234" w:rsidRDefault="00436DAA" w:rsidP="00BD109B">
      <w:pPr>
        <w:pStyle w:val="a3"/>
        <w:widowControl/>
        <w:ind w:left="0"/>
      </w:pPr>
    </w:p>
    <w:p w14:paraId="3D866CB1" w14:textId="60836B45" w:rsidR="00436DAA" w:rsidRPr="00330234" w:rsidRDefault="005328BF" w:rsidP="00BD109B">
      <w:pPr>
        <w:pStyle w:val="2"/>
      </w:pPr>
      <w:r w:rsidRPr="00330234">
        <w:t>3.</w:t>
      </w:r>
      <w:r w:rsidRPr="00330234">
        <w:tab/>
      </w:r>
      <w:r w:rsidR="009B4B8E" w:rsidRPr="00330234">
        <w:t>Hoe gebruikt u dit middel?</w:t>
      </w:r>
    </w:p>
    <w:p w14:paraId="1F8113EB" w14:textId="77777777" w:rsidR="004348EF" w:rsidRPr="00330234" w:rsidRDefault="004348EF" w:rsidP="00BD109B">
      <w:pPr>
        <w:pStyle w:val="a3"/>
        <w:widowControl/>
        <w:ind w:left="0"/>
      </w:pPr>
    </w:p>
    <w:p w14:paraId="6904A56E" w14:textId="637BCD55" w:rsidR="00436DAA" w:rsidRPr="00330234" w:rsidRDefault="009B4B8E" w:rsidP="00BD109B">
      <w:pPr>
        <w:pStyle w:val="a3"/>
        <w:widowControl/>
        <w:ind w:left="0"/>
      </w:pPr>
      <w:r w:rsidRPr="00330234">
        <w:t>Gebruik dit geneesmiddel altijd precies zoals uw arts, apotheker of verpleegkundige u dat heeft verteld. Twijfelt u over het juiste gebruik? Neem dan contact op met uw arts, apotheker of verpleegkundige.</w:t>
      </w:r>
    </w:p>
    <w:p w14:paraId="724B52B6" w14:textId="77777777" w:rsidR="00436DAA" w:rsidRPr="00330234" w:rsidRDefault="00436DAA" w:rsidP="00BD109B">
      <w:pPr>
        <w:pStyle w:val="a3"/>
        <w:widowControl/>
        <w:ind w:left="0"/>
      </w:pPr>
    </w:p>
    <w:p w14:paraId="4EB10395" w14:textId="77777777" w:rsidR="00436DAA" w:rsidRPr="00330234" w:rsidRDefault="009B4B8E" w:rsidP="00BD109B">
      <w:pPr>
        <w:pStyle w:val="a3"/>
        <w:widowControl/>
        <w:ind w:left="0"/>
      </w:pPr>
      <w:r w:rsidRPr="00330234">
        <w:t>De behandeling zal voorgeschreven en gestart worden door een beroepsbeoefenaar in de gezondheidszorg die ervaring heeft met de diagnose en behandeling van RA, sJIA, pJIA of GCA.</w:t>
      </w:r>
    </w:p>
    <w:p w14:paraId="77E34185" w14:textId="77777777" w:rsidR="00436DAA" w:rsidRPr="00330234" w:rsidRDefault="00436DAA" w:rsidP="00BD109B">
      <w:pPr>
        <w:pStyle w:val="a3"/>
        <w:widowControl/>
        <w:ind w:left="0"/>
      </w:pPr>
    </w:p>
    <w:p w14:paraId="645575B6" w14:textId="77777777" w:rsidR="00436DAA" w:rsidRPr="004A769F" w:rsidRDefault="009B4B8E" w:rsidP="004A769F">
      <w:pPr>
        <w:rPr>
          <w:b/>
          <w:bCs/>
        </w:rPr>
      </w:pPr>
      <w:r w:rsidRPr="004A769F">
        <w:rPr>
          <w:b/>
          <w:bCs/>
        </w:rPr>
        <w:t>De aanbevolen dosering</w:t>
      </w:r>
    </w:p>
    <w:p w14:paraId="3D91C49F" w14:textId="77777777" w:rsidR="00436DAA" w:rsidRPr="00330234" w:rsidRDefault="009B4B8E" w:rsidP="00BD109B">
      <w:pPr>
        <w:pStyle w:val="a3"/>
        <w:widowControl/>
        <w:ind w:left="0"/>
      </w:pPr>
      <w:r w:rsidRPr="00330234">
        <w:t>De dosering voor volwassenen met RA of GCA is eenmaal per week 162 mg (de inhoud van 1 voorgevulde spuit).</w:t>
      </w:r>
    </w:p>
    <w:p w14:paraId="1C30EB1F" w14:textId="77777777" w:rsidR="00436DAA" w:rsidRPr="00330234" w:rsidRDefault="00436DAA" w:rsidP="00BD109B">
      <w:pPr>
        <w:pStyle w:val="a3"/>
        <w:widowControl/>
        <w:ind w:left="0"/>
      </w:pPr>
    </w:p>
    <w:p w14:paraId="1BB8B232" w14:textId="77777777" w:rsidR="00436DAA" w:rsidRPr="00330234" w:rsidRDefault="009B4B8E" w:rsidP="004A769F">
      <w:r w:rsidRPr="004A769F">
        <w:rPr>
          <w:b/>
          <w:bCs/>
        </w:rPr>
        <w:t>Kinderen en jongeren met sJIA (1 jaar en ouder)</w:t>
      </w:r>
    </w:p>
    <w:p w14:paraId="1798E8E8" w14:textId="131C7673" w:rsidR="00436DAA" w:rsidRPr="00330234" w:rsidRDefault="009B4B8E" w:rsidP="00BD109B">
      <w:pPr>
        <w:widowControl/>
        <w:rPr>
          <w:b/>
        </w:rPr>
      </w:pPr>
      <w:r w:rsidRPr="00330234">
        <w:rPr>
          <w:b/>
        </w:rPr>
        <w:t xml:space="preserve">De gebruikelijke dosering van </w:t>
      </w:r>
      <w:r w:rsidR="00B666BC" w:rsidRPr="00330234">
        <w:rPr>
          <w:b/>
        </w:rPr>
        <w:t>Avtozma</w:t>
      </w:r>
      <w:r w:rsidRPr="00330234">
        <w:rPr>
          <w:b/>
        </w:rPr>
        <w:t xml:space="preserve"> is afhankelijk van het gewicht van de patiënt.</w:t>
      </w:r>
    </w:p>
    <w:p w14:paraId="602BBD5C" w14:textId="1D827CF7" w:rsidR="00436DAA" w:rsidRPr="00330234" w:rsidRDefault="005328BF" w:rsidP="004348EF">
      <w:pPr>
        <w:pStyle w:val="bullet"/>
      </w:pPr>
      <w:r w:rsidRPr="00330234">
        <w:rPr>
          <w:rFonts w:eastAsia="Symbol"/>
        </w:rPr>
        <w:tab/>
      </w:r>
      <w:r w:rsidR="009B4B8E" w:rsidRPr="00330234">
        <w:t xml:space="preserve">Als de patiënt </w:t>
      </w:r>
      <w:r w:rsidR="009B4B8E" w:rsidRPr="00330234">
        <w:rPr>
          <w:b/>
        </w:rPr>
        <w:t xml:space="preserve">minder dan 30 kg </w:t>
      </w:r>
      <w:r w:rsidR="009B4B8E" w:rsidRPr="00330234">
        <w:t xml:space="preserve">weegt, is de dosering </w:t>
      </w:r>
      <w:r w:rsidR="009B4B8E" w:rsidRPr="00330234">
        <w:rPr>
          <w:b/>
        </w:rPr>
        <w:t xml:space="preserve">eenmaal per 2 weken </w:t>
      </w:r>
      <w:r w:rsidR="009B4B8E" w:rsidRPr="00330234">
        <w:t>162 mg (de inhoud van 1 voorgevulde spuit).</w:t>
      </w:r>
    </w:p>
    <w:p w14:paraId="090C4B4A" w14:textId="5C0E86E8" w:rsidR="00436DAA" w:rsidRPr="00330234" w:rsidRDefault="005328BF" w:rsidP="004348EF">
      <w:pPr>
        <w:pStyle w:val="bullet"/>
      </w:pPr>
      <w:r w:rsidRPr="00330234">
        <w:rPr>
          <w:rFonts w:eastAsia="Symbol"/>
        </w:rPr>
        <w:tab/>
      </w:r>
      <w:r w:rsidR="009B4B8E" w:rsidRPr="00330234">
        <w:t xml:space="preserve">Als de patiënt </w:t>
      </w:r>
      <w:r w:rsidR="009B4B8E" w:rsidRPr="00330234">
        <w:rPr>
          <w:b/>
        </w:rPr>
        <w:t xml:space="preserve">30 kg of meer </w:t>
      </w:r>
      <w:r w:rsidR="009B4B8E" w:rsidRPr="00330234">
        <w:t xml:space="preserve">weegt, is de dosering </w:t>
      </w:r>
      <w:r w:rsidR="009B4B8E" w:rsidRPr="00330234">
        <w:rPr>
          <w:b/>
        </w:rPr>
        <w:t xml:space="preserve">eenmaal per week </w:t>
      </w:r>
      <w:r w:rsidR="009B4B8E" w:rsidRPr="00330234">
        <w:t>162 mg (de inhoud van 1</w:t>
      </w:r>
      <w:r w:rsidR="004348EF" w:rsidRPr="00330234">
        <w:t> </w:t>
      </w:r>
      <w:r w:rsidR="009B4B8E" w:rsidRPr="00330234">
        <w:t>voorgevulde spuit).</w:t>
      </w:r>
    </w:p>
    <w:p w14:paraId="37B119B2" w14:textId="77777777" w:rsidR="00436DAA" w:rsidRPr="00330234" w:rsidRDefault="00436DAA" w:rsidP="00BD109B">
      <w:pPr>
        <w:pStyle w:val="a3"/>
        <w:widowControl/>
        <w:ind w:left="0"/>
      </w:pPr>
    </w:p>
    <w:p w14:paraId="203383E7" w14:textId="77777777" w:rsidR="00436DAA" w:rsidRPr="004A769F" w:rsidRDefault="009B4B8E" w:rsidP="004A769F">
      <w:pPr>
        <w:rPr>
          <w:b/>
          <w:bCs/>
        </w:rPr>
      </w:pPr>
      <w:r w:rsidRPr="004A769F">
        <w:rPr>
          <w:b/>
          <w:bCs/>
        </w:rPr>
        <w:t>Kinderen en jongeren met pJIA (2 jaar en ouder)</w:t>
      </w:r>
    </w:p>
    <w:p w14:paraId="7357FE45" w14:textId="45F8CBE8" w:rsidR="00436DAA" w:rsidRPr="00330234" w:rsidRDefault="009B4B8E" w:rsidP="00BD109B">
      <w:pPr>
        <w:widowControl/>
        <w:rPr>
          <w:b/>
        </w:rPr>
      </w:pPr>
      <w:r w:rsidRPr="00330234">
        <w:rPr>
          <w:b/>
        </w:rPr>
        <w:t xml:space="preserve">De gebruikelijke dosering van </w:t>
      </w:r>
      <w:r w:rsidR="00B666BC" w:rsidRPr="00330234">
        <w:rPr>
          <w:b/>
        </w:rPr>
        <w:t>Avtozma</w:t>
      </w:r>
      <w:r w:rsidRPr="00330234">
        <w:rPr>
          <w:b/>
        </w:rPr>
        <w:t xml:space="preserve"> is afhankelijk van het gewicht van de patiënt.</w:t>
      </w:r>
    </w:p>
    <w:p w14:paraId="11C2969A" w14:textId="2D3E2AE9" w:rsidR="00436DAA" w:rsidRPr="00330234" w:rsidRDefault="005328BF" w:rsidP="004348EF">
      <w:pPr>
        <w:pStyle w:val="bullet"/>
      </w:pPr>
      <w:r w:rsidRPr="00330234">
        <w:rPr>
          <w:rFonts w:eastAsia="Symbol"/>
        </w:rPr>
        <w:tab/>
      </w:r>
      <w:r w:rsidR="009B4B8E" w:rsidRPr="00330234">
        <w:t xml:space="preserve">Als de patiënt </w:t>
      </w:r>
      <w:r w:rsidR="009B4B8E" w:rsidRPr="00330234">
        <w:rPr>
          <w:b/>
        </w:rPr>
        <w:t xml:space="preserve">minder dan 30 kg </w:t>
      </w:r>
      <w:r w:rsidR="009B4B8E" w:rsidRPr="00330234">
        <w:t xml:space="preserve">weegt, is de dosering </w:t>
      </w:r>
      <w:r w:rsidR="009B4B8E" w:rsidRPr="00330234">
        <w:rPr>
          <w:b/>
        </w:rPr>
        <w:t xml:space="preserve">eenmaal per 3 weken </w:t>
      </w:r>
      <w:r w:rsidR="009B4B8E" w:rsidRPr="00330234">
        <w:t>162 mg (de inhoud van 1 voorgevulde spuit).</w:t>
      </w:r>
    </w:p>
    <w:p w14:paraId="71185D65" w14:textId="22AA74CC" w:rsidR="00436DAA" w:rsidRPr="00330234" w:rsidRDefault="005328BF" w:rsidP="004348EF">
      <w:pPr>
        <w:pStyle w:val="bullet"/>
      </w:pPr>
      <w:r w:rsidRPr="00330234">
        <w:rPr>
          <w:rFonts w:eastAsia="Symbol"/>
        </w:rPr>
        <w:tab/>
      </w:r>
      <w:r w:rsidR="009B4B8E" w:rsidRPr="00330234">
        <w:t xml:space="preserve">Als de patiënt </w:t>
      </w:r>
      <w:r w:rsidR="009B4B8E" w:rsidRPr="00330234">
        <w:rPr>
          <w:b/>
        </w:rPr>
        <w:t xml:space="preserve">30 kg of meer </w:t>
      </w:r>
      <w:r w:rsidR="009B4B8E" w:rsidRPr="00330234">
        <w:t xml:space="preserve">weegt, is de dosering </w:t>
      </w:r>
      <w:r w:rsidR="009B4B8E" w:rsidRPr="00330234">
        <w:rPr>
          <w:b/>
        </w:rPr>
        <w:t xml:space="preserve">eenmaal per 2 weken </w:t>
      </w:r>
      <w:r w:rsidR="009B4B8E" w:rsidRPr="00330234">
        <w:t>162 mg (de inhoud van 1</w:t>
      </w:r>
      <w:r w:rsidR="004348EF" w:rsidRPr="00330234">
        <w:t> </w:t>
      </w:r>
      <w:r w:rsidR="009B4B8E" w:rsidRPr="00330234">
        <w:t>voorgevulde spuit).</w:t>
      </w:r>
    </w:p>
    <w:p w14:paraId="045E30F7" w14:textId="77777777" w:rsidR="004348EF" w:rsidRPr="00330234" w:rsidRDefault="004348EF" w:rsidP="00BD109B">
      <w:pPr>
        <w:pStyle w:val="a3"/>
        <w:widowControl/>
        <w:ind w:left="0"/>
      </w:pPr>
    </w:p>
    <w:p w14:paraId="6950F755" w14:textId="35B16BC2" w:rsidR="00436DAA" w:rsidRPr="00330234" w:rsidRDefault="00B666BC" w:rsidP="004348EF">
      <w:pPr>
        <w:pStyle w:val="a3"/>
        <w:widowControl/>
        <w:ind w:left="0"/>
      </w:pPr>
      <w:r w:rsidRPr="00330234">
        <w:t>Avtozma</w:t>
      </w:r>
      <w:r w:rsidR="009B4B8E" w:rsidRPr="00330234">
        <w:t xml:space="preserve"> wordt gegeven door een injectie onder de huid (</w:t>
      </w:r>
      <w:r w:rsidR="009B4B8E" w:rsidRPr="00330234">
        <w:rPr>
          <w:i/>
        </w:rPr>
        <w:t>subcutaan</w:t>
      </w:r>
      <w:r w:rsidR="009B4B8E" w:rsidRPr="00330234">
        <w:t xml:space="preserve">). Bij de start van de behandeling zal waarschijnlijk uw arts of verpleegkundige </w:t>
      </w:r>
      <w:r w:rsidRPr="00330234">
        <w:t>Avtozma</w:t>
      </w:r>
      <w:r w:rsidR="009B4B8E" w:rsidRPr="00330234">
        <w:t xml:space="preserve"> bij u injecteren. Uw arts kan echter ook besluiten dat u </w:t>
      </w:r>
      <w:r w:rsidRPr="00330234">
        <w:t>Avtozma</w:t>
      </w:r>
      <w:r w:rsidR="009B4B8E" w:rsidRPr="00330234">
        <w:t xml:space="preserve"> zelf mag injecteren. In dit geval zult u getraind worden om</w:t>
      </w:r>
      <w:r w:rsidR="004348EF" w:rsidRPr="00330234">
        <w:t xml:space="preserve"> </w:t>
      </w:r>
      <w:r w:rsidRPr="00330234">
        <w:t>Avtozma</w:t>
      </w:r>
      <w:r w:rsidR="009B4B8E" w:rsidRPr="00330234">
        <w:t xml:space="preserve"> zelf te </w:t>
      </w:r>
      <w:r w:rsidR="009B4B8E" w:rsidRPr="00330234">
        <w:lastRenderedPageBreak/>
        <w:t xml:space="preserve">injecteren. Ouders en voogden zullen getraind worden om </w:t>
      </w:r>
      <w:r w:rsidRPr="00330234">
        <w:t>Avtozma</w:t>
      </w:r>
      <w:r w:rsidR="009B4B8E" w:rsidRPr="00330234">
        <w:t xml:space="preserve"> te injecteren bij patiënten die dit niet zelf kunnen, zoals kinderen.</w:t>
      </w:r>
    </w:p>
    <w:p w14:paraId="622D79BA" w14:textId="77777777" w:rsidR="00436DAA" w:rsidRPr="00330234" w:rsidRDefault="00436DAA" w:rsidP="00BD109B">
      <w:pPr>
        <w:pStyle w:val="a3"/>
        <w:widowControl/>
        <w:ind w:left="0"/>
      </w:pPr>
    </w:p>
    <w:p w14:paraId="05A3CC76" w14:textId="77777777" w:rsidR="00436DAA" w:rsidRPr="00330234" w:rsidRDefault="009B4B8E" w:rsidP="00BD109B">
      <w:pPr>
        <w:pStyle w:val="a3"/>
        <w:widowControl/>
        <w:ind w:left="0"/>
      </w:pPr>
      <w:r w:rsidRPr="00330234">
        <w:t>Overleg met uw arts als u vragen heeft over het zelf toedienen van een injectie. U vindt gedetailleerde ‘instructies voor toediening’ aan het eind van deze bijsluiter.</w:t>
      </w:r>
    </w:p>
    <w:p w14:paraId="77E76FF4" w14:textId="77777777" w:rsidR="00436DAA" w:rsidRPr="00330234" w:rsidRDefault="00436DAA" w:rsidP="00BD109B">
      <w:pPr>
        <w:pStyle w:val="a3"/>
        <w:widowControl/>
        <w:ind w:left="0"/>
      </w:pPr>
    </w:p>
    <w:p w14:paraId="04BEE07A" w14:textId="77777777" w:rsidR="00436DAA" w:rsidRPr="004A769F" w:rsidRDefault="009B4B8E" w:rsidP="004A769F">
      <w:pPr>
        <w:rPr>
          <w:b/>
          <w:bCs/>
        </w:rPr>
      </w:pPr>
      <w:r w:rsidRPr="004A769F">
        <w:rPr>
          <w:b/>
          <w:bCs/>
        </w:rPr>
        <w:t>Heeft u te veel van dit middel gebruikt?</w:t>
      </w:r>
    </w:p>
    <w:p w14:paraId="29B64D1D" w14:textId="727FB103" w:rsidR="00436DAA" w:rsidRPr="00330234" w:rsidRDefault="009B4B8E" w:rsidP="00BD109B">
      <w:pPr>
        <w:pStyle w:val="a3"/>
        <w:widowControl/>
        <w:ind w:left="0"/>
      </w:pPr>
      <w:r w:rsidRPr="00330234">
        <w:t xml:space="preserve">Omdat </w:t>
      </w:r>
      <w:r w:rsidR="00B666BC" w:rsidRPr="00330234">
        <w:t>Avtozma</w:t>
      </w:r>
      <w:r w:rsidRPr="00330234">
        <w:t xml:space="preserve"> wordt gegeven in een voorgevulde spuit, is het niet waarschijnlijk dat u te veel zult gebruiken. Als u zich toch zorgen maakt, overleg dan met uw arts, apotheker of verpleegkundige.</w:t>
      </w:r>
    </w:p>
    <w:p w14:paraId="5DF7F9BC" w14:textId="77777777" w:rsidR="004348EF" w:rsidRPr="00330234" w:rsidRDefault="004348EF" w:rsidP="00BD109B">
      <w:pPr>
        <w:pStyle w:val="a3"/>
        <w:widowControl/>
        <w:ind w:left="0"/>
      </w:pPr>
    </w:p>
    <w:p w14:paraId="51B90C21" w14:textId="77777777" w:rsidR="00436DAA" w:rsidRPr="004A769F" w:rsidRDefault="009B4B8E" w:rsidP="004A769F">
      <w:pPr>
        <w:rPr>
          <w:b/>
          <w:bCs/>
        </w:rPr>
      </w:pPr>
      <w:r w:rsidRPr="004A769F">
        <w:rPr>
          <w:b/>
          <w:bCs/>
        </w:rPr>
        <w:t>Als volwassenen met RA of GCA of kinderen of jongeren met sJIA vergeten dit middel te gebruiken</w:t>
      </w:r>
    </w:p>
    <w:p w14:paraId="4313297A" w14:textId="27B6C17E" w:rsidR="00436DAA" w:rsidRPr="00330234" w:rsidRDefault="009B4B8E" w:rsidP="00BD109B">
      <w:pPr>
        <w:pStyle w:val="a3"/>
        <w:widowControl/>
        <w:ind w:left="0"/>
      </w:pPr>
      <w:r w:rsidRPr="00330234">
        <w:t xml:space="preserve">Het is belangrijk dat u </w:t>
      </w:r>
      <w:r w:rsidR="00B666BC" w:rsidRPr="00330234">
        <w:t>Avtozma</w:t>
      </w:r>
      <w:r w:rsidRPr="00330234">
        <w:t xml:space="preserve"> precies gebruikt zoals voorgeschreven door uw arts. Houd uw volgende dosis in de gaten.</w:t>
      </w:r>
    </w:p>
    <w:p w14:paraId="512AFED7" w14:textId="1BFC26D0" w:rsidR="00436DAA" w:rsidRPr="00330234" w:rsidRDefault="005328BF" w:rsidP="004348EF">
      <w:pPr>
        <w:pStyle w:val="bullet"/>
      </w:pPr>
      <w:r w:rsidRPr="00330234">
        <w:rPr>
          <w:rFonts w:eastAsia="Symbol"/>
        </w:rPr>
        <w:tab/>
      </w:r>
      <w:r w:rsidR="009B4B8E" w:rsidRPr="00330234">
        <w:t>Als u uw wekelijkse dosis mist en u komt hier binnen 7 dagen van de geplande dosis achter, neem uw dosis dan op de volgende geplande dag.</w:t>
      </w:r>
    </w:p>
    <w:p w14:paraId="797F6FEB" w14:textId="3369C8EA" w:rsidR="00436DAA" w:rsidRPr="00330234" w:rsidRDefault="005328BF" w:rsidP="004348EF">
      <w:pPr>
        <w:pStyle w:val="bullet"/>
      </w:pPr>
      <w:r w:rsidRPr="00330234">
        <w:rPr>
          <w:rFonts w:eastAsia="Symbol"/>
        </w:rPr>
        <w:tab/>
      </w:r>
      <w:r w:rsidR="009B4B8E" w:rsidRPr="00330234">
        <w:t>Als u uw 2-wekelijkse dosis mist en u komt hier binnen 7 dagen van de geplande dosis achter, injecteer dan een dosis zodra u eraan denkt en neem uw volgende dosis op de volgende geplande dag.</w:t>
      </w:r>
    </w:p>
    <w:p w14:paraId="28F58734" w14:textId="2929CCED" w:rsidR="00436DAA" w:rsidRPr="00330234" w:rsidRDefault="005328BF" w:rsidP="004348EF">
      <w:pPr>
        <w:pStyle w:val="bullet"/>
      </w:pPr>
      <w:r w:rsidRPr="00330234">
        <w:rPr>
          <w:rFonts w:eastAsia="Symbol"/>
        </w:rPr>
        <w:tab/>
      </w:r>
      <w:r w:rsidR="009B4B8E" w:rsidRPr="00330234">
        <w:t xml:space="preserve">Als u er na meer dan 7 dagen na de geplande dosis achter komt dat u uw dosis heeft gemist, of wanneer u niet zeker bent wanneer u </w:t>
      </w:r>
      <w:r w:rsidR="00B666BC" w:rsidRPr="00330234">
        <w:t>Avtozma</w:t>
      </w:r>
      <w:r w:rsidR="009B4B8E" w:rsidRPr="00330234">
        <w:t xml:space="preserve"> moet injecteren, neem dan contact op met uw arts of apotheker.</w:t>
      </w:r>
    </w:p>
    <w:p w14:paraId="5FD3316E" w14:textId="77777777" w:rsidR="004348EF" w:rsidRPr="00330234" w:rsidRDefault="004348EF" w:rsidP="00BD109B">
      <w:pPr>
        <w:widowControl/>
      </w:pPr>
    </w:p>
    <w:p w14:paraId="6E50A10B" w14:textId="77777777" w:rsidR="00436DAA" w:rsidRPr="004A769F" w:rsidRDefault="009B4B8E" w:rsidP="004A769F">
      <w:pPr>
        <w:rPr>
          <w:b/>
          <w:bCs/>
        </w:rPr>
      </w:pPr>
      <w:r w:rsidRPr="004A769F">
        <w:rPr>
          <w:b/>
          <w:bCs/>
        </w:rPr>
        <w:t>Als kinderen of jongeren met pJIA vergeten dit middel te gebruiken</w:t>
      </w:r>
    </w:p>
    <w:p w14:paraId="263F03F5" w14:textId="43A764E2" w:rsidR="00436DAA" w:rsidRPr="00330234" w:rsidRDefault="009B4B8E" w:rsidP="00BD109B">
      <w:pPr>
        <w:pStyle w:val="a3"/>
        <w:widowControl/>
        <w:ind w:left="0"/>
      </w:pPr>
      <w:r w:rsidRPr="00330234">
        <w:t xml:space="preserve">Het is belangrijk dat u </w:t>
      </w:r>
      <w:r w:rsidR="00B666BC" w:rsidRPr="00330234">
        <w:t>Avtozma</w:t>
      </w:r>
      <w:r w:rsidRPr="00330234">
        <w:t xml:space="preserve"> precies gebruikt zoals voorgeschreven door uw arts. Houd de volgende dosis in de gaten.</w:t>
      </w:r>
    </w:p>
    <w:p w14:paraId="5A878347" w14:textId="2CF3C14B" w:rsidR="00436DAA" w:rsidRPr="00330234" w:rsidRDefault="005328BF" w:rsidP="004348EF">
      <w:pPr>
        <w:pStyle w:val="bullet"/>
      </w:pPr>
      <w:r w:rsidRPr="00330234">
        <w:rPr>
          <w:rFonts w:eastAsia="Symbol"/>
        </w:rPr>
        <w:tab/>
      </w:r>
      <w:r w:rsidR="009B4B8E" w:rsidRPr="00330234">
        <w:t>Als een dosis is gemist en u komt hier binnen 7 dagen van de geplande dosis achter, injecteer dan een dosis zodra u eraan denkt en neem de volgende dosis op de volgende geplande dag.</w:t>
      </w:r>
    </w:p>
    <w:p w14:paraId="1BC41A41" w14:textId="07D60234" w:rsidR="00436DAA" w:rsidRPr="00330234" w:rsidRDefault="005328BF" w:rsidP="004348EF">
      <w:pPr>
        <w:pStyle w:val="bullet"/>
      </w:pPr>
      <w:r w:rsidRPr="00330234">
        <w:rPr>
          <w:rFonts w:eastAsia="Symbol"/>
        </w:rPr>
        <w:tab/>
      </w:r>
      <w:r w:rsidR="009B4B8E" w:rsidRPr="00330234">
        <w:t xml:space="preserve">Als er na meer dan 7 dagen na de geplande dosis een dosis is gemist, of wanneer u niet zeker bent wanneer u </w:t>
      </w:r>
      <w:r w:rsidR="00B666BC" w:rsidRPr="00330234">
        <w:t>Avtozma</w:t>
      </w:r>
      <w:r w:rsidR="009B4B8E" w:rsidRPr="00330234">
        <w:t xml:space="preserve"> moet injecteren, neem dan contact op met uw arts of apotheker.</w:t>
      </w:r>
    </w:p>
    <w:p w14:paraId="4D2FF2D3" w14:textId="77777777" w:rsidR="00436DAA" w:rsidRPr="00330234" w:rsidRDefault="00436DAA" w:rsidP="00BD109B">
      <w:pPr>
        <w:pStyle w:val="a3"/>
        <w:widowControl/>
        <w:ind w:left="0"/>
      </w:pPr>
    </w:p>
    <w:p w14:paraId="43835FDE" w14:textId="77777777" w:rsidR="00436DAA" w:rsidRPr="004A769F" w:rsidRDefault="009B4B8E" w:rsidP="004A769F">
      <w:pPr>
        <w:rPr>
          <w:b/>
          <w:bCs/>
        </w:rPr>
      </w:pPr>
      <w:r w:rsidRPr="004A769F">
        <w:rPr>
          <w:b/>
          <w:bCs/>
        </w:rPr>
        <w:t>Als u stopt met het gebruik van dit middel</w:t>
      </w:r>
    </w:p>
    <w:p w14:paraId="2201B1F9" w14:textId="381F3F09" w:rsidR="00436DAA" w:rsidRPr="00330234" w:rsidRDefault="009B4B8E" w:rsidP="00BD109B">
      <w:pPr>
        <w:pStyle w:val="a3"/>
        <w:widowControl/>
        <w:ind w:left="0"/>
      </w:pPr>
      <w:r w:rsidRPr="00330234">
        <w:t xml:space="preserve">U mag niet stoppen met </w:t>
      </w:r>
      <w:r w:rsidR="00B666BC" w:rsidRPr="00330234">
        <w:t>Avtozma</w:t>
      </w:r>
      <w:r w:rsidRPr="00330234">
        <w:t xml:space="preserve"> zonder dat u dat eerst met uw arts heeft besproken.</w:t>
      </w:r>
    </w:p>
    <w:p w14:paraId="36156DA2" w14:textId="77777777" w:rsidR="00436DAA" w:rsidRPr="00330234" w:rsidRDefault="00436DAA" w:rsidP="00BD109B">
      <w:pPr>
        <w:pStyle w:val="a3"/>
        <w:widowControl/>
        <w:ind w:left="0"/>
      </w:pPr>
    </w:p>
    <w:p w14:paraId="6F1BA0F6" w14:textId="77777777" w:rsidR="00436DAA" w:rsidRPr="00330234" w:rsidRDefault="009B4B8E" w:rsidP="00BD109B">
      <w:pPr>
        <w:pStyle w:val="a3"/>
        <w:widowControl/>
        <w:ind w:left="0"/>
      </w:pPr>
      <w:r w:rsidRPr="00330234">
        <w:t>Heeft u nog andere vragen over het gebruik van dit geneesmiddel? Neem dan contact op met uw arts, apotheker of verpleegkundige.</w:t>
      </w:r>
    </w:p>
    <w:p w14:paraId="11FAF7A7" w14:textId="77777777" w:rsidR="00436DAA" w:rsidRPr="00330234" w:rsidRDefault="00436DAA" w:rsidP="00BD109B">
      <w:pPr>
        <w:pStyle w:val="a3"/>
        <w:widowControl/>
        <w:ind w:left="0"/>
      </w:pPr>
    </w:p>
    <w:p w14:paraId="63FB85ED" w14:textId="77777777" w:rsidR="00436DAA" w:rsidRPr="00330234" w:rsidRDefault="00436DAA" w:rsidP="00BD109B">
      <w:pPr>
        <w:pStyle w:val="a3"/>
        <w:widowControl/>
        <w:ind w:left="0"/>
      </w:pPr>
    </w:p>
    <w:p w14:paraId="434DC125" w14:textId="5BC05204" w:rsidR="00436DAA" w:rsidRPr="00330234" w:rsidRDefault="005328BF" w:rsidP="00BD109B">
      <w:pPr>
        <w:pStyle w:val="2"/>
      </w:pPr>
      <w:r w:rsidRPr="00330234">
        <w:t>4.</w:t>
      </w:r>
      <w:r w:rsidRPr="00330234">
        <w:tab/>
      </w:r>
      <w:r w:rsidR="009B4B8E" w:rsidRPr="00330234">
        <w:t>Mogelijke bijwerkingen</w:t>
      </w:r>
    </w:p>
    <w:p w14:paraId="2854CC24" w14:textId="77777777" w:rsidR="004348EF" w:rsidRPr="00330234" w:rsidRDefault="004348EF" w:rsidP="00BD109B">
      <w:pPr>
        <w:pStyle w:val="a3"/>
        <w:widowControl/>
        <w:ind w:left="0"/>
      </w:pPr>
    </w:p>
    <w:p w14:paraId="18F77F70" w14:textId="21C21450" w:rsidR="00436DAA" w:rsidRPr="00330234" w:rsidRDefault="009B4B8E" w:rsidP="00BD109B">
      <w:pPr>
        <w:pStyle w:val="a3"/>
        <w:widowControl/>
        <w:ind w:left="0"/>
      </w:pPr>
      <w:r w:rsidRPr="00330234">
        <w:t xml:space="preserve">Zoals elk geneesmiddel kan ook dit geneesmiddel bijwerkingen hebben, al krijgt niet iedereen daarmee te maken. Bijwerkingen kunnen nog voorkomen tot 3 maanden of langer na de laatste toediening van </w:t>
      </w:r>
      <w:r w:rsidR="00B666BC" w:rsidRPr="00330234">
        <w:t>Avtozma</w:t>
      </w:r>
      <w:r w:rsidRPr="00330234">
        <w:t>.</w:t>
      </w:r>
    </w:p>
    <w:p w14:paraId="69E09ABE" w14:textId="77777777" w:rsidR="00436DAA" w:rsidRPr="00330234" w:rsidRDefault="00436DAA" w:rsidP="00BD109B">
      <w:pPr>
        <w:pStyle w:val="a3"/>
        <w:widowControl/>
        <w:ind w:left="0"/>
      </w:pPr>
    </w:p>
    <w:p w14:paraId="689D478F" w14:textId="77777777" w:rsidR="00436DAA" w:rsidRPr="00330234" w:rsidRDefault="009B4B8E" w:rsidP="00BD109B">
      <w:pPr>
        <w:widowControl/>
      </w:pPr>
      <w:r w:rsidRPr="00330234">
        <w:rPr>
          <w:b/>
        </w:rPr>
        <w:t xml:space="preserve">Mogelijke ernstige bijwerkingen: </w:t>
      </w:r>
      <w:r w:rsidRPr="00330234">
        <w:t>meld dit direct aan een arts.</w:t>
      </w:r>
    </w:p>
    <w:p w14:paraId="74CF1F4C" w14:textId="77777777" w:rsidR="00436DAA" w:rsidRPr="00330234" w:rsidRDefault="009B4B8E" w:rsidP="00BD109B">
      <w:pPr>
        <w:widowControl/>
        <w:rPr>
          <w:i/>
        </w:rPr>
      </w:pPr>
      <w:r w:rsidRPr="00330234">
        <w:rPr>
          <w:i/>
        </w:rPr>
        <w:t>Deze komen vaak voor: kunnen voorkomen bij minder dan 1 op de 10 gebruikers</w:t>
      </w:r>
    </w:p>
    <w:p w14:paraId="48F0AB75" w14:textId="77777777" w:rsidR="00436DAA" w:rsidRPr="00330234" w:rsidRDefault="00436DAA" w:rsidP="00BD109B">
      <w:pPr>
        <w:pStyle w:val="a3"/>
        <w:widowControl/>
        <w:ind w:left="0"/>
        <w:rPr>
          <w:i/>
        </w:rPr>
      </w:pPr>
    </w:p>
    <w:p w14:paraId="53EE834A" w14:textId="77777777" w:rsidR="00436DAA" w:rsidRPr="00330234" w:rsidRDefault="009B4B8E" w:rsidP="00BD109B">
      <w:pPr>
        <w:widowControl/>
      </w:pPr>
      <w:r w:rsidRPr="00330234">
        <w:rPr>
          <w:b/>
        </w:rPr>
        <w:t xml:space="preserve">Allergische reacties </w:t>
      </w:r>
      <w:r w:rsidRPr="00330234">
        <w:t>tijdens of na injectie:</w:t>
      </w:r>
    </w:p>
    <w:p w14:paraId="002F9B48" w14:textId="50D68D2F" w:rsidR="00436DAA" w:rsidRPr="00330234" w:rsidRDefault="005328BF" w:rsidP="004348EF">
      <w:pPr>
        <w:pStyle w:val="bullet"/>
      </w:pPr>
      <w:r w:rsidRPr="00330234">
        <w:rPr>
          <w:rFonts w:eastAsia="Symbol"/>
        </w:rPr>
        <w:tab/>
      </w:r>
      <w:r w:rsidR="009B4B8E" w:rsidRPr="00330234">
        <w:t>moeite met ademhalen, beklemmend gevoel op de borst of een licht gevoel in het hoofd</w:t>
      </w:r>
    </w:p>
    <w:p w14:paraId="1DBCD65D" w14:textId="77777777" w:rsidR="00435211" w:rsidRPr="00330234" w:rsidRDefault="005328BF" w:rsidP="004348EF">
      <w:pPr>
        <w:pStyle w:val="bullet"/>
      </w:pPr>
      <w:r w:rsidRPr="00330234">
        <w:rPr>
          <w:rFonts w:eastAsia="Symbol"/>
        </w:rPr>
        <w:tab/>
      </w:r>
      <w:r w:rsidR="009B4B8E" w:rsidRPr="00330234">
        <w:t>huiduitslag, jeuk, netelroos, zwelling van de lippen, tong of gezicht</w:t>
      </w:r>
    </w:p>
    <w:p w14:paraId="55C212CE" w14:textId="77777777" w:rsidR="00435211" w:rsidRPr="00330234" w:rsidRDefault="00435211" w:rsidP="00435211">
      <w:pPr>
        <w:pStyle w:val="bullet"/>
        <w:numPr>
          <w:ilvl w:val="0"/>
          <w:numId w:val="0"/>
        </w:numPr>
      </w:pPr>
    </w:p>
    <w:p w14:paraId="3D64D420" w14:textId="2D9204F3" w:rsidR="00436DAA" w:rsidRPr="00330234" w:rsidRDefault="009B4B8E" w:rsidP="001B3E1E">
      <w:pPr>
        <w:pStyle w:val="bullet"/>
        <w:numPr>
          <w:ilvl w:val="0"/>
          <w:numId w:val="0"/>
        </w:numPr>
      </w:pPr>
      <w:r w:rsidRPr="00330234">
        <w:t xml:space="preserve">Als u één van deze reacties opmerkt, vertel dit dan </w:t>
      </w:r>
      <w:r w:rsidRPr="00330234">
        <w:rPr>
          <w:b/>
        </w:rPr>
        <w:t xml:space="preserve">direct </w:t>
      </w:r>
      <w:r w:rsidRPr="00330234">
        <w:t>aan uw arts.</w:t>
      </w:r>
    </w:p>
    <w:p w14:paraId="1A975033" w14:textId="77777777" w:rsidR="004348EF" w:rsidRPr="00330234" w:rsidRDefault="004348EF" w:rsidP="00BD109B">
      <w:pPr>
        <w:widowControl/>
      </w:pPr>
    </w:p>
    <w:p w14:paraId="602AA797" w14:textId="77777777" w:rsidR="00436DAA" w:rsidRPr="004A769F" w:rsidRDefault="009B4B8E" w:rsidP="004A769F">
      <w:pPr>
        <w:rPr>
          <w:b/>
          <w:bCs/>
        </w:rPr>
      </w:pPr>
      <w:r w:rsidRPr="004A769F">
        <w:rPr>
          <w:b/>
          <w:bCs/>
        </w:rPr>
        <w:t>Tekenen van ernstige infecties:</w:t>
      </w:r>
    </w:p>
    <w:p w14:paraId="5F6C3D85" w14:textId="30A8F1AB" w:rsidR="00436DAA" w:rsidRPr="00330234" w:rsidRDefault="005328BF" w:rsidP="004348EF">
      <w:pPr>
        <w:pStyle w:val="bullet"/>
      </w:pPr>
      <w:r w:rsidRPr="00330234">
        <w:rPr>
          <w:rFonts w:eastAsia="Symbol"/>
        </w:rPr>
        <w:tab/>
      </w:r>
      <w:r w:rsidR="009B4B8E" w:rsidRPr="00330234">
        <w:t>koorts en rillingen</w:t>
      </w:r>
    </w:p>
    <w:p w14:paraId="56810636" w14:textId="5C4C04A3" w:rsidR="00436DAA" w:rsidRPr="00330234" w:rsidRDefault="005328BF" w:rsidP="004348EF">
      <w:pPr>
        <w:pStyle w:val="bullet"/>
      </w:pPr>
      <w:r w:rsidRPr="00330234">
        <w:rPr>
          <w:rFonts w:eastAsia="Symbol"/>
        </w:rPr>
        <w:tab/>
      </w:r>
      <w:r w:rsidR="009B4B8E" w:rsidRPr="00330234">
        <w:t>blaren in de mond of op de huid</w:t>
      </w:r>
    </w:p>
    <w:p w14:paraId="333EA88F" w14:textId="6B5AC10C" w:rsidR="00436DAA" w:rsidRPr="00330234" w:rsidRDefault="005328BF" w:rsidP="004348EF">
      <w:pPr>
        <w:pStyle w:val="bullet"/>
      </w:pPr>
      <w:r w:rsidRPr="00330234">
        <w:rPr>
          <w:rFonts w:eastAsia="Symbol"/>
        </w:rPr>
        <w:tab/>
      </w:r>
      <w:r w:rsidR="009B4B8E" w:rsidRPr="00330234">
        <w:t>buikpijn</w:t>
      </w:r>
    </w:p>
    <w:p w14:paraId="05D53A5D" w14:textId="77777777" w:rsidR="00436DAA" w:rsidRPr="00330234" w:rsidRDefault="00436DAA" w:rsidP="00BD109B">
      <w:pPr>
        <w:pStyle w:val="a3"/>
        <w:widowControl/>
        <w:ind w:left="0"/>
      </w:pPr>
    </w:p>
    <w:p w14:paraId="602CAF0A" w14:textId="77777777" w:rsidR="00436DAA" w:rsidRPr="004A769F" w:rsidRDefault="009B4B8E" w:rsidP="004A769F">
      <w:pPr>
        <w:rPr>
          <w:b/>
          <w:bCs/>
        </w:rPr>
      </w:pPr>
      <w:r w:rsidRPr="004A769F">
        <w:rPr>
          <w:b/>
          <w:bCs/>
        </w:rPr>
        <w:t>Tekenen van levertoxiciteit:</w:t>
      </w:r>
    </w:p>
    <w:p w14:paraId="2D4407BF" w14:textId="77777777" w:rsidR="00436DAA" w:rsidRPr="00330234" w:rsidRDefault="009B4B8E" w:rsidP="001B3E1E">
      <w:pPr>
        <w:keepNext/>
        <w:keepLines/>
        <w:widowControl/>
        <w:rPr>
          <w:i/>
        </w:rPr>
      </w:pPr>
      <w:r w:rsidRPr="00330234">
        <w:rPr>
          <w:i/>
        </w:rPr>
        <w:t>Deze kunnen voorkomen bij minder dan 1 op de 1000 gebruikers</w:t>
      </w:r>
    </w:p>
    <w:p w14:paraId="25EA008E" w14:textId="26353E5C" w:rsidR="00436DAA" w:rsidRPr="00330234" w:rsidRDefault="005328BF" w:rsidP="004348EF">
      <w:pPr>
        <w:pStyle w:val="bullet"/>
      </w:pPr>
      <w:r w:rsidRPr="00330234">
        <w:rPr>
          <w:rFonts w:eastAsia="Symbol"/>
        </w:rPr>
        <w:tab/>
      </w:r>
      <w:r w:rsidR="009B4B8E" w:rsidRPr="00330234">
        <w:t>vermoeidheid</w:t>
      </w:r>
    </w:p>
    <w:p w14:paraId="1D241D15" w14:textId="63A62942" w:rsidR="00436DAA" w:rsidRPr="00330234" w:rsidRDefault="005328BF" w:rsidP="004348EF">
      <w:pPr>
        <w:pStyle w:val="bullet"/>
      </w:pPr>
      <w:r w:rsidRPr="00330234">
        <w:rPr>
          <w:rFonts w:eastAsia="Symbol"/>
        </w:rPr>
        <w:tab/>
      </w:r>
      <w:r w:rsidR="009B4B8E" w:rsidRPr="00330234">
        <w:t>buikpijn</w:t>
      </w:r>
    </w:p>
    <w:p w14:paraId="0D7C6BC6" w14:textId="7889C102" w:rsidR="00436DAA" w:rsidRPr="00330234" w:rsidRDefault="005328BF" w:rsidP="004348EF">
      <w:pPr>
        <w:pStyle w:val="bullet"/>
      </w:pPr>
      <w:r w:rsidRPr="00330234">
        <w:rPr>
          <w:rFonts w:eastAsia="Symbol"/>
        </w:rPr>
        <w:tab/>
      </w:r>
      <w:r w:rsidR="009B4B8E" w:rsidRPr="00330234">
        <w:t>geelzucht (gele verkleuring van de huid of ogen)</w:t>
      </w:r>
    </w:p>
    <w:p w14:paraId="679DD844" w14:textId="77777777" w:rsidR="004348EF" w:rsidRPr="00330234" w:rsidRDefault="004348EF" w:rsidP="00BD109B">
      <w:pPr>
        <w:widowControl/>
      </w:pPr>
    </w:p>
    <w:p w14:paraId="793F46CB" w14:textId="13ACCF6A" w:rsidR="00436DAA" w:rsidRPr="00330234" w:rsidRDefault="009B4B8E" w:rsidP="00BD109B">
      <w:pPr>
        <w:widowControl/>
      </w:pPr>
      <w:r w:rsidRPr="00330234">
        <w:t xml:space="preserve">Als u één van deze reacties opmerkt, vertel dit dan </w:t>
      </w:r>
      <w:r w:rsidRPr="00330234">
        <w:rPr>
          <w:b/>
        </w:rPr>
        <w:t xml:space="preserve">zo snel mogelijk </w:t>
      </w:r>
      <w:r w:rsidRPr="00330234">
        <w:t>aan uw arts.</w:t>
      </w:r>
    </w:p>
    <w:p w14:paraId="0B8BDEF9" w14:textId="77777777" w:rsidR="00436DAA" w:rsidRPr="00330234" w:rsidRDefault="00436DAA" w:rsidP="00BD109B">
      <w:pPr>
        <w:pStyle w:val="a3"/>
        <w:widowControl/>
        <w:ind w:left="0"/>
      </w:pPr>
    </w:p>
    <w:p w14:paraId="0FF5A870" w14:textId="77777777" w:rsidR="00436DAA" w:rsidRPr="004A769F" w:rsidRDefault="009B4B8E" w:rsidP="004A769F">
      <w:pPr>
        <w:rPr>
          <w:b/>
          <w:bCs/>
        </w:rPr>
      </w:pPr>
      <w:r w:rsidRPr="004A769F">
        <w:rPr>
          <w:b/>
          <w:bCs/>
        </w:rPr>
        <w:t>Zeer vaak voorkomende bijwerkingen:</w:t>
      </w:r>
    </w:p>
    <w:p w14:paraId="5E4B8A15" w14:textId="77777777" w:rsidR="00436DAA" w:rsidRPr="00330234" w:rsidRDefault="009B4B8E" w:rsidP="004348EF">
      <w:pPr>
        <w:keepNext/>
        <w:keepLines/>
        <w:widowControl/>
        <w:rPr>
          <w:i/>
        </w:rPr>
      </w:pPr>
      <w:r w:rsidRPr="00330234">
        <w:rPr>
          <w:i/>
        </w:rPr>
        <w:t>Deze kunnen voorkomen bij meer dan 1 op de 10 gebruikers</w:t>
      </w:r>
    </w:p>
    <w:p w14:paraId="12FD26B7" w14:textId="4074D2D9" w:rsidR="00436DAA" w:rsidRPr="00330234" w:rsidRDefault="005328BF" w:rsidP="004348EF">
      <w:pPr>
        <w:pStyle w:val="bullet"/>
      </w:pPr>
      <w:r w:rsidRPr="00330234">
        <w:rPr>
          <w:rFonts w:eastAsia="Symbol"/>
        </w:rPr>
        <w:tab/>
      </w:r>
      <w:r w:rsidR="009B4B8E" w:rsidRPr="00330234">
        <w:t>infecties van de bovenste luchtwegen, met typische symptomen zoals hoesten, verstopte neus, loopneus, keelpijn en hoofdpijn</w:t>
      </w:r>
    </w:p>
    <w:p w14:paraId="14C30137" w14:textId="5CC9A4EC" w:rsidR="00436DAA" w:rsidRPr="00330234" w:rsidRDefault="005328BF" w:rsidP="004348EF">
      <w:pPr>
        <w:pStyle w:val="bullet"/>
      </w:pPr>
      <w:r w:rsidRPr="00330234">
        <w:rPr>
          <w:rFonts w:eastAsia="Symbol"/>
        </w:rPr>
        <w:tab/>
      </w:r>
      <w:r w:rsidR="009B4B8E" w:rsidRPr="00330234">
        <w:t>hoog vetgehalte (cholesterol) in het bloed</w:t>
      </w:r>
    </w:p>
    <w:p w14:paraId="18126071" w14:textId="3EC8E69F" w:rsidR="00436DAA" w:rsidRPr="00330234" w:rsidRDefault="005328BF" w:rsidP="004348EF">
      <w:pPr>
        <w:pStyle w:val="bullet"/>
      </w:pPr>
      <w:r w:rsidRPr="00330234">
        <w:rPr>
          <w:rFonts w:eastAsia="Symbol"/>
        </w:rPr>
        <w:tab/>
      </w:r>
      <w:r w:rsidR="009B4B8E" w:rsidRPr="00330234">
        <w:t>reacties op de injectieplaats</w:t>
      </w:r>
    </w:p>
    <w:p w14:paraId="75089894" w14:textId="77777777" w:rsidR="004348EF" w:rsidRPr="00330234" w:rsidRDefault="004348EF" w:rsidP="00BD109B">
      <w:pPr>
        <w:widowControl/>
      </w:pPr>
    </w:p>
    <w:p w14:paraId="140A9124" w14:textId="77777777" w:rsidR="00436DAA" w:rsidRPr="004A769F" w:rsidRDefault="009B4B8E" w:rsidP="004A769F">
      <w:pPr>
        <w:rPr>
          <w:b/>
          <w:bCs/>
        </w:rPr>
      </w:pPr>
      <w:r w:rsidRPr="004A769F">
        <w:rPr>
          <w:b/>
          <w:bCs/>
        </w:rPr>
        <w:t>Vaak voorkomende bijwerkingen:</w:t>
      </w:r>
    </w:p>
    <w:p w14:paraId="746ECD7E" w14:textId="77777777" w:rsidR="00436DAA" w:rsidRPr="00330234" w:rsidRDefault="009B4B8E" w:rsidP="00BD109B">
      <w:pPr>
        <w:widowControl/>
        <w:rPr>
          <w:i/>
        </w:rPr>
      </w:pPr>
      <w:r w:rsidRPr="00330234">
        <w:rPr>
          <w:i/>
        </w:rPr>
        <w:t>Deze kunnen voorkomen bij minder dan 1 op de 10 gebruikers</w:t>
      </w:r>
    </w:p>
    <w:p w14:paraId="59CE5C8C" w14:textId="5380A66D" w:rsidR="00436DAA" w:rsidRPr="00330234" w:rsidRDefault="005328BF" w:rsidP="007C4042">
      <w:pPr>
        <w:pStyle w:val="bullet"/>
      </w:pPr>
      <w:r w:rsidRPr="00330234">
        <w:rPr>
          <w:rFonts w:eastAsia="Symbol"/>
        </w:rPr>
        <w:tab/>
      </w:r>
      <w:r w:rsidR="009B4B8E" w:rsidRPr="00330234">
        <w:t>longinfectie (pneumonie)</w:t>
      </w:r>
    </w:p>
    <w:p w14:paraId="5CC157C6" w14:textId="097D78DF" w:rsidR="00436DAA" w:rsidRPr="00330234" w:rsidRDefault="005328BF" w:rsidP="007C4042">
      <w:pPr>
        <w:pStyle w:val="bullet"/>
      </w:pPr>
      <w:r w:rsidRPr="00330234">
        <w:rPr>
          <w:rFonts w:eastAsia="Symbol"/>
        </w:rPr>
        <w:tab/>
      </w:r>
      <w:r w:rsidR="009B4B8E" w:rsidRPr="00330234">
        <w:t>gordelroos (herpes zoster)</w:t>
      </w:r>
    </w:p>
    <w:p w14:paraId="00513CDF" w14:textId="2D92AB40" w:rsidR="00436DAA" w:rsidRPr="00330234" w:rsidRDefault="005328BF" w:rsidP="007C4042">
      <w:pPr>
        <w:pStyle w:val="bullet"/>
      </w:pPr>
      <w:r w:rsidRPr="00330234">
        <w:rPr>
          <w:rFonts w:eastAsia="Symbol"/>
        </w:rPr>
        <w:tab/>
      </w:r>
      <w:r w:rsidR="009B4B8E" w:rsidRPr="00330234">
        <w:t>koortsblaasjes (orale herpes simplex), blaren</w:t>
      </w:r>
    </w:p>
    <w:p w14:paraId="4798E6BE" w14:textId="6EC07E7A" w:rsidR="00436DAA" w:rsidRPr="00330234" w:rsidRDefault="005328BF" w:rsidP="007C4042">
      <w:pPr>
        <w:pStyle w:val="bullet"/>
      </w:pPr>
      <w:r w:rsidRPr="00330234">
        <w:rPr>
          <w:rFonts w:eastAsia="Symbol"/>
        </w:rPr>
        <w:tab/>
      </w:r>
      <w:r w:rsidR="009B4B8E" w:rsidRPr="00330234">
        <w:t>huidinfectie (cellulitis), soms met koorts en rillingen</w:t>
      </w:r>
    </w:p>
    <w:p w14:paraId="4FD8D58D" w14:textId="69C1126B" w:rsidR="00436DAA" w:rsidRPr="00330234" w:rsidRDefault="005328BF" w:rsidP="007C4042">
      <w:pPr>
        <w:pStyle w:val="bullet"/>
      </w:pPr>
      <w:r w:rsidRPr="00330234">
        <w:rPr>
          <w:rFonts w:eastAsia="Symbol"/>
        </w:rPr>
        <w:tab/>
      </w:r>
      <w:r w:rsidR="009B4B8E" w:rsidRPr="00330234">
        <w:t>huiduitslag en jeuk, netelroos</w:t>
      </w:r>
    </w:p>
    <w:p w14:paraId="4C8551DF" w14:textId="2EEC75B4" w:rsidR="00436DAA" w:rsidRPr="00330234" w:rsidRDefault="005328BF" w:rsidP="007C4042">
      <w:pPr>
        <w:pStyle w:val="bullet"/>
      </w:pPr>
      <w:r w:rsidRPr="00330234">
        <w:rPr>
          <w:rFonts w:eastAsia="Symbol"/>
        </w:rPr>
        <w:tab/>
      </w:r>
      <w:r w:rsidR="009B4B8E" w:rsidRPr="00330234">
        <w:t>allergische (overgevoeligheids)reacties</w:t>
      </w:r>
    </w:p>
    <w:p w14:paraId="31A2B513" w14:textId="406C4445" w:rsidR="00436DAA" w:rsidRPr="00330234" w:rsidRDefault="005328BF" w:rsidP="007C4042">
      <w:pPr>
        <w:pStyle w:val="bullet"/>
      </w:pPr>
      <w:r w:rsidRPr="00330234">
        <w:rPr>
          <w:rFonts w:eastAsia="Symbol"/>
        </w:rPr>
        <w:tab/>
      </w:r>
      <w:r w:rsidR="009B4B8E" w:rsidRPr="00330234">
        <w:t>ooginfectie (conjunctivitis)</w:t>
      </w:r>
    </w:p>
    <w:p w14:paraId="4A09644E" w14:textId="1483E8A8" w:rsidR="00436DAA" w:rsidRPr="00330234" w:rsidRDefault="005328BF" w:rsidP="007C4042">
      <w:pPr>
        <w:pStyle w:val="bullet"/>
      </w:pPr>
      <w:r w:rsidRPr="00330234">
        <w:rPr>
          <w:rFonts w:eastAsia="Symbol"/>
        </w:rPr>
        <w:tab/>
      </w:r>
      <w:r w:rsidR="009B4B8E" w:rsidRPr="00330234">
        <w:t>hoofdpijn, duizeligheid, hoge bloeddruk</w:t>
      </w:r>
    </w:p>
    <w:p w14:paraId="6559EC56" w14:textId="2381237D" w:rsidR="00436DAA" w:rsidRPr="00330234" w:rsidRDefault="005328BF" w:rsidP="007C4042">
      <w:pPr>
        <w:pStyle w:val="bullet"/>
      </w:pPr>
      <w:r w:rsidRPr="00330234">
        <w:rPr>
          <w:rFonts w:eastAsia="Symbol"/>
        </w:rPr>
        <w:tab/>
      </w:r>
      <w:r w:rsidR="009B4B8E" w:rsidRPr="00330234">
        <w:t>zweren in de mond, maagpijn</w:t>
      </w:r>
    </w:p>
    <w:p w14:paraId="45CC7D94" w14:textId="2C3B3D91" w:rsidR="00436DAA" w:rsidRPr="00330234" w:rsidRDefault="005328BF" w:rsidP="007C4042">
      <w:pPr>
        <w:pStyle w:val="bullet"/>
      </w:pPr>
      <w:r w:rsidRPr="00330234">
        <w:rPr>
          <w:rFonts w:eastAsia="Symbol"/>
        </w:rPr>
        <w:tab/>
      </w:r>
      <w:r w:rsidR="009B4B8E" w:rsidRPr="00330234">
        <w:t>het vasthouden van vocht (oedeem) in de onderbenen, gewichtstoename</w:t>
      </w:r>
    </w:p>
    <w:p w14:paraId="50FA648A" w14:textId="77B59E44" w:rsidR="00436DAA" w:rsidRPr="00330234" w:rsidRDefault="005328BF" w:rsidP="007C4042">
      <w:pPr>
        <w:pStyle w:val="bullet"/>
      </w:pPr>
      <w:r w:rsidRPr="00330234">
        <w:rPr>
          <w:rFonts w:eastAsia="Symbol"/>
        </w:rPr>
        <w:tab/>
      </w:r>
      <w:r w:rsidR="009B4B8E" w:rsidRPr="00330234">
        <w:t>hoesten, kortademigheid</w:t>
      </w:r>
    </w:p>
    <w:p w14:paraId="30EFF0CE" w14:textId="0D85988F" w:rsidR="00436DAA" w:rsidRPr="00330234" w:rsidRDefault="005328BF" w:rsidP="007C4042">
      <w:pPr>
        <w:pStyle w:val="bullet"/>
      </w:pPr>
      <w:r w:rsidRPr="00330234">
        <w:rPr>
          <w:rFonts w:eastAsia="Symbol"/>
        </w:rPr>
        <w:tab/>
      </w:r>
      <w:r w:rsidR="009B4B8E" w:rsidRPr="00330234">
        <w:t>verlaagd aantal witte bloedcellen, vastgesteld bij bloedonderzoek (neutropenie, leukopenie)</w:t>
      </w:r>
    </w:p>
    <w:p w14:paraId="7FF5CD2C" w14:textId="2D494A7F" w:rsidR="00436DAA" w:rsidRPr="00330234" w:rsidRDefault="009B4B8E" w:rsidP="007C4042">
      <w:pPr>
        <w:pStyle w:val="bullet"/>
      </w:pPr>
      <w:r w:rsidRPr="00330234">
        <w:t>afwijkende leverfunctietesten (verhoogde transaminasen)</w:t>
      </w:r>
    </w:p>
    <w:p w14:paraId="13CD15FC" w14:textId="6FBBBC7B" w:rsidR="00436DAA" w:rsidRPr="00330234" w:rsidRDefault="005328BF" w:rsidP="007C4042">
      <w:pPr>
        <w:pStyle w:val="bullet"/>
      </w:pPr>
      <w:r w:rsidRPr="00330234">
        <w:rPr>
          <w:rFonts w:eastAsia="Symbol"/>
        </w:rPr>
        <w:tab/>
      </w:r>
      <w:r w:rsidR="009B4B8E" w:rsidRPr="00330234">
        <w:t>verhoogd bilirubine, vastgesteld bij bloedonderzoek</w:t>
      </w:r>
    </w:p>
    <w:p w14:paraId="3DD127E8" w14:textId="103AAC6E" w:rsidR="00436DAA" w:rsidRPr="00330234" w:rsidRDefault="005328BF" w:rsidP="007C4042">
      <w:pPr>
        <w:pStyle w:val="bullet"/>
      </w:pPr>
      <w:r w:rsidRPr="00330234">
        <w:rPr>
          <w:rFonts w:eastAsia="Symbol"/>
        </w:rPr>
        <w:tab/>
      </w:r>
      <w:r w:rsidR="009B4B8E" w:rsidRPr="00330234">
        <w:t>verlaagde hoeveelheid fibrinogeen (een eiwit dat bij de bloedstolling betrokken is) in het bloed</w:t>
      </w:r>
    </w:p>
    <w:p w14:paraId="5439E5DB" w14:textId="77777777" w:rsidR="004348EF" w:rsidRPr="00330234" w:rsidRDefault="004348EF" w:rsidP="00BD109B">
      <w:pPr>
        <w:widowControl/>
      </w:pPr>
    </w:p>
    <w:p w14:paraId="1BF4D470" w14:textId="77777777" w:rsidR="00436DAA" w:rsidRPr="004A769F" w:rsidRDefault="009B4B8E" w:rsidP="004A769F">
      <w:pPr>
        <w:rPr>
          <w:b/>
          <w:bCs/>
        </w:rPr>
      </w:pPr>
      <w:r w:rsidRPr="004A769F">
        <w:rPr>
          <w:b/>
          <w:bCs/>
        </w:rPr>
        <w:t>Soms voorkomende bijwerkingen:</w:t>
      </w:r>
    </w:p>
    <w:p w14:paraId="1A868868" w14:textId="77777777" w:rsidR="00436DAA" w:rsidRPr="00330234" w:rsidRDefault="009B4B8E" w:rsidP="00BD109B">
      <w:pPr>
        <w:widowControl/>
        <w:rPr>
          <w:i/>
        </w:rPr>
      </w:pPr>
      <w:r w:rsidRPr="00330234">
        <w:rPr>
          <w:i/>
        </w:rPr>
        <w:t>Deze kunnen voorkomen bij minder dan 1 op de 100 gebruikers</w:t>
      </w:r>
    </w:p>
    <w:p w14:paraId="362BCEB4" w14:textId="5A6D6770" w:rsidR="00436DAA" w:rsidRPr="00330234" w:rsidRDefault="005328BF" w:rsidP="007C4042">
      <w:pPr>
        <w:pStyle w:val="bullet"/>
      </w:pPr>
      <w:r w:rsidRPr="00330234">
        <w:rPr>
          <w:rFonts w:eastAsia="Symbol"/>
        </w:rPr>
        <w:tab/>
      </w:r>
      <w:r w:rsidR="009B4B8E" w:rsidRPr="00330234">
        <w:t>infectie van de darmuitstulpingen (diverticulitis; koorts, misselijkheid, diarree, verstopping (obstipatie), buikpijn)</w:t>
      </w:r>
    </w:p>
    <w:p w14:paraId="49A5AFD3" w14:textId="3226214F" w:rsidR="00436DAA" w:rsidRPr="00330234" w:rsidRDefault="005328BF" w:rsidP="007C4042">
      <w:pPr>
        <w:pStyle w:val="bullet"/>
      </w:pPr>
      <w:r w:rsidRPr="00330234">
        <w:rPr>
          <w:rFonts w:eastAsia="Symbol"/>
        </w:rPr>
        <w:tab/>
      </w:r>
      <w:r w:rsidR="009B4B8E" w:rsidRPr="00330234">
        <w:t>rode opgezwollen plekken in de mond</w:t>
      </w:r>
    </w:p>
    <w:p w14:paraId="745702B9" w14:textId="7BD8A392" w:rsidR="00436DAA" w:rsidRPr="00330234" w:rsidRDefault="005328BF" w:rsidP="007C4042">
      <w:pPr>
        <w:pStyle w:val="bullet"/>
      </w:pPr>
      <w:r w:rsidRPr="00330234">
        <w:rPr>
          <w:rFonts w:eastAsia="Symbol"/>
        </w:rPr>
        <w:tab/>
      </w:r>
      <w:r w:rsidR="009B4B8E" w:rsidRPr="00330234">
        <w:t>hoog vetgehalte in het bloed (triglyceridespiegels)</w:t>
      </w:r>
    </w:p>
    <w:p w14:paraId="49106194" w14:textId="41080A01" w:rsidR="00436DAA" w:rsidRPr="00330234" w:rsidRDefault="005328BF" w:rsidP="007C4042">
      <w:pPr>
        <w:pStyle w:val="bullet"/>
      </w:pPr>
      <w:r w:rsidRPr="00330234">
        <w:rPr>
          <w:rFonts w:eastAsia="Symbol"/>
        </w:rPr>
        <w:tab/>
      </w:r>
      <w:r w:rsidR="009B4B8E" w:rsidRPr="00330234">
        <w:t>maagzweer</w:t>
      </w:r>
    </w:p>
    <w:p w14:paraId="147C33AD" w14:textId="6C74ACD7" w:rsidR="00436DAA" w:rsidRPr="00330234" w:rsidRDefault="005328BF" w:rsidP="007C4042">
      <w:pPr>
        <w:pStyle w:val="bullet"/>
      </w:pPr>
      <w:r w:rsidRPr="00330234">
        <w:rPr>
          <w:rFonts w:eastAsia="Symbol"/>
        </w:rPr>
        <w:tab/>
      </w:r>
      <w:r w:rsidR="009B4B8E" w:rsidRPr="00330234">
        <w:t>nierstenen</w:t>
      </w:r>
    </w:p>
    <w:p w14:paraId="7BD71D34" w14:textId="5317A433" w:rsidR="00436DAA" w:rsidRPr="00330234" w:rsidRDefault="005328BF" w:rsidP="007C4042">
      <w:pPr>
        <w:pStyle w:val="bullet"/>
      </w:pPr>
      <w:r w:rsidRPr="00330234">
        <w:rPr>
          <w:rFonts w:eastAsia="Symbol"/>
        </w:rPr>
        <w:tab/>
      </w:r>
      <w:r w:rsidR="009B4B8E" w:rsidRPr="00330234">
        <w:t>traagwerkende schildklier</w:t>
      </w:r>
    </w:p>
    <w:p w14:paraId="06885E49" w14:textId="77777777" w:rsidR="00436DAA" w:rsidRPr="00330234" w:rsidRDefault="00436DAA" w:rsidP="00BD109B">
      <w:pPr>
        <w:pStyle w:val="a3"/>
        <w:widowControl/>
        <w:ind w:left="0"/>
      </w:pPr>
    </w:p>
    <w:p w14:paraId="3895DCE1" w14:textId="77777777" w:rsidR="00436DAA" w:rsidRPr="004A769F" w:rsidRDefault="009B4B8E" w:rsidP="004A769F">
      <w:pPr>
        <w:rPr>
          <w:b/>
          <w:bCs/>
        </w:rPr>
      </w:pPr>
      <w:r w:rsidRPr="004A769F">
        <w:rPr>
          <w:b/>
          <w:bCs/>
        </w:rPr>
        <w:t>Zelden voorkomende bijwerkingen:</w:t>
      </w:r>
    </w:p>
    <w:p w14:paraId="68476CB7" w14:textId="77777777" w:rsidR="00436DAA" w:rsidRPr="00330234" w:rsidRDefault="009B4B8E" w:rsidP="00BD109B">
      <w:pPr>
        <w:widowControl/>
        <w:rPr>
          <w:i/>
        </w:rPr>
      </w:pPr>
      <w:r w:rsidRPr="00330234">
        <w:rPr>
          <w:i/>
        </w:rPr>
        <w:t>Deze kunnen voorkomen bij minder dan 1 op de 1.000 gebruikers</w:t>
      </w:r>
    </w:p>
    <w:p w14:paraId="1722A58A" w14:textId="4E3A3B1C" w:rsidR="00436DAA" w:rsidRPr="00330234" w:rsidRDefault="005328BF" w:rsidP="007C4042">
      <w:pPr>
        <w:pStyle w:val="bullet"/>
      </w:pPr>
      <w:r w:rsidRPr="00330234">
        <w:rPr>
          <w:rFonts w:eastAsia="Symbol"/>
        </w:rPr>
        <w:tab/>
      </w:r>
      <w:r w:rsidR="009B4B8E" w:rsidRPr="00330234">
        <w:t>stevens-johnsonsyndroom (huiduitslag, wat kan leiden tot ernstige blaarvorming en vervelling van de huid)</w:t>
      </w:r>
    </w:p>
    <w:p w14:paraId="273558AE" w14:textId="2AFA8BB9" w:rsidR="00436DAA" w:rsidRPr="00330234" w:rsidRDefault="005328BF" w:rsidP="007C4042">
      <w:pPr>
        <w:pStyle w:val="bullet"/>
      </w:pPr>
      <w:r w:rsidRPr="00330234">
        <w:rPr>
          <w:rFonts w:eastAsia="Symbol"/>
        </w:rPr>
        <w:tab/>
      </w:r>
      <w:r w:rsidR="009B4B8E" w:rsidRPr="00330234">
        <w:t>fatale anafylaxie (fatale heftige reactie door uw lichaam door een erge allergie)</w:t>
      </w:r>
    </w:p>
    <w:p w14:paraId="4497D1DE" w14:textId="68CEF6EB" w:rsidR="00436DAA" w:rsidRPr="00330234" w:rsidRDefault="005328BF" w:rsidP="007C4042">
      <w:pPr>
        <w:pStyle w:val="bullet"/>
      </w:pPr>
      <w:r w:rsidRPr="00330234">
        <w:rPr>
          <w:rFonts w:eastAsia="Symbol"/>
        </w:rPr>
        <w:tab/>
      </w:r>
      <w:r w:rsidR="009B4B8E" w:rsidRPr="00330234">
        <w:t>leverontsteking (hepatitis), geelzucht</w:t>
      </w:r>
    </w:p>
    <w:p w14:paraId="085D836A" w14:textId="77777777" w:rsidR="007C4042" w:rsidRPr="00330234" w:rsidRDefault="007C4042" w:rsidP="00BD109B">
      <w:pPr>
        <w:widowControl/>
      </w:pPr>
    </w:p>
    <w:p w14:paraId="0F5B1681" w14:textId="77777777" w:rsidR="00436DAA" w:rsidRPr="004A769F" w:rsidRDefault="009B4B8E" w:rsidP="004A769F">
      <w:pPr>
        <w:rPr>
          <w:b/>
          <w:bCs/>
        </w:rPr>
      </w:pPr>
      <w:r w:rsidRPr="004A769F">
        <w:rPr>
          <w:b/>
          <w:bCs/>
        </w:rPr>
        <w:t>Zeer zelden voorkomende bijwerkingen:</w:t>
      </w:r>
    </w:p>
    <w:p w14:paraId="347B1912" w14:textId="77777777" w:rsidR="00436DAA" w:rsidRPr="00330234" w:rsidRDefault="009B4B8E" w:rsidP="00BD109B">
      <w:pPr>
        <w:widowControl/>
        <w:rPr>
          <w:i/>
        </w:rPr>
      </w:pPr>
      <w:r w:rsidRPr="00330234">
        <w:rPr>
          <w:i/>
        </w:rPr>
        <w:t>Deze kunnen voorkomen bij minder dan 1 op de 10.000 gebruikers</w:t>
      </w:r>
    </w:p>
    <w:p w14:paraId="717DA8F1" w14:textId="67963C73" w:rsidR="00436DAA" w:rsidRPr="00330234" w:rsidRDefault="005328BF" w:rsidP="007C4042">
      <w:pPr>
        <w:pStyle w:val="bullet"/>
      </w:pPr>
      <w:r w:rsidRPr="00330234">
        <w:rPr>
          <w:rFonts w:eastAsia="Symbol"/>
        </w:rPr>
        <w:tab/>
      </w:r>
      <w:r w:rsidR="009B4B8E" w:rsidRPr="00330234">
        <w:t>verlaagde waarden van witte bloedcellen, rode bloedcellen en bloedplaatjes bij bloedonderzoek</w:t>
      </w:r>
    </w:p>
    <w:p w14:paraId="7FC3A610" w14:textId="0999E3F1" w:rsidR="00436DAA" w:rsidRPr="00330234" w:rsidRDefault="005328BF" w:rsidP="007C4042">
      <w:pPr>
        <w:pStyle w:val="bullet"/>
      </w:pPr>
      <w:r w:rsidRPr="00330234">
        <w:rPr>
          <w:rFonts w:eastAsia="Symbol"/>
        </w:rPr>
        <w:lastRenderedPageBreak/>
        <w:tab/>
      </w:r>
      <w:r w:rsidR="009B4B8E" w:rsidRPr="00330234">
        <w:t>leverfalen</w:t>
      </w:r>
    </w:p>
    <w:p w14:paraId="0FC6AEEC" w14:textId="77777777" w:rsidR="00436DAA" w:rsidRPr="00330234" w:rsidRDefault="00436DAA" w:rsidP="00BD109B">
      <w:pPr>
        <w:pStyle w:val="a3"/>
        <w:widowControl/>
        <w:ind w:left="0"/>
      </w:pPr>
    </w:p>
    <w:p w14:paraId="543157FE" w14:textId="77777777" w:rsidR="00436DAA" w:rsidRPr="00330234" w:rsidRDefault="009B4B8E" w:rsidP="00BD109B">
      <w:pPr>
        <w:pStyle w:val="2"/>
      </w:pPr>
      <w:r w:rsidRPr="00330234">
        <w:t>Bijwerkingen bij kinderen en jongeren met sJIA of pJIA</w:t>
      </w:r>
    </w:p>
    <w:p w14:paraId="04099753" w14:textId="77777777" w:rsidR="00436DAA" w:rsidRPr="00330234" w:rsidRDefault="009B4B8E" w:rsidP="00BD109B">
      <w:pPr>
        <w:pStyle w:val="a3"/>
        <w:widowControl/>
        <w:ind w:left="0"/>
      </w:pPr>
      <w:r w:rsidRPr="00330234">
        <w:t>Over het algemeen zijn de bijwerkingen bij kinderen en jongeren met sJIA of pJIA vergelijkbaar met de bijwerkingen bij volwassenen. Sommige bijwerkingen worden vaker gezien bij kinderen en jongeren: ontsteking van de neus en keel, hoofdpijn, misselijkheid en een lager aantal witte bloedcellen.</w:t>
      </w:r>
    </w:p>
    <w:p w14:paraId="7EFEFBC7" w14:textId="77777777" w:rsidR="00436DAA" w:rsidRPr="00330234" w:rsidRDefault="00436DAA" w:rsidP="00BD109B">
      <w:pPr>
        <w:pStyle w:val="a3"/>
        <w:widowControl/>
        <w:ind w:left="0"/>
      </w:pPr>
    </w:p>
    <w:p w14:paraId="170DFD14" w14:textId="77777777" w:rsidR="00436DAA" w:rsidRPr="004A769F" w:rsidRDefault="009B4B8E" w:rsidP="004A769F">
      <w:pPr>
        <w:rPr>
          <w:b/>
          <w:bCs/>
        </w:rPr>
      </w:pPr>
      <w:r w:rsidRPr="004A769F">
        <w:rPr>
          <w:b/>
          <w:bCs/>
        </w:rPr>
        <w:t>Het melden van bijwerkingen</w:t>
      </w:r>
    </w:p>
    <w:p w14:paraId="0EB29E71" w14:textId="72389FEB" w:rsidR="00436DAA" w:rsidRPr="00330234" w:rsidRDefault="009B4B8E" w:rsidP="007C4042">
      <w:pPr>
        <w:pStyle w:val="a3"/>
        <w:keepNext/>
        <w:keepLines/>
        <w:widowControl/>
        <w:ind w:left="0"/>
      </w:pPr>
      <w:r w:rsidRPr="00330234">
        <w:t xml:space="preserve">Krijgt u last van bijwerkingen, neem dan contact op met uw arts, apotheker of verpleegkundige. Dit geldt ook voor mogelijke bijwerkingen die niet in deze bijsluiter staan. U kunt bijwerkingen ook rechtstreeks melden via </w:t>
      </w:r>
      <w:r w:rsidRPr="00330234">
        <w:rPr>
          <w:color w:val="000000"/>
          <w:shd w:val="pct35" w:color="auto" w:fill="auto"/>
        </w:rPr>
        <w:t xml:space="preserve">het nationale meldsysteem zoals vermeld in </w:t>
      </w:r>
      <w:hyperlink r:id="rId25">
        <w:r w:rsidRPr="00330234">
          <w:rPr>
            <w:color w:val="0000FF"/>
            <w:u w:val="single" w:color="0000FF"/>
            <w:shd w:val="pct35" w:color="auto" w:fill="auto"/>
          </w:rPr>
          <w:t>aanhangsel V</w:t>
        </w:r>
        <w:r w:rsidR="005B3219" w:rsidRPr="00330234">
          <w:rPr>
            <w:color w:val="000000"/>
          </w:rPr>
          <w:t>.</w:t>
        </w:r>
      </w:hyperlink>
      <w:r w:rsidR="007C4042" w:rsidRPr="00330234">
        <w:t xml:space="preserve"> </w:t>
      </w:r>
      <w:r w:rsidRPr="00330234">
        <w:rPr>
          <w:color w:val="000000"/>
        </w:rPr>
        <w:t>Door bijwerkingen te melden, kunt u ons helpen meer informatie te verkrijgen over de veiligheid van dit geneesmiddel.</w:t>
      </w:r>
    </w:p>
    <w:p w14:paraId="75751509" w14:textId="77777777" w:rsidR="00436DAA" w:rsidRPr="00330234" w:rsidRDefault="00436DAA" w:rsidP="00BD109B">
      <w:pPr>
        <w:pStyle w:val="a3"/>
        <w:widowControl/>
        <w:ind w:left="0"/>
      </w:pPr>
    </w:p>
    <w:p w14:paraId="27B4FF1F" w14:textId="77777777" w:rsidR="00436DAA" w:rsidRPr="00330234" w:rsidRDefault="00436DAA" w:rsidP="00BD109B">
      <w:pPr>
        <w:pStyle w:val="a3"/>
        <w:widowControl/>
        <w:ind w:left="0"/>
      </w:pPr>
    </w:p>
    <w:p w14:paraId="65ABFDAF" w14:textId="12A1ABAE" w:rsidR="00436DAA" w:rsidRPr="00330234" w:rsidRDefault="005328BF" w:rsidP="00BD109B">
      <w:pPr>
        <w:pStyle w:val="2"/>
      </w:pPr>
      <w:r w:rsidRPr="00330234">
        <w:t>5.</w:t>
      </w:r>
      <w:r w:rsidRPr="00330234">
        <w:tab/>
      </w:r>
      <w:r w:rsidR="009B4B8E" w:rsidRPr="00330234">
        <w:t>Hoe bewaart u dit middel?</w:t>
      </w:r>
    </w:p>
    <w:p w14:paraId="5C5EB971" w14:textId="77777777" w:rsidR="007C4042" w:rsidRPr="00330234" w:rsidRDefault="007C4042" w:rsidP="00BD109B">
      <w:pPr>
        <w:pStyle w:val="a3"/>
        <w:widowControl/>
        <w:ind w:left="0"/>
      </w:pPr>
    </w:p>
    <w:p w14:paraId="12300FF9" w14:textId="0DC86887" w:rsidR="00436DAA" w:rsidRPr="00330234" w:rsidRDefault="009B4B8E" w:rsidP="00BD109B">
      <w:pPr>
        <w:pStyle w:val="a3"/>
        <w:widowControl/>
        <w:ind w:left="0"/>
      </w:pPr>
      <w:r w:rsidRPr="00330234">
        <w:t>Buiten het zicht en bereik van kinderen houden.</w:t>
      </w:r>
    </w:p>
    <w:p w14:paraId="58E17E6D" w14:textId="77777777" w:rsidR="00436DAA" w:rsidRPr="00330234" w:rsidRDefault="00436DAA" w:rsidP="00BD109B">
      <w:pPr>
        <w:pStyle w:val="a3"/>
        <w:widowControl/>
        <w:ind w:left="0"/>
      </w:pPr>
    </w:p>
    <w:p w14:paraId="5DBBF390" w14:textId="77777777" w:rsidR="00436DAA" w:rsidRPr="00330234" w:rsidRDefault="009B4B8E" w:rsidP="00BD109B">
      <w:pPr>
        <w:pStyle w:val="a3"/>
        <w:widowControl/>
        <w:ind w:left="0"/>
      </w:pPr>
      <w:r w:rsidRPr="00330234">
        <w:t>Gebruik dit geneesmiddel niet meer na de uiterste houdbaarheidsdatum. Die vindt u op het etiket van de voorgevulde spuit en de verpakking na EXP. Daar staat een maand en een jaar. De laatste dag van die maand is de uiterste houdbaarheidsdatum.</w:t>
      </w:r>
    </w:p>
    <w:p w14:paraId="0E7BBE99" w14:textId="77777777" w:rsidR="00436DAA" w:rsidRPr="00330234" w:rsidRDefault="00436DAA" w:rsidP="00BD109B">
      <w:pPr>
        <w:pStyle w:val="a3"/>
        <w:widowControl/>
        <w:ind w:left="0"/>
      </w:pPr>
    </w:p>
    <w:p w14:paraId="3C4B9A8C" w14:textId="55D4A77B" w:rsidR="00436DAA" w:rsidRPr="00330234" w:rsidRDefault="009B4B8E" w:rsidP="00BD109B">
      <w:pPr>
        <w:pStyle w:val="a3"/>
        <w:widowControl/>
        <w:ind w:left="0"/>
      </w:pPr>
      <w:r w:rsidRPr="00330234">
        <w:t xml:space="preserve">Bewaren in de koelkast (2°C–8°C). Niet invriezen. Eenmaal uit de koelkast gehaald, kan de voorgevulde spuit tot </w:t>
      </w:r>
      <w:r w:rsidR="00AD1D5F" w:rsidRPr="00330234">
        <w:t>3 </w:t>
      </w:r>
      <w:r w:rsidRPr="00330234">
        <w:t>weken beneden 30°C worden bewaard.</w:t>
      </w:r>
    </w:p>
    <w:p w14:paraId="5BE72E09" w14:textId="77777777" w:rsidR="007C4042" w:rsidRPr="00330234" w:rsidRDefault="007C4042" w:rsidP="00BD109B">
      <w:pPr>
        <w:pStyle w:val="a3"/>
        <w:widowControl/>
        <w:ind w:left="0"/>
      </w:pPr>
    </w:p>
    <w:p w14:paraId="3B74B1B8" w14:textId="38FCF8F2" w:rsidR="00436DAA" w:rsidRPr="00330234" w:rsidRDefault="009B4B8E" w:rsidP="00BD109B">
      <w:pPr>
        <w:pStyle w:val="a3"/>
        <w:widowControl/>
        <w:ind w:left="0"/>
      </w:pPr>
      <w:r w:rsidRPr="00330234">
        <w:t>De voorgevulde spuiten in de buitenverpakking bewaren ter bescherming tegen licht en vocht.</w:t>
      </w:r>
    </w:p>
    <w:p w14:paraId="06D2B6EA" w14:textId="77777777" w:rsidR="00436DAA" w:rsidRPr="00330234" w:rsidRDefault="00436DAA" w:rsidP="00BD109B">
      <w:pPr>
        <w:pStyle w:val="a3"/>
        <w:widowControl/>
        <w:ind w:left="0"/>
      </w:pPr>
    </w:p>
    <w:p w14:paraId="5CBFE508" w14:textId="5A2A0548" w:rsidR="00436DAA" w:rsidRPr="00330234" w:rsidRDefault="009B4B8E" w:rsidP="00BD109B">
      <w:pPr>
        <w:pStyle w:val="a3"/>
        <w:widowControl/>
        <w:ind w:left="0"/>
      </w:pPr>
      <w:r w:rsidRPr="00330234">
        <w:t>Gebruik dit geneesmiddel niet als deze troebel is of deeltjes bevat, als deze een andere kleur heeft dan kleurloos tot geel, of als enig onderdeel van de voorgevulde spuit beschadigd lijkt te zijn.</w:t>
      </w:r>
    </w:p>
    <w:p w14:paraId="32B7A3AC" w14:textId="77777777" w:rsidR="007C4042" w:rsidRPr="00330234" w:rsidRDefault="007C4042" w:rsidP="00BD109B">
      <w:pPr>
        <w:pStyle w:val="a3"/>
        <w:widowControl/>
        <w:ind w:left="0"/>
      </w:pPr>
    </w:p>
    <w:p w14:paraId="48C23C52" w14:textId="77777777" w:rsidR="00436DAA" w:rsidRPr="00330234" w:rsidRDefault="009B4B8E" w:rsidP="00BD109B">
      <w:pPr>
        <w:pStyle w:val="a3"/>
        <w:widowControl/>
        <w:ind w:left="0"/>
      </w:pPr>
      <w:r w:rsidRPr="00330234">
        <w:t>De voorgevulde spuit mag niet geschud worden. Na het verwijderen van de dop moet de injectie binnen 5 minuten gegeven worden om te voorkomen dat het middel uitdroogt waardoor de naald blokkeert. Als de voorgevulde spuit niet binnen 5 minuten na het verwijderen van de dop wordt gebruikt, dan moet u deze weggooien in een naaldencontainer en moet u een nieuwe voorgevulde spuit gebruiken.</w:t>
      </w:r>
    </w:p>
    <w:p w14:paraId="34A13142" w14:textId="77777777" w:rsidR="007C4042" w:rsidRPr="00330234" w:rsidRDefault="007C4042" w:rsidP="00BD109B">
      <w:pPr>
        <w:pStyle w:val="a3"/>
        <w:widowControl/>
        <w:ind w:left="0"/>
      </w:pPr>
    </w:p>
    <w:p w14:paraId="5E90FC84" w14:textId="77777777" w:rsidR="00436DAA" w:rsidRPr="00330234" w:rsidRDefault="009B4B8E" w:rsidP="00BD109B">
      <w:pPr>
        <w:pStyle w:val="a3"/>
        <w:widowControl/>
        <w:ind w:left="0"/>
      </w:pPr>
      <w:r w:rsidRPr="00330234">
        <w:t>Als u na het inbrengen van de naald de zuiger niet naar beneden kunt drukken, dan moet u de voorgevulde spuit weggooien in een naaldencontainer en een nieuwe voorgevulde spuit gebruiken.</w:t>
      </w:r>
    </w:p>
    <w:p w14:paraId="7B342EEA" w14:textId="77777777" w:rsidR="00436DAA" w:rsidRPr="00330234" w:rsidRDefault="00436DAA" w:rsidP="00BD109B">
      <w:pPr>
        <w:pStyle w:val="a3"/>
        <w:widowControl/>
        <w:ind w:left="0"/>
      </w:pPr>
    </w:p>
    <w:p w14:paraId="34FFC82F" w14:textId="77777777" w:rsidR="007C4042" w:rsidRPr="00330234" w:rsidRDefault="007C4042" w:rsidP="00BD109B">
      <w:pPr>
        <w:pStyle w:val="a3"/>
        <w:widowControl/>
        <w:ind w:left="0"/>
      </w:pPr>
    </w:p>
    <w:p w14:paraId="0189E6F3" w14:textId="77777777" w:rsidR="007C4042" w:rsidRPr="00330234" w:rsidRDefault="005328BF" w:rsidP="00BD109B">
      <w:pPr>
        <w:pStyle w:val="2"/>
      </w:pPr>
      <w:r w:rsidRPr="00330234">
        <w:t>6.</w:t>
      </w:r>
      <w:r w:rsidRPr="00330234">
        <w:tab/>
      </w:r>
      <w:r w:rsidR="009B4B8E" w:rsidRPr="00330234">
        <w:t>Inhoud van de verpakking en overige informatie</w:t>
      </w:r>
    </w:p>
    <w:p w14:paraId="66936391" w14:textId="77777777" w:rsidR="007C4042" w:rsidRPr="00330234" w:rsidRDefault="007C4042" w:rsidP="000571FE">
      <w:pPr>
        <w:rPr>
          <w:b/>
          <w:bCs/>
        </w:rPr>
      </w:pPr>
    </w:p>
    <w:p w14:paraId="1BF8B47B" w14:textId="226DBA5E" w:rsidR="00436DAA" w:rsidRPr="00330234" w:rsidRDefault="009B4B8E" w:rsidP="004A769F">
      <w:r w:rsidRPr="004A769F">
        <w:rPr>
          <w:b/>
          <w:bCs/>
        </w:rPr>
        <w:t>Welke stoffen zitten er in dit middel?</w:t>
      </w:r>
    </w:p>
    <w:p w14:paraId="2F3094B2" w14:textId="1A07EC8A" w:rsidR="00436DAA" w:rsidRPr="00330234" w:rsidRDefault="005328BF" w:rsidP="007C4042">
      <w:pPr>
        <w:pStyle w:val="bullet"/>
      </w:pPr>
      <w:r w:rsidRPr="00330234">
        <w:rPr>
          <w:rFonts w:eastAsia="Symbol"/>
        </w:rPr>
        <w:tab/>
      </w:r>
      <w:r w:rsidR="009B4B8E" w:rsidRPr="00330234">
        <w:t>De werkzame stof in dit middel is tocilizumab.</w:t>
      </w:r>
    </w:p>
    <w:p w14:paraId="75C54B79" w14:textId="77777777" w:rsidR="00436DAA" w:rsidRPr="00330234" w:rsidRDefault="009B4B8E">
      <w:pPr>
        <w:pStyle w:val="bullet"/>
        <w:numPr>
          <w:ilvl w:val="0"/>
          <w:numId w:val="0"/>
        </w:numPr>
        <w:ind w:left="567"/>
      </w:pPr>
      <w:r w:rsidRPr="00330234">
        <w:t>Elke voorgevulde spuit bevat 162 mg tocilizumab in 0,9 ml.</w:t>
      </w:r>
    </w:p>
    <w:p w14:paraId="218B990D" w14:textId="77777777" w:rsidR="001E5ECF" w:rsidRPr="00330234" w:rsidRDefault="001E5ECF" w:rsidP="001B3E1E">
      <w:pPr>
        <w:pStyle w:val="bullet"/>
        <w:numPr>
          <w:ilvl w:val="0"/>
          <w:numId w:val="0"/>
        </w:numPr>
        <w:ind w:left="567"/>
      </w:pPr>
    </w:p>
    <w:p w14:paraId="2CED66DB" w14:textId="7B30618D" w:rsidR="00436DAA" w:rsidRPr="00330234" w:rsidRDefault="005328BF" w:rsidP="007C4042">
      <w:pPr>
        <w:pStyle w:val="bullet"/>
      </w:pPr>
      <w:r w:rsidRPr="00330234">
        <w:rPr>
          <w:rFonts w:eastAsia="Symbol"/>
        </w:rPr>
        <w:tab/>
      </w:r>
      <w:r w:rsidR="009B4B8E" w:rsidRPr="00330234">
        <w:t>De andere stoffen (hulpstoffen) in dit middel zijn L-histidine,</w:t>
      </w:r>
      <w:r w:rsidR="0065408F">
        <w:rPr>
          <w:rFonts w:eastAsia="맑은 고딕" w:hint="eastAsia"/>
          <w:lang w:eastAsia="ko-KR"/>
        </w:rPr>
        <w:t xml:space="preserve"> </w:t>
      </w:r>
      <w:r w:rsidR="0065408F" w:rsidRPr="0065408F">
        <w:rPr>
          <w:rFonts w:eastAsia="맑은 고딕" w:hint="eastAsia"/>
          <w:lang w:eastAsia="ko-KR"/>
        </w:rPr>
        <w:t>L-histidine monohydrochloride monohydraat</w:t>
      </w:r>
      <w:r w:rsidR="0065408F">
        <w:rPr>
          <w:rFonts w:eastAsia="맑은 고딕" w:hint="eastAsia"/>
          <w:lang w:eastAsia="ko-KR"/>
        </w:rPr>
        <w:t>,</w:t>
      </w:r>
      <w:r w:rsidR="009B4B8E" w:rsidRPr="00330234">
        <w:t xml:space="preserve"> </w:t>
      </w:r>
      <w:r w:rsidR="00AD1D5F" w:rsidRPr="00330234">
        <w:t>L</w:t>
      </w:r>
      <w:r w:rsidR="00AD1D5F" w:rsidRPr="00330234">
        <w:noBreakHyphen/>
        <w:t>threonine</w:t>
      </w:r>
      <w:r w:rsidR="009B4B8E" w:rsidRPr="00330234">
        <w:t>,</w:t>
      </w:r>
      <w:r w:rsidR="00BF06A5" w:rsidRPr="00330234">
        <w:t xml:space="preserve"> L-methionine,</w:t>
      </w:r>
      <w:r w:rsidR="009B4B8E" w:rsidRPr="00330234">
        <w:t xml:space="preserve"> polysorbaat 80 en water voor injecties.</w:t>
      </w:r>
    </w:p>
    <w:p w14:paraId="2A8FA9D0" w14:textId="77777777" w:rsidR="00436DAA" w:rsidRPr="00330234" w:rsidRDefault="00436DAA" w:rsidP="00BD109B">
      <w:pPr>
        <w:pStyle w:val="a3"/>
        <w:widowControl/>
        <w:ind w:left="0"/>
      </w:pPr>
    </w:p>
    <w:p w14:paraId="64726AA0" w14:textId="7FB8B72B" w:rsidR="00436DAA" w:rsidRPr="004A769F" w:rsidRDefault="009B4B8E" w:rsidP="004A769F">
      <w:pPr>
        <w:rPr>
          <w:b/>
          <w:bCs/>
        </w:rPr>
      </w:pPr>
      <w:r w:rsidRPr="004A769F">
        <w:rPr>
          <w:b/>
          <w:bCs/>
        </w:rPr>
        <w:t xml:space="preserve">Hoe ziet </w:t>
      </w:r>
      <w:r w:rsidR="00B666BC" w:rsidRPr="004A769F">
        <w:rPr>
          <w:b/>
          <w:bCs/>
        </w:rPr>
        <w:t>Avtozma</w:t>
      </w:r>
      <w:r w:rsidRPr="004A769F">
        <w:rPr>
          <w:b/>
          <w:bCs/>
        </w:rPr>
        <w:t xml:space="preserve"> eruit en hoeveel zit er in een verpakking?</w:t>
      </w:r>
    </w:p>
    <w:p w14:paraId="147162B4" w14:textId="04366BA1" w:rsidR="00436DAA" w:rsidRPr="00330234" w:rsidRDefault="00B666BC" w:rsidP="00BD109B">
      <w:pPr>
        <w:pStyle w:val="a3"/>
        <w:widowControl/>
        <w:ind w:left="0"/>
      </w:pPr>
      <w:r w:rsidRPr="00330234">
        <w:t>Avtozma</w:t>
      </w:r>
      <w:r w:rsidR="009B4B8E" w:rsidRPr="00330234">
        <w:t xml:space="preserve"> is een oplossing voor injectie. De oplossing is kleurloos tot geel.</w:t>
      </w:r>
    </w:p>
    <w:p w14:paraId="5CE4606A" w14:textId="77777777" w:rsidR="00436DAA" w:rsidRPr="00330234" w:rsidRDefault="00436DAA" w:rsidP="00BD109B">
      <w:pPr>
        <w:pStyle w:val="a3"/>
        <w:widowControl/>
        <w:ind w:left="0"/>
      </w:pPr>
    </w:p>
    <w:p w14:paraId="4053B838" w14:textId="36CBA0D5" w:rsidR="00436DAA" w:rsidRPr="00330234" w:rsidRDefault="00B666BC" w:rsidP="00BD109B">
      <w:pPr>
        <w:pStyle w:val="a3"/>
        <w:widowControl/>
        <w:ind w:left="0"/>
      </w:pPr>
      <w:r w:rsidRPr="00330234">
        <w:t>Avtozma</w:t>
      </w:r>
      <w:r w:rsidR="009B4B8E" w:rsidRPr="00330234">
        <w:t xml:space="preserve"> wordt geleverd in een voorgevulde spuit van 0,9 ml met daarin 162 mg tocilizumab- oplossing voor injectie.</w:t>
      </w:r>
    </w:p>
    <w:p w14:paraId="281E8764" w14:textId="77777777" w:rsidR="00436DAA" w:rsidRPr="00330234" w:rsidRDefault="00436DAA" w:rsidP="00BD109B">
      <w:pPr>
        <w:widowControl/>
      </w:pPr>
    </w:p>
    <w:p w14:paraId="67C1BE01" w14:textId="77777777" w:rsidR="00313FED" w:rsidRPr="00330234" w:rsidRDefault="00313FED" w:rsidP="001B3E1E">
      <w:pPr>
        <w:pStyle w:val="a3"/>
        <w:keepNext/>
        <w:keepLines/>
        <w:widowControl/>
        <w:ind w:left="0"/>
      </w:pPr>
      <w:r w:rsidRPr="00330234">
        <w:lastRenderedPageBreak/>
        <w:t>De Avtozma voorgevulde spuit voor gebruik door patiënten is beschikbaar in verpakkingen met:</w:t>
      </w:r>
      <w:r w:rsidRPr="00330234">
        <w:tab/>
      </w:r>
      <w:r w:rsidRPr="00330234">
        <w:tab/>
      </w:r>
    </w:p>
    <w:p w14:paraId="0EA30DB3" w14:textId="77777777" w:rsidR="00313FED" w:rsidRPr="00330234" w:rsidRDefault="00313FED" w:rsidP="001B3E1E">
      <w:pPr>
        <w:pStyle w:val="a3"/>
        <w:keepNext/>
        <w:keepLines/>
        <w:widowControl/>
        <w:numPr>
          <w:ilvl w:val="0"/>
          <w:numId w:val="34"/>
        </w:numPr>
        <w:tabs>
          <w:tab w:val="left" w:pos="567"/>
        </w:tabs>
        <w:ind w:left="567" w:hanging="567"/>
      </w:pPr>
      <w:r w:rsidRPr="00330234">
        <w:t>1 voorgevulde spuit</w:t>
      </w:r>
    </w:p>
    <w:p w14:paraId="63436F35" w14:textId="5B59FEF8" w:rsidR="002C41D8" w:rsidRPr="00330234" w:rsidRDefault="002C41D8" w:rsidP="002C41D8">
      <w:pPr>
        <w:pStyle w:val="a3"/>
        <w:keepNext/>
        <w:keepLines/>
        <w:widowControl/>
        <w:numPr>
          <w:ilvl w:val="0"/>
          <w:numId w:val="34"/>
        </w:numPr>
        <w:tabs>
          <w:tab w:val="left" w:pos="567"/>
        </w:tabs>
        <w:ind w:left="567" w:hanging="567"/>
        <w:rPr>
          <w:ins w:id="52" w:author="만든 이"/>
        </w:rPr>
      </w:pPr>
      <w:ins w:id="53" w:author="만든 이">
        <w:r>
          <w:rPr>
            <w:rFonts w:eastAsia="맑은 고딕" w:hint="eastAsia"/>
            <w:lang w:eastAsia="ko-KR"/>
          </w:rPr>
          <w:t>2</w:t>
        </w:r>
        <w:r w:rsidRPr="00330234">
          <w:t> voorgevulde spuiten</w:t>
        </w:r>
      </w:ins>
    </w:p>
    <w:p w14:paraId="20513DA2" w14:textId="77777777" w:rsidR="00313FED" w:rsidRPr="00330234" w:rsidRDefault="00313FED" w:rsidP="001B3E1E">
      <w:pPr>
        <w:pStyle w:val="a3"/>
        <w:keepNext/>
        <w:keepLines/>
        <w:widowControl/>
        <w:numPr>
          <w:ilvl w:val="0"/>
          <w:numId w:val="34"/>
        </w:numPr>
        <w:tabs>
          <w:tab w:val="left" w:pos="567"/>
        </w:tabs>
        <w:ind w:left="567" w:hanging="567"/>
      </w:pPr>
      <w:r w:rsidRPr="00330234">
        <w:t>4 voorgevulde spuiten</w:t>
      </w:r>
    </w:p>
    <w:p w14:paraId="412CE580" w14:textId="2BAD6D24" w:rsidR="00313FED" w:rsidRPr="00330234" w:rsidRDefault="00313FED" w:rsidP="00313FED">
      <w:pPr>
        <w:pStyle w:val="a3"/>
        <w:widowControl/>
        <w:numPr>
          <w:ilvl w:val="0"/>
          <w:numId w:val="34"/>
        </w:numPr>
        <w:tabs>
          <w:tab w:val="left" w:pos="567"/>
        </w:tabs>
        <w:ind w:left="567" w:hanging="567"/>
      </w:pPr>
      <w:r w:rsidRPr="00330234">
        <w:t>12 (3 verpakkingen van 4) voorgevulde spuiten (multi-packs)</w:t>
      </w:r>
    </w:p>
    <w:p w14:paraId="60DC0A8D" w14:textId="3CE5DEB3" w:rsidR="00313FED" w:rsidRPr="00330234" w:rsidRDefault="00313FED" w:rsidP="00313FED">
      <w:pPr>
        <w:pStyle w:val="a3"/>
        <w:widowControl/>
        <w:ind w:left="0"/>
      </w:pPr>
    </w:p>
    <w:p w14:paraId="33A0E315" w14:textId="517447F3" w:rsidR="00436DAA" w:rsidRPr="00330234" w:rsidRDefault="009B4B8E" w:rsidP="00BD109B">
      <w:pPr>
        <w:pStyle w:val="a3"/>
        <w:widowControl/>
        <w:ind w:left="0"/>
      </w:pPr>
      <w:r w:rsidRPr="00330234">
        <w:t>Niet alle genoemde verpakkingsgrootten worden in de handel gebracht.</w:t>
      </w:r>
    </w:p>
    <w:p w14:paraId="3E345CC5" w14:textId="77777777" w:rsidR="00436DAA" w:rsidRPr="00330234" w:rsidRDefault="00436DAA" w:rsidP="00BD109B">
      <w:pPr>
        <w:pStyle w:val="a3"/>
        <w:widowControl/>
        <w:ind w:left="0"/>
      </w:pPr>
    </w:p>
    <w:p w14:paraId="79D7B79F" w14:textId="77777777" w:rsidR="00436DAA" w:rsidRPr="004A769F" w:rsidRDefault="009B4B8E" w:rsidP="004A769F">
      <w:pPr>
        <w:rPr>
          <w:b/>
          <w:bCs/>
        </w:rPr>
      </w:pPr>
      <w:r w:rsidRPr="004A769F">
        <w:rPr>
          <w:b/>
          <w:bCs/>
        </w:rPr>
        <w:t>Houder van de vergunning voor het in de handel brengen</w:t>
      </w:r>
    </w:p>
    <w:p w14:paraId="0D9AD43E" w14:textId="77777777" w:rsidR="00313FED" w:rsidRPr="00330234" w:rsidRDefault="00313FED" w:rsidP="00313FED">
      <w:pPr>
        <w:keepNext/>
      </w:pPr>
      <w:r w:rsidRPr="00330234">
        <w:t>Celltrion Healthcare Hungary Kft.</w:t>
      </w:r>
    </w:p>
    <w:p w14:paraId="07CCF9D6" w14:textId="77777777" w:rsidR="00313FED" w:rsidRPr="00330234" w:rsidRDefault="00313FED" w:rsidP="00313FED">
      <w:pPr>
        <w:keepNext/>
      </w:pPr>
      <w:r w:rsidRPr="00330234">
        <w:t>1062 Budapest</w:t>
      </w:r>
    </w:p>
    <w:p w14:paraId="5D9939C4" w14:textId="77777777" w:rsidR="00313FED" w:rsidRPr="00330234" w:rsidRDefault="00313FED" w:rsidP="00313FED">
      <w:pPr>
        <w:keepNext/>
      </w:pPr>
      <w:r w:rsidRPr="00330234">
        <w:t>Váci út 1-3. WestEnd Office Building B torony</w:t>
      </w:r>
    </w:p>
    <w:p w14:paraId="5A4A08CA" w14:textId="5960E326" w:rsidR="00313FED" w:rsidRPr="00330234" w:rsidRDefault="00313FED" w:rsidP="00313FED">
      <w:r w:rsidRPr="00330234">
        <w:t>Hongarije</w:t>
      </w:r>
    </w:p>
    <w:p w14:paraId="55EADF12" w14:textId="77777777" w:rsidR="007C4042" w:rsidRPr="00330234" w:rsidRDefault="007C4042" w:rsidP="00BD109B">
      <w:pPr>
        <w:pStyle w:val="a3"/>
        <w:widowControl/>
        <w:ind w:left="0"/>
      </w:pPr>
    </w:p>
    <w:p w14:paraId="6E587ED7" w14:textId="77777777" w:rsidR="00436DAA" w:rsidRPr="004A769F" w:rsidRDefault="009B4B8E" w:rsidP="004A769F">
      <w:pPr>
        <w:rPr>
          <w:b/>
          <w:bCs/>
        </w:rPr>
      </w:pPr>
      <w:r w:rsidRPr="004A769F">
        <w:rPr>
          <w:b/>
          <w:bCs/>
        </w:rPr>
        <w:t>Fabrikant</w:t>
      </w:r>
    </w:p>
    <w:p w14:paraId="5DEC7C42" w14:textId="77777777" w:rsidR="00313FED" w:rsidRPr="00330234" w:rsidRDefault="00313FED" w:rsidP="00313FED">
      <w:pPr>
        <w:keepNext/>
      </w:pPr>
      <w:r w:rsidRPr="00330234">
        <w:t>Nuvisan France SARL</w:t>
      </w:r>
    </w:p>
    <w:p w14:paraId="5467D07C" w14:textId="2508D51C" w:rsidR="00313FED" w:rsidRPr="00330234" w:rsidRDefault="00313FED" w:rsidP="00313FED">
      <w:pPr>
        <w:keepNext/>
      </w:pPr>
      <w:r w:rsidRPr="00330234">
        <w:t>2400</w:t>
      </w:r>
      <w:del w:id="54" w:author="만든 이">
        <w:r w:rsidRPr="00330234" w:rsidDel="00D1666A">
          <w:delText>,</w:delText>
        </w:r>
      </w:del>
      <w:r w:rsidRPr="00330234">
        <w:t xml:space="preserve"> Route des Colles,</w:t>
      </w:r>
    </w:p>
    <w:p w14:paraId="2DB5FD17" w14:textId="7675902B" w:rsidR="00313FED" w:rsidRPr="00330234" w:rsidRDefault="00313FED" w:rsidP="00313FED">
      <w:pPr>
        <w:keepNext/>
      </w:pPr>
      <w:r w:rsidRPr="00330234">
        <w:t>06410</w:t>
      </w:r>
      <w:del w:id="55" w:author="만든 이">
        <w:r w:rsidRPr="00330234" w:rsidDel="00D1666A">
          <w:delText>,</w:delText>
        </w:r>
      </w:del>
      <w:r w:rsidRPr="00330234">
        <w:t xml:space="preserve"> Biot,</w:t>
      </w:r>
    </w:p>
    <w:p w14:paraId="39BB1F3E" w14:textId="0D02A6B9" w:rsidR="00313FED" w:rsidRPr="00330234" w:rsidRDefault="00313FED" w:rsidP="00313FED">
      <w:r w:rsidRPr="00330234">
        <w:t>Frankrijk</w:t>
      </w:r>
    </w:p>
    <w:p w14:paraId="5AAA56BA" w14:textId="77777777" w:rsidR="00313FED" w:rsidRPr="00330234" w:rsidRDefault="00313FED" w:rsidP="00313FED"/>
    <w:p w14:paraId="53CE092B" w14:textId="77777777" w:rsidR="00313FED" w:rsidRPr="00330234" w:rsidRDefault="00313FED" w:rsidP="00313FED">
      <w:pPr>
        <w:keepNext/>
      </w:pPr>
      <w:r w:rsidRPr="00330234">
        <w:t>Midas Pharma GmbH</w:t>
      </w:r>
    </w:p>
    <w:p w14:paraId="22428A2B" w14:textId="2BA52FC9" w:rsidR="00313FED" w:rsidRPr="00330234" w:rsidRDefault="00313FED" w:rsidP="00313FED">
      <w:pPr>
        <w:keepNext/>
      </w:pPr>
      <w:r w:rsidRPr="00330234">
        <w:t>Rheinstr. 49,</w:t>
      </w:r>
    </w:p>
    <w:p w14:paraId="6DBB5B66" w14:textId="77777777" w:rsidR="00313FED" w:rsidRPr="00330234" w:rsidRDefault="00313FED" w:rsidP="00313FED">
      <w:pPr>
        <w:keepNext/>
      </w:pPr>
      <w:r w:rsidRPr="00330234">
        <w:t>55218 Ingelheim,</w:t>
      </w:r>
    </w:p>
    <w:p w14:paraId="47AE58B5" w14:textId="7A571F90" w:rsidR="00313FED" w:rsidRPr="00330234" w:rsidRDefault="00313FED" w:rsidP="00313FED">
      <w:r w:rsidRPr="00330234">
        <w:t>Duitsland</w:t>
      </w:r>
    </w:p>
    <w:p w14:paraId="068DECF4" w14:textId="77777777" w:rsidR="00313FED" w:rsidRPr="00330234" w:rsidRDefault="00313FED" w:rsidP="00313FED"/>
    <w:p w14:paraId="0DC7EDEA" w14:textId="692E869F" w:rsidR="00313FED" w:rsidRPr="00330234" w:rsidRDefault="00313FED" w:rsidP="00313FED">
      <w:pPr>
        <w:keepNext/>
      </w:pPr>
      <w:r w:rsidRPr="00330234">
        <w:t>KYMOS S.L.</w:t>
      </w:r>
    </w:p>
    <w:p w14:paraId="49FECFFF" w14:textId="368390ED" w:rsidR="00313FED" w:rsidRPr="00330234" w:rsidRDefault="00313FED" w:rsidP="00313FED">
      <w:pPr>
        <w:keepNext/>
      </w:pPr>
      <w:r w:rsidRPr="00330234">
        <w:t>Ronda Can Fatjó, 7B.</w:t>
      </w:r>
    </w:p>
    <w:p w14:paraId="4F7E46FF" w14:textId="7B3AE1A1" w:rsidR="00313FED" w:rsidRPr="00330234" w:rsidRDefault="00313FED" w:rsidP="00313FED">
      <w:pPr>
        <w:keepNext/>
      </w:pPr>
      <w:r w:rsidRPr="00330234">
        <w:t>08290 Cerdanyola del Vallès,</w:t>
      </w:r>
    </w:p>
    <w:p w14:paraId="3A768AEA" w14:textId="68B77645" w:rsidR="00313FED" w:rsidRPr="00330234" w:rsidRDefault="00313FED" w:rsidP="00313FED">
      <w:pPr>
        <w:keepNext/>
      </w:pPr>
      <w:r w:rsidRPr="00330234">
        <w:t>Barcelona,</w:t>
      </w:r>
    </w:p>
    <w:p w14:paraId="70BC0A85" w14:textId="6650DEF0" w:rsidR="00313FED" w:rsidRPr="00330234" w:rsidRDefault="00313FED" w:rsidP="00313FED">
      <w:r w:rsidRPr="00330234">
        <w:t>Spanje</w:t>
      </w:r>
    </w:p>
    <w:p w14:paraId="6D224D0E" w14:textId="77777777" w:rsidR="007C4042" w:rsidRPr="00330234" w:rsidRDefault="007C4042" w:rsidP="00BD109B">
      <w:pPr>
        <w:pStyle w:val="a3"/>
        <w:widowControl/>
        <w:ind w:left="0"/>
      </w:pPr>
    </w:p>
    <w:p w14:paraId="1410CB3D" w14:textId="77777777" w:rsidR="00436DAA" w:rsidRPr="00330234" w:rsidRDefault="009B4B8E" w:rsidP="001B3E1E">
      <w:pPr>
        <w:pStyle w:val="a3"/>
        <w:keepNext/>
        <w:keepLines/>
        <w:widowControl/>
        <w:ind w:left="0"/>
      </w:pPr>
      <w:r w:rsidRPr="00330234">
        <w:t>Neem voor alle informatie over dit geneesmiddel contact op met de lokale vertegenwoordiger van de houder van de vergunning voor het in de handel brengen:</w:t>
      </w:r>
    </w:p>
    <w:p w14:paraId="16A430F4" w14:textId="77777777" w:rsidR="00CB3964" w:rsidRPr="00330234" w:rsidRDefault="00CB3964" w:rsidP="00CB3964">
      <w:pPr>
        <w:keepNext/>
      </w:pPr>
    </w:p>
    <w:tbl>
      <w:tblPr>
        <w:tblW w:w="5000" w:type="pct"/>
        <w:tblLayout w:type="fixed"/>
        <w:tblCellMar>
          <w:top w:w="28" w:type="dxa"/>
          <w:bottom w:w="28" w:type="dxa"/>
        </w:tblCellMar>
        <w:tblLook w:val="04A0" w:firstRow="1" w:lastRow="0" w:firstColumn="1" w:lastColumn="0" w:noHBand="0" w:noVBand="1"/>
      </w:tblPr>
      <w:tblGrid>
        <w:gridCol w:w="4537"/>
        <w:gridCol w:w="4537"/>
      </w:tblGrid>
      <w:tr w:rsidR="000030F7" w:rsidRPr="00330234" w14:paraId="4A13859E" w14:textId="77777777">
        <w:trPr>
          <w:cantSplit/>
        </w:trPr>
        <w:tc>
          <w:tcPr>
            <w:tcW w:w="2500" w:type="pct"/>
            <w:hideMark/>
          </w:tcPr>
          <w:p w14:paraId="33F6C4D4" w14:textId="77777777" w:rsidR="00CB3964" w:rsidRPr="00330234" w:rsidRDefault="00CB3964">
            <w:pPr>
              <w:suppressAutoHyphens/>
              <w:rPr>
                <w:b/>
                <w:lang w:eastAsia="fr-FR"/>
              </w:rPr>
            </w:pPr>
            <w:r w:rsidRPr="00330234">
              <w:rPr>
                <w:rFonts w:eastAsia="맑은 고딕"/>
                <w:b/>
                <w:lang w:eastAsia="fr-FR"/>
              </w:rPr>
              <w:t>België/Belgique/Belgien</w:t>
            </w:r>
          </w:p>
          <w:p w14:paraId="1CE9B7BC" w14:textId="77777777" w:rsidR="00CB3964" w:rsidRPr="00330234" w:rsidRDefault="00CB3964">
            <w:pPr>
              <w:suppressAutoHyphens/>
              <w:rPr>
                <w:rFonts w:eastAsia="맑은 고딕"/>
                <w:lang w:eastAsia="fr-FR"/>
              </w:rPr>
            </w:pPr>
            <w:r w:rsidRPr="00330234">
              <w:rPr>
                <w:rFonts w:eastAsia="맑은 고딕"/>
                <w:lang w:eastAsia="fr-FR"/>
              </w:rPr>
              <w:t>Celltrion Healthcare Belgium BVBA</w:t>
            </w:r>
          </w:p>
          <w:p w14:paraId="4D3A5C0C" w14:textId="77777777" w:rsidR="00CB3964" w:rsidRPr="00330234" w:rsidRDefault="00CB3964">
            <w:pPr>
              <w:suppressAutoHyphens/>
              <w:rPr>
                <w:rFonts w:eastAsia="맑은 고딕"/>
                <w:lang w:eastAsia="fr-FR"/>
              </w:rPr>
            </w:pPr>
            <w:r w:rsidRPr="00330234">
              <w:rPr>
                <w:rFonts w:eastAsia="맑은 고딕"/>
                <w:lang w:eastAsia="fr-FR"/>
              </w:rPr>
              <w:t>Tél/Tel: +32 2 643 71 81</w:t>
            </w:r>
          </w:p>
          <w:p w14:paraId="52EA0D67" w14:textId="77777777" w:rsidR="00CB3964" w:rsidRPr="00330234" w:rsidRDefault="00CB3964">
            <w:pPr>
              <w:suppressAutoHyphens/>
              <w:rPr>
                <w:rFonts w:eastAsia="맑은 고딕"/>
                <w:lang w:eastAsia="fr-FR"/>
              </w:rPr>
            </w:pPr>
            <w:r w:rsidRPr="00330234">
              <w:rPr>
                <w:rFonts w:eastAsia="맑은 고딕"/>
                <w:lang w:eastAsia="fr-FR"/>
              </w:rPr>
              <w:t>BEinfo@celltrionhc.com</w:t>
            </w:r>
          </w:p>
          <w:p w14:paraId="78110879" w14:textId="77777777" w:rsidR="00CB3964" w:rsidRPr="00330234" w:rsidRDefault="00CB3964">
            <w:pPr>
              <w:suppressAutoHyphens/>
              <w:rPr>
                <w:rFonts w:eastAsia="맑은 고딕"/>
                <w:lang w:eastAsia="ko-KR"/>
              </w:rPr>
            </w:pPr>
          </w:p>
        </w:tc>
        <w:tc>
          <w:tcPr>
            <w:tcW w:w="2500" w:type="pct"/>
          </w:tcPr>
          <w:p w14:paraId="407F04EA" w14:textId="77777777" w:rsidR="00CB3964" w:rsidRPr="00330234" w:rsidRDefault="00CB3964">
            <w:pPr>
              <w:tabs>
                <w:tab w:val="left" w:pos="-720"/>
              </w:tabs>
              <w:suppressAutoHyphens/>
              <w:rPr>
                <w:b/>
                <w:lang w:eastAsia="fr-FR"/>
              </w:rPr>
            </w:pPr>
            <w:r w:rsidRPr="00330234">
              <w:rPr>
                <w:b/>
                <w:lang w:eastAsia="fr-FR"/>
              </w:rPr>
              <w:t>Lietuva</w:t>
            </w:r>
          </w:p>
          <w:p w14:paraId="63EC61B1" w14:textId="77777777" w:rsidR="00CB3964" w:rsidRPr="00330234" w:rsidRDefault="00CB3964">
            <w:pPr>
              <w:tabs>
                <w:tab w:val="left" w:pos="-720"/>
              </w:tabs>
              <w:suppressAutoHyphens/>
              <w:rPr>
                <w:rFonts w:eastAsia="맑은 고딕"/>
                <w:lang w:eastAsia="fr-FR"/>
              </w:rPr>
            </w:pPr>
            <w:r w:rsidRPr="00330234">
              <w:rPr>
                <w:rFonts w:eastAsia="맑은 고딕"/>
                <w:lang w:eastAsia="fr-FR"/>
              </w:rPr>
              <w:t>Celltrion Healthcare Hungary Kft.</w:t>
            </w:r>
          </w:p>
          <w:p w14:paraId="7E6CB796" w14:textId="77777777" w:rsidR="00CB3964" w:rsidRPr="00330234" w:rsidRDefault="00CB3964">
            <w:pPr>
              <w:suppressAutoHyphens/>
              <w:adjustRightInd w:val="0"/>
              <w:rPr>
                <w:lang w:eastAsia="fr-FR"/>
              </w:rPr>
            </w:pPr>
            <w:r w:rsidRPr="00330234">
              <w:rPr>
                <w:rFonts w:eastAsia="맑은 고딕"/>
                <w:lang w:eastAsia="fr-FR"/>
              </w:rPr>
              <w:t>Tel.: +36 1 231 0493</w:t>
            </w:r>
          </w:p>
          <w:p w14:paraId="2BCBF219" w14:textId="77777777" w:rsidR="00CB3964" w:rsidRPr="00330234" w:rsidRDefault="00CB3964">
            <w:pPr>
              <w:suppressAutoHyphens/>
              <w:adjustRightInd w:val="0"/>
              <w:rPr>
                <w:lang w:eastAsia="fr-FR"/>
              </w:rPr>
            </w:pPr>
          </w:p>
        </w:tc>
      </w:tr>
      <w:tr w:rsidR="000030F7" w:rsidRPr="00330234" w14:paraId="7FA8C8C2" w14:textId="77777777">
        <w:trPr>
          <w:cantSplit/>
        </w:trPr>
        <w:tc>
          <w:tcPr>
            <w:tcW w:w="2500" w:type="pct"/>
          </w:tcPr>
          <w:p w14:paraId="69F9E4C0" w14:textId="77777777" w:rsidR="00CB3964" w:rsidRPr="00330234" w:rsidRDefault="00CB3964">
            <w:pPr>
              <w:suppressAutoHyphens/>
              <w:rPr>
                <w:rFonts w:eastAsia="맑은 고딕"/>
                <w:b/>
                <w:lang w:eastAsia="fr-FR"/>
              </w:rPr>
            </w:pPr>
            <w:r w:rsidRPr="00330234">
              <w:rPr>
                <w:b/>
                <w:bCs/>
              </w:rPr>
              <w:t>България</w:t>
            </w:r>
          </w:p>
          <w:p w14:paraId="32C9783C" w14:textId="77777777" w:rsidR="00CB3964" w:rsidRPr="00330234" w:rsidRDefault="00CB3964">
            <w:pPr>
              <w:tabs>
                <w:tab w:val="left" w:pos="-720"/>
              </w:tabs>
              <w:suppressAutoHyphens/>
              <w:rPr>
                <w:rFonts w:eastAsia="맑은 고딕"/>
                <w:lang w:eastAsia="fr-FR"/>
              </w:rPr>
            </w:pPr>
            <w:r w:rsidRPr="00330234">
              <w:rPr>
                <w:rFonts w:eastAsia="맑은 고딕"/>
                <w:lang w:eastAsia="fr-FR"/>
              </w:rPr>
              <w:t>Celltrion Healthcare Hungary Kft.</w:t>
            </w:r>
          </w:p>
          <w:p w14:paraId="76167182" w14:textId="77777777" w:rsidR="00CB3964" w:rsidRPr="00330234" w:rsidRDefault="00CB3964">
            <w:pPr>
              <w:suppressAutoHyphens/>
              <w:rPr>
                <w:rFonts w:eastAsia="맑은 고딕"/>
                <w:lang w:eastAsia="fr-FR"/>
              </w:rPr>
            </w:pPr>
            <w:r w:rsidRPr="00330234">
              <w:rPr>
                <w:rFonts w:eastAsia="맑은 고딕"/>
                <w:lang w:eastAsia="fr-FR"/>
              </w:rPr>
              <w:t>Teл.: +36 1 231 0493</w:t>
            </w:r>
          </w:p>
          <w:p w14:paraId="560D6EA7" w14:textId="77777777" w:rsidR="00CB3964" w:rsidRPr="00330234" w:rsidRDefault="00CB3964">
            <w:pPr>
              <w:suppressAutoHyphens/>
              <w:rPr>
                <w:lang w:eastAsia="fr-FR"/>
              </w:rPr>
            </w:pPr>
          </w:p>
        </w:tc>
        <w:tc>
          <w:tcPr>
            <w:tcW w:w="2500" w:type="pct"/>
            <w:hideMark/>
          </w:tcPr>
          <w:p w14:paraId="5C5AE232" w14:textId="77777777" w:rsidR="00CB3964" w:rsidRPr="00330234" w:rsidRDefault="00CB3964">
            <w:pPr>
              <w:tabs>
                <w:tab w:val="left" w:pos="-720"/>
              </w:tabs>
              <w:suppressAutoHyphens/>
              <w:rPr>
                <w:lang w:eastAsia="fr-FR"/>
              </w:rPr>
            </w:pPr>
            <w:r w:rsidRPr="00330234">
              <w:rPr>
                <w:rFonts w:eastAsia="맑은 고딕"/>
                <w:b/>
                <w:lang w:eastAsia="fr-FR"/>
              </w:rPr>
              <w:t>Luxembourg/Luxemburg</w:t>
            </w:r>
          </w:p>
          <w:p w14:paraId="25A476BA" w14:textId="77777777" w:rsidR="00CB3964" w:rsidRPr="00330234" w:rsidRDefault="00CB3964">
            <w:pPr>
              <w:suppressAutoHyphens/>
              <w:rPr>
                <w:rFonts w:eastAsia="맑은 고딕"/>
                <w:lang w:eastAsia="fr-FR"/>
              </w:rPr>
            </w:pPr>
            <w:r w:rsidRPr="00330234">
              <w:rPr>
                <w:rFonts w:eastAsia="맑은 고딕"/>
                <w:lang w:eastAsia="fr-FR"/>
              </w:rPr>
              <w:t>Celltrion Healthcare Belgium BVBA</w:t>
            </w:r>
          </w:p>
          <w:p w14:paraId="316B79E4" w14:textId="77777777" w:rsidR="00CB3964" w:rsidRPr="00330234" w:rsidRDefault="00CB3964">
            <w:pPr>
              <w:tabs>
                <w:tab w:val="left" w:pos="-720"/>
              </w:tabs>
              <w:suppressAutoHyphens/>
              <w:rPr>
                <w:rFonts w:eastAsia="맑은 고딕"/>
                <w:lang w:eastAsia="ko-KR"/>
              </w:rPr>
            </w:pPr>
            <w:r w:rsidRPr="00330234">
              <w:rPr>
                <w:rFonts w:eastAsia="맑은 고딕"/>
                <w:lang w:eastAsia="fr-FR"/>
              </w:rPr>
              <w:t>Tél/Tel: +32 2 643 71 81</w:t>
            </w:r>
          </w:p>
          <w:p w14:paraId="032FDBC6" w14:textId="77777777" w:rsidR="00CB3964" w:rsidRPr="00330234" w:rsidRDefault="00CB3964">
            <w:pPr>
              <w:suppressAutoHyphens/>
              <w:rPr>
                <w:rFonts w:eastAsia="맑은 고딕"/>
                <w:lang w:eastAsia="fr-FR"/>
              </w:rPr>
            </w:pPr>
            <w:r w:rsidRPr="00330234">
              <w:rPr>
                <w:rFonts w:eastAsia="맑은 고딕"/>
                <w:lang w:eastAsia="fr-FR"/>
              </w:rPr>
              <w:t>BEinfo@celltrionhc.com</w:t>
            </w:r>
          </w:p>
          <w:p w14:paraId="5E0EFA64" w14:textId="77777777" w:rsidR="00CB3964" w:rsidRPr="00330234" w:rsidRDefault="00CB3964">
            <w:pPr>
              <w:tabs>
                <w:tab w:val="left" w:pos="-720"/>
              </w:tabs>
              <w:suppressAutoHyphens/>
              <w:rPr>
                <w:rFonts w:eastAsia="맑은 고딕"/>
                <w:lang w:eastAsia="ko-KR"/>
              </w:rPr>
            </w:pPr>
          </w:p>
        </w:tc>
      </w:tr>
      <w:tr w:rsidR="000030F7" w:rsidRPr="00330234" w14:paraId="3A4F007C" w14:textId="77777777">
        <w:trPr>
          <w:cantSplit/>
        </w:trPr>
        <w:tc>
          <w:tcPr>
            <w:tcW w:w="2500" w:type="pct"/>
            <w:hideMark/>
          </w:tcPr>
          <w:p w14:paraId="092ACA0B" w14:textId="77777777" w:rsidR="00CB3964" w:rsidRPr="00330234" w:rsidRDefault="00CB3964">
            <w:pPr>
              <w:tabs>
                <w:tab w:val="left" w:pos="-720"/>
              </w:tabs>
              <w:suppressAutoHyphens/>
              <w:rPr>
                <w:rFonts w:eastAsia="맑은 고딕"/>
                <w:b/>
                <w:lang w:eastAsia="fr-FR"/>
              </w:rPr>
            </w:pPr>
            <w:r w:rsidRPr="00330234">
              <w:rPr>
                <w:rFonts w:eastAsia="맑은 고딕"/>
                <w:b/>
                <w:lang w:eastAsia="fr-FR"/>
              </w:rPr>
              <w:t>Česká republika</w:t>
            </w:r>
          </w:p>
          <w:p w14:paraId="4995BC5F" w14:textId="77777777" w:rsidR="00CB3964" w:rsidRPr="00330234" w:rsidRDefault="00CB3964">
            <w:pPr>
              <w:tabs>
                <w:tab w:val="left" w:pos="-720"/>
              </w:tabs>
              <w:suppressAutoHyphens/>
              <w:rPr>
                <w:rFonts w:eastAsia="맑은 고딕"/>
                <w:lang w:eastAsia="fr-FR"/>
              </w:rPr>
            </w:pPr>
            <w:r w:rsidRPr="00330234">
              <w:rPr>
                <w:rFonts w:eastAsia="맑은 고딕"/>
                <w:lang w:eastAsia="fr-FR"/>
              </w:rPr>
              <w:t>Celltrion Healthcare Hungary Kft.</w:t>
            </w:r>
          </w:p>
          <w:p w14:paraId="10686115" w14:textId="77777777" w:rsidR="00CB3964" w:rsidRPr="00330234" w:rsidRDefault="00CB3964">
            <w:pPr>
              <w:tabs>
                <w:tab w:val="left" w:pos="-720"/>
              </w:tabs>
              <w:suppressAutoHyphens/>
              <w:rPr>
                <w:rFonts w:eastAsia="맑은 고딕"/>
                <w:lang w:eastAsia="fr-FR"/>
              </w:rPr>
            </w:pPr>
            <w:r w:rsidRPr="00330234">
              <w:rPr>
                <w:rFonts w:eastAsia="맑은 고딕"/>
                <w:lang w:eastAsia="fr-FR"/>
              </w:rPr>
              <w:t>Tel: +36 1 231 0493</w:t>
            </w:r>
          </w:p>
          <w:p w14:paraId="0F610A92" w14:textId="77777777" w:rsidR="00CB3964" w:rsidRPr="00330234" w:rsidRDefault="00CB3964">
            <w:pPr>
              <w:tabs>
                <w:tab w:val="left" w:pos="-720"/>
              </w:tabs>
              <w:suppressAutoHyphens/>
              <w:rPr>
                <w:lang w:eastAsia="fr-FR"/>
              </w:rPr>
            </w:pPr>
          </w:p>
        </w:tc>
        <w:tc>
          <w:tcPr>
            <w:tcW w:w="2500" w:type="pct"/>
          </w:tcPr>
          <w:p w14:paraId="18DF2F66" w14:textId="77777777" w:rsidR="00CB3964" w:rsidRPr="00330234" w:rsidRDefault="00CB3964">
            <w:pPr>
              <w:suppressAutoHyphens/>
              <w:rPr>
                <w:rFonts w:eastAsia="맑은 고딕"/>
                <w:b/>
                <w:lang w:eastAsia="fr-FR"/>
              </w:rPr>
            </w:pPr>
            <w:r w:rsidRPr="00330234">
              <w:rPr>
                <w:b/>
              </w:rPr>
              <w:t>Magyarország</w:t>
            </w:r>
          </w:p>
          <w:p w14:paraId="452A23E9" w14:textId="77777777" w:rsidR="00CB3964" w:rsidRPr="00330234" w:rsidRDefault="00CB3964">
            <w:pPr>
              <w:tabs>
                <w:tab w:val="left" w:pos="-720"/>
              </w:tabs>
              <w:suppressAutoHyphens/>
              <w:rPr>
                <w:rFonts w:eastAsia="맑은 고딕"/>
                <w:lang w:eastAsia="fr-FR"/>
              </w:rPr>
            </w:pPr>
            <w:r w:rsidRPr="00330234">
              <w:rPr>
                <w:rFonts w:eastAsia="맑은 고딕"/>
                <w:lang w:eastAsia="fr-FR"/>
              </w:rPr>
              <w:t>Celltrion Healthcare Hungary Kft.</w:t>
            </w:r>
          </w:p>
          <w:p w14:paraId="7CB082E6" w14:textId="77777777" w:rsidR="00CB3964" w:rsidRPr="00330234" w:rsidRDefault="00CB3964">
            <w:pPr>
              <w:suppressAutoHyphens/>
              <w:rPr>
                <w:rFonts w:eastAsia="맑은 고딕"/>
                <w:lang w:eastAsia="fr-FR"/>
              </w:rPr>
            </w:pPr>
            <w:r w:rsidRPr="00330234">
              <w:rPr>
                <w:rFonts w:eastAsia="맑은 고딕"/>
                <w:lang w:eastAsia="fr-FR"/>
              </w:rPr>
              <w:t>Tel:. +36 1 231 0493</w:t>
            </w:r>
          </w:p>
          <w:p w14:paraId="1A9AA8EB" w14:textId="77777777" w:rsidR="00CB3964" w:rsidRPr="00330234" w:rsidRDefault="00CB3964">
            <w:pPr>
              <w:suppressAutoHyphens/>
              <w:rPr>
                <w:rFonts w:eastAsia="맑은 고딕"/>
                <w:lang w:eastAsia="ko-KR"/>
              </w:rPr>
            </w:pPr>
          </w:p>
        </w:tc>
      </w:tr>
      <w:tr w:rsidR="000030F7" w:rsidRPr="00330234" w14:paraId="3D17D5F9" w14:textId="77777777">
        <w:trPr>
          <w:cantSplit/>
        </w:trPr>
        <w:tc>
          <w:tcPr>
            <w:tcW w:w="2500" w:type="pct"/>
            <w:hideMark/>
          </w:tcPr>
          <w:p w14:paraId="03D268F8" w14:textId="67C35907" w:rsidR="00CB3964" w:rsidRPr="00330234" w:rsidRDefault="00CB3964">
            <w:pPr>
              <w:tabs>
                <w:tab w:val="left" w:pos="-720"/>
              </w:tabs>
              <w:suppressAutoHyphens/>
              <w:rPr>
                <w:b/>
                <w:bCs/>
                <w:i/>
                <w:iCs/>
                <w:lang w:eastAsia="fr-FR"/>
              </w:rPr>
            </w:pPr>
            <w:r w:rsidRPr="00330234">
              <w:rPr>
                <w:b/>
              </w:rPr>
              <w:t>D</w:t>
            </w:r>
            <w:r w:rsidR="00A14D1E">
              <w:rPr>
                <w:b/>
              </w:rPr>
              <w:t>e</w:t>
            </w:r>
            <w:r w:rsidRPr="00330234">
              <w:rPr>
                <w:b/>
              </w:rPr>
              <w:t>nmark</w:t>
            </w:r>
          </w:p>
          <w:p w14:paraId="3A11B65B" w14:textId="4C3B5FDF" w:rsidR="00CB3964" w:rsidRPr="00330234" w:rsidRDefault="00CB3964">
            <w:pPr>
              <w:tabs>
                <w:tab w:val="left" w:pos="-720"/>
              </w:tabs>
              <w:suppressAutoHyphens/>
              <w:rPr>
                <w:rFonts w:eastAsia="맑은 고딕"/>
                <w:lang w:eastAsia="fr-FR"/>
              </w:rPr>
            </w:pPr>
            <w:r w:rsidRPr="00330234">
              <w:rPr>
                <w:rFonts w:eastAsia="맑은 고딕"/>
                <w:lang w:eastAsia="fr-FR"/>
              </w:rPr>
              <w:t xml:space="preserve">Celltrion Healthcare </w:t>
            </w:r>
            <w:r w:rsidR="00A14D1E" w:rsidRPr="00204A91">
              <w:rPr>
                <w:rFonts w:eastAsia="맑은 고딕"/>
                <w:noProof/>
                <w:lang w:eastAsia="fr-FR"/>
              </w:rPr>
              <w:t>Denmark ApS</w:t>
            </w:r>
          </w:p>
          <w:p w14:paraId="17E888CD" w14:textId="1CD9D14B" w:rsidR="00CB3964" w:rsidRDefault="00A14D1E">
            <w:pPr>
              <w:tabs>
                <w:tab w:val="left" w:pos="-720"/>
              </w:tabs>
              <w:suppressAutoHyphens/>
              <w:rPr>
                <w:rFonts w:eastAsia="맑은 고딕"/>
                <w:lang w:eastAsia="fr-FR"/>
              </w:rPr>
            </w:pPr>
            <w:r w:rsidRPr="00204A91">
              <w:rPr>
                <w:rFonts w:eastAsia="맑은 고딕"/>
                <w:noProof/>
                <w:lang w:eastAsia="fr-FR"/>
              </w:rPr>
              <w:t>Tel: + 45 3535 2989</w:t>
            </w:r>
          </w:p>
          <w:p w14:paraId="0A01546E" w14:textId="2B0726D3" w:rsidR="00A14D1E" w:rsidRPr="00144E79" w:rsidRDefault="00A14D1E">
            <w:pPr>
              <w:tabs>
                <w:tab w:val="left" w:pos="-720"/>
              </w:tabs>
              <w:suppressAutoHyphens/>
              <w:rPr>
                <w:rFonts w:eastAsia="맑은 고딕"/>
                <w:noProof/>
                <w:lang w:eastAsia="fr-FR"/>
              </w:rPr>
            </w:pPr>
            <w:r w:rsidRPr="00204A91">
              <w:rPr>
                <w:rFonts w:eastAsia="맑은 고딕"/>
                <w:noProof/>
                <w:lang w:eastAsia="fr-FR"/>
              </w:rPr>
              <w:t>Contact_dk@celltrionhc.com</w:t>
            </w:r>
          </w:p>
          <w:p w14:paraId="548D86BE" w14:textId="71B3639C" w:rsidR="00A14D1E" w:rsidRPr="00330234" w:rsidRDefault="00A14D1E">
            <w:pPr>
              <w:tabs>
                <w:tab w:val="left" w:pos="-720"/>
              </w:tabs>
              <w:suppressAutoHyphens/>
              <w:rPr>
                <w:rFonts w:eastAsia="맑은 고딕"/>
                <w:lang w:eastAsia="fr-FR"/>
              </w:rPr>
            </w:pPr>
          </w:p>
        </w:tc>
        <w:tc>
          <w:tcPr>
            <w:tcW w:w="2500" w:type="pct"/>
          </w:tcPr>
          <w:p w14:paraId="5476FE04" w14:textId="77777777" w:rsidR="00CB3964" w:rsidRPr="00330234" w:rsidRDefault="00CB3964">
            <w:pPr>
              <w:suppressAutoHyphens/>
              <w:rPr>
                <w:lang w:eastAsia="fr-FR"/>
              </w:rPr>
            </w:pPr>
            <w:r w:rsidRPr="00330234">
              <w:rPr>
                <w:rFonts w:eastAsia="맑은 고딕"/>
                <w:b/>
                <w:lang w:eastAsia="fr-FR"/>
              </w:rPr>
              <w:t>Malta</w:t>
            </w:r>
          </w:p>
          <w:p w14:paraId="73FBB4DE" w14:textId="77777777" w:rsidR="00CB3964" w:rsidRPr="00330234" w:rsidRDefault="00CB3964">
            <w:pPr>
              <w:tabs>
                <w:tab w:val="left" w:pos="-720"/>
              </w:tabs>
              <w:suppressAutoHyphens/>
              <w:rPr>
                <w:rFonts w:eastAsia="맑은 고딕"/>
                <w:lang w:eastAsia="fr-FR"/>
              </w:rPr>
            </w:pPr>
            <w:r w:rsidRPr="00330234">
              <w:rPr>
                <w:rFonts w:eastAsia="맑은 고딕"/>
                <w:lang w:eastAsia="fr-FR"/>
              </w:rPr>
              <w:t>Mint Health Ltd.</w:t>
            </w:r>
          </w:p>
          <w:p w14:paraId="1A56AB8D" w14:textId="77777777" w:rsidR="00CB3964" w:rsidRPr="00330234" w:rsidRDefault="00CB3964">
            <w:pPr>
              <w:suppressAutoHyphens/>
              <w:rPr>
                <w:rFonts w:eastAsia="맑은 고딕"/>
                <w:lang w:eastAsia="ko-KR"/>
              </w:rPr>
            </w:pPr>
            <w:r w:rsidRPr="00330234">
              <w:rPr>
                <w:rFonts w:eastAsia="맑은 고딕"/>
                <w:lang w:eastAsia="fr-FR"/>
              </w:rPr>
              <w:t>Tel: +356 2093 9800</w:t>
            </w:r>
          </w:p>
          <w:p w14:paraId="0A00004A" w14:textId="77777777" w:rsidR="00CB3964" w:rsidRPr="00330234" w:rsidRDefault="00CB3964">
            <w:pPr>
              <w:suppressAutoHyphens/>
              <w:rPr>
                <w:rFonts w:eastAsia="맑은 고딕"/>
                <w:lang w:eastAsia="ko-KR"/>
              </w:rPr>
            </w:pPr>
          </w:p>
        </w:tc>
      </w:tr>
      <w:tr w:rsidR="000030F7" w:rsidRPr="00330234" w14:paraId="1577EC6B" w14:textId="77777777">
        <w:trPr>
          <w:cantSplit/>
        </w:trPr>
        <w:tc>
          <w:tcPr>
            <w:tcW w:w="2500" w:type="pct"/>
            <w:hideMark/>
          </w:tcPr>
          <w:p w14:paraId="5678890C" w14:textId="77777777" w:rsidR="00CB3964" w:rsidRPr="00330234" w:rsidRDefault="00CB3964">
            <w:pPr>
              <w:suppressAutoHyphens/>
              <w:rPr>
                <w:b/>
              </w:rPr>
            </w:pPr>
            <w:r w:rsidRPr="00330234">
              <w:rPr>
                <w:b/>
              </w:rPr>
              <w:lastRenderedPageBreak/>
              <w:t>Deutschland</w:t>
            </w:r>
          </w:p>
          <w:p w14:paraId="692E7829" w14:textId="77777777" w:rsidR="00CB3964" w:rsidRPr="00330234" w:rsidRDefault="00CB3964">
            <w:pPr>
              <w:tabs>
                <w:tab w:val="left" w:pos="-720"/>
              </w:tabs>
              <w:suppressAutoHyphens/>
            </w:pPr>
            <w:r w:rsidRPr="00330234">
              <w:t xml:space="preserve">Celltrion Healthcare Deutschland </w:t>
            </w:r>
            <w:r w:rsidRPr="00330234">
              <w:rPr>
                <w:rFonts w:eastAsia="맑은 고딕"/>
                <w:lang w:eastAsia="fr-FR"/>
              </w:rPr>
              <w:t>GmbH</w:t>
            </w:r>
          </w:p>
          <w:p w14:paraId="36C49ED4" w14:textId="77777777" w:rsidR="00CB3964" w:rsidRPr="00330234" w:rsidRDefault="00CB3964">
            <w:pPr>
              <w:tabs>
                <w:tab w:val="left" w:pos="-720"/>
              </w:tabs>
              <w:suppressAutoHyphens/>
              <w:rPr>
                <w:rFonts w:eastAsia="맑은 고딕"/>
                <w:lang w:eastAsia="fr-FR"/>
              </w:rPr>
            </w:pPr>
            <w:r w:rsidRPr="00330234">
              <w:t xml:space="preserve">Tel: </w:t>
            </w:r>
            <w:r w:rsidRPr="00330234">
              <w:rPr>
                <w:rFonts w:eastAsia="맑은 고딕"/>
                <w:lang w:eastAsia="fr-FR"/>
              </w:rPr>
              <w:t>+49 (0)30 346494150</w:t>
            </w:r>
          </w:p>
          <w:p w14:paraId="300DEE01" w14:textId="77777777" w:rsidR="00CB3964" w:rsidRPr="00330234" w:rsidRDefault="00CB3964">
            <w:pPr>
              <w:tabs>
                <w:tab w:val="left" w:pos="-720"/>
              </w:tabs>
              <w:suppressAutoHyphens/>
              <w:rPr>
                <w:rFonts w:eastAsia="맑은 고딕"/>
                <w:lang w:eastAsia="fr-FR"/>
              </w:rPr>
            </w:pPr>
            <w:r w:rsidRPr="00330234">
              <w:rPr>
                <w:rFonts w:eastAsia="맑은 고딕"/>
                <w:lang w:eastAsia="fr-FR"/>
              </w:rPr>
              <w:t>infoDE@celltrionhc.com</w:t>
            </w:r>
          </w:p>
        </w:tc>
        <w:tc>
          <w:tcPr>
            <w:tcW w:w="2500" w:type="pct"/>
          </w:tcPr>
          <w:p w14:paraId="21705EAD" w14:textId="77777777" w:rsidR="00CB3964" w:rsidRPr="00330234" w:rsidRDefault="00CB3964">
            <w:pPr>
              <w:suppressAutoHyphens/>
              <w:rPr>
                <w:lang w:eastAsia="fr-FR"/>
              </w:rPr>
            </w:pPr>
            <w:r w:rsidRPr="00330234">
              <w:rPr>
                <w:rFonts w:eastAsia="맑은 고딕"/>
                <w:b/>
                <w:lang w:eastAsia="fr-FR"/>
              </w:rPr>
              <w:t>Nederland</w:t>
            </w:r>
          </w:p>
          <w:p w14:paraId="6EECE32B" w14:textId="77777777" w:rsidR="00CB3964" w:rsidRPr="00330234" w:rsidRDefault="00CB3964">
            <w:pPr>
              <w:suppressAutoHyphens/>
              <w:rPr>
                <w:rFonts w:eastAsia="맑은 고딕"/>
                <w:lang w:eastAsia="fr-FR"/>
              </w:rPr>
            </w:pPr>
            <w:r w:rsidRPr="00330234">
              <w:rPr>
                <w:rFonts w:eastAsia="맑은 고딕"/>
                <w:lang w:eastAsia="fr-FR"/>
              </w:rPr>
              <w:t>Celltrion Healthcare Netherlands B.V.</w:t>
            </w:r>
          </w:p>
          <w:p w14:paraId="10D3DE09" w14:textId="77777777" w:rsidR="00CB3964" w:rsidRPr="00330234" w:rsidRDefault="00CB3964">
            <w:pPr>
              <w:suppressAutoHyphens/>
              <w:rPr>
                <w:rFonts w:eastAsia="맑은 고딕"/>
                <w:lang w:eastAsia="fr-FR"/>
              </w:rPr>
            </w:pPr>
            <w:r w:rsidRPr="00330234">
              <w:rPr>
                <w:rFonts w:eastAsia="맑은 고딕"/>
                <w:lang w:eastAsia="fr-FR"/>
              </w:rPr>
              <w:t>Tel: + 31 20 888 7300</w:t>
            </w:r>
          </w:p>
          <w:p w14:paraId="2AF9CB06" w14:textId="77777777" w:rsidR="00CB3964" w:rsidRPr="00330234" w:rsidRDefault="00CB3964">
            <w:pPr>
              <w:suppressAutoHyphens/>
              <w:rPr>
                <w:rFonts w:eastAsia="맑은 고딕"/>
                <w:lang w:eastAsia="fr-FR"/>
              </w:rPr>
            </w:pPr>
            <w:hyperlink r:id="rId26" w:history="1">
              <w:r w:rsidRPr="00330234">
                <w:rPr>
                  <w:rStyle w:val="ab"/>
                  <w:rFonts w:eastAsia="맑은 고딕"/>
                  <w:lang w:eastAsia="fr-FR"/>
                </w:rPr>
                <w:t>NLinfo@celltrionh</w:t>
              </w:r>
              <w:r w:rsidRPr="00330234">
                <w:rPr>
                  <w:rStyle w:val="ab"/>
                </w:rPr>
                <w:t>c</w:t>
              </w:r>
              <w:r w:rsidRPr="00330234">
                <w:rPr>
                  <w:rStyle w:val="ab"/>
                  <w:rFonts w:eastAsia="맑은 고딕"/>
                  <w:lang w:eastAsia="fr-FR"/>
                </w:rPr>
                <w:t>.com</w:t>
              </w:r>
            </w:hyperlink>
          </w:p>
          <w:p w14:paraId="4BEE7128" w14:textId="77777777" w:rsidR="00CB3964" w:rsidRPr="00330234" w:rsidRDefault="00CB3964">
            <w:pPr>
              <w:suppressAutoHyphens/>
              <w:rPr>
                <w:rFonts w:eastAsia="맑은 고딕"/>
                <w:lang w:eastAsia="fr-FR"/>
              </w:rPr>
            </w:pPr>
          </w:p>
        </w:tc>
      </w:tr>
      <w:tr w:rsidR="000030F7" w:rsidRPr="00330234" w14:paraId="0DE3D0C1" w14:textId="77777777">
        <w:trPr>
          <w:cantSplit/>
        </w:trPr>
        <w:tc>
          <w:tcPr>
            <w:tcW w:w="2500" w:type="pct"/>
            <w:hideMark/>
          </w:tcPr>
          <w:p w14:paraId="34B57307" w14:textId="77777777" w:rsidR="00CB3964" w:rsidRPr="00330234" w:rsidRDefault="00CB3964">
            <w:pPr>
              <w:tabs>
                <w:tab w:val="left" w:pos="-720"/>
                <w:tab w:val="left" w:pos="4536"/>
              </w:tabs>
              <w:suppressAutoHyphens/>
              <w:rPr>
                <w:b/>
                <w:lang w:eastAsia="fr-FR"/>
              </w:rPr>
            </w:pPr>
            <w:r w:rsidRPr="00330234">
              <w:rPr>
                <w:rFonts w:eastAsia="맑은 고딕"/>
                <w:b/>
                <w:lang w:eastAsia="fr-FR"/>
              </w:rPr>
              <w:t>Eesti</w:t>
            </w:r>
          </w:p>
          <w:p w14:paraId="300AA930" w14:textId="77777777" w:rsidR="00CB3964" w:rsidRPr="00330234" w:rsidRDefault="00CB3964">
            <w:pPr>
              <w:tabs>
                <w:tab w:val="left" w:pos="-720"/>
              </w:tabs>
              <w:suppressAutoHyphens/>
              <w:rPr>
                <w:rFonts w:eastAsia="맑은 고딕"/>
                <w:lang w:eastAsia="fr-FR"/>
              </w:rPr>
            </w:pPr>
            <w:r w:rsidRPr="00330234">
              <w:rPr>
                <w:rFonts w:eastAsia="맑은 고딕"/>
                <w:lang w:eastAsia="fr-FR"/>
              </w:rPr>
              <w:t>Celltrion Healthcare Hungary Kft.</w:t>
            </w:r>
          </w:p>
          <w:p w14:paraId="24096185" w14:textId="77777777" w:rsidR="00CB3964" w:rsidRPr="00330234" w:rsidRDefault="00CB3964">
            <w:pPr>
              <w:tabs>
                <w:tab w:val="left" w:pos="-720"/>
              </w:tabs>
              <w:suppressAutoHyphens/>
              <w:rPr>
                <w:rFonts w:eastAsia="맑은 고딕"/>
                <w:lang w:eastAsia="fr-FR"/>
              </w:rPr>
            </w:pPr>
            <w:r w:rsidRPr="00330234">
              <w:rPr>
                <w:rFonts w:eastAsia="맑은 고딕"/>
                <w:lang w:eastAsia="fr-FR"/>
              </w:rPr>
              <w:t>Tel: +36 1 231 0493</w:t>
            </w:r>
          </w:p>
          <w:p w14:paraId="16EEDEF2" w14:textId="77777777" w:rsidR="00CB3964" w:rsidRPr="00330234" w:rsidRDefault="00CB3964">
            <w:pPr>
              <w:tabs>
                <w:tab w:val="left" w:pos="-720"/>
              </w:tabs>
              <w:suppressAutoHyphens/>
              <w:rPr>
                <w:rFonts w:eastAsia="맑은 고딕"/>
                <w:lang w:eastAsia="ko-KR"/>
              </w:rPr>
            </w:pPr>
          </w:p>
        </w:tc>
        <w:tc>
          <w:tcPr>
            <w:tcW w:w="2500" w:type="pct"/>
          </w:tcPr>
          <w:p w14:paraId="64EBA328" w14:textId="77777777" w:rsidR="00CB3964" w:rsidRPr="00330234" w:rsidRDefault="00CB3964">
            <w:pPr>
              <w:tabs>
                <w:tab w:val="left" w:pos="-720"/>
              </w:tabs>
              <w:suppressAutoHyphens/>
              <w:rPr>
                <w:lang w:eastAsia="fr-FR"/>
              </w:rPr>
            </w:pPr>
            <w:r w:rsidRPr="00330234">
              <w:rPr>
                <w:rFonts w:eastAsia="맑은 고딕"/>
                <w:b/>
                <w:lang w:eastAsia="fr-FR"/>
              </w:rPr>
              <w:t>Norge</w:t>
            </w:r>
          </w:p>
          <w:p w14:paraId="3EDF2D0B" w14:textId="6B3EF792" w:rsidR="00CB3964" w:rsidRPr="00330234" w:rsidRDefault="00CB3964">
            <w:pPr>
              <w:tabs>
                <w:tab w:val="left" w:pos="-720"/>
              </w:tabs>
              <w:suppressAutoHyphens/>
              <w:rPr>
                <w:rFonts w:eastAsia="맑은 고딕"/>
                <w:lang w:eastAsia="fr-FR"/>
              </w:rPr>
            </w:pPr>
            <w:r w:rsidRPr="00330234">
              <w:rPr>
                <w:rFonts w:eastAsia="맑은 고딕"/>
                <w:lang w:eastAsia="fr-FR"/>
              </w:rPr>
              <w:t xml:space="preserve">Celltrion Healthcare </w:t>
            </w:r>
            <w:r w:rsidR="00A14D1E">
              <w:rPr>
                <w:rFonts w:eastAsia="맑은 고딕" w:hint="eastAsia"/>
                <w:noProof/>
                <w:lang w:eastAsia="ko-KR"/>
              </w:rPr>
              <w:t>Norway AS</w:t>
            </w:r>
          </w:p>
          <w:p w14:paraId="12CFCDF9" w14:textId="69AC8742" w:rsidR="00CB3964" w:rsidRPr="00330234" w:rsidRDefault="00A14D1E">
            <w:pPr>
              <w:tabs>
                <w:tab w:val="left" w:pos="-720"/>
              </w:tabs>
              <w:suppressAutoHyphens/>
              <w:rPr>
                <w:rFonts w:eastAsia="맑은 고딕"/>
                <w:lang w:eastAsia="ko-KR"/>
              </w:rPr>
            </w:pPr>
            <w:r w:rsidRPr="006F04E0">
              <w:rPr>
                <w:rFonts w:eastAsia="맑은 고딕"/>
                <w:noProof/>
                <w:lang w:eastAsia="fr-FR"/>
              </w:rPr>
              <w:t>Contact_no@celltrionhc.com</w:t>
            </w:r>
          </w:p>
          <w:p w14:paraId="491D8E2B" w14:textId="77777777" w:rsidR="00CB3964" w:rsidRPr="00330234" w:rsidRDefault="00CB3964">
            <w:pPr>
              <w:tabs>
                <w:tab w:val="left" w:pos="-720"/>
              </w:tabs>
              <w:suppressAutoHyphens/>
              <w:rPr>
                <w:rFonts w:eastAsia="맑은 고딕"/>
                <w:lang w:eastAsia="ko-KR"/>
              </w:rPr>
            </w:pPr>
          </w:p>
        </w:tc>
      </w:tr>
      <w:tr w:rsidR="000030F7" w:rsidRPr="00330234" w14:paraId="54EC207E" w14:textId="77777777">
        <w:trPr>
          <w:cantSplit/>
        </w:trPr>
        <w:tc>
          <w:tcPr>
            <w:tcW w:w="2500" w:type="pct"/>
            <w:hideMark/>
          </w:tcPr>
          <w:p w14:paraId="77CC3A60" w14:textId="77777777" w:rsidR="00CB3964" w:rsidRPr="00330234" w:rsidRDefault="00CB3964">
            <w:pPr>
              <w:suppressAutoHyphens/>
              <w:rPr>
                <w:lang w:eastAsia="fr-FR"/>
              </w:rPr>
            </w:pPr>
            <w:r w:rsidRPr="00330234">
              <w:rPr>
                <w:b/>
              </w:rPr>
              <w:t>España</w:t>
            </w:r>
          </w:p>
          <w:p w14:paraId="70E872E7" w14:textId="35989C95" w:rsidR="00CB3964" w:rsidRPr="00330234" w:rsidRDefault="00CB3964">
            <w:pPr>
              <w:suppressAutoHyphens/>
              <w:rPr>
                <w:rFonts w:eastAsia="맑은 고딕"/>
                <w:lang w:eastAsia="fr-FR"/>
              </w:rPr>
            </w:pPr>
            <w:r w:rsidRPr="00330234">
              <w:rPr>
                <w:rFonts w:eastAsia="맑은 고딕"/>
                <w:lang w:eastAsia="fr-FR"/>
              </w:rPr>
              <w:t>CELLTRION FARMACEUTICA (ESPAÑA) S.L.</w:t>
            </w:r>
          </w:p>
          <w:p w14:paraId="208CF5D7" w14:textId="7882E7A3" w:rsidR="00CB3964" w:rsidRPr="00330234" w:rsidRDefault="00CB3964">
            <w:pPr>
              <w:suppressAutoHyphens/>
              <w:rPr>
                <w:rFonts w:eastAsia="맑은 고딕"/>
                <w:lang w:eastAsia="fr-FR"/>
              </w:rPr>
            </w:pPr>
            <w:r w:rsidRPr="00330234">
              <w:rPr>
                <w:rFonts w:eastAsia="맑은 고딕"/>
                <w:lang w:eastAsia="fr-FR"/>
              </w:rPr>
              <w:t xml:space="preserve">Tel: +34 </w:t>
            </w:r>
            <w:r w:rsidR="00474CDA">
              <w:rPr>
                <w:rFonts w:eastAsia="맑은 고딕"/>
                <w:lang w:eastAsia="fr-FR"/>
              </w:rPr>
              <w:t>910 498 478</w:t>
            </w:r>
          </w:p>
          <w:p w14:paraId="5ABFFE90" w14:textId="77777777" w:rsidR="00CB3964" w:rsidRPr="00330234" w:rsidRDefault="00CB3964">
            <w:pPr>
              <w:suppressAutoHyphens/>
              <w:rPr>
                <w:b/>
                <w:lang w:eastAsia="fr-FR"/>
              </w:rPr>
            </w:pPr>
          </w:p>
        </w:tc>
        <w:tc>
          <w:tcPr>
            <w:tcW w:w="2500" w:type="pct"/>
          </w:tcPr>
          <w:p w14:paraId="1295C2C4" w14:textId="77777777" w:rsidR="00CB3964" w:rsidRPr="00330234" w:rsidRDefault="00CB3964">
            <w:pPr>
              <w:suppressAutoHyphens/>
              <w:rPr>
                <w:lang w:eastAsia="fr-FR"/>
              </w:rPr>
            </w:pPr>
            <w:r w:rsidRPr="00330234">
              <w:rPr>
                <w:b/>
              </w:rPr>
              <w:t>Österreich</w:t>
            </w:r>
          </w:p>
          <w:p w14:paraId="165D94A0" w14:textId="77777777" w:rsidR="00CB3964" w:rsidRPr="00330234" w:rsidRDefault="00CB3964">
            <w:pPr>
              <w:suppressAutoHyphens/>
              <w:rPr>
                <w:rFonts w:eastAsia="맑은 고딕"/>
                <w:lang w:eastAsia="ko-KR"/>
              </w:rPr>
            </w:pPr>
            <w:r w:rsidRPr="00330234">
              <w:rPr>
                <w:rFonts w:eastAsia="맑은 고딕"/>
                <w:lang w:eastAsia="fr-FR"/>
              </w:rPr>
              <w:t>Astro-Pharma GmbH</w:t>
            </w:r>
          </w:p>
          <w:p w14:paraId="1F1B732D" w14:textId="77777777" w:rsidR="00CB3964" w:rsidRPr="00330234" w:rsidRDefault="00CB3964">
            <w:pPr>
              <w:tabs>
                <w:tab w:val="left" w:pos="-720"/>
              </w:tabs>
              <w:suppressAutoHyphens/>
              <w:rPr>
                <w:rFonts w:eastAsia="맑은 고딕"/>
                <w:lang w:eastAsia="fr-FR"/>
              </w:rPr>
            </w:pPr>
            <w:r w:rsidRPr="00330234">
              <w:rPr>
                <w:rFonts w:eastAsia="맑은 고딕"/>
                <w:lang w:eastAsia="fr-FR"/>
              </w:rPr>
              <w:t>Tel: +43 1 97 99 860</w:t>
            </w:r>
          </w:p>
          <w:p w14:paraId="7B1E4FE6" w14:textId="77777777" w:rsidR="00CB3964" w:rsidRPr="00330234" w:rsidRDefault="00CB3964">
            <w:pPr>
              <w:tabs>
                <w:tab w:val="left" w:pos="-720"/>
              </w:tabs>
              <w:suppressAutoHyphens/>
              <w:rPr>
                <w:lang w:eastAsia="fr-FR"/>
              </w:rPr>
            </w:pPr>
          </w:p>
        </w:tc>
      </w:tr>
      <w:tr w:rsidR="000030F7" w:rsidRPr="00330234" w14:paraId="65662D8F" w14:textId="77777777">
        <w:trPr>
          <w:cantSplit/>
        </w:trPr>
        <w:tc>
          <w:tcPr>
            <w:tcW w:w="2500" w:type="pct"/>
          </w:tcPr>
          <w:p w14:paraId="01A75805" w14:textId="77777777" w:rsidR="00CB3964" w:rsidRPr="00330234" w:rsidRDefault="00CB3964">
            <w:pPr>
              <w:suppressAutoHyphens/>
              <w:rPr>
                <w:b/>
                <w:lang w:eastAsia="fr-FR"/>
              </w:rPr>
            </w:pPr>
            <w:r w:rsidRPr="00330234">
              <w:rPr>
                <w:b/>
                <w:lang w:eastAsia="fr-FR"/>
              </w:rPr>
              <w:t>Ελλάδα</w:t>
            </w:r>
          </w:p>
          <w:p w14:paraId="0BE86DEB" w14:textId="77777777" w:rsidR="00CB3964" w:rsidRPr="00330234" w:rsidRDefault="00CB3964">
            <w:pPr>
              <w:suppressAutoHyphens/>
              <w:rPr>
                <w:lang w:eastAsia="fr-FR"/>
              </w:rPr>
            </w:pPr>
            <w:r w:rsidRPr="00330234">
              <w:rPr>
                <w:lang w:eastAsia="fr-FR"/>
              </w:rPr>
              <w:t>ΒΙΑΝΕΞ Α.Ε.</w:t>
            </w:r>
          </w:p>
          <w:p w14:paraId="6ECD8964" w14:textId="77777777" w:rsidR="00CB3964" w:rsidRPr="00330234" w:rsidRDefault="00CB3964">
            <w:pPr>
              <w:suppressAutoHyphens/>
              <w:rPr>
                <w:lang w:eastAsia="fr-FR"/>
              </w:rPr>
            </w:pPr>
            <w:r w:rsidRPr="00330234">
              <w:rPr>
                <w:lang w:eastAsia="fr-FR"/>
              </w:rPr>
              <w:t xml:space="preserve">Τηλ: +30 210 8009111 </w:t>
            </w:r>
          </w:p>
          <w:p w14:paraId="5E1CAF6F" w14:textId="77777777" w:rsidR="00CB3964" w:rsidRPr="00330234" w:rsidRDefault="00CB3964">
            <w:pPr>
              <w:suppressAutoHyphens/>
              <w:rPr>
                <w:rFonts w:eastAsia="맑은 고딕"/>
                <w:lang w:eastAsia="fr-FR"/>
              </w:rPr>
            </w:pPr>
          </w:p>
        </w:tc>
        <w:tc>
          <w:tcPr>
            <w:tcW w:w="2500" w:type="pct"/>
          </w:tcPr>
          <w:p w14:paraId="0D831F5A" w14:textId="77777777" w:rsidR="00CB3964" w:rsidRPr="00330234" w:rsidRDefault="00CB3964">
            <w:pPr>
              <w:suppressAutoHyphens/>
              <w:rPr>
                <w:rFonts w:eastAsia="맑은 고딕"/>
                <w:b/>
                <w:lang w:eastAsia="fr-FR"/>
              </w:rPr>
            </w:pPr>
            <w:r w:rsidRPr="00330234">
              <w:rPr>
                <w:rFonts w:eastAsia="맑은 고딕"/>
                <w:b/>
                <w:lang w:eastAsia="fr-FR"/>
              </w:rPr>
              <w:t>Polska</w:t>
            </w:r>
          </w:p>
          <w:p w14:paraId="7A5673FE" w14:textId="77777777" w:rsidR="00CB3964" w:rsidRPr="00330234" w:rsidRDefault="00CB3964">
            <w:pPr>
              <w:tabs>
                <w:tab w:val="left" w:pos="-720"/>
              </w:tabs>
              <w:suppressAutoHyphens/>
              <w:rPr>
                <w:rFonts w:eastAsia="맑은 고딕"/>
                <w:lang w:eastAsia="fr-FR"/>
              </w:rPr>
            </w:pPr>
            <w:r w:rsidRPr="00330234">
              <w:rPr>
                <w:rFonts w:eastAsia="맑은 고딕"/>
                <w:lang w:eastAsia="fr-FR"/>
              </w:rPr>
              <w:t>Celltrion Healthcare Hungary Kft.</w:t>
            </w:r>
          </w:p>
          <w:p w14:paraId="61ACCF3B" w14:textId="77777777" w:rsidR="00CB3964" w:rsidRPr="00330234" w:rsidRDefault="00CB3964">
            <w:pPr>
              <w:suppressAutoHyphens/>
              <w:rPr>
                <w:rFonts w:eastAsia="맑은 고딕"/>
                <w:lang w:eastAsia="fr-FR"/>
              </w:rPr>
            </w:pPr>
            <w:r w:rsidRPr="00330234">
              <w:rPr>
                <w:rFonts w:eastAsia="맑은 고딕"/>
                <w:lang w:eastAsia="fr-FR"/>
              </w:rPr>
              <w:t>Tel.: +36 1 231 0493</w:t>
            </w:r>
          </w:p>
          <w:p w14:paraId="3D97034B" w14:textId="77777777" w:rsidR="00CB3964" w:rsidRPr="00330234" w:rsidRDefault="00CB3964">
            <w:pPr>
              <w:suppressAutoHyphens/>
              <w:rPr>
                <w:b/>
              </w:rPr>
            </w:pPr>
          </w:p>
        </w:tc>
      </w:tr>
      <w:tr w:rsidR="000030F7" w:rsidRPr="00330234" w14:paraId="52CF4E17" w14:textId="77777777">
        <w:trPr>
          <w:cantSplit/>
        </w:trPr>
        <w:tc>
          <w:tcPr>
            <w:tcW w:w="2500" w:type="pct"/>
          </w:tcPr>
          <w:p w14:paraId="1BEEB492" w14:textId="77777777" w:rsidR="00CB3964" w:rsidRPr="00330234" w:rsidRDefault="00CB3964">
            <w:pPr>
              <w:suppressAutoHyphens/>
              <w:rPr>
                <w:b/>
                <w:lang w:eastAsia="ko-KR"/>
              </w:rPr>
            </w:pPr>
            <w:r w:rsidRPr="00330234">
              <w:rPr>
                <w:b/>
                <w:lang w:eastAsia="ko-KR"/>
              </w:rPr>
              <w:t>France</w:t>
            </w:r>
          </w:p>
          <w:p w14:paraId="2F9214EA" w14:textId="77777777" w:rsidR="00CB3964" w:rsidRPr="00330234" w:rsidRDefault="00CB3964">
            <w:pPr>
              <w:suppressAutoHyphens/>
              <w:rPr>
                <w:lang w:eastAsia="ko-KR"/>
              </w:rPr>
            </w:pPr>
            <w:r w:rsidRPr="00330234">
              <w:rPr>
                <w:lang w:eastAsia="ko-KR"/>
              </w:rPr>
              <w:t>Celltrion Healthcare France SAS</w:t>
            </w:r>
          </w:p>
          <w:p w14:paraId="1239209D" w14:textId="77777777" w:rsidR="00CB3964" w:rsidRPr="00330234" w:rsidRDefault="00CB3964">
            <w:pPr>
              <w:suppressAutoHyphens/>
              <w:rPr>
                <w:rFonts w:eastAsia="맑은 고딕"/>
                <w:lang w:eastAsia="ko-KR"/>
              </w:rPr>
            </w:pPr>
            <w:r w:rsidRPr="00330234">
              <w:rPr>
                <w:lang w:eastAsia="ko-KR"/>
              </w:rPr>
              <w:t>T</w:t>
            </w:r>
            <w:r w:rsidRPr="00330234">
              <w:t>é</w:t>
            </w:r>
            <w:r w:rsidRPr="00330234">
              <w:rPr>
                <w:lang w:eastAsia="ko-KR"/>
              </w:rPr>
              <w:t>l.: +33 (0)1 71 25 27 00</w:t>
            </w:r>
          </w:p>
          <w:p w14:paraId="34A4E514" w14:textId="77777777" w:rsidR="00CB3964" w:rsidRPr="00330234" w:rsidRDefault="00CB3964">
            <w:pPr>
              <w:suppressAutoHyphens/>
              <w:rPr>
                <w:rFonts w:eastAsia="맑은 고딕"/>
                <w:lang w:eastAsia="fr-FR"/>
              </w:rPr>
            </w:pPr>
          </w:p>
        </w:tc>
        <w:tc>
          <w:tcPr>
            <w:tcW w:w="2500" w:type="pct"/>
          </w:tcPr>
          <w:p w14:paraId="34F4F307" w14:textId="77777777" w:rsidR="00CB3964" w:rsidRPr="00330234" w:rsidRDefault="00CB3964">
            <w:pPr>
              <w:suppressAutoHyphens/>
              <w:adjustRightInd w:val="0"/>
              <w:rPr>
                <w:lang w:eastAsia="fr-FR"/>
              </w:rPr>
            </w:pPr>
            <w:r w:rsidRPr="00330234">
              <w:rPr>
                <w:rFonts w:eastAsia="맑은 고딕"/>
                <w:b/>
                <w:lang w:eastAsia="fr-FR"/>
              </w:rPr>
              <w:t>Portugal</w:t>
            </w:r>
          </w:p>
          <w:p w14:paraId="341C2750" w14:textId="77777777" w:rsidR="00CB3964" w:rsidRPr="00330234" w:rsidRDefault="00CB3964">
            <w:pPr>
              <w:suppressAutoHyphens/>
              <w:adjustRightInd w:val="0"/>
              <w:rPr>
                <w:rFonts w:eastAsia="맑은 고딕"/>
                <w:lang w:eastAsia="ko-KR"/>
              </w:rPr>
            </w:pPr>
            <w:r w:rsidRPr="00330234">
              <w:rPr>
                <w:rFonts w:eastAsia="맑은 고딕"/>
                <w:lang w:eastAsia="fr-FR"/>
              </w:rPr>
              <w:t>CELLTRION PORTUGAL, UNIPESSOAL LDA.</w:t>
            </w:r>
          </w:p>
          <w:p w14:paraId="371D04C0" w14:textId="77777777" w:rsidR="00CB3964" w:rsidRPr="00330234" w:rsidRDefault="00CB3964">
            <w:pPr>
              <w:suppressAutoHyphens/>
              <w:rPr>
                <w:b/>
              </w:rPr>
            </w:pPr>
            <w:r w:rsidRPr="00330234">
              <w:t xml:space="preserve">Tel: </w:t>
            </w:r>
            <w:r w:rsidRPr="00330234">
              <w:rPr>
                <w:rFonts w:eastAsia="맑은 고딕"/>
                <w:lang w:eastAsia="fr-FR"/>
              </w:rPr>
              <w:t>+351 21 936 8542</w:t>
            </w:r>
          </w:p>
          <w:p w14:paraId="6F4C07AC" w14:textId="77777777" w:rsidR="00CB3964" w:rsidRPr="00330234" w:rsidRDefault="00CB3964">
            <w:pPr>
              <w:suppressAutoHyphens/>
              <w:rPr>
                <w:b/>
              </w:rPr>
            </w:pPr>
          </w:p>
        </w:tc>
      </w:tr>
      <w:tr w:rsidR="000030F7" w:rsidRPr="00330234" w14:paraId="0506171B" w14:textId="77777777">
        <w:trPr>
          <w:cantSplit/>
        </w:trPr>
        <w:tc>
          <w:tcPr>
            <w:tcW w:w="2500" w:type="pct"/>
          </w:tcPr>
          <w:p w14:paraId="75F3A4E4" w14:textId="77777777" w:rsidR="00CB3964" w:rsidRPr="00330234" w:rsidRDefault="00CB3964">
            <w:pPr>
              <w:suppressAutoHyphens/>
              <w:rPr>
                <w:b/>
                <w:lang w:eastAsia="ko-KR"/>
              </w:rPr>
            </w:pPr>
            <w:r w:rsidRPr="00330234">
              <w:rPr>
                <w:b/>
                <w:lang w:eastAsia="ko-KR"/>
              </w:rPr>
              <w:t>Hrvatska</w:t>
            </w:r>
          </w:p>
          <w:p w14:paraId="1F09A52F" w14:textId="77777777" w:rsidR="00CB3964" w:rsidRPr="00330234" w:rsidRDefault="00CB3964">
            <w:pPr>
              <w:suppressAutoHyphens/>
              <w:rPr>
                <w:lang w:eastAsia="ko-KR"/>
              </w:rPr>
            </w:pPr>
            <w:r w:rsidRPr="00330234">
              <w:rPr>
                <w:lang w:eastAsia="ko-KR"/>
              </w:rPr>
              <w:t>Oktal Pharma d.o.o.</w:t>
            </w:r>
          </w:p>
          <w:p w14:paraId="5012B458" w14:textId="77777777" w:rsidR="00CB3964" w:rsidRPr="00330234" w:rsidRDefault="00CB3964">
            <w:pPr>
              <w:suppressAutoHyphens/>
              <w:rPr>
                <w:lang w:eastAsia="ko-KR"/>
              </w:rPr>
            </w:pPr>
            <w:r w:rsidRPr="00330234">
              <w:rPr>
                <w:lang w:eastAsia="ko-KR"/>
              </w:rPr>
              <w:t>Tel: +385 1 6595 777</w:t>
            </w:r>
          </w:p>
          <w:p w14:paraId="789D7D9D" w14:textId="77777777" w:rsidR="00CB3964" w:rsidRPr="00330234" w:rsidRDefault="00CB3964">
            <w:pPr>
              <w:suppressAutoHyphens/>
              <w:rPr>
                <w:rFonts w:eastAsia="맑은 고딕"/>
                <w:lang w:eastAsia="fr-FR"/>
              </w:rPr>
            </w:pPr>
          </w:p>
        </w:tc>
        <w:tc>
          <w:tcPr>
            <w:tcW w:w="2500" w:type="pct"/>
          </w:tcPr>
          <w:p w14:paraId="4CE8F495" w14:textId="77777777" w:rsidR="00CB3964" w:rsidRPr="00330234" w:rsidRDefault="00CB3964">
            <w:pPr>
              <w:tabs>
                <w:tab w:val="left" w:pos="-720"/>
              </w:tabs>
              <w:suppressAutoHyphens/>
              <w:rPr>
                <w:rFonts w:eastAsia="맑은 고딕"/>
                <w:b/>
                <w:lang w:eastAsia="fr-FR"/>
              </w:rPr>
            </w:pPr>
            <w:r w:rsidRPr="00330234">
              <w:rPr>
                <w:b/>
              </w:rPr>
              <w:t>România</w:t>
            </w:r>
          </w:p>
          <w:p w14:paraId="1FFBDE69" w14:textId="77777777" w:rsidR="00CB3964" w:rsidRPr="00330234" w:rsidRDefault="00CB3964">
            <w:pPr>
              <w:tabs>
                <w:tab w:val="left" w:pos="-720"/>
              </w:tabs>
              <w:suppressAutoHyphens/>
              <w:rPr>
                <w:rFonts w:eastAsia="맑은 고딕"/>
                <w:lang w:eastAsia="fr-FR"/>
              </w:rPr>
            </w:pPr>
            <w:r w:rsidRPr="00330234">
              <w:rPr>
                <w:rFonts w:eastAsia="맑은 고딕"/>
                <w:lang w:eastAsia="fr-FR"/>
              </w:rPr>
              <w:t>Celltrion Healthcare Hungary Kft.</w:t>
            </w:r>
          </w:p>
          <w:p w14:paraId="1C90134D" w14:textId="77777777" w:rsidR="00CB3964" w:rsidRPr="00330234" w:rsidRDefault="00CB3964">
            <w:pPr>
              <w:suppressAutoHyphens/>
              <w:rPr>
                <w:rFonts w:eastAsia="맑은 고딕"/>
                <w:lang w:eastAsia="fr-FR"/>
              </w:rPr>
            </w:pPr>
            <w:r w:rsidRPr="00330234">
              <w:rPr>
                <w:rFonts w:eastAsia="맑은 고딕"/>
                <w:lang w:eastAsia="fr-FR"/>
              </w:rPr>
              <w:t>Tel: +36 1 231 0493</w:t>
            </w:r>
          </w:p>
          <w:p w14:paraId="5E412A71" w14:textId="77777777" w:rsidR="00CB3964" w:rsidRPr="00330234" w:rsidRDefault="00CB3964">
            <w:pPr>
              <w:suppressAutoHyphens/>
              <w:rPr>
                <w:b/>
              </w:rPr>
            </w:pPr>
          </w:p>
        </w:tc>
      </w:tr>
      <w:tr w:rsidR="000030F7" w:rsidRPr="00330234" w14:paraId="0189E63D" w14:textId="77777777">
        <w:trPr>
          <w:cantSplit/>
        </w:trPr>
        <w:tc>
          <w:tcPr>
            <w:tcW w:w="2500" w:type="pct"/>
          </w:tcPr>
          <w:p w14:paraId="55B1296B" w14:textId="77777777" w:rsidR="00CB3964" w:rsidRPr="00330234" w:rsidRDefault="00CB3964">
            <w:pPr>
              <w:tabs>
                <w:tab w:val="left" w:pos="-720"/>
              </w:tabs>
              <w:suppressAutoHyphens/>
              <w:rPr>
                <w:lang w:eastAsia="fr-FR"/>
              </w:rPr>
            </w:pPr>
            <w:r w:rsidRPr="00330234">
              <w:rPr>
                <w:rFonts w:eastAsia="맑은 고딕"/>
                <w:b/>
                <w:lang w:eastAsia="fr-FR"/>
              </w:rPr>
              <w:t>Ireland</w:t>
            </w:r>
          </w:p>
          <w:p w14:paraId="088EDA12" w14:textId="77777777" w:rsidR="00CB3964" w:rsidRPr="00330234" w:rsidRDefault="00CB3964">
            <w:pPr>
              <w:suppressAutoHyphens/>
              <w:rPr>
                <w:rFonts w:eastAsia="맑은 고딕"/>
                <w:lang w:eastAsia="fr-FR"/>
              </w:rPr>
            </w:pPr>
            <w:r w:rsidRPr="00330234">
              <w:rPr>
                <w:rFonts w:eastAsia="맑은 고딕"/>
                <w:lang w:eastAsia="fr-FR"/>
              </w:rPr>
              <w:t>Celltrion Healthcare Ireland Limited</w:t>
            </w:r>
          </w:p>
          <w:p w14:paraId="6B50A31A" w14:textId="77777777" w:rsidR="00CB3964" w:rsidRPr="00330234" w:rsidRDefault="00CB3964">
            <w:pPr>
              <w:suppressAutoHyphens/>
              <w:rPr>
                <w:rFonts w:eastAsia="맑은 고딕"/>
                <w:lang w:eastAsia="fr-FR"/>
              </w:rPr>
            </w:pPr>
            <w:r w:rsidRPr="00330234">
              <w:rPr>
                <w:rFonts w:eastAsia="맑은 고딕"/>
                <w:lang w:eastAsia="fr-FR"/>
              </w:rPr>
              <w:t>Tel: +353 1 223 4026</w:t>
            </w:r>
          </w:p>
          <w:p w14:paraId="0F8E0FFD" w14:textId="77777777" w:rsidR="00CB3964" w:rsidRPr="00330234" w:rsidRDefault="00CB3964">
            <w:pPr>
              <w:suppressAutoHyphens/>
              <w:rPr>
                <w:rFonts w:eastAsia="맑은 고딕"/>
                <w:lang w:eastAsia="fr-FR"/>
              </w:rPr>
            </w:pPr>
          </w:p>
        </w:tc>
        <w:tc>
          <w:tcPr>
            <w:tcW w:w="2500" w:type="pct"/>
          </w:tcPr>
          <w:p w14:paraId="580813FB" w14:textId="77777777" w:rsidR="00CB3964" w:rsidRPr="00330234" w:rsidRDefault="00CB3964">
            <w:pPr>
              <w:suppressAutoHyphens/>
              <w:rPr>
                <w:rFonts w:eastAsia="맑은 고딕"/>
                <w:b/>
                <w:lang w:eastAsia="fr-FR"/>
              </w:rPr>
            </w:pPr>
            <w:r w:rsidRPr="00330234">
              <w:rPr>
                <w:rFonts w:eastAsia="맑은 고딕"/>
                <w:b/>
                <w:lang w:eastAsia="fr-FR"/>
              </w:rPr>
              <w:t>Slovenija</w:t>
            </w:r>
          </w:p>
          <w:p w14:paraId="48F3716E" w14:textId="77777777" w:rsidR="00CB3964" w:rsidRPr="00330234" w:rsidRDefault="00CB3964">
            <w:pPr>
              <w:suppressAutoHyphens/>
              <w:rPr>
                <w:rFonts w:eastAsia="맑은 고딕"/>
                <w:lang w:eastAsia="fr-FR"/>
              </w:rPr>
            </w:pPr>
            <w:r w:rsidRPr="00330234">
              <w:rPr>
                <w:rFonts w:eastAsia="맑은 고딕"/>
                <w:lang w:eastAsia="fr-FR"/>
              </w:rPr>
              <w:t>OPH Oktal Pharma d.o.o.</w:t>
            </w:r>
          </w:p>
          <w:p w14:paraId="3E535C5B" w14:textId="77777777" w:rsidR="00CB3964" w:rsidRPr="00330234" w:rsidRDefault="00CB3964">
            <w:pPr>
              <w:suppressAutoHyphens/>
              <w:rPr>
                <w:rFonts w:eastAsia="맑은 고딕"/>
                <w:lang w:eastAsia="fr-FR"/>
              </w:rPr>
            </w:pPr>
            <w:r w:rsidRPr="00330234">
              <w:rPr>
                <w:rFonts w:eastAsia="맑은 고딕"/>
                <w:lang w:eastAsia="fr-FR"/>
              </w:rPr>
              <w:t>Tel.: +386 1 519 29 22</w:t>
            </w:r>
          </w:p>
          <w:p w14:paraId="1F0AEF45" w14:textId="77777777" w:rsidR="00CB3964" w:rsidRPr="00330234" w:rsidRDefault="00CB3964">
            <w:pPr>
              <w:suppressAutoHyphens/>
              <w:rPr>
                <w:b/>
              </w:rPr>
            </w:pPr>
          </w:p>
        </w:tc>
      </w:tr>
      <w:tr w:rsidR="000030F7" w:rsidRPr="00330234" w14:paraId="528CA6D2" w14:textId="77777777">
        <w:trPr>
          <w:cantSplit/>
        </w:trPr>
        <w:tc>
          <w:tcPr>
            <w:tcW w:w="2500" w:type="pct"/>
          </w:tcPr>
          <w:p w14:paraId="2252602B" w14:textId="77777777" w:rsidR="00CB3964" w:rsidRPr="00330234" w:rsidRDefault="00CB3964">
            <w:pPr>
              <w:suppressAutoHyphens/>
              <w:rPr>
                <w:rFonts w:eastAsia="맑은 고딕"/>
                <w:lang w:eastAsia="fr-FR"/>
              </w:rPr>
            </w:pPr>
            <w:r w:rsidRPr="00330234">
              <w:rPr>
                <w:rFonts w:eastAsia="맑은 고딕"/>
                <w:b/>
                <w:lang w:eastAsia="fr-FR"/>
              </w:rPr>
              <w:t>Ísland</w:t>
            </w:r>
          </w:p>
          <w:p w14:paraId="4D401954" w14:textId="77777777" w:rsidR="00CB3964" w:rsidRPr="00330234" w:rsidRDefault="00CB3964">
            <w:pPr>
              <w:tabs>
                <w:tab w:val="left" w:pos="-720"/>
              </w:tabs>
              <w:suppressAutoHyphens/>
              <w:rPr>
                <w:rFonts w:eastAsia="맑은 고딕"/>
                <w:lang w:eastAsia="fr-FR"/>
              </w:rPr>
            </w:pPr>
            <w:r w:rsidRPr="00330234">
              <w:rPr>
                <w:rFonts w:eastAsia="맑은 고딕"/>
                <w:lang w:eastAsia="fr-FR"/>
              </w:rPr>
              <w:t>Celltrion Healthcare Hungary Kft.</w:t>
            </w:r>
          </w:p>
          <w:p w14:paraId="2F188A57" w14:textId="77777777" w:rsidR="00CB3964" w:rsidRPr="00330234" w:rsidRDefault="00CB3964">
            <w:pPr>
              <w:suppressAutoHyphens/>
              <w:rPr>
                <w:rFonts w:eastAsia="맑은 고딕"/>
                <w:lang w:eastAsia="fr-FR"/>
              </w:rPr>
            </w:pPr>
            <w:r w:rsidRPr="00330234">
              <w:rPr>
                <w:rFonts w:eastAsia="맑은 고딕"/>
                <w:lang w:eastAsia="fr-FR"/>
              </w:rPr>
              <w:t>Sími: +36 1 231 0493</w:t>
            </w:r>
          </w:p>
          <w:p w14:paraId="5B7FED17" w14:textId="77777777" w:rsidR="00CB3964" w:rsidRPr="00330234" w:rsidRDefault="00CB3964">
            <w:pPr>
              <w:suppressAutoHyphens/>
              <w:rPr>
                <w:rFonts w:eastAsia="맑은 고딕"/>
                <w:lang w:eastAsia="fr-FR"/>
              </w:rPr>
            </w:pPr>
          </w:p>
        </w:tc>
        <w:tc>
          <w:tcPr>
            <w:tcW w:w="2500" w:type="pct"/>
          </w:tcPr>
          <w:p w14:paraId="55B7821E" w14:textId="77777777" w:rsidR="00CB3964" w:rsidRPr="00330234" w:rsidRDefault="00CB3964">
            <w:pPr>
              <w:suppressAutoHyphens/>
              <w:rPr>
                <w:rFonts w:eastAsia="맑은 고딕"/>
                <w:b/>
                <w:lang w:eastAsia="fr-FR"/>
              </w:rPr>
            </w:pPr>
            <w:r w:rsidRPr="00330234">
              <w:rPr>
                <w:b/>
              </w:rPr>
              <w:t>Slovenská republika</w:t>
            </w:r>
          </w:p>
          <w:p w14:paraId="7C078EEA" w14:textId="77777777" w:rsidR="00CB3964" w:rsidRPr="00330234" w:rsidRDefault="00CB3964">
            <w:pPr>
              <w:tabs>
                <w:tab w:val="left" w:pos="-720"/>
              </w:tabs>
              <w:suppressAutoHyphens/>
              <w:rPr>
                <w:rFonts w:eastAsia="맑은 고딕"/>
                <w:lang w:eastAsia="fr-FR"/>
              </w:rPr>
            </w:pPr>
            <w:r w:rsidRPr="00330234">
              <w:rPr>
                <w:rFonts w:eastAsia="맑은 고딕"/>
                <w:lang w:eastAsia="fr-FR"/>
              </w:rPr>
              <w:t>Celltrion Healthcare Hungary Kft.</w:t>
            </w:r>
          </w:p>
          <w:p w14:paraId="490294ED" w14:textId="77777777" w:rsidR="00CB3964" w:rsidRPr="00330234" w:rsidRDefault="00CB3964">
            <w:pPr>
              <w:suppressAutoHyphens/>
              <w:rPr>
                <w:rFonts w:eastAsia="맑은 고딕"/>
                <w:lang w:eastAsia="fr-FR"/>
              </w:rPr>
            </w:pPr>
            <w:r w:rsidRPr="00330234">
              <w:rPr>
                <w:rFonts w:eastAsia="맑은 고딕"/>
                <w:lang w:eastAsia="fr-FR"/>
              </w:rPr>
              <w:t>Tel: +36 1 231 0493</w:t>
            </w:r>
          </w:p>
          <w:p w14:paraId="031833EC" w14:textId="77777777" w:rsidR="00CB3964" w:rsidRPr="00330234" w:rsidRDefault="00CB3964">
            <w:pPr>
              <w:suppressAutoHyphens/>
              <w:rPr>
                <w:rFonts w:eastAsia="맑은 고딕"/>
                <w:b/>
                <w:lang w:eastAsia="fr-FR"/>
              </w:rPr>
            </w:pPr>
          </w:p>
        </w:tc>
      </w:tr>
      <w:tr w:rsidR="000030F7" w:rsidRPr="00330234" w14:paraId="7F44974B" w14:textId="77777777">
        <w:trPr>
          <w:cantSplit/>
        </w:trPr>
        <w:tc>
          <w:tcPr>
            <w:tcW w:w="2500" w:type="pct"/>
          </w:tcPr>
          <w:p w14:paraId="78E8A812" w14:textId="77777777" w:rsidR="00CB3964" w:rsidRPr="00330234" w:rsidRDefault="00CB3964">
            <w:pPr>
              <w:suppressAutoHyphens/>
              <w:rPr>
                <w:lang w:eastAsia="fr-FR"/>
              </w:rPr>
            </w:pPr>
            <w:r w:rsidRPr="00330234">
              <w:rPr>
                <w:rFonts w:eastAsia="맑은 고딕"/>
                <w:b/>
                <w:lang w:eastAsia="fr-FR"/>
              </w:rPr>
              <w:t>Italia</w:t>
            </w:r>
          </w:p>
          <w:p w14:paraId="1084ACF5" w14:textId="77777777" w:rsidR="00CB3964" w:rsidRPr="00330234" w:rsidRDefault="00CB3964">
            <w:pPr>
              <w:suppressAutoHyphens/>
              <w:rPr>
                <w:rFonts w:eastAsia="맑은 고딕"/>
                <w:lang w:eastAsia="fr-FR"/>
              </w:rPr>
            </w:pPr>
            <w:r w:rsidRPr="00330234">
              <w:rPr>
                <w:rFonts w:eastAsia="맑은 고딕"/>
                <w:lang w:eastAsia="fr-FR"/>
              </w:rPr>
              <w:t>Celltrion Healthcare Italy S.r.l.</w:t>
            </w:r>
          </w:p>
          <w:p w14:paraId="4CEBF491" w14:textId="77777777" w:rsidR="00CB3964" w:rsidRPr="00330234" w:rsidRDefault="00CB3964">
            <w:pPr>
              <w:suppressAutoHyphens/>
              <w:rPr>
                <w:rFonts w:eastAsia="맑은 고딕"/>
                <w:lang w:eastAsia="fr-FR"/>
              </w:rPr>
            </w:pPr>
            <w:r w:rsidRPr="00330234">
              <w:rPr>
                <w:rFonts w:eastAsia="맑은 고딕"/>
                <w:lang w:eastAsia="fr-FR"/>
              </w:rPr>
              <w:t>Tel: +39 02 47927040</w:t>
            </w:r>
          </w:p>
          <w:p w14:paraId="1312360C" w14:textId="77777777" w:rsidR="00CB3964" w:rsidRPr="00330234" w:rsidRDefault="00CB3964">
            <w:pPr>
              <w:suppressAutoHyphens/>
              <w:rPr>
                <w:rFonts w:eastAsia="맑은 고딕"/>
                <w:lang w:eastAsia="fr-FR"/>
              </w:rPr>
            </w:pPr>
          </w:p>
        </w:tc>
        <w:tc>
          <w:tcPr>
            <w:tcW w:w="2500" w:type="pct"/>
          </w:tcPr>
          <w:p w14:paraId="3CB015E5" w14:textId="77777777" w:rsidR="00CB3964" w:rsidRPr="00330234" w:rsidRDefault="00CB3964">
            <w:pPr>
              <w:suppressAutoHyphens/>
              <w:rPr>
                <w:lang w:eastAsia="fr-FR"/>
              </w:rPr>
            </w:pPr>
            <w:r w:rsidRPr="00330234">
              <w:rPr>
                <w:rFonts w:eastAsia="맑은 고딕"/>
                <w:b/>
                <w:lang w:eastAsia="fr-FR"/>
              </w:rPr>
              <w:t>Suomi/Finland</w:t>
            </w:r>
          </w:p>
          <w:p w14:paraId="4A44BA1F" w14:textId="77777777" w:rsidR="00CB3964" w:rsidRPr="00330234" w:rsidRDefault="00CB3964">
            <w:pPr>
              <w:tabs>
                <w:tab w:val="left" w:pos="-720"/>
              </w:tabs>
              <w:suppressAutoHyphens/>
              <w:rPr>
                <w:rFonts w:eastAsia="맑은 고딕"/>
                <w:lang w:eastAsia="fr-FR"/>
              </w:rPr>
            </w:pPr>
            <w:r w:rsidRPr="00330234">
              <w:rPr>
                <w:rFonts w:eastAsia="맑은 고딕"/>
                <w:lang w:eastAsia="fr-FR"/>
              </w:rPr>
              <w:t xml:space="preserve">Celltrion Healthcare Finland Oy. </w:t>
            </w:r>
          </w:p>
          <w:p w14:paraId="49A51F7D" w14:textId="1ACDEC7C" w:rsidR="00CB3964" w:rsidRDefault="00CB3964">
            <w:pPr>
              <w:suppressAutoHyphens/>
              <w:adjustRightInd w:val="0"/>
              <w:rPr>
                <w:rFonts w:eastAsia="맑은 고딕"/>
                <w:lang w:eastAsia="fr-FR"/>
              </w:rPr>
            </w:pPr>
            <w:r w:rsidRPr="00330234">
              <w:rPr>
                <w:rFonts w:eastAsia="맑은 고딕"/>
                <w:lang w:eastAsia="fr-FR"/>
              </w:rPr>
              <w:t>Tel: +358 29 170 7755</w:t>
            </w:r>
          </w:p>
          <w:p w14:paraId="5D76ACBE" w14:textId="4B932AA1" w:rsidR="00A14D1E" w:rsidRPr="00144E79" w:rsidRDefault="00A14D1E" w:rsidP="00144E79">
            <w:pPr>
              <w:adjustRightInd w:val="0"/>
              <w:rPr>
                <w:rFonts w:eastAsia="맑은 고딕"/>
                <w:noProof/>
                <w:lang w:eastAsia="ko-KR"/>
              </w:rPr>
            </w:pPr>
            <w:r w:rsidRPr="00144E79">
              <w:rPr>
                <w:rFonts w:eastAsia="맑은 고딕"/>
                <w:noProof/>
                <w:lang w:eastAsia="ko-KR"/>
              </w:rPr>
              <w:t>contact_fi@celltrionhc.com</w:t>
            </w:r>
          </w:p>
          <w:p w14:paraId="5EB5CB49" w14:textId="77777777" w:rsidR="00CB3964" w:rsidRPr="00330234" w:rsidRDefault="00CB3964">
            <w:pPr>
              <w:suppressAutoHyphens/>
              <w:adjustRightInd w:val="0"/>
              <w:rPr>
                <w:rFonts w:eastAsia="맑은 고딕"/>
                <w:lang w:eastAsia="ko-KR"/>
              </w:rPr>
            </w:pPr>
          </w:p>
        </w:tc>
      </w:tr>
      <w:tr w:rsidR="000030F7" w:rsidRPr="00330234" w14:paraId="79CA9705" w14:textId="77777777">
        <w:trPr>
          <w:cantSplit/>
        </w:trPr>
        <w:tc>
          <w:tcPr>
            <w:tcW w:w="2500" w:type="pct"/>
          </w:tcPr>
          <w:p w14:paraId="056D080B" w14:textId="77777777" w:rsidR="00CB3964" w:rsidRPr="00330234" w:rsidRDefault="00CB3964">
            <w:pPr>
              <w:tabs>
                <w:tab w:val="left" w:pos="-720"/>
              </w:tabs>
              <w:suppressAutoHyphens/>
              <w:rPr>
                <w:b/>
                <w:bCs/>
                <w:lang w:eastAsia="fr-FR"/>
              </w:rPr>
            </w:pPr>
            <w:r w:rsidRPr="00330234">
              <w:rPr>
                <w:b/>
              </w:rPr>
              <w:t>Κύπρος</w:t>
            </w:r>
          </w:p>
          <w:p w14:paraId="42DA41C6" w14:textId="77777777" w:rsidR="00CB3964" w:rsidRPr="00330234" w:rsidRDefault="00CB3964">
            <w:pPr>
              <w:tabs>
                <w:tab w:val="left" w:pos="-720"/>
              </w:tabs>
              <w:suppressAutoHyphens/>
              <w:rPr>
                <w:rFonts w:eastAsia="맑은 고딕"/>
                <w:lang w:eastAsia="ko-KR"/>
              </w:rPr>
            </w:pPr>
            <w:r w:rsidRPr="00330234">
              <w:rPr>
                <w:rFonts w:eastAsia="맑은 고딕"/>
                <w:lang w:eastAsia="fr-FR"/>
              </w:rPr>
              <w:t>C.A. Papaellinas Ltd</w:t>
            </w:r>
          </w:p>
          <w:p w14:paraId="4A1A101C" w14:textId="77777777" w:rsidR="00CB3964" w:rsidRPr="00330234" w:rsidRDefault="00CB3964">
            <w:pPr>
              <w:suppressAutoHyphens/>
              <w:adjustRightInd w:val="0"/>
              <w:rPr>
                <w:rFonts w:eastAsia="맑은 고딕"/>
                <w:b/>
                <w:bCs/>
                <w:lang w:eastAsia="fr-FR"/>
              </w:rPr>
            </w:pPr>
            <w:r w:rsidRPr="00330234">
              <w:t xml:space="preserve">Τηλ: </w:t>
            </w:r>
            <w:r w:rsidRPr="00330234">
              <w:rPr>
                <w:rFonts w:eastAsia="맑은 고딕"/>
                <w:lang w:eastAsia="fr-FR"/>
              </w:rPr>
              <w:t>+357 22741741</w:t>
            </w:r>
          </w:p>
          <w:p w14:paraId="64E8F170" w14:textId="77777777" w:rsidR="00CB3964" w:rsidRPr="00330234" w:rsidRDefault="00CB3964">
            <w:pPr>
              <w:suppressAutoHyphens/>
              <w:adjustRightInd w:val="0"/>
              <w:rPr>
                <w:rFonts w:eastAsia="맑은 고딕"/>
                <w:b/>
                <w:lang w:eastAsia="fr-FR"/>
              </w:rPr>
            </w:pPr>
          </w:p>
        </w:tc>
        <w:tc>
          <w:tcPr>
            <w:tcW w:w="2500" w:type="pct"/>
          </w:tcPr>
          <w:p w14:paraId="57834BC6" w14:textId="77777777" w:rsidR="00CB3964" w:rsidRPr="00330234" w:rsidRDefault="00CB3964">
            <w:pPr>
              <w:tabs>
                <w:tab w:val="left" w:pos="-720"/>
              </w:tabs>
              <w:suppressAutoHyphens/>
              <w:rPr>
                <w:b/>
                <w:lang w:eastAsia="fr-FR"/>
              </w:rPr>
            </w:pPr>
            <w:r w:rsidRPr="00330234">
              <w:rPr>
                <w:b/>
              </w:rPr>
              <w:t>Sverige</w:t>
            </w:r>
          </w:p>
          <w:p w14:paraId="5BCABDEE" w14:textId="194E76E3" w:rsidR="000E5726" w:rsidRDefault="000E5726" w:rsidP="000E5726">
            <w:pPr>
              <w:tabs>
                <w:tab w:val="left" w:pos="-720"/>
              </w:tabs>
              <w:suppressAutoHyphens/>
              <w:rPr>
                <w:rFonts w:eastAsia="맑은 고딕"/>
                <w:lang w:eastAsia="ko-KR"/>
              </w:rPr>
            </w:pPr>
            <w:r w:rsidRPr="00330234">
              <w:rPr>
                <w:rFonts w:eastAsia="맑은 고딕"/>
                <w:lang w:eastAsia="fr-FR"/>
              </w:rPr>
              <w:t xml:space="preserve">Celltrion </w:t>
            </w:r>
            <w:r>
              <w:rPr>
                <w:rFonts w:eastAsia="맑은 고딕" w:hint="eastAsia"/>
                <w:lang w:eastAsia="ko-KR"/>
              </w:rPr>
              <w:t>Sweden AB</w:t>
            </w:r>
          </w:p>
          <w:p w14:paraId="72339D6E" w14:textId="0CB285BB" w:rsidR="00A14D1E" w:rsidRPr="00330234" w:rsidRDefault="00A14D1E" w:rsidP="000E5726">
            <w:pPr>
              <w:tabs>
                <w:tab w:val="left" w:pos="-720"/>
              </w:tabs>
              <w:suppressAutoHyphens/>
              <w:rPr>
                <w:rFonts w:eastAsia="맑은 고딕"/>
                <w:noProof/>
                <w:lang w:eastAsia="fr-FR"/>
              </w:rPr>
            </w:pPr>
            <w:r w:rsidRPr="006F04E0">
              <w:rPr>
                <w:rFonts w:eastAsia="맑은 고딕"/>
                <w:noProof/>
                <w:lang w:eastAsia="fr-FR"/>
              </w:rPr>
              <w:t>Tel: +46 8 80 11 77</w:t>
            </w:r>
          </w:p>
          <w:p w14:paraId="0BE5370B" w14:textId="68F60E09" w:rsidR="000E5726" w:rsidRPr="00330234" w:rsidRDefault="00A14D1E" w:rsidP="000E5726">
            <w:pPr>
              <w:tabs>
                <w:tab w:val="left" w:pos="-720"/>
              </w:tabs>
              <w:suppressAutoHyphens/>
              <w:rPr>
                <w:rFonts w:eastAsia="맑은 고딕"/>
                <w:b/>
                <w:lang w:eastAsia="fr-FR"/>
              </w:rPr>
            </w:pPr>
            <w:r>
              <w:rPr>
                <w:rFonts w:eastAsia="맑은 고딕"/>
                <w:lang w:eastAsia="fr-FR"/>
              </w:rPr>
              <w:t>C</w:t>
            </w:r>
            <w:r w:rsidR="000E5726" w:rsidRPr="000E5726">
              <w:rPr>
                <w:rFonts w:eastAsia="맑은 고딕"/>
                <w:lang w:eastAsia="fr-FR"/>
              </w:rPr>
              <w:t>ontact_se@celltrionhc.com</w:t>
            </w:r>
          </w:p>
          <w:p w14:paraId="6485BDAE" w14:textId="77777777" w:rsidR="00CB3964" w:rsidRPr="000E5726" w:rsidRDefault="00CB3964">
            <w:pPr>
              <w:tabs>
                <w:tab w:val="left" w:pos="-720"/>
              </w:tabs>
              <w:suppressAutoHyphens/>
              <w:rPr>
                <w:rFonts w:eastAsia="맑은 고딕"/>
                <w:b/>
                <w:lang w:eastAsia="fr-FR"/>
              </w:rPr>
            </w:pPr>
          </w:p>
        </w:tc>
      </w:tr>
      <w:tr w:rsidR="000030F7" w:rsidRPr="00330234" w14:paraId="4547E8D6" w14:textId="77777777">
        <w:trPr>
          <w:cantSplit/>
        </w:trPr>
        <w:tc>
          <w:tcPr>
            <w:tcW w:w="2500" w:type="pct"/>
          </w:tcPr>
          <w:p w14:paraId="6C10A0B6" w14:textId="77777777" w:rsidR="00CB3964" w:rsidRPr="00330234" w:rsidRDefault="00CB3964">
            <w:pPr>
              <w:suppressAutoHyphens/>
              <w:rPr>
                <w:rFonts w:eastAsia="맑은 고딕"/>
                <w:b/>
                <w:lang w:eastAsia="fr-FR"/>
              </w:rPr>
            </w:pPr>
            <w:r w:rsidRPr="00330234">
              <w:rPr>
                <w:rFonts w:eastAsia="맑은 고딕"/>
                <w:b/>
                <w:lang w:eastAsia="fr-FR"/>
              </w:rPr>
              <w:t>Latvija</w:t>
            </w:r>
          </w:p>
          <w:p w14:paraId="54F256BC" w14:textId="77777777" w:rsidR="00CB3964" w:rsidRPr="00330234" w:rsidRDefault="00CB3964">
            <w:pPr>
              <w:tabs>
                <w:tab w:val="left" w:pos="-720"/>
              </w:tabs>
              <w:suppressAutoHyphens/>
              <w:rPr>
                <w:rFonts w:eastAsia="맑은 고딕"/>
                <w:lang w:eastAsia="fr-FR"/>
              </w:rPr>
            </w:pPr>
            <w:r w:rsidRPr="00330234">
              <w:rPr>
                <w:rFonts w:eastAsia="맑은 고딕"/>
                <w:lang w:eastAsia="fr-FR"/>
              </w:rPr>
              <w:t>Celltrion Healthcare Hungary Kft.</w:t>
            </w:r>
          </w:p>
          <w:p w14:paraId="6FF6446F" w14:textId="77777777" w:rsidR="00CB3964" w:rsidRPr="00330234" w:rsidRDefault="00CB3964">
            <w:pPr>
              <w:suppressAutoHyphens/>
              <w:adjustRightInd w:val="0"/>
              <w:rPr>
                <w:rFonts w:eastAsia="맑은 고딕"/>
                <w:lang w:eastAsia="fr-FR"/>
              </w:rPr>
            </w:pPr>
            <w:r w:rsidRPr="00330234">
              <w:rPr>
                <w:rFonts w:eastAsia="맑은 고딕"/>
                <w:lang w:eastAsia="fr-FR"/>
              </w:rPr>
              <w:t>Tālr.: +36 1 231 0493</w:t>
            </w:r>
          </w:p>
          <w:p w14:paraId="55AC43DE" w14:textId="77777777" w:rsidR="00CB3964" w:rsidRPr="00330234" w:rsidRDefault="00CB3964">
            <w:pPr>
              <w:suppressAutoHyphens/>
              <w:adjustRightInd w:val="0"/>
              <w:rPr>
                <w:rFonts w:eastAsia="맑은 고딕"/>
                <w:b/>
                <w:bCs/>
                <w:lang w:eastAsia="fr-FR"/>
              </w:rPr>
            </w:pPr>
          </w:p>
        </w:tc>
        <w:tc>
          <w:tcPr>
            <w:tcW w:w="2500" w:type="pct"/>
          </w:tcPr>
          <w:p w14:paraId="4CB48B11" w14:textId="77777777" w:rsidR="00CB3964" w:rsidRPr="00330234" w:rsidRDefault="00CB3964">
            <w:pPr>
              <w:tabs>
                <w:tab w:val="left" w:pos="-720"/>
              </w:tabs>
              <w:suppressAutoHyphens/>
              <w:rPr>
                <w:rFonts w:eastAsia="맑은 고딕"/>
                <w:b/>
                <w:lang w:eastAsia="fr-FR"/>
              </w:rPr>
            </w:pPr>
          </w:p>
        </w:tc>
      </w:tr>
    </w:tbl>
    <w:p w14:paraId="60BD6472" w14:textId="77777777" w:rsidR="00436DAA" w:rsidRPr="00330234" w:rsidRDefault="00436DAA" w:rsidP="00BD109B">
      <w:pPr>
        <w:pStyle w:val="a3"/>
        <w:widowControl/>
        <w:ind w:left="0"/>
      </w:pPr>
    </w:p>
    <w:p w14:paraId="2C182AB5" w14:textId="77777777" w:rsidR="00CB3964" w:rsidRPr="004A769F" w:rsidRDefault="009B4B8E" w:rsidP="004A769F">
      <w:pPr>
        <w:rPr>
          <w:b/>
          <w:bCs/>
        </w:rPr>
      </w:pPr>
      <w:r w:rsidRPr="004A769F">
        <w:rPr>
          <w:b/>
          <w:bCs/>
        </w:rPr>
        <w:t xml:space="preserve">Deze bijsluiter is voor het laatst goedgekeurd in </w:t>
      </w:r>
    </w:p>
    <w:p w14:paraId="740CAAA6" w14:textId="77777777" w:rsidR="00CB3964" w:rsidRPr="004A769F" w:rsidRDefault="00CB3964" w:rsidP="000571FE">
      <w:pPr>
        <w:rPr>
          <w:b/>
          <w:bCs/>
        </w:rPr>
      </w:pPr>
    </w:p>
    <w:p w14:paraId="5CC34400" w14:textId="59001AB0" w:rsidR="00436DAA" w:rsidRPr="004A769F" w:rsidRDefault="009B4B8E" w:rsidP="004A769F">
      <w:pPr>
        <w:rPr>
          <w:b/>
          <w:bCs/>
        </w:rPr>
      </w:pPr>
      <w:r w:rsidRPr="004A769F">
        <w:rPr>
          <w:b/>
          <w:bCs/>
        </w:rPr>
        <w:t>Andere informatiebronnen</w:t>
      </w:r>
    </w:p>
    <w:p w14:paraId="4A14A4FE" w14:textId="39EA580A" w:rsidR="00436DAA" w:rsidRPr="00330234" w:rsidRDefault="009B4B8E" w:rsidP="00BD109B">
      <w:pPr>
        <w:pStyle w:val="a3"/>
        <w:widowControl/>
        <w:ind w:left="0"/>
      </w:pPr>
      <w:r w:rsidRPr="00330234">
        <w:t xml:space="preserve">Meer informatie over dit geneesmiddel is beschikbaar op de website van het Europees Geneesmiddelenbureau </w:t>
      </w:r>
      <w:r w:rsidR="00AB2D06" w:rsidRPr="00AB2D06">
        <w:rPr>
          <w:color w:val="0000FF"/>
        </w:rPr>
        <w:t>http</w:t>
      </w:r>
      <w:r w:rsidR="00AB2D06" w:rsidRPr="00AB2D06">
        <w:rPr>
          <w:rFonts w:eastAsia="맑은 고딕"/>
          <w:color w:val="0000FF"/>
        </w:rPr>
        <w:t>s</w:t>
      </w:r>
      <w:r w:rsidR="00AB2D06" w:rsidRPr="00AB2D06">
        <w:rPr>
          <w:color w:val="0000FF"/>
        </w:rPr>
        <w:t>://www.ema.europa.eu</w:t>
      </w:r>
    </w:p>
    <w:p w14:paraId="7984FDD4" w14:textId="77777777" w:rsidR="007C4042" w:rsidRPr="00330234" w:rsidRDefault="007C4042" w:rsidP="00BD109B">
      <w:pPr>
        <w:widowControl/>
      </w:pPr>
    </w:p>
    <w:p w14:paraId="1F5EDB5E" w14:textId="0FED3772" w:rsidR="0079783A" w:rsidRPr="00330234" w:rsidRDefault="007C4042" w:rsidP="0079783A">
      <w:pPr>
        <w:keepNext/>
        <w:ind w:left="567" w:hanging="567"/>
        <w:rPr>
          <w:b/>
          <w:bCs/>
        </w:rPr>
      </w:pPr>
      <w:r w:rsidRPr="00330234">
        <w:br w:type="page"/>
      </w:r>
      <w:r w:rsidR="0079783A" w:rsidRPr="00330234">
        <w:rPr>
          <w:b/>
        </w:rPr>
        <w:lastRenderedPageBreak/>
        <w:t>7.</w:t>
      </w:r>
      <w:r w:rsidR="0079783A" w:rsidRPr="00330234">
        <w:rPr>
          <w:b/>
        </w:rPr>
        <w:tab/>
      </w:r>
      <w:r w:rsidR="00C70A99" w:rsidRPr="00330234">
        <w:rPr>
          <w:b/>
        </w:rPr>
        <w:t>Instructies voor gebruik</w:t>
      </w:r>
    </w:p>
    <w:p w14:paraId="15126C09" w14:textId="77777777" w:rsidR="0079783A" w:rsidRPr="00330234" w:rsidRDefault="0079783A" w:rsidP="0079783A">
      <w:pPr>
        <w:keepNext/>
      </w:pPr>
      <w:bookmarkStart w:id="56" w:name="_Hlk146283329"/>
    </w:p>
    <w:p w14:paraId="7EC7424C" w14:textId="4A7DF418" w:rsidR="0079783A" w:rsidRPr="00330234" w:rsidRDefault="0079783A" w:rsidP="0079783A">
      <w:r w:rsidRPr="00330234">
        <w:t xml:space="preserve">Lees en volg de instructies voor gebruik die bij uw Avtozma voorgevulde spuit zijn geleverd voordat u deze gaat gebruiken en elke keer </w:t>
      </w:r>
      <w:r w:rsidR="008C5F16" w:rsidRPr="00330234">
        <w:t>als</w:t>
      </w:r>
      <w:r w:rsidRPr="00330234">
        <w:t xml:space="preserve"> </w:t>
      </w:r>
      <w:r w:rsidR="008C5F16" w:rsidRPr="00330234">
        <w:t>u een nieuwe voorraad krijgt</w:t>
      </w:r>
      <w:r w:rsidRPr="00330234">
        <w:t>. Er kan nieuwe informatie in staan. Voordat u Avtozma gebruikt, moet uw zorgverlener u de juiste manier van gebruik laten zien.</w:t>
      </w:r>
    </w:p>
    <w:bookmarkEnd w:id="56"/>
    <w:p w14:paraId="3D47642E" w14:textId="77777777" w:rsidR="0079783A" w:rsidRPr="00330234" w:rsidRDefault="0079783A" w:rsidP="0079783A"/>
    <w:p w14:paraId="76DB1B3D" w14:textId="77777777" w:rsidR="0079783A" w:rsidRPr="00330234" w:rsidRDefault="0079783A" w:rsidP="0079783A">
      <w:pPr>
        <w:keepNext/>
        <w:rPr>
          <w:b/>
          <w:bCs/>
        </w:rPr>
      </w:pPr>
      <w:r w:rsidRPr="00330234">
        <w:rPr>
          <w:b/>
        </w:rPr>
        <w:t>Belangrijke informatie</w:t>
      </w:r>
    </w:p>
    <w:p w14:paraId="4EB0EDE4" w14:textId="77777777" w:rsidR="0079783A" w:rsidRPr="001B3E1E" w:rsidRDefault="0079783A" w:rsidP="0079783A">
      <w:pPr>
        <w:keepNext/>
      </w:pPr>
    </w:p>
    <w:p w14:paraId="74A3320B" w14:textId="4B992165" w:rsidR="0079783A" w:rsidRPr="00330234" w:rsidRDefault="00D7329C" w:rsidP="001B3E1E">
      <w:pPr>
        <w:numPr>
          <w:ilvl w:val="2"/>
          <w:numId w:val="78"/>
        </w:numPr>
        <w:autoSpaceDE/>
        <w:autoSpaceDN/>
        <w:ind w:left="562" w:hanging="562"/>
        <w:rPr>
          <w:bCs/>
        </w:rPr>
      </w:pPr>
      <w:r w:rsidRPr="00330234">
        <w:tab/>
      </w:r>
      <w:r w:rsidR="0079783A" w:rsidRPr="00330234">
        <w:t xml:space="preserve">Haal de dop </w:t>
      </w:r>
      <w:r w:rsidR="0079783A" w:rsidRPr="00330234">
        <w:rPr>
          <w:b/>
          <w:bCs/>
        </w:rPr>
        <w:t>niet</w:t>
      </w:r>
      <w:r w:rsidR="0079783A" w:rsidRPr="00330234">
        <w:t xml:space="preserve"> van de voorgevulde spuit tot u klaar bent om Avtozma te injecteren.</w:t>
      </w:r>
    </w:p>
    <w:p w14:paraId="33C3D79E" w14:textId="17EC98BB" w:rsidR="0079783A" w:rsidRPr="00330234" w:rsidRDefault="00D7329C" w:rsidP="001B3E1E">
      <w:pPr>
        <w:pStyle w:val="1"/>
        <w:widowControl w:val="0"/>
        <w:numPr>
          <w:ilvl w:val="2"/>
          <w:numId w:val="78"/>
        </w:numPr>
        <w:ind w:left="562" w:hanging="562"/>
        <w:rPr>
          <w:bCs w:val="0"/>
        </w:rPr>
      </w:pPr>
      <w:r w:rsidRPr="00330234">
        <w:tab/>
      </w:r>
      <w:r w:rsidR="0079783A" w:rsidRPr="00330234">
        <w:t>Probeer nooit om de voorgevulde spuit te openen of uit elkaar te halen.</w:t>
      </w:r>
    </w:p>
    <w:p w14:paraId="7B33998B" w14:textId="05FA01B4" w:rsidR="0079783A" w:rsidRPr="00330234" w:rsidRDefault="00D7329C" w:rsidP="001B3E1E">
      <w:pPr>
        <w:numPr>
          <w:ilvl w:val="2"/>
          <w:numId w:val="78"/>
        </w:numPr>
        <w:autoSpaceDE/>
        <w:autoSpaceDN/>
        <w:ind w:left="562" w:hanging="562"/>
        <w:rPr>
          <w:bCs/>
        </w:rPr>
      </w:pPr>
      <w:r w:rsidRPr="00330234">
        <w:tab/>
      </w:r>
      <w:r w:rsidR="0079783A" w:rsidRPr="00330234">
        <w:t xml:space="preserve">Gebruik dezelfde voorgevulde spuit </w:t>
      </w:r>
      <w:r w:rsidR="0079783A" w:rsidRPr="00330234">
        <w:rPr>
          <w:b/>
        </w:rPr>
        <w:t>niet</w:t>
      </w:r>
      <w:r w:rsidR="0079783A" w:rsidRPr="00330234">
        <w:t xml:space="preserve"> opnieuw.</w:t>
      </w:r>
    </w:p>
    <w:p w14:paraId="05965ED6" w14:textId="22047520" w:rsidR="0079783A" w:rsidRPr="00330234" w:rsidRDefault="00D7329C" w:rsidP="001B3E1E">
      <w:pPr>
        <w:numPr>
          <w:ilvl w:val="2"/>
          <w:numId w:val="78"/>
        </w:numPr>
        <w:autoSpaceDE/>
        <w:autoSpaceDN/>
        <w:ind w:left="562" w:hanging="562"/>
      </w:pPr>
      <w:r w:rsidRPr="00330234">
        <w:tab/>
      </w:r>
      <w:r w:rsidR="00976350" w:rsidRPr="00330234">
        <w:t>Schud de</w:t>
      </w:r>
      <w:r w:rsidR="0079783A" w:rsidRPr="00330234">
        <w:t xml:space="preserve"> voorgevulde spuit </w:t>
      </w:r>
      <w:r w:rsidR="0079783A" w:rsidRPr="00330234">
        <w:rPr>
          <w:b/>
          <w:bCs/>
        </w:rPr>
        <w:t>nie</w:t>
      </w:r>
      <w:r w:rsidR="00976350" w:rsidRPr="00330234">
        <w:rPr>
          <w:b/>
          <w:bCs/>
        </w:rPr>
        <w:t>t</w:t>
      </w:r>
      <w:r w:rsidR="0079783A" w:rsidRPr="00330234">
        <w:t>.</w:t>
      </w:r>
    </w:p>
    <w:p w14:paraId="74C0FC99" w14:textId="74EA51B0" w:rsidR="0079783A" w:rsidRPr="00330234" w:rsidRDefault="00D7329C" w:rsidP="001B3E1E">
      <w:pPr>
        <w:numPr>
          <w:ilvl w:val="2"/>
          <w:numId w:val="78"/>
        </w:numPr>
        <w:autoSpaceDE/>
        <w:autoSpaceDN/>
        <w:ind w:left="562" w:hanging="562"/>
      </w:pPr>
      <w:r w:rsidRPr="00330234">
        <w:tab/>
      </w:r>
      <w:r w:rsidR="0079783A" w:rsidRPr="00330234">
        <w:t xml:space="preserve">Gebruik de voorgevulde spuit </w:t>
      </w:r>
      <w:r w:rsidR="0079783A" w:rsidRPr="00330234">
        <w:rPr>
          <w:b/>
        </w:rPr>
        <w:t>niet</w:t>
      </w:r>
      <w:r w:rsidR="0079783A" w:rsidRPr="00330234">
        <w:t xml:space="preserve"> als deze is gevallen of beschadigd is.</w:t>
      </w:r>
    </w:p>
    <w:p w14:paraId="2AA77703" w14:textId="16F1472B" w:rsidR="0079783A" w:rsidRPr="00330234" w:rsidRDefault="00D7329C" w:rsidP="001B3E1E">
      <w:pPr>
        <w:numPr>
          <w:ilvl w:val="2"/>
          <w:numId w:val="78"/>
        </w:numPr>
        <w:autoSpaceDE/>
        <w:autoSpaceDN/>
        <w:ind w:left="562" w:hanging="562"/>
        <w:rPr>
          <w:bCs/>
        </w:rPr>
      </w:pPr>
      <w:r w:rsidRPr="00330234">
        <w:rPr>
          <w:b/>
        </w:rPr>
        <w:tab/>
      </w:r>
      <w:r w:rsidR="0079783A" w:rsidRPr="00330234">
        <w:rPr>
          <w:b/>
        </w:rPr>
        <w:t xml:space="preserve">Advies voor de patiënt met betrekking tot overgevoeligheidsreacties (of anafylaxie): </w:t>
      </w:r>
      <w:r w:rsidR="009512DC" w:rsidRPr="00330234">
        <w:t>a</w:t>
      </w:r>
      <w:r w:rsidR="0079783A" w:rsidRPr="00330234">
        <w:t xml:space="preserve">ls u op enig moment </w:t>
      </w:r>
      <w:r w:rsidR="00976350" w:rsidRPr="00330234">
        <w:t xml:space="preserve">tijdens of </w:t>
      </w:r>
      <w:r w:rsidR="0079783A" w:rsidRPr="00330234">
        <w:t>na een injectie klachten krijgt, zoals huiduitslag, jeuk, rillingen, zwelling van gezicht, lippen, tong of keel, pijn op de borst, piepende ademhaling, problemen met ademhalen of slikken, of als u zich duizelig of flauw voelt, moet u direct naar de spoedeisende hulp, indien u op dat moment niet in het ziekenhuis bent voor de injectie.</w:t>
      </w:r>
    </w:p>
    <w:p w14:paraId="758D8AA0" w14:textId="77777777" w:rsidR="0079783A" w:rsidRPr="00330234" w:rsidRDefault="0079783A" w:rsidP="0079783A"/>
    <w:p w14:paraId="520C027A" w14:textId="77777777" w:rsidR="0079783A" w:rsidRPr="00330234" w:rsidRDefault="0079783A" w:rsidP="0079783A">
      <w:pPr>
        <w:keepNext/>
        <w:rPr>
          <w:b/>
          <w:bCs/>
        </w:rPr>
      </w:pPr>
      <w:r w:rsidRPr="00330234">
        <w:rPr>
          <w:b/>
        </w:rPr>
        <w:t>Bewaren van Avtozma</w:t>
      </w:r>
    </w:p>
    <w:p w14:paraId="31C7E0F5" w14:textId="77777777" w:rsidR="0079783A" w:rsidRPr="00330234" w:rsidRDefault="0079783A" w:rsidP="0079783A">
      <w:pPr>
        <w:keepNext/>
        <w:rPr>
          <w:b/>
          <w:bCs/>
        </w:rPr>
      </w:pPr>
    </w:p>
    <w:p w14:paraId="5C0DDA4A" w14:textId="501BD22E" w:rsidR="0079783A" w:rsidRPr="00330234" w:rsidRDefault="0079783A" w:rsidP="002C40DF">
      <w:pPr>
        <w:pStyle w:val="a4"/>
        <w:widowControl/>
        <w:numPr>
          <w:ilvl w:val="0"/>
          <w:numId w:val="54"/>
        </w:numPr>
        <w:tabs>
          <w:tab w:val="left" w:pos="567"/>
        </w:tabs>
        <w:autoSpaceDE/>
        <w:autoSpaceDN/>
        <w:ind w:left="567" w:hanging="567"/>
        <w:contextualSpacing/>
      </w:pPr>
      <w:r w:rsidRPr="00330234">
        <w:t>Bewaar de ongebruikte voorgevulde spuit in de oorspronkelijke doos in de koelkast tussen 2°C</w:t>
      </w:r>
      <w:r w:rsidR="00026FE4" w:rsidRPr="00330234">
        <w:t> </w:t>
      </w:r>
      <w:r w:rsidRPr="00330234">
        <w:t>en</w:t>
      </w:r>
      <w:r w:rsidR="00026FE4" w:rsidRPr="00330234">
        <w:t> </w:t>
      </w:r>
      <w:r w:rsidRPr="00330234">
        <w:t xml:space="preserve">8°C. </w:t>
      </w:r>
      <w:r w:rsidRPr="00330234">
        <w:rPr>
          <w:b/>
          <w:bCs/>
        </w:rPr>
        <w:t>Niet</w:t>
      </w:r>
      <w:r w:rsidRPr="00330234">
        <w:t xml:space="preserve"> in de vriezer bewaren.</w:t>
      </w:r>
    </w:p>
    <w:p w14:paraId="1A7C2712" w14:textId="36110E86" w:rsidR="0079783A" w:rsidRPr="00330234" w:rsidRDefault="0079783A" w:rsidP="002C40DF">
      <w:pPr>
        <w:pStyle w:val="a4"/>
        <w:widowControl/>
        <w:numPr>
          <w:ilvl w:val="0"/>
          <w:numId w:val="54"/>
        </w:numPr>
        <w:tabs>
          <w:tab w:val="left" w:pos="567"/>
        </w:tabs>
        <w:autoSpaceDE/>
        <w:autoSpaceDN/>
        <w:ind w:left="567" w:hanging="567"/>
        <w:contextualSpacing/>
      </w:pPr>
      <w:r w:rsidRPr="00330234">
        <w:t xml:space="preserve">Eenmaal uit de koelkast gehaald, kan Avtozma tot 3 weken beneden 30°C worden bewaard. Als het niet binnen </w:t>
      </w:r>
      <w:r w:rsidR="007408C4">
        <w:t>3</w:t>
      </w:r>
      <w:r w:rsidRPr="00330234">
        <w:t> weken wordt gebruikt, moet Avtozma worden weggegooid.</w:t>
      </w:r>
    </w:p>
    <w:p w14:paraId="27F39D61" w14:textId="77777777" w:rsidR="0079783A" w:rsidRPr="00330234" w:rsidRDefault="0079783A" w:rsidP="002C40DF">
      <w:pPr>
        <w:pStyle w:val="a4"/>
        <w:widowControl/>
        <w:numPr>
          <w:ilvl w:val="0"/>
          <w:numId w:val="54"/>
        </w:numPr>
        <w:tabs>
          <w:tab w:val="left" w:pos="567"/>
        </w:tabs>
        <w:autoSpaceDE/>
        <w:autoSpaceDN/>
        <w:ind w:left="567" w:hanging="567"/>
        <w:contextualSpacing/>
      </w:pPr>
      <w:r w:rsidRPr="00330234">
        <w:t>Houd de voorgevulde spuit uit direct zonlicht.</w:t>
      </w:r>
    </w:p>
    <w:p w14:paraId="47E962C9" w14:textId="4C1DBF90" w:rsidR="0079783A" w:rsidRPr="00330234" w:rsidRDefault="0079783A" w:rsidP="002C40DF">
      <w:pPr>
        <w:pStyle w:val="a4"/>
        <w:widowControl/>
        <w:numPr>
          <w:ilvl w:val="0"/>
          <w:numId w:val="54"/>
        </w:numPr>
        <w:tabs>
          <w:tab w:val="left" w:pos="567"/>
        </w:tabs>
        <w:autoSpaceDE/>
        <w:autoSpaceDN/>
        <w:ind w:left="567" w:hanging="567"/>
        <w:contextualSpacing/>
      </w:pPr>
      <w:r w:rsidRPr="00330234">
        <w:t xml:space="preserve">Haal de voorgevulde spuit </w:t>
      </w:r>
      <w:r w:rsidRPr="00330234">
        <w:rPr>
          <w:b/>
          <w:bCs/>
        </w:rPr>
        <w:t>niet</w:t>
      </w:r>
      <w:r w:rsidRPr="00330234">
        <w:t xml:space="preserve"> uit de oorspronkelijke doos tijdens </w:t>
      </w:r>
      <w:r w:rsidR="00CE6919" w:rsidRPr="00330234">
        <w:t>de bewaring</w:t>
      </w:r>
      <w:r w:rsidRPr="00330234">
        <w:t>.</w:t>
      </w:r>
    </w:p>
    <w:p w14:paraId="5F7F9CF9" w14:textId="77777777" w:rsidR="0079783A" w:rsidRPr="00330234" w:rsidRDefault="0079783A" w:rsidP="002C40DF">
      <w:pPr>
        <w:pStyle w:val="a4"/>
        <w:widowControl/>
        <w:numPr>
          <w:ilvl w:val="0"/>
          <w:numId w:val="54"/>
        </w:numPr>
        <w:tabs>
          <w:tab w:val="left" w:pos="567"/>
        </w:tabs>
        <w:autoSpaceDE/>
        <w:autoSpaceDN/>
        <w:ind w:left="567" w:hanging="567"/>
        <w:contextualSpacing/>
      </w:pPr>
      <w:r w:rsidRPr="00330234">
        <w:t xml:space="preserve">Laat de voorgevulde spuit </w:t>
      </w:r>
      <w:r w:rsidRPr="00330234">
        <w:rPr>
          <w:b/>
          <w:bCs/>
        </w:rPr>
        <w:t>niet</w:t>
      </w:r>
      <w:r w:rsidRPr="00330234">
        <w:t xml:space="preserve"> onbewaakt achter.</w:t>
      </w:r>
    </w:p>
    <w:p w14:paraId="3DB5E223" w14:textId="77777777" w:rsidR="0079783A" w:rsidRPr="00330234" w:rsidRDefault="0079783A" w:rsidP="002C40DF">
      <w:pPr>
        <w:pStyle w:val="a4"/>
        <w:widowControl/>
        <w:numPr>
          <w:ilvl w:val="0"/>
          <w:numId w:val="54"/>
        </w:numPr>
        <w:tabs>
          <w:tab w:val="left" w:pos="567"/>
        </w:tabs>
        <w:autoSpaceDE/>
        <w:autoSpaceDN/>
        <w:ind w:left="567" w:hanging="567"/>
        <w:contextualSpacing/>
      </w:pPr>
      <w:r w:rsidRPr="00330234">
        <w:t>Houd de voorgevulde spuit buiten het bereik van kinderen. Bevat kleine onderdelen.</w:t>
      </w:r>
    </w:p>
    <w:p w14:paraId="76F94544" w14:textId="20E0C8FE" w:rsidR="0079783A" w:rsidRPr="00330234" w:rsidRDefault="0079783A" w:rsidP="001B3E1E">
      <w:pPr>
        <w:tabs>
          <w:tab w:val="left" w:pos="832"/>
        </w:tabs>
        <w:spacing w:before="143"/>
        <w:rPr>
          <w:b/>
          <w:bCs/>
        </w:rPr>
      </w:pPr>
      <w:r w:rsidRPr="00330234">
        <w:br w:type="page"/>
      </w:r>
      <w:r w:rsidRPr="00330234">
        <w:rPr>
          <w:b/>
        </w:rPr>
        <w:lastRenderedPageBreak/>
        <w:t>Onderdelen van uw voorgevulde spuit (zie figuur A).</w:t>
      </w:r>
    </w:p>
    <w:p w14:paraId="53E34B1F" w14:textId="77777777" w:rsidR="0079783A" w:rsidRPr="00330234" w:rsidRDefault="0079783A" w:rsidP="0079783A">
      <w:pPr>
        <w:keepNext/>
      </w:pPr>
    </w:p>
    <w:p w14:paraId="51C5C332" w14:textId="15BF216B" w:rsidR="0079783A" w:rsidRPr="00330234" w:rsidRDefault="00315255" w:rsidP="0079783A">
      <w:pPr>
        <w:spacing w:line="200" w:lineRule="atLeast"/>
        <w:ind w:left="316"/>
      </w:pPr>
      <w:r>
        <w:rPr>
          <w:noProof/>
          <w:lang w:val="en-US" w:eastAsia="ko-KR"/>
        </w:rPr>
        <mc:AlternateContent>
          <mc:Choice Requires="wps">
            <w:drawing>
              <wp:anchor distT="0" distB="0" distL="114300" distR="114300" simplePos="0" relativeHeight="251658243" behindDoc="0" locked="0" layoutInCell="1" allowOverlap="1" wp14:anchorId="087BC076" wp14:editId="2B91DC5A">
                <wp:simplePos x="0" y="0"/>
                <wp:positionH relativeFrom="column">
                  <wp:posOffset>2522855</wp:posOffset>
                </wp:positionH>
                <wp:positionV relativeFrom="paragraph">
                  <wp:posOffset>1719580</wp:posOffset>
                </wp:positionV>
                <wp:extent cx="948690" cy="443865"/>
                <wp:effectExtent l="3810" t="3810" r="0" b="0"/>
                <wp:wrapNone/>
                <wp:docPr id="184000756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443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153587" w14:textId="77777777" w:rsidR="0079783A" w:rsidRPr="001B3E1E" w:rsidRDefault="0079783A" w:rsidP="0079783A">
                            <w:pPr>
                              <w:pStyle w:val="StyleArialNarrow8pts"/>
                              <w:jc w:val="center"/>
                              <w:rPr>
                                <w:rFonts w:ascii="Times New Roman" w:hAnsi="Times New Roman"/>
                                <w:b/>
                                <w:sz w:val="28"/>
                                <w:szCs w:val="28"/>
                              </w:rPr>
                            </w:pPr>
                            <w:r w:rsidRPr="001B3E1E">
                              <w:rPr>
                                <w:rFonts w:ascii="Times New Roman" w:hAnsi="Times New Roman"/>
                                <w:b/>
                                <w:sz w:val="28"/>
                                <w:szCs w:val="28"/>
                              </w:rPr>
                              <w:t>Witte vingersteun</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7BC076" id="_x0000_t202" coordsize="21600,21600" o:spt="202" path="m,l,21600r21600,l21600,xe">
                <v:stroke joinstyle="miter"/>
                <v:path gradientshapeok="t" o:connecttype="rect"/>
              </v:shapetype>
              <v:shape id="Text Box 38" o:spid="_x0000_s1026" type="#_x0000_t202" style="position:absolute;left:0;text-align:left;margin-left:198.65pt;margin-top:135.4pt;width:74.7pt;height:34.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Oj97AEAAMkDAAAOAAAAZHJzL2Uyb0RvYy54bWysU1Fv0zAQfkfiP1h+p0lHqbqo6TQ6FSEN&#10;hjT4AY7jJBaOz5zdJuXXc3a6rsDbtDxYPp/93X3ffVnfjL1hB4Vegy35fJZzpqyEWtu25D++796t&#10;OPNB2FoYsKrkR+X5zebtm/XgCnUFHZhaISMQ64vBlbwLwRVZ5mWneuFn4JSlZAPYi0AhtlmNYiD0&#10;3mRXeb7MBsDaIUjlPZ3eTUm+SfhNo2R4aBqvAjMlp95CWjGtVVyzzVoULQrXaXlqQ7ygi15oS0XP&#10;UHciCLZH/R9UryWChybMJPQZNI2WKnEgNvP8HzaPnXAqcSFxvDvL5F8PVn49PLpvyML4EUYaYCLh&#10;3T3In55Z2HbCtuoWEYZOiZoKz6Nk2eB8cXoapfaFjyDV8AVqGrLYB0hAY4N9VIV4MkKnARzPoqsx&#10;MEmH14vV8poyklKLxfvV8kOqIIqnxw59+KSgZ3FTcqSZJnBxuPchNiOKpyuxlgej6502JgXYVluD&#10;7CBo/rv0ndD/umZsvGwhPpsQ40liGYlNFMNYjZSMbCuoj8QXYfIT+Z82HeBvzgbyUsn9r71AxZn5&#10;bKNmqzyP5rsM8DKoLgNhJUGVPHA2bbdhMuzeoW47qjRNycIt6dzopMFzV6e+yS9JmpO3oyEv43Tr&#10;+Q/c/AEAAP//AwBQSwMEFAAGAAgAAAAhAIx1N5fjAAAACwEAAA8AAABkcnMvZG93bnJldi54bWxM&#10;j8FOwzAQRO9I/IO1SNyoTZs0JcSpAIGEKIe2VIKjG2/jiNhOY7cNfD3LCY6reZp9U8wH27Ij9qHx&#10;TsL1SABDV3nduFrC5u3pagYsROW0ar1DCV8YYF6enxUq1/7kVnhcx5pRiQu5kmBi7HLOQ2XQqjDy&#10;HTrKdr63KtLZ11z36kTltuVjIabcqsbRB6M6fDBYfa4PVkJcmtf98/v35mN1v0/TZKcWj4sXKS8v&#10;hrtbYBGH+AfDrz6pQ0lOW39wOrBWwuQmmxAqYZwJ2kBEmkwzYFuKEpEBLwv+f0P5AwAA//8DAFBL&#10;AQItABQABgAIAAAAIQC2gziS/gAAAOEBAAATAAAAAAAAAAAAAAAAAAAAAABbQ29udGVudF9UeXBl&#10;c10ueG1sUEsBAi0AFAAGAAgAAAAhADj9If/WAAAAlAEAAAsAAAAAAAAAAAAAAAAALwEAAF9yZWxz&#10;Ly5yZWxzUEsBAi0AFAAGAAgAAAAhAHvw6P3sAQAAyQMAAA4AAAAAAAAAAAAAAAAALgIAAGRycy9l&#10;Mm9Eb2MueG1sUEsBAi0AFAAGAAgAAAAhAIx1N5fjAAAACwEAAA8AAAAAAAAAAAAAAAAARgQAAGRy&#10;cy9kb3ducmV2LnhtbFBLBQYAAAAABAAEAPMAAABWBQAAAAA=&#10;" stroked="f">
                <v:textbox inset=".5mm,.5mm,.5mm,.5mm">
                  <w:txbxContent>
                    <w:p w14:paraId="24153587" w14:textId="77777777" w:rsidR="0079783A" w:rsidRPr="001B3E1E" w:rsidRDefault="0079783A" w:rsidP="0079783A">
                      <w:pPr>
                        <w:pStyle w:val="StyleArialNarrow8pts"/>
                        <w:jc w:val="center"/>
                        <w:rPr>
                          <w:rFonts w:ascii="Times New Roman" w:hAnsi="Times New Roman"/>
                          <w:b/>
                          <w:sz w:val="28"/>
                          <w:szCs w:val="28"/>
                        </w:rPr>
                      </w:pPr>
                      <w:r w:rsidRPr="001B3E1E">
                        <w:rPr>
                          <w:rFonts w:ascii="Times New Roman" w:hAnsi="Times New Roman"/>
                          <w:b/>
                          <w:sz w:val="28"/>
                          <w:szCs w:val="28"/>
                        </w:rPr>
                        <w:t>Witte vingersteun</w:t>
                      </w:r>
                    </w:p>
                  </w:txbxContent>
                </v:textbox>
              </v:shape>
            </w:pict>
          </mc:Fallback>
        </mc:AlternateContent>
      </w:r>
      <w:r>
        <w:rPr>
          <w:noProof/>
          <w:lang w:val="en-US" w:eastAsia="ko-KR"/>
        </w:rPr>
        <mc:AlternateContent>
          <mc:Choice Requires="wps">
            <w:drawing>
              <wp:anchor distT="0" distB="0" distL="114300" distR="114300" simplePos="0" relativeHeight="251658241" behindDoc="0" locked="0" layoutInCell="1" allowOverlap="1" wp14:anchorId="77D4F746" wp14:editId="597BF5AD">
                <wp:simplePos x="0" y="0"/>
                <wp:positionH relativeFrom="column">
                  <wp:posOffset>3227705</wp:posOffset>
                </wp:positionH>
                <wp:positionV relativeFrom="paragraph">
                  <wp:posOffset>99695</wp:posOffset>
                </wp:positionV>
                <wp:extent cx="1924685" cy="649605"/>
                <wp:effectExtent l="0" t="0" r="0" b="0"/>
                <wp:wrapNone/>
                <wp:docPr id="168861243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649605"/>
                        </a:xfrm>
                        <a:prstGeom prst="rect">
                          <a:avLst/>
                        </a:prstGeom>
                        <a:noFill/>
                        <a:ln>
                          <a:noFill/>
                        </a:ln>
                      </wps:spPr>
                      <wps:txbx>
                        <w:txbxContent>
                          <w:p w14:paraId="7283C896" w14:textId="77777777" w:rsidR="0079783A" w:rsidRPr="001B3E1E" w:rsidRDefault="0079783A" w:rsidP="0079783A">
                            <w:pPr>
                              <w:pStyle w:val="StyleArialNarrow8pts"/>
                              <w:jc w:val="center"/>
                              <w:rPr>
                                <w:rFonts w:ascii="Times New Roman" w:hAnsi="Times New Roman"/>
                                <w:b/>
                                <w:sz w:val="40"/>
                                <w:szCs w:val="40"/>
                              </w:rPr>
                            </w:pPr>
                            <w:r w:rsidRPr="001B3E1E">
                              <w:rPr>
                                <w:rFonts w:ascii="Times New Roman" w:hAnsi="Times New Roman"/>
                                <w:b/>
                                <w:sz w:val="40"/>
                              </w:rPr>
                              <w:t>Na gebruik</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4F746" id="Text Box 107" o:spid="_x0000_s1027" type="#_x0000_t202" style="position:absolute;left:0;text-align:left;margin-left:254.15pt;margin-top:7.85pt;width:151.55pt;height:51.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59H3AEAAKgDAAAOAAAAZHJzL2Uyb0RvYy54bWysU0Fu2zAQvBfoHwjea8lGYjiC5SBNkKJA&#10;2gZI8wCKIiWiEpdd0pbc13dJKY6b3opeCC5Jzc7MjrbXY9+xg0JvwJZ8ucg5U1ZCbWxT8ufv9x82&#10;nPkgbC06sKrkR+X59e79u+3gCrWCFrpaISMQ64vBlbwNwRVZ5mWreuEX4JSlSw3Yi0AlNlmNYiD0&#10;vstWeb7OBsDaIUjlPZ3eTZd8l/C1VjJ809qrwLqSE7eQVkxrFddstxVFg8K1Rs40xD+w6IWx1PQE&#10;dSeCYHs0f0H1RiJ40GEhoc9AayNV0kBqlvkbNU+tcCppIXO8O9nk/x+s/Hp4co/IwvgRRhpgEuHd&#10;A8gfnlm4bYVt1A0iDK0SNTVeRsuywfli/jRa7QsfQarhC9Q0ZLEPkIBGjX10hXQyQqcBHE+mqzEw&#10;GVterS7Wm0vOJN2tL67W+WVqIYqXrx368ElBz+Km5EhDTeji8OBDZCOKlyexmYV703VpsJ3944Ae&#10;xpPEPhKeqIexGpmpZ2lRTAX1keQgTHGheNOmBfzF2UBRKbn/uReoOOs+22jJJs9jts4LPC+q80JY&#10;SVAlD5xN29sw5XHv0DQtdZqGYOGGbNQmKXxlNdOnOCThc3Rj3s7r9Or1B9v9BgAA//8DAFBLAwQU&#10;AAYACAAAACEA1O3QCN8AAAAKAQAADwAAAGRycy9kb3ducmV2LnhtbEyPwW7CMAyG75P2DpEn7TaS&#10;MmBV1xQxpGmXCWnAA4TGazsap2pSKG8/c4Kj/X/6/Tlfjq4VJ+xD40lDMlEgkEpvG6o07HefLymI&#10;EA1Z03pCDRcMsCweH3KTWX+mHzxtYyW4hEJmNNQxdpmUoazRmTDxHRJnv753JvLYV9L25szlrpVT&#10;pRbSmYb4Qm06XNdYHreD0zCd/S32m7j7Xodh87EqSX1dwlHr56dx9Q4i4hhvMFz1WR0Kdjr4gWwQ&#10;rYa5Sl8Z5WD+BoKBNElmIA68SFIFssjl/QvFPwAAAP//AwBQSwECLQAUAAYACAAAACEAtoM4kv4A&#10;AADhAQAAEwAAAAAAAAAAAAAAAAAAAAAAW0NvbnRlbnRfVHlwZXNdLnhtbFBLAQItABQABgAIAAAA&#10;IQA4/SH/1gAAAJQBAAALAAAAAAAAAAAAAAAAAC8BAABfcmVscy8ucmVsc1BLAQItABQABgAIAAAA&#10;IQDwV59H3AEAAKgDAAAOAAAAAAAAAAAAAAAAAC4CAABkcnMvZTJvRG9jLnhtbFBLAQItABQABgAI&#10;AAAAIQDU7dAI3wAAAAoBAAAPAAAAAAAAAAAAAAAAADYEAABkcnMvZG93bnJldi54bWxQSwUGAAAA&#10;AAQABADzAAAAQgUAAAAA&#10;" filled="f" stroked="f">
                <v:textbox inset=".5mm,.5mm,.5mm,.5mm">
                  <w:txbxContent>
                    <w:p w14:paraId="7283C896" w14:textId="77777777" w:rsidR="0079783A" w:rsidRPr="001B3E1E" w:rsidRDefault="0079783A" w:rsidP="0079783A">
                      <w:pPr>
                        <w:pStyle w:val="StyleArialNarrow8pts"/>
                        <w:jc w:val="center"/>
                        <w:rPr>
                          <w:rFonts w:ascii="Times New Roman" w:hAnsi="Times New Roman"/>
                          <w:b/>
                          <w:sz w:val="40"/>
                          <w:szCs w:val="40"/>
                        </w:rPr>
                      </w:pPr>
                      <w:r w:rsidRPr="001B3E1E">
                        <w:rPr>
                          <w:rFonts w:ascii="Times New Roman" w:hAnsi="Times New Roman"/>
                          <w:b/>
                          <w:sz w:val="40"/>
                        </w:rPr>
                        <w:t>Na gebruik</w:t>
                      </w:r>
                    </w:p>
                  </w:txbxContent>
                </v:textbox>
              </v:shape>
            </w:pict>
          </mc:Fallback>
        </mc:AlternateContent>
      </w:r>
      <w:r>
        <w:rPr>
          <w:noProof/>
          <w:lang w:val="en-US" w:eastAsia="ko-KR"/>
        </w:rPr>
        <mc:AlternateContent>
          <mc:Choice Requires="wps">
            <w:drawing>
              <wp:anchor distT="0" distB="0" distL="114300" distR="114300" simplePos="0" relativeHeight="251658242" behindDoc="0" locked="0" layoutInCell="1" allowOverlap="1" wp14:anchorId="6361D2A3" wp14:editId="014CD3A8">
                <wp:simplePos x="0" y="0"/>
                <wp:positionH relativeFrom="column">
                  <wp:posOffset>2334260</wp:posOffset>
                </wp:positionH>
                <wp:positionV relativeFrom="paragraph">
                  <wp:posOffset>916305</wp:posOffset>
                </wp:positionV>
                <wp:extent cx="1280160" cy="496570"/>
                <wp:effectExtent l="0" t="0" r="0" b="0"/>
                <wp:wrapNone/>
                <wp:docPr id="211093492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496570"/>
                        </a:xfrm>
                        <a:prstGeom prst="rect">
                          <a:avLst/>
                        </a:prstGeom>
                        <a:noFill/>
                        <a:ln>
                          <a:noFill/>
                        </a:ln>
                      </wps:spPr>
                      <wps:txbx>
                        <w:txbxContent>
                          <w:p w14:paraId="6BD6248D" w14:textId="2DA13F12" w:rsidR="0079783A" w:rsidRPr="001B3E1E" w:rsidRDefault="00587C2F" w:rsidP="00DC549F">
                            <w:pPr>
                              <w:pStyle w:val="StyleArialNarrow8pts"/>
                              <w:jc w:val="center"/>
                              <w:rPr>
                                <w:rFonts w:ascii="Times New Roman" w:hAnsi="Times New Roman"/>
                                <w:b/>
                                <w:sz w:val="28"/>
                                <w:szCs w:val="28"/>
                              </w:rPr>
                            </w:pPr>
                            <w:r w:rsidRPr="00330234">
                              <w:rPr>
                                <w:rFonts w:ascii="Times New Roman" w:hAnsi="Times New Roman"/>
                                <w:b/>
                                <w:sz w:val="28"/>
                                <w:szCs w:val="28"/>
                              </w:rPr>
                              <w:t>Oranje zuigerstaaf</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1D2A3" id="Text Box 105" o:spid="_x0000_s1028" type="#_x0000_t202" style="position:absolute;left:0;text-align:left;margin-left:183.8pt;margin-top:72.15pt;width:100.8pt;height:39.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3bR3QEAAKgDAAAOAAAAZHJzL2Uyb0RvYy54bWysU9GO0zAQfEfiHyy/06QVlBI1PR13OoR0&#10;cEgHH7BxnMQi8Zq126R8PWun1yvwhnixvLYzOzM72V5NQy8OmrxBW8rlIpdCW4W1sW0pv329e7WR&#10;wgewNfRodSmP2sur3csX29EVeoUd9rUmwSDWF6MrZReCK7LMq04P4BfotOXLBmmAwCW1WU0wMvrQ&#10;Z6s8X2cjUu0IlfaeT2/nS7lL+E2jVXhoGq+D6EvJ3EJaKa1VXLPdFoqWwHVGnWjAP7AYwFhueoa6&#10;hQBiT+YvqMEoQo9NWCgcMmwao3TSwGqW+R9qHjtwOmlhc7w72+T/H6z6fHh0X0iE6T1OPMAkwrt7&#10;VN+9sHjTgW31NRGOnYaaGy+jZdnofHH6NFrtCx9BqvET1jxk2AdMQFNDQ3SFdQpG5wEcz6brKQgV&#10;W642+XLNV4rvXr9bv3mbppJB8fS1Ix8+aBxE3JSSeKgJHQ73PkQ2UDw9ic0s3pm+T4Pt7W8H/DCe&#10;JPaR8Ew9TNUkTF3KVZQWxVRYH1kO4RwXjjdvOqSfUowclVL6H3sgLUX/0UZLNnkes3VZ0GVRXRZg&#10;FUOVMkgxb2/CnMe9I9N23GkegsVrtrExSeEzqxN9jkMSfopuzNtlnV49/2C7XwAAAP//AwBQSwME&#10;FAAGAAgAAAAhAJw31Z3gAAAACwEAAA8AAABkcnMvZG93bnJldi54bWxMj0FOwzAQRfdI3MEaJHbU&#10;IU0NhDhVqYTYoEq0PYAbD0loPI5ip01vz7Ciy9H/ev9NsZxcJ044hNaThsdZAgKp8ralWsN+9/7w&#10;DCJEQ9Z0nlDDBQMsy9ubwuTWn+kLT9tYC4ZQyI2GJsY+lzJUDToTZr5H4uzbD85EPoda2sGcGe46&#10;mSaJks60xAuN6XHdYHXcjk5Dmv2o/SbuPtdh3LytKko+LuGo9f3dtHoFEXGK/2X402d1KNnp4Eey&#10;QXQa5upJcZWDLJuD4MZCvaQgDoxP0wXIspDXP5S/AAAA//8DAFBLAQItABQABgAIAAAAIQC2gziS&#10;/gAAAOEBAAATAAAAAAAAAAAAAAAAAAAAAABbQ29udGVudF9UeXBlc10ueG1sUEsBAi0AFAAGAAgA&#10;AAAhADj9If/WAAAAlAEAAAsAAAAAAAAAAAAAAAAALwEAAF9yZWxzLy5yZWxzUEsBAi0AFAAGAAgA&#10;AAAhAFm7dtHdAQAAqAMAAA4AAAAAAAAAAAAAAAAALgIAAGRycy9lMm9Eb2MueG1sUEsBAi0AFAAG&#10;AAgAAAAhAJw31Z3gAAAACwEAAA8AAAAAAAAAAAAAAAAANwQAAGRycy9kb3ducmV2LnhtbFBLBQYA&#10;AAAABAAEAPMAAABEBQAAAAA=&#10;" filled="f" stroked="f">
                <v:textbox inset=".5mm,.5mm,.5mm,.5mm">
                  <w:txbxContent>
                    <w:p w14:paraId="6BD6248D" w14:textId="2DA13F12" w:rsidR="0079783A" w:rsidRPr="001B3E1E" w:rsidRDefault="00587C2F" w:rsidP="00DC549F">
                      <w:pPr>
                        <w:pStyle w:val="StyleArialNarrow8pts"/>
                        <w:jc w:val="center"/>
                        <w:rPr>
                          <w:rFonts w:ascii="Times New Roman" w:hAnsi="Times New Roman"/>
                          <w:b/>
                          <w:sz w:val="28"/>
                          <w:szCs w:val="28"/>
                        </w:rPr>
                      </w:pPr>
                      <w:r w:rsidRPr="00330234">
                        <w:rPr>
                          <w:rFonts w:ascii="Times New Roman" w:hAnsi="Times New Roman"/>
                          <w:b/>
                          <w:sz w:val="28"/>
                          <w:szCs w:val="28"/>
                        </w:rPr>
                        <w:t>Oranje zuigerstaaf</w:t>
                      </w:r>
                    </w:p>
                  </w:txbxContent>
                </v:textbox>
              </v:shape>
            </w:pict>
          </mc:Fallback>
        </mc:AlternateContent>
      </w:r>
      <w:r>
        <w:rPr>
          <w:noProof/>
          <w:lang w:val="en-US" w:eastAsia="ko-KR"/>
        </w:rPr>
        <mc:AlternateContent>
          <mc:Choice Requires="wps">
            <w:drawing>
              <wp:anchor distT="0" distB="0" distL="114300" distR="114300" simplePos="0" relativeHeight="251658245" behindDoc="0" locked="0" layoutInCell="1" allowOverlap="1" wp14:anchorId="2676E635" wp14:editId="246C8F13">
                <wp:simplePos x="0" y="0"/>
                <wp:positionH relativeFrom="column">
                  <wp:posOffset>2551430</wp:posOffset>
                </wp:positionH>
                <wp:positionV relativeFrom="paragraph">
                  <wp:posOffset>3253105</wp:posOffset>
                </wp:positionV>
                <wp:extent cx="922655" cy="293370"/>
                <wp:effectExtent l="3810" t="3810" r="0" b="0"/>
                <wp:wrapNone/>
                <wp:docPr id="10224218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293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7428E9" w14:textId="57B8C724" w:rsidR="0079783A" w:rsidRPr="001B3E1E" w:rsidRDefault="0079783A" w:rsidP="0079783A">
                            <w:pPr>
                              <w:pStyle w:val="StyleArialNarrow8pts"/>
                              <w:jc w:val="center"/>
                              <w:rPr>
                                <w:rFonts w:ascii="Times New Roman" w:hAnsi="Times New Roman"/>
                                <w:b/>
                                <w:sz w:val="28"/>
                                <w:szCs w:val="28"/>
                              </w:rPr>
                            </w:pPr>
                            <w:r w:rsidRPr="001B3E1E">
                              <w:rPr>
                                <w:rFonts w:ascii="Times New Roman" w:hAnsi="Times New Roman"/>
                                <w:b/>
                                <w:sz w:val="28"/>
                                <w:szCs w:val="28"/>
                              </w:rPr>
                              <w:t>Naalddop</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E635" id="Text Box 40" o:spid="_x0000_s1029" type="#_x0000_t202" style="position:absolute;left:0;text-align:left;margin-left:200.9pt;margin-top:256.15pt;width:72.65pt;height:2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p4s8gEAANADAAAOAAAAZHJzL2Uyb0RvYy54bWysU8tu2zAQvBfoPxC815JlJE0Ey0HqwEWB&#10;9AGk/QCKoiSiFJdd0pbcr++SchwjvRXVgeCSy9mdmdX6bhoMOyj0GmzFl4ucM2UlNNp2Ff/xfffu&#10;hjMfhG2EAasqflSe323evlmPrlQF9GAahYxArC9HV/E+BFdmmZe9GoRfgFOWLlvAQQQKscsaFCOh&#10;DyYr8vw6GwEbhyCV93T6MF/yTcJvWyXD17b1KjBTceotpBXTWsc126xF2aFwvZanNsQ/dDEIbano&#10;GepBBMH2qP+CGrRE8NCGhYQhg7bVUiUOxGaZv2Lz1AunEhcSx7uzTP7/wcovhyf3DVmYPsBEBiYS&#10;3j2C/OmZhW0vbKfuEWHslWio8DJKlo3Ol6enUWpf+ghSj5+hIZPFPkACmlocoirEkxE6GXA8i66m&#10;wCQd3hbF9dUVZ5KuitvV6n0yJRPl82OHPnxUMLC4qTiSpwlcHB59iM2I8jkl1vJgdLPTxqQAu3pr&#10;kB0E+b9LX+r/VZqxMdlCfDYjxpPEMhKbKYapnphuKr6KEJF0Dc2RaCPMY0W/AW16wN+cjTRSFfe/&#10;9gIVZ+aTjdLd5HmcwcsAL4P6MhBWElTFA2fzdhvmud071F1PlWazLNyT3K1OUrx0dWqfxiYpdBrx&#10;OJeXccp6+RE3fwAAAP//AwBQSwMEFAAGAAgAAAAhAPYEo0DjAAAACwEAAA8AAABkcnMvZG93bnJl&#10;di54bWxMj8FOwzAQRO9I/IO1SNyokxJDFeJUgEBClAMtleDoxtskIl6nsdsGvp7lBLcd7WjmTTEf&#10;XScOOITWk4Z0koBAqrxtqdawfnu8mIEI0ZA1nSfU8IUB5uXpSWFy64+0xMMq1oJDKORGQxNjn0sZ&#10;qgadCRPfI/Fv6wdnIsuhlnYwRw53nZwmyZV0piVuaEyP9w1Wn6u90xBfm5fd0/v3+mN5t1Mq25rF&#10;w+JZ6/Oz8fYGRMQx/pnhF5/RoWSmjd+TDaLTkCUpo0cNKp1egmCHyq5TEBs+1EyBLAv5f0P5AwAA&#10;//8DAFBLAQItABQABgAIAAAAIQC2gziS/gAAAOEBAAATAAAAAAAAAAAAAAAAAAAAAABbQ29udGVu&#10;dF9UeXBlc10ueG1sUEsBAi0AFAAGAAgAAAAhADj9If/WAAAAlAEAAAsAAAAAAAAAAAAAAAAALwEA&#10;AF9yZWxzLy5yZWxzUEsBAi0AFAAGAAgAAAAhAFhCnizyAQAA0AMAAA4AAAAAAAAAAAAAAAAALgIA&#10;AGRycy9lMm9Eb2MueG1sUEsBAi0AFAAGAAgAAAAhAPYEo0DjAAAACwEAAA8AAAAAAAAAAAAAAAAA&#10;TAQAAGRycy9kb3ducmV2LnhtbFBLBQYAAAAABAAEAPMAAABcBQAAAAA=&#10;" stroked="f">
                <v:textbox inset=".5mm,.5mm,.5mm,.5mm">
                  <w:txbxContent>
                    <w:p w14:paraId="197428E9" w14:textId="57B8C724" w:rsidR="0079783A" w:rsidRPr="001B3E1E" w:rsidRDefault="0079783A" w:rsidP="0079783A">
                      <w:pPr>
                        <w:pStyle w:val="StyleArialNarrow8pts"/>
                        <w:jc w:val="center"/>
                        <w:rPr>
                          <w:rFonts w:ascii="Times New Roman" w:hAnsi="Times New Roman"/>
                          <w:b/>
                          <w:sz w:val="28"/>
                          <w:szCs w:val="28"/>
                        </w:rPr>
                      </w:pPr>
                      <w:r w:rsidRPr="001B3E1E">
                        <w:rPr>
                          <w:rFonts w:ascii="Times New Roman" w:hAnsi="Times New Roman"/>
                          <w:b/>
                          <w:sz w:val="28"/>
                          <w:szCs w:val="28"/>
                        </w:rPr>
                        <w:t>Naalddop</w:t>
                      </w:r>
                    </w:p>
                  </w:txbxContent>
                </v:textbox>
              </v:shape>
            </w:pict>
          </mc:Fallback>
        </mc:AlternateContent>
      </w:r>
      <w:r>
        <w:rPr>
          <w:noProof/>
          <w:lang w:val="en-US" w:eastAsia="ko-KR"/>
        </w:rPr>
        <mc:AlternateContent>
          <mc:Choice Requires="wps">
            <w:drawing>
              <wp:anchor distT="0" distB="0" distL="114300" distR="114300" simplePos="0" relativeHeight="251658246" behindDoc="0" locked="0" layoutInCell="1" allowOverlap="1" wp14:anchorId="3589945A" wp14:editId="401AFEA1">
                <wp:simplePos x="0" y="0"/>
                <wp:positionH relativeFrom="column">
                  <wp:posOffset>2642870</wp:posOffset>
                </wp:positionH>
                <wp:positionV relativeFrom="paragraph">
                  <wp:posOffset>3690620</wp:posOffset>
                </wp:positionV>
                <wp:extent cx="609600" cy="264795"/>
                <wp:effectExtent l="0" t="0" r="0" b="0"/>
                <wp:wrapNone/>
                <wp:docPr id="43928815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4795"/>
                        </a:xfrm>
                        <a:prstGeom prst="rect">
                          <a:avLst/>
                        </a:prstGeom>
                        <a:noFill/>
                        <a:ln>
                          <a:noFill/>
                        </a:ln>
                      </wps:spPr>
                      <wps:txbx>
                        <w:txbxContent>
                          <w:p w14:paraId="107A3BB6" w14:textId="77777777" w:rsidR="0079783A" w:rsidRPr="001B3E1E" w:rsidRDefault="0079783A" w:rsidP="0079783A">
                            <w:pPr>
                              <w:pStyle w:val="StyleArialNarrow8pts"/>
                              <w:jc w:val="center"/>
                              <w:rPr>
                                <w:rFonts w:ascii="Times New Roman" w:hAnsi="Times New Roman"/>
                                <w:b/>
                                <w:sz w:val="28"/>
                                <w:szCs w:val="28"/>
                              </w:rPr>
                            </w:pPr>
                            <w:r w:rsidRPr="001B3E1E">
                              <w:rPr>
                                <w:rFonts w:ascii="Times New Roman" w:hAnsi="Times New Roman"/>
                                <w:b/>
                                <w:sz w:val="28"/>
                                <w:szCs w:val="28"/>
                              </w:rPr>
                              <w:t>Naald</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9945A" id="Text Box 103" o:spid="_x0000_s1030" type="#_x0000_t202" style="position:absolute;left:0;text-align:left;margin-left:208.1pt;margin-top:290.6pt;width:48pt;height:20.8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gi23QEAAKcDAAAOAAAAZHJzL2Uyb0RvYy54bWysU1Fv0zAQfkfiP1h+p0mrUbao6TQ2DSEN&#10;hjT4AY7jJBaJz9y5Tcqv5+x0XYE3xIvlu3O++77vLpvraejF3iBZcKVcLnIpjNNQW9eW8tvX+zeX&#10;UlBQrlY9OFPKgyF5vX39ajP6wqygg742KBjEUTH6UnYh+CLLSHdmULQAbxwXG8BBBQ6xzWpUI6MP&#10;fbbK83U2AtYeQRsizt7NRblN+E1jdHhsGjJB9KVkbiGdmM4qntl2o4oWle+sPtJQ/8BiUNZx0xPU&#10;nQpK7ND+BTVYjUDQhIWGIYOmsdokDaxmmf+h5qlT3iQtbA75k030/2D15/2T/4IiTO9h4gEmEeQf&#10;QH8n4eC2U641N4gwdkbV3HgZLctGT8Xx02g1FRRBqvET1DxktQuQgKYGh+gK6xSMzgM4nEw3UxCa&#10;k+v8ap1zRXNptb54d/U2dVDF88ceKXwwMIh4KSXyTBO42j9QiGRU8fwk9nJwb/s+zbV3vyX4Ycwk&#10;8pHvzDxM1SRsXcqL2DdqqaA+sBqEeVt4u/nSAf6UYuRNKSX92Ck0UvQfXXTkMo/8w3mA50F1Hiin&#10;GaqUQYr5ehvmddx5tG3HneYZOLhhFxubFL6wOtLnbUjCj5sb1+08Tq9e/q/tLwAAAP//AwBQSwME&#10;FAAGAAgAAAAhAI283QbfAAAACwEAAA8AAABkcnMvZG93bnJldi54bWxMj8FuwjAMhu+T9g6RJ+02&#10;0kZQsa4uYkjTLhPSgAcITWgLjVM1KZS3n3fabr/lT78/F6vJdeJqh9B6QkhnCQhLlTct1QiH/cfL&#10;EkSImozuPFmEuw2wKh8fCp0bf6Nve93FWnAJhVwjNDH2uZShaqzTYeZ7S7w7+cHpyONQSzPoG5e7&#10;TqokyaTTLfGFRvd209jqshsdgpqfs8M27r82Ydy+rytKPu/hgvj8NK3fQEQ7xT8YfvVZHUp2OvqR&#10;TBAdwjzNFKMIi2XKgYlFqjgcETKlXkGWhfz/Q/kDAAD//wMAUEsBAi0AFAAGAAgAAAAhALaDOJL+&#10;AAAA4QEAABMAAAAAAAAAAAAAAAAAAAAAAFtDb250ZW50X1R5cGVzXS54bWxQSwECLQAUAAYACAAA&#10;ACEAOP0h/9YAAACUAQAACwAAAAAAAAAAAAAAAAAvAQAAX3JlbHMvLnJlbHNQSwECLQAUAAYACAAA&#10;ACEA8j4Itt0BAACnAwAADgAAAAAAAAAAAAAAAAAuAgAAZHJzL2Uyb0RvYy54bWxQSwECLQAUAAYA&#10;CAAAACEAjbzdBt8AAAALAQAADwAAAAAAAAAAAAAAAAA3BAAAZHJzL2Rvd25yZXYueG1sUEsFBgAA&#10;AAAEAAQA8wAAAEMFAAAAAA==&#10;" filled="f" stroked="f">
                <v:textbox inset=".5mm,.5mm,.5mm,.5mm">
                  <w:txbxContent>
                    <w:p w14:paraId="107A3BB6" w14:textId="77777777" w:rsidR="0079783A" w:rsidRPr="001B3E1E" w:rsidRDefault="0079783A" w:rsidP="0079783A">
                      <w:pPr>
                        <w:pStyle w:val="StyleArialNarrow8pts"/>
                        <w:jc w:val="center"/>
                        <w:rPr>
                          <w:rFonts w:ascii="Times New Roman" w:hAnsi="Times New Roman"/>
                          <w:b/>
                          <w:sz w:val="28"/>
                          <w:szCs w:val="28"/>
                        </w:rPr>
                      </w:pPr>
                      <w:r w:rsidRPr="001B3E1E">
                        <w:rPr>
                          <w:rFonts w:ascii="Times New Roman" w:hAnsi="Times New Roman"/>
                          <w:b/>
                          <w:sz w:val="28"/>
                          <w:szCs w:val="28"/>
                        </w:rPr>
                        <w:t>Naald</w:t>
                      </w:r>
                    </w:p>
                  </w:txbxContent>
                </v:textbox>
              </v:shape>
            </w:pict>
          </mc:Fallback>
        </mc:AlternateContent>
      </w:r>
      <w:r>
        <w:rPr>
          <w:noProof/>
          <w:lang w:val="en-US" w:eastAsia="ko-KR"/>
        </w:rPr>
        <mc:AlternateContent>
          <mc:Choice Requires="wps">
            <w:drawing>
              <wp:anchor distT="0" distB="0" distL="114300" distR="114300" simplePos="0" relativeHeight="251658244" behindDoc="0" locked="0" layoutInCell="1" allowOverlap="1" wp14:anchorId="22A8B75E" wp14:editId="6E53B778">
                <wp:simplePos x="0" y="0"/>
                <wp:positionH relativeFrom="column">
                  <wp:posOffset>2428875</wp:posOffset>
                </wp:positionH>
                <wp:positionV relativeFrom="paragraph">
                  <wp:posOffset>2529840</wp:posOffset>
                </wp:positionV>
                <wp:extent cx="1117600" cy="250190"/>
                <wp:effectExtent l="0" t="4445" r="1270" b="2540"/>
                <wp:wrapNone/>
                <wp:docPr id="205087839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79A00" w14:textId="77777777" w:rsidR="0079783A" w:rsidRPr="001B3E1E" w:rsidRDefault="0079783A" w:rsidP="0079783A">
                            <w:pPr>
                              <w:pStyle w:val="StyleArialNarrow8pts"/>
                              <w:jc w:val="center"/>
                              <w:rPr>
                                <w:rFonts w:ascii="Times New Roman" w:hAnsi="Times New Roman"/>
                                <w:b/>
                                <w:sz w:val="28"/>
                                <w:szCs w:val="28"/>
                              </w:rPr>
                            </w:pPr>
                            <w:r w:rsidRPr="001B3E1E">
                              <w:rPr>
                                <w:rFonts w:ascii="Times New Roman" w:hAnsi="Times New Roman"/>
                                <w:b/>
                                <w:sz w:val="28"/>
                                <w:szCs w:val="28"/>
                              </w:rPr>
                              <w:t>Kijkvenster</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8B75E" id="Text Box 39" o:spid="_x0000_s1031" type="#_x0000_t202" style="position:absolute;left:0;text-align:left;margin-left:191.25pt;margin-top:199.2pt;width:88pt;height:19.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pE8AEAANEDAAAOAAAAZHJzL2Uyb0RvYy54bWysU9tu2zAMfR/QfxD0vtgO0MuMOEWXIsOA&#10;divQ7QNkWbaFyaJKKbGzrx8lp2nQvQ3TgyCK1CHPIbW6nQbD9gq9BlvxYpFzpqyERtuu4j9/bD/e&#10;cOaDsI0wYFXFD8rz2/XFh9XoSrWEHkyjkBGI9eXoKt6H4Mos87JXg/ALcMqSswUcRCATu6xBMRL6&#10;YLJlnl9lI2DjEKTynm7vZydfJ/y2VTJ8b1uvAjMVp9pC2jHtddyz9UqUHQrXa3ksQ/xDFYPQlpKe&#10;oO5FEGyH+i+oQUsED21YSBgyaFstVeJAbIr8HZvnXjiVuJA43p1k8v8PVn7bP7snZGH6DBM1MJHw&#10;7gHkL88sbHphO3WHCGOvREOJiyhZNjpfHp9GqX3pI0g9PkJDTRa7AAloanGIqhBPRujUgMNJdDUF&#10;JmPKori+ysklybe8zItPqSuZKF9fO/Thi4KBxUPFkZqa0MX+wYdYjShfQ2IyD0Y3W21MMrCrNwbZ&#10;XtAAbNNKBN6FGRuDLcRnM2K8STQjs5ljmOqJ6abilxEisq6hORBvhHmu6B/QoQf8zdlIM1Vx/7IT&#10;qDgzX23U7iaPRMO5gedGfW4IKwmq4oGz+bgJ8+DuHOqup0xztyzckd6tTlK8VXUsn+YmKXSc8TiY&#10;53aKevuJ6z8AAAD//wMAUEsDBBQABgAIAAAAIQCrmbEH4wAAAAsBAAAPAAAAZHJzL2Rvd25yZXYu&#10;eG1sTI/LTsMwEEX3SPyDNUjsqEMbUxPiVIBAQi2LtlSCpRu7SUQ8TmO3DXw9wwp28zi6cyafDa5l&#10;R9uHxqOC61ECzGLpTYOVgs3b85UEFqJGo1uPVsGXDTArzs9ynRl/wpU9rmPFKARDphXUMXYZ56Gs&#10;rdNh5DuLtNv53ulIbV9x0+sThbuWj5PkhjvdIF2odWcfa1t+rg9OQVzWr/uX9+/Nx+phL0S604un&#10;xVypy4vh/g5YtEP8g+FXn9ShIKetP6AJrFUwkWNBKBW3MgVGhBCSJlsF6WQqgRc5//9D8QMAAP//&#10;AwBQSwECLQAUAAYACAAAACEAtoM4kv4AAADhAQAAEwAAAAAAAAAAAAAAAAAAAAAAW0NvbnRlbnRf&#10;VHlwZXNdLnhtbFBLAQItABQABgAIAAAAIQA4/SH/1gAAAJQBAAALAAAAAAAAAAAAAAAAAC8BAABf&#10;cmVscy8ucmVsc1BLAQItABQABgAIAAAAIQDKrYpE8AEAANEDAAAOAAAAAAAAAAAAAAAAAC4CAABk&#10;cnMvZTJvRG9jLnhtbFBLAQItABQABgAIAAAAIQCrmbEH4wAAAAsBAAAPAAAAAAAAAAAAAAAAAEoE&#10;AABkcnMvZG93bnJldi54bWxQSwUGAAAAAAQABADzAAAAWgUAAAAA&#10;" stroked="f">
                <v:textbox inset=".5mm,.5mm,.5mm,.5mm">
                  <w:txbxContent>
                    <w:p w14:paraId="26479A00" w14:textId="77777777" w:rsidR="0079783A" w:rsidRPr="001B3E1E" w:rsidRDefault="0079783A" w:rsidP="0079783A">
                      <w:pPr>
                        <w:pStyle w:val="StyleArialNarrow8pts"/>
                        <w:jc w:val="center"/>
                        <w:rPr>
                          <w:rFonts w:ascii="Times New Roman" w:hAnsi="Times New Roman"/>
                          <w:b/>
                          <w:sz w:val="28"/>
                          <w:szCs w:val="28"/>
                        </w:rPr>
                      </w:pPr>
                      <w:r w:rsidRPr="001B3E1E">
                        <w:rPr>
                          <w:rFonts w:ascii="Times New Roman" w:hAnsi="Times New Roman"/>
                          <w:b/>
                          <w:sz w:val="28"/>
                          <w:szCs w:val="28"/>
                        </w:rPr>
                        <w:t>Kijkvenster</w:t>
                      </w:r>
                    </w:p>
                  </w:txbxContent>
                </v:textbox>
              </v:shape>
            </w:pict>
          </mc:Fallback>
        </mc:AlternateContent>
      </w:r>
      <w:r>
        <w:rPr>
          <w:noProof/>
          <w:lang w:val="en-US" w:eastAsia="ko-KR"/>
        </w:rPr>
        <mc:AlternateContent>
          <mc:Choice Requires="wps">
            <w:drawing>
              <wp:anchor distT="0" distB="0" distL="114300" distR="114300" simplePos="0" relativeHeight="251658247" behindDoc="0" locked="0" layoutInCell="1" allowOverlap="1" wp14:anchorId="5DEE3B2E" wp14:editId="793F5391">
                <wp:simplePos x="0" y="0"/>
                <wp:positionH relativeFrom="column">
                  <wp:posOffset>-1905</wp:posOffset>
                </wp:positionH>
                <wp:positionV relativeFrom="paragraph">
                  <wp:posOffset>2842260</wp:posOffset>
                </wp:positionV>
                <wp:extent cx="1340485" cy="318135"/>
                <wp:effectExtent l="0" t="0" r="0" b="0"/>
                <wp:wrapNone/>
                <wp:docPr id="281591218"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485" cy="318135"/>
                        </a:xfrm>
                        <a:prstGeom prst="rect">
                          <a:avLst/>
                        </a:prstGeom>
                        <a:noFill/>
                        <a:ln>
                          <a:noFill/>
                        </a:ln>
                      </wps:spPr>
                      <wps:txbx>
                        <w:txbxContent>
                          <w:p w14:paraId="264862A1" w14:textId="77777777" w:rsidR="0079783A" w:rsidRPr="001B3E1E" w:rsidRDefault="0079783A" w:rsidP="0079783A">
                            <w:pPr>
                              <w:pStyle w:val="StyleArialNarrow8pts"/>
                              <w:jc w:val="right"/>
                              <w:rPr>
                                <w:rFonts w:ascii="Times New Roman" w:hAnsi="Times New Roman"/>
                                <w:b/>
                                <w:sz w:val="28"/>
                                <w:szCs w:val="28"/>
                              </w:rPr>
                            </w:pPr>
                            <w:r w:rsidRPr="001B3E1E">
                              <w:rPr>
                                <w:rFonts w:ascii="Times New Roman" w:hAnsi="Times New Roman"/>
                                <w:b/>
                                <w:sz w:val="28"/>
                                <w:szCs w:val="28"/>
                              </w:rPr>
                              <w:t>Geneesmiddel</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E3B2E" id="Text Box 101" o:spid="_x0000_s1032" type="#_x0000_t202" style="position:absolute;left:0;text-align:left;margin-left:-.15pt;margin-top:223.8pt;width:105.55pt;height:25.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rFm3gEAAKgDAAAOAAAAZHJzL2Uyb0RvYy54bWysU9Fu1DAQfEfiHyy/c0l6bXWKLleVVkVI&#10;BSoVPmDPcRKLxGvWvkuOr2ftXK8HvCFeLK/tzM7MTtY309CLvSZv0FayWORSaKuwNrat5LevD+9W&#10;UvgAtoYera7kQXt5s3n7Zj26Ul9gh32tSTCI9eXoKtmF4Mos86rTA/gFOm35skEaIHBJbVYTjIw+&#10;9NlFnl9nI1LtCJX2nk/v50u5SfhNo1X40jReB9FXkrmFtFJat3HNNmsoWwLXGXWkAf/AYgBjuekJ&#10;6h4CiB2Zv6AGowg9NmGhcMiwaYzSSQOrKfI/1Dx34HTSwuZ4d7LJ/z9Y9Xn/7J5IhOk9TjzAJMK7&#10;R1TfvbB414Ft9S0Rjp2GmhsX0bJsdL48fhqt9qWPINvxE9Y8ZNgFTEBTQ0N0hXUKRucBHE6m6ykI&#10;FVsuL/PL1ZUUiu+WxapYXqUWUL587ciHDxoHETeVJB5qQof9ow+RDZQvT2Iziw+m79Nge/vbAT+M&#10;J4l9JDxTD9N2Eqau5HXsG8VssT6wHMI5Lhxv3nRIP6UYOSqV9D92QFqK/qONlqzyPGbrvKDzYnte&#10;gFUMVckgxby9C3Med45M23GneQgWb9nGxiSFr6yO9DkOSfgxujFv53V69fqDbX4BAAD//wMAUEsD&#10;BBQABgAIAAAAIQBCA0D93wAAAAkBAAAPAAAAZHJzL2Rvd25yZXYueG1sTI/BbsIwEETvlfoP1lbq&#10;DRzSKGlDHESRql4qpAIfYOJtEojXUexA+PtuT+W4M6PZN8Vqsp244OBbRwoW8wgEUuVMS7WCw/5j&#10;9grCB01Gd45QwQ09rMrHh0Lnxl3pGy+7UAsuIZ9rBU0IfS6lrxq02s9dj8TejxusDnwOtTSDvnK5&#10;7WQcRam0uiX+0OgeNw1W591oFcTJKT1sw/5r48ft+7qi6PPmz0o9P03rJYiAU/gPwx8+o0PJTEc3&#10;kvGiUzB74aCCJMlSEOzHi4inHFl5yzKQZSHvF5S/AAAA//8DAFBLAQItABQABgAIAAAAIQC2gziS&#10;/gAAAOEBAAATAAAAAAAAAAAAAAAAAAAAAABbQ29udGVudF9UeXBlc10ueG1sUEsBAi0AFAAGAAgA&#10;AAAhADj9If/WAAAAlAEAAAsAAAAAAAAAAAAAAAAALwEAAF9yZWxzLy5yZWxzUEsBAi0AFAAGAAgA&#10;AAAhAPSasWbeAQAAqAMAAA4AAAAAAAAAAAAAAAAALgIAAGRycy9lMm9Eb2MueG1sUEsBAi0AFAAG&#10;AAgAAAAhAEIDQP3fAAAACQEAAA8AAAAAAAAAAAAAAAAAOAQAAGRycy9kb3ducmV2LnhtbFBLBQYA&#10;AAAABAAEAPMAAABEBQAAAAA=&#10;" filled="f" stroked="f">
                <v:textbox inset=".5mm,.5mm,.5mm,.5mm">
                  <w:txbxContent>
                    <w:p w14:paraId="264862A1" w14:textId="77777777" w:rsidR="0079783A" w:rsidRPr="001B3E1E" w:rsidRDefault="0079783A" w:rsidP="0079783A">
                      <w:pPr>
                        <w:pStyle w:val="StyleArialNarrow8pts"/>
                        <w:jc w:val="right"/>
                        <w:rPr>
                          <w:rFonts w:ascii="Times New Roman" w:hAnsi="Times New Roman"/>
                          <w:b/>
                          <w:sz w:val="28"/>
                          <w:szCs w:val="28"/>
                        </w:rPr>
                      </w:pPr>
                      <w:r w:rsidRPr="001B3E1E">
                        <w:rPr>
                          <w:rFonts w:ascii="Times New Roman" w:hAnsi="Times New Roman"/>
                          <w:b/>
                          <w:sz w:val="28"/>
                          <w:szCs w:val="28"/>
                        </w:rPr>
                        <w:t>Geneesmiddel</w:t>
                      </w:r>
                    </w:p>
                  </w:txbxContent>
                </v:textbox>
              </v:shape>
            </w:pict>
          </mc:Fallback>
        </mc:AlternateContent>
      </w:r>
      <w:r>
        <w:rPr>
          <w:noProof/>
          <w:lang w:val="en-US" w:eastAsia="ko-KR"/>
        </w:rPr>
        <mc:AlternateContent>
          <mc:Choice Requires="wps">
            <w:drawing>
              <wp:anchor distT="0" distB="0" distL="114300" distR="114300" simplePos="0" relativeHeight="251658249" behindDoc="0" locked="0" layoutInCell="1" allowOverlap="1" wp14:anchorId="127E0125" wp14:editId="1D5526C5">
                <wp:simplePos x="0" y="0"/>
                <wp:positionH relativeFrom="column">
                  <wp:posOffset>2437130</wp:posOffset>
                </wp:positionH>
                <wp:positionV relativeFrom="paragraph">
                  <wp:posOffset>4439285</wp:posOffset>
                </wp:positionV>
                <wp:extent cx="1117600" cy="636270"/>
                <wp:effectExtent l="0" t="0" r="0" b="0"/>
                <wp:wrapNone/>
                <wp:docPr id="1069943940"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00F17EB3" w14:textId="506191F8" w:rsidR="0079783A" w:rsidRPr="001B3E1E" w:rsidRDefault="0079783A" w:rsidP="0079783A">
                            <w:pPr>
                              <w:pStyle w:val="StyleArialNarrow8pts"/>
                              <w:jc w:val="center"/>
                              <w:rPr>
                                <w:rFonts w:ascii="Times New Roman" w:hAnsi="Times New Roman"/>
                                <w:b/>
                                <w:sz w:val="28"/>
                                <w:szCs w:val="28"/>
                              </w:rPr>
                            </w:pPr>
                            <w:r w:rsidRPr="001B3E1E">
                              <w:rPr>
                                <w:rFonts w:ascii="Times New Roman" w:hAnsi="Times New Roman"/>
                                <w:b/>
                                <w:sz w:val="28"/>
                                <w:szCs w:val="28"/>
                              </w:rPr>
                              <w:t>Dop</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E0125" id="Text Box 99" o:spid="_x0000_s1033" type="#_x0000_t202" style="position:absolute;left:0;text-align:left;margin-left:191.9pt;margin-top:349.55pt;width:88pt;height:50.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Wp3QEAAKgDAAAOAAAAZHJzL2Uyb0RvYy54bWysU9tu2zAMfR+wfxD0vtjJgKQw4hRdiw4D&#10;ugvQ7QNoWbaF2aJGKbGzrx8lp2m2vhV7EURROjznkNpeT0MvDpq8QVvK5SKXQluFtbFtKX98v393&#10;JYUPYGvo0epSHrWX17u3b7ajK/QKO+xrTYJBrC9GV8ouBFdkmVedHsAv0GnLyQZpgMAhtVlNMDL6&#10;0GerPF9nI1LtCJX2nk/v5qTcJfym0Sp8bRqvg+hLydxCWimtVVyz3RaKlsB1Rp1owCtYDGAsFz1D&#10;3UEAsSfzAmowitBjExYKhwybxiidNLCaZf6PmscOnE5a2Bzvzjb5/wervhwe3TcSYfqAEzcwifDu&#10;AdVPLyzedmBbfUOEY6eh5sLLaFk2Ol+cnkarfeEjSDV+xpqbDPuACWhqaIiusE7B6NyA49l0PQWh&#10;YsnlcrPOOaU4t36/Xm1SVzIonl478uGjxkHETSmJm5rQ4fDgQ2QDxdOVWMziven71Nje/nXAF+NJ&#10;Yh8Jz9TDVE3C1KXcRGlRTIX1keUQzuPC482bDum3FCOPSin9rz2QlqL/ZKMlV3nkHy4DugyqywCs&#10;YqhSBinm7W2Y53HvyLQdV5qbYPGGbWxMUvjM6kSfxyEJP41unLfLON16/mC7PwAAAP//AwBQSwME&#10;FAAGAAgAAAAhADUXLMzhAAAACwEAAA8AAABkcnMvZG93bnJldi54bWxMj8FuwjAQRO+V+g/WVuqt&#10;OJCS4pANokhVLxVSgQ8wyTYJxOsodiD8fd0TPe7saOZNthpNKy7Uu8YywnQSgSAubNlwhXDYf7ws&#10;QDivudStZUK4kYNV/viQ6bS0V/6my85XIoSwSzVC7X2XSumKmox2E9sRh9+P7Y324ewrWfb6GsJN&#10;K2dRlEijGw4Nte5oU1Nx3g0GYfZ6Sg5bv//auGH7vi44+ry5M+Lz07hegvA0+rsZ/vADOuSB6WgH&#10;Lp1oEeJFHNA9QqLUFERwzOcqKEeEN6VikHkm/2/IfwEAAP//AwBQSwECLQAUAAYACAAAACEAtoM4&#10;kv4AAADhAQAAEwAAAAAAAAAAAAAAAAAAAAAAW0NvbnRlbnRfVHlwZXNdLnhtbFBLAQItABQABgAI&#10;AAAAIQA4/SH/1gAAAJQBAAALAAAAAAAAAAAAAAAAAC8BAABfcmVscy8ucmVsc1BLAQItABQABgAI&#10;AAAAIQDhD1Wp3QEAAKgDAAAOAAAAAAAAAAAAAAAAAC4CAABkcnMvZTJvRG9jLnhtbFBLAQItABQA&#10;BgAIAAAAIQA1FyzM4QAAAAsBAAAPAAAAAAAAAAAAAAAAADcEAABkcnMvZG93bnJldi54bWxQSwUG&#10;AAAAAAQABADzAAAARQUAAAAA&#10;" filled="f" stroked="f">
                <v:textbox inset=".5mm,.5mm,.5mm,.5mm">
                  <w:txbxContent>
                    <w:p w14:paraId="00F17EB3" w14:textId="506191F8" w:rsidR="0079783A" w:rsidRPr="001B3E1E" w:rsidRDefault="0079783A" w:rsidP="0079783A">
                      <w:pPr>
                        <w:pStyle w:val="StyleArialNarrow8pts"/>
                        <w:jc w:val="center"/>
                        <w:rPr>
                          <w:rFonts w:ascii="Times New Roman" w:hAnsi="Times New Roman"/>
                          <w:b/>
                          <w:sz w:val="28"/>
                          <w:szCs w:val="28"/>
                        </w:rPr>
                      </w:pPr>
                      <w:r w:rsidRPr="001B3E1E">
                        <w:rPr>
                          <w:rFonts w:ascii="Times New Roman" w:hAnsi="Times New Roman"/>
                          <w:b/>
                          <w:sz w:val="28"/>
                          <w:szCs w:val="28"/>
                        </w:rPr>
                        <w:t>Dop</w:t>
                      </w:r>
                    </w:p>
                  </w:txbxContent>
                </v:textbox>
              </v:shape>
            </w:pict>
          </mc:Fallback>
        </mc:AlternateContent>
      </w:r>
      <w:r>
        <w:rPr>
          <w:noProof/>
          <w:lang w:val="en-US" w:eastAsia="ko-KR"/>
        </w:rPr>
        <mc:AlternateContent>
          <mc:Choice Requires="wps">
            <w:drawing>
              <wp:anchor distT="0" distB="0" distL="114300" distR="114300" simplePos="0" relativeHeight="251658248" behindDoc="0" locked="0" layoutInCell="1" allowOverlap="1" wp14:anchorId="7A215F35" wp14:editId="1D6F3756">
                <wp:simplePos x="0" y="0"/>
                <wp:positionH relativeFrom="column">
                  <wp:posOffset>4699635</wp:posOffset>
                </wp:positionH>
                <wp:positionV relativeFrom="paragraph">
                  <wp:posOffset>2809875</wp:posOffset>
                </wp:positionV>
                <wp:extent cx="1117600" cy="636270"/>
                <wp:effectExtent l="0" t="0" r="0" b="0"/>
                <wp:wrapNone/>
                <wp:docPr id="162530996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62044B63" w14:textId="77777777" w:rsidR="0079783A" w:rsidRPr="001B3E1E" w:rsidRDefault="0079783A" w:rsidP="0079783A">
                            <w:pPr>
                              <w:pStyle w:val="StyleArialNarrow8pts"/>
                              <w:rPr>
                                <w:rFonts w:ascii="Times New Roman" w:hAnsi="Times New Roman"/>
                                <w:b/>
                                <w:sz w:val="28"/>
                                <w:szCs w:val="28"/>
                              </w:rPr>
                            </w:pPr>
                            <w:r w:rsidRPr="001B3E1E">
                              <w:rPr>
                                <w:rFonts w:ascii="Times New Roman" w:hAnsi="Times New Roman"/>
                                <w:b/>
                                <w:sz w:val="28"/>
                                <w:szCs w:val="28"/>
                              </w:rPr>
                              <w:t>Naald</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15F35" id="Text Box 97" o:spid="_x0000_s1034" type="#_x0000_t202" style="position:absolute;left:0;text-align:left;margin-left:370.05pt;margin-top:221.25pt;width:88pt;height:50.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JI3QEAAKgDAAAOAAAAZHJzL2Uyb0RvYy54bWysU9tu2zAMfR+wfxD0vtjJgDQw4hRdiw4D&#10;ugvQ7QNoWbaF2aJGKbGzrx8lp2m2vhV7EURROjznkNpeT0MvDpq8QVvK5SKXQluFtbFtKX98v3+3&#10;kcIHsDX0aHUpj9rL693bN9vRFXqFHfa1JsEg1hejK2UXgiuyzKtOD+AX6LTlZIM0QOCQ2qwmGBl9&#10;6LNVnq+zEal2hEp7z6d3c1LuEn7TaBW+No3XQfSlZG4hrZTWKq7ZbgtFS+A6o0404BUsBjCWi56h&#10;7iCA2JN5ATUYReixCQuFQ4ZNY5ROGljNMv9HzWMHTictbI53Z5v8/4NVXw6P7huJMH3AiRuYRHj3&#10;gOqnFxZvO7CtviHCsdNQc+FltCwbnS9OT6PVvvARpBo/Y81Nhn3ABDQ1NERXWKdgdG7A8Wy6noJQ&#10;seRyebXOOaU4t36/Xl2lrmRQPL125MNHjYOIm1ISNzWhw+HBh8gGiqcrsZjFe9P3qbG9/euAL8aT&#10;xD4SnqmHqZqEqUu5idKimArrI8shnMeFx5s3HdJvKUYelVL6X3sgLUX/yUZLNnnkHy4DugyqywCs&#10;YqhSBinm7W2Y53HvyLQdV5qbYPGGbWxMUvjM6kSfxyEJP41unLfLON16/mC7PwAAAP//AwBQSwME&#10;FAAGAAgAAAAhAES/N8fgAAAACwEAAA8AAABkcnMvZG93bnJldi54bWxMj0FuwjAQRfeVegdrKnVX&#10;7EQmtCETRJGqbiqkAgcwsZsE4nEUOxBuX3dVljPz9Of9YjXZjl3M4FtHCMlMADNUOd1SjXDYf7y8&#10;AvNBkVadI4NwMx5W5eNDoXLtrvRtLrtQsxhCPlcITQh9zrmvGmOVn7neULz9uMGqEMeh5npQ1xhu&#10;O54KkXGrWoofGtWbTWOq8260CKk8ZYdt2H9t/Lh9X1ckPm/+jPj8NK2XwIKZwj8Mf/pRHcrodHQj&#10;ac86hIUUSUQRpEznwCLxlmRxc0SYy3QBvCz4fYfyFwAA//8DAFBLAQItABQABgAIAAAAIQC2gziS&#10;/gAAAOEBAAATAAAAAAAAAAAAAAAAAAAAAABbQ29udGVudF9UeXBlc10ueG1sUEsBAi0AFAAGAAgA&#10;AAAhADj9If/WAAAAlAEAAAsAAAAAAAAAAAAAAAAALwEAAF9yZWxzLy5yZWxzUEsBAi0AFAAGAAgA&#10;AAAhAEaAYkjdAQAAqAMAAA4AAAAAAAAAAAAAAAAALgIAAGRycy9lMm9Eb2MueG1sUEsBAi0AFAAG&#10;AAgAAAAhAES/N8fgAAAACwEAAA8AAAAAAAAAAAAAAAAANwQAAGRycy9kb3ducmV2LnhtbFBLBQYA&#10;AAAABAAEAPMAAABEBQAAAAA=&#10;" filled="f" stroked="f">
                <v:textbox inset=".5mm,.5mm,.5mm,.5mm">
                  <w:txbxContent>
                    <w:p w14:paraId="62044B63" w14:textId="77777777" w:rsidR="0079783A" w:rsidRPr="001B3E1E" w:rsidRDefault="0079783A" w:rsidP="0079783A">
                      <w:pPr>
                        <w:pStyle w:val="StyleArialNarrow8pts"/>
                        <w:rPr>
                          <w:rFonts w:ascii="Times New Roman" w:hAnsi="Times New Roman"/>
                          <w:b/>
                          <w:sz w:val="28"/>
                          <w:szCs w:val="28"/>
                        </w:rPr>
                      </w:pPr>
                      <w:r w:rsidRPr="001B3E1E">
                        <w:rPr>
                          <w:rFonts w:ascii="Times New Roman" w:hAnsi="Times New Roman"/>
                          <w:b/>
                          <w:sz w:val="28"/>
                          <w:szCs w:val="28"/>
                        </w:rPr>
                        <w:t>Naald</w:t>
                      </w:r>
                    </w:p>
                  </w:txbxContent>
                </v:textbox>
              </v:shape>
            </w:pict>
          </mc:Fallback>
        </mc:AlternateContent>
      </w:r>
      <w:r>
        <w:rPr>
          <w:noProof/>
          <w:lang w:val="en-US" w:eastAsia="ko-KR"/>
        </w:rPr>
        <mc:AlternateContent>
          <mc:Choice Requires="wps">
            <w:drawing>
              <wp:anchor distT="0" distB="0" distL="114300" distR="114300" simplePos="0" relativeHeight="251658240" behindDoc="0" locked="0" layoutInCell="1" allowOverlap="1" wp14:anchorId="7E8A2EC9" wp14:editId="38EFA623">
                <wp:simplePos x="0" y="0"/>
                <wp:positionH relativeFrom="column">
                  <wp:posOffset>848360</wp:posOffset>
                </wp:positionH>
                <wp:positionV relativeFrom="paragraph">
                  <wp:posOffset>97790</wp:posOffset>
                </wp:positionV>
                <wp:extent cx="1924685" cy="721360"/>
                <wp:effectExtent l="0" t="0" r="0" b="0"/>
                <wp:wrapNone/>
                <wp:docPr id="1120930611"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721360"/>
                        </a:xfrm>
                        <a:prstGeom prst="rect">
                          <a:avLst/>
                        </a:prstGeom>
                        <a:noFill/>
                        <a:ln>
                          <a:noFill/>
                        </a:ln>
                      </wps:spPr>
                      <wps:txbx>
                        <w:txbxContent>
                          <w:p w14:paraId="241FEACD" w14:textId="77777777" w:rsidR="0079783A" w:rsidRPr="00330234" w:rsidRDefault="0079783A" w:rsidP="0079783A">
                            <w:pPr>
                              <w:pStyle w:val="StyleArialNarrow8pts"/>
                              <w:jc w:val="center"/>
                              <w:rPr>
                                <w:rFonts w:ascii="Times New Roman" w:hAnsi="Times New Roman"/>
                                <w:b/>
                                <w:bCs/>
                                <w:sz w:val="40"/>
                                <w:szCs w:val="40"/>
                              </w:rPr>
                            </w:pPr>
                            <w:r w:rsidRPr="00330234">
                              <w:rPr>
                                <w:rFonts w:ascii="Times New Roman" w:hAnsi="Times New Roman"/>
                                <w:b/>
                                <w:sz w:val="40"/>
                              </w:rPr>
                              <w:t>Vóór gebruik</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A2EC9" id="Text Box 95" o:spid="_x0000_s1035" type="#_x0000_t202" style="position:absolute;left:0;text-align:left;margin-left:66.8pt;margin-top:7.7pt;width:151.55pt;height:5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KYq3wEAAKgDAAAOAAAAZHJzL2Uyb0RvYy54bWysU9Fu0zAUfUfiHyy/06QFShc1ncamIaQx&#10;kMY+wHGcxiLxNfe6TcrXc+10XYG3iRfL13bOPefck/Xl2Hdib5AsuFLOZ7kUxmmorduW8vH77ZuV&#10;FBSUq1UHzpTyYEhebl6/Wg++MAtooasNCgZxVAy+lG0Ivsgy0q3pFc3AG8eXDWCvApe4zWpUA6P3&#10;XbbI82U2ANYeQRsiPr2ZLuUm4TeN0eFr05AJoislcwtpxbRWcc02a1VsUfnW6iMN9QIWvbKOm56g&#10;blRQYof2H6jeagSCJsw09Bk0jdUmaWA18/wvNQ+t8iZpYXPIn2yi/wer7/cP/huKMH6EkQeYRJC/&#10;A/2DhIPrVrmtuUKEoTWq5sbzaFk2eCqOn0arqaAIUg1foOYhq12ABDQ22EdXWKdgdB7A4WS6GYPQ&#10;seXF4t1y9V4KzXcfFvO3yzSVTBVPX3uk8MlAL+KmlMhDTehqf0chslHF05PYzMGt7bo02M79ccAP&#10;40liHwlP1MNYjcLWpbyI0qKYCuoDy0GY4sLx5k0L+EuKgaNSSvq5U2ik6D67aMkqz2O2zgs8L6rz&#10;QjnNUKUMUkzb6zDlcefRblvuNA3BwRXb2Nik8JnVkT7HIQk/Rjfm7bxOr55/sM1vAAAA//8DAFBL&#10;AwQUAAYACAAAACEAmBf0Td8AAAAKAQAADwAAAGRycy9kb3ducmV2LnhtbEyPwU7DMBBE70j8g7VI&#10;3KhNEgKEOFWphLigSrT9ADdektB4HcVOm/49ywluO7uj2Tflcna9OOEYOk8a7hcKBFLtbUeNhv3u&#10;7e4JRIiGrOk9oYYLBlhW11elKaw/0yeetrERHEKhMBraGIdCylC36ExY+AGJb19+dCayHBtpR3Pm&#10;cNfLRKlcOtMRf2jNgOsW6+N2chqS7Dvfb+LuYx2mzeuqJvV+CUetb2/m1QuIiHP8M8MvPqNDxUwH&#10;P5ENomedpjlbeXjIQLAhS/NHEAdeJM8KZFXK/xWqHwAAAP//AwBQSwECLQAUAAYACAAAACEAtoM4&#10;kv4AAADhAQAAEwAAAAAAAAAAAAAAAAAAAAAAW0NvbnRlbnRfVHlwZXNdLnhtbFBLAQItABQABgAI&#10;AAAAIQA4/SH/1gAAAJQBAAALAAAAAAAAAAAAAAAAAC8BAABfcmVscy8ucmVsc1BLAQItABQABgAI&#10;AAAAIQDosKYq3wEAAKgDAAAOAAAAAAAAAAAAAAAAAC4CAABkcnMvZTJvRG9jLnhtbFBLAQItABQA&#10;BgAIAAAAIQCYF/RN3wAAAAoBAAAPAAAAAAAAAAAAAAAAADkEAABkcnMvZG93bnJldi54bWxQSwUG&#10;AAAAAAQABADzAAAARQUAAAAA&#10;" filled="f" stroked="f">
                <v:textbox inset=".5mm,.5mm,.5mm,.5mm">
                  <w:txbxContent>
                    <w:p w14:paraId="241FEACD" w14:textId="77777777" w:rsidR="0079783A" w:rsidRPr="00330234" w:rsidRDefault="0079783A" w:rsidP="0079783A">
                      <w:pPr>
                        <w:pStyle w:val="StyleArialNarrow8pts"/>
                        <w:jc w:val="center"/>
                        <w:rPr>
                          <w:rFonts w:ascii="Times New Roman" w:hAnsi="Times New Roman"/>
                          <w:b/>
                          <w:bCs/>
                          <w:sz w:val="40"/>
                          <w:szCs w:val="40"/>
                        </w:rPr>
                      </w:pPr>
                      <w:r w:rsidRPr="00330234">
                        <w:rPr>
                          <w:rFonts w:ascii="Times New Roman" w:hAnsi="Times New Roman"/>
                          <w:b/>
                          <w:sz w:val="40"/>
                        </w:rPr>
                        <w:t>Vóór gebruik</w:t>
                      </w:r>
                    </w:p>
                  </w:txbxContent>
                </v:textbox>
              </v:shape>
            </w:pict>
          </mc:Fallback>
        </mc:AlternateContent>
      </w:r>
      <w:r>
        <w:rPr>
          <w:noProof/>
          <w:lang w:val="en-US" w:eastAsia="ko-KR"/>
        </w:rPr>
        <w:drawing>
          <wp:inline distT="0" distB="0" distL="0" distR="0" wp14:anchorId="61A012A6" wp14:editId="63C06C08">
            <wp:extent cx="5454650" cy="5433060"/>
            <wp:effectExtent l="0" t="0" r="0" b="0"/>
            <wp:docPr id="6" name="그림 240734435" descr="텍스트,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0734435" descr="텍스트, 도표이(가) 표시된 사진&#10;&#10;자동 생성된 설명"/>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54650" cy="5433060"/>
                    </a:xfrm>
                    <a:prstGeom prst="rect">
                      <a:avLst/>
                    </a:prstGeom>
                    <a:noFill/>
                    <a:ln>
                      <a:noFill/>
                    </a:ln>
                  </pic:spPr>
                </pic:pic>
              </a:graphicData>
            </a:graphic>
          </wp:inline>
        </w:drawing>
      </w:r>
    </w:p>
    <w:p w14:paraId="2ADE3453" w14:textId="20C589F3" w:rsidR="0079783A" w:rsidRPr="00330234" w:rsidRDefault="0079783A" w:rsidP="0079783A">
      <w:pPr>
        <w:jc w:val="center"/>
        <w:rPr>
          <w:b/>
          <w:bCs/>
        </w:rPr>
      </w:pPr>
      <w:r w:rsidRPr="00330234">
        <w:rPr>
          <w:b/>
        </w:rPr>
        <w:t>Figuur A</w:t>
      </w:r>
    </w:p>
    <w:p w14:paraId="33418FE6" w14:textId="5EF5EF81" w:rsidR="0079783A" w:rsidRPr="00330234" w:rsidRDefault="0079783A" w:rsidP="001B3E1E">
      <w:pPr>
        <w:rPr>
          <w:b/>
          <w:bCs/>
        </w:rPr>
      </w:pPr>
      <w:r w:rsidRPr="00330234">
        <w:br w:type="page"/>
      </w:r>
      <w:r w:rsidRPr="00330234">
        <w:rPr>
          <w:b/>
        </w:rPr>
        <w:lastRenderedPageBreak/>
        <w:t>Voorbereiden voor de injectie</w:t>
      </w:r>
    </w:p>
    <w:p w14:paraId="753A2D03" w14:textId="77777777" w:rsidR="0079783A" w:rsidRPr="00330234" w:rsidRDefault="0079783A" w:rsidP="0079783A">
      <w:pPr>
        <w:keepNex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A358A8" w:rsidRPr="00330234" w14:paraId="7BBC3342" w14:textId="77777777">
        <w:trPr>
          <w:cantSplit/>
        </w:trPr>
        <w:tc>
          <w:tcPr>
            <w:tcW w:w="3539" w:type="dxa"/>
          </w:tcPr>
          <w:p w14:paraId="53DDD0B6" w14:textId="3BD1CBF8" w:rsidR="0079783A" w:rsidRPr="00330234" w:rsidRDefault="00A14D1E" w:rsidP="00144E79">
            <w:pPr>
              <w:pStyle w:val="af"/>
            </w:pPr>
            <w:bookmarkStart w:id="57" w:name="_Hlk197597613"/>
            <w:r>
              <w:rPr>
                <w:noProof/>
              </w:rPr>
              <w:drawing>
                <wp:inline distT="0" distB="0" distL="0" distR="0" wp14:anchorId="582DF807" wp14:editId="4ED6B4D8">
                  <wp:extent cx="2196586" cy="3336890"/>
                  <wp:effectExtent l="0" t="0" r="0" b="0"/>
                  <wp:docPr id="37" name="그림 37" descr="C:\Users\2501570\Desktop\PFS-S figure B 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501570\Desktop\PFS-S figure B clean.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04365" cy="3348707"/>
                          </a:xfrm>
                          <a:prstGeom prst="rect">
                            <a:avLst/>
                          </a:prstGeom>
                          <a:noFill/>
                          <a:ln>
                            <a:noFill/>
                          </a:ln>
                        </pic:spPr>
                      </pic:pic>
                    </a:graphicData>
                  </a:graphic>
                </wp:inline>
              </w:drawing>
            </w:r>
          </w:p>
          <w:p w14:paraId="7F9CC36F" w14:textId="2DD6BA35" w:rsidR="0079783A" w:rsidRPr="00330234" w:rsidRDefault="00315255">
            <w:pPr>
              <w:jc w:val="right"/>
              <w:rPr>
                <w:b/>
                <w:bCs/>
              </w:rPr>
            </w:pPr>
            <w:r>
              <w:rPr>
                <w:noProof/>
                <w:lang w:val="en-US" w:eastAsia="ko-KR"/>
              </w:rPr>
              <mc:AlternateContent>
                <mc:Choice Requires="wps">
                  <w:drawing>
                    <wp:anchor distT="45720" distB="45720" distL="114300" distR="114300" simplePos="0" relativeHeight="251658250" behindDoc="0" locked="1" layoutInCell="1" allowOverlap="1" wp14:anchorId="4DFA8C3A" wp14:editId="07E9C27C">
                      <wp:simplePos x="0" y="0"/>
                      <wp:positionH relativeFrom="column">
                        <wp:posOffset>1116965</wp:posOffset>
                      </wp:positionH>
                      <wp:positionV relativeFrom="page">
                        <wp:posOffset>172720</wp:posOffset>
                      </wp:positionV>
                      <wp:extent cx="815975" cy="573405"/>
                      <wp:effectExtent l="0" t="0" r="0" b="0"/>
                      <wp:wrapNone/>
                      <wp:docPr id="188906980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 cy="573405"/>
                              </a:xfrm>
                              <a:prstGeom prst="rect">
                                <a:avLst/>
                              </a:prstGeom>
                              <a:noFill/>
                              <a:ln>
                                <a:noFill/>
                              </a:ln>
                            </wps:spPr>
                            <wps:txbx>
                              <w:txbxContent>
                                <w:p w14:paraId="4443B069" w14:textId="549E8110" w:rsidR="0079783A" w:rsidRPr="001B3E1E" w:rsidRDefault="0079783A" w:rsidP="0079783A">
                                  <w:pPr>
                                    <w:rPr>
                                      <w:rFonts w:cs="Arial"/>
                                    </w:rPr>
                                  </w:pPr>
                                  <w:r w:rsidRPr="001B3E1E">
                                    <w:t>Doos met voorgevulde spuit</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DFA8C3A" id="Text Box 93" o:spid="_x0000_s1036" type="#_x0000_t202" style="position:absolute;left:0;text-align:left;margin-left:87.95pt;margin-top:13.6pt;width:64.25pt;height:45.15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x93wEAAKADAAAOAAAAZHJzL2Uyb0RvYy54bWysU12P0zAQfEfiP1h+p0nLlR5R09NxpyKk&#10;40M6+AGO4zQWidfsuk3Kr2fttL0D3hAvlr12ZmdmJ+ubse/EwSBZcKWcz3IpjNNQW7cr5bev21fX&#10;UlBQrlYdOFPKoyF5s3n5Yj34wiygha42KBjEUTH4UrYh+CLLSLemVzQDbxxfNoC9CnzEXVajGhi9&#10;77JFnr/JBsDaI2hDxNX76VJuEn7TGB0+Nw2ZILpSMreQVkxrFddss1bFDpVvrT7RUP/AolfWcdML&#10;1L0KSuzR/gXVW41A0ISZhj6DprHaJA2sZp7/oeaxVd4kLWwO+YtN9P9g9afDo/+CIozvYOQBJhHk&#10;H0B/J+HgrlVuZ24RYWiNqrnxPFqWDZ6K06fRaiooglTDR6h5yGofIAGNDfbRFdYpGJ0HcLyYbsYg&#10;NBev58u3q6UUmq+Wq9dX+TJ1UMX5Y48U3hvoRdyUEnmmCVwdHihEMqo4P4m9HGxt16W5du63Aj+M&#10;lUQ+8p2Yh7Eaha1ZWUpDFFNBfWQ5CFNcON68aQF/SjFwVEpJP/YKjRTdB8eWxFylzdVyteADnqvV&#10;86pymiFKGaSYtndhyuHeo9213OFs/i3bt7VJ2hObE2+OQVJ8imzM2fNzevX0Y21+AQAA//8DAFBL&#10;AwQUAAYACAAAACEAuPjGt9wAAAAKAQAADwAAAGRycy9kb3ducmV2LnhtbEyPQU+DQBCF7yb+h82Y&#10;eLOLtLaKLI0xGr3a2ngd2BGI7CxhtxT+vePJHl/elzff5NvJdWqkIbSeDdwuElDElbct1wY+9683&#10;96BCRLbYeSYDMwXYFpcXOWbWn/iDxl2slYxwyNBAE2OfaR2qhhyGhe+Jpfv2g8Mocai1HfAk467T&#10;aZKstcOW5UKDPT03VP3sjs6A26/eD2/z13Ja46HUL7Ht7Tgbc301PT2CijTFfxj+9EUdCnEq/ZFt&#10;UJ3kzd2DoAbSTQpKgGWyWoEqpZEKdJHr8xeKXwAAAP//AwBQSwECLQAUAAYACAAAACEAtoM4kv4A&#10;AADhAQAAEwAAAAAAAAAAAAAAAAAAAAAAW0NvbnRlbnRfVHlwZXNdLnhtbFBLAQItABQABgAIAAAA&#10;IQA4/SH/1gAAAJQBAAALAAAAAAAAAAAAAAAAAC8BAABfcmVscy8ucmVsc1BLAQItABQABgAIAAAA&#10;IQAjczx93wEAAKADAAAOAAAAAAAAAAAAAAAAAC4CAABkcnMvZTJvRG9jLnhtbFBLAQItABQABgAI&#10;AAAAIQC4+Ma33AAAAAoBAAAPAAAAAAAAAAAAAAAAADkEAABkcnMvZG93bnJldi54bWxQSwUGAAAA&#10;AAQABADzAAAAQgUAAAAA&#10;" filled="f" stroked="f">
                      <v:textbox style="mso-fit-shape-to-text:t" inset="0,,0">
                        <w:txbxContent>
                          <w:p w14:paraId="4443B069" w14:textId="549E8110" w:rsidR="0079783A" w:rsidRPr="001B3E1E" w:rsidRDefault="0079783A" w:rsidP="0079783A">
                            <w:pPr>
                              <w:rPr>
                                <w:rFonts w:cs="Arial"/>
                              </w:rPr>
                            </w:pPr>
                            <w:r w:rsidRPr="001B3E1E">
                              <w:t>Doos met voorgevulde spuit</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1" behindDoc="0" locked="1" layoutInCell="1" allowOverlap="1" wp14:anchorId="6A248242" wp14:editId="702946E0">
                      <wp:simplePos x="0" y="0"/>
                      <wp:positionH relativeFrom="column">
                        <wp:posOffset>1068070</wp:posOffset>
                      </wp:positionH>
                      <wp:positionV relativeFrom="page">
                        <wp:posOffset>1101725</wp:posOffset>
                      </wp:positionV>
                      <wp:extent cx="991235" cy="412750"/>
                      <wp:effectExtent l="0" t="0" r="0" b="0"/>
                      <wp:wrapNone/>
                      <wp:docPr id="101636256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412750"/>
                              </a:xfrm>
                              <a:prstGeom prst="rect">
                                <a:avLst/>
                              </a:prstGeom>
                              <a:noFill/>
                              <a:ln>
                                <a:noFill/>
                              </a:ln>
                            </wps:spPr>
                            <wps:txbx>
                              <w:txbxContent>
                                <w:p w14:paraId="3FD9FA64" w14:textId="7BB524D6" w:rsidR="0079783A" w:rsidRPr="001B3E1E" w:rsidRDefault="0079783A" w:rsidP="0079783A">
                                  <w:pPr>
                                    <w:rPr>
                                      <w:rFonts w:cs="Arial"/>
                                    </w:rPr>
                                  </w:pPr>
                                  <w:r w:rsidRPr="001B3E1E">
                                    <w:t>Watje of gaasje en alcoholdoekje</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A248242" id="Text Box 91" o:spid="_x0000_s1037" type="#_x0000_t202" style="position:absolute;left:0;text-align:left;margin-left:84.1pt;margin-top:86.75pt;width:78.05pt;height:32.5pt;z-index:251658251;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0S43wEAAKADAAAOAAAAZHJzL2Uyb0RvYy54bWysU8tu2zAQvBfoPxC817LVuGkEy0GawEWB&#10;9AGk+QCaoiSiEpfdpS25X98lZTtpewt6IcglNTszO1pdj30n9gbJgivlYjaXwjgNlXVNKR+/b968&#10;l4KCcpXqwJlSHgzJ6/XrV6vBFyaHFrrKoGAQR8XgS9mG4IssI92aXtEMvHF8WQP2KvARm6xCNTB6&#10;32X5fP4uGwArj6ANEVfvpku5Tvh1bXT4WtdkguhKydxCWjGt27hm65UqGlS+tfpIQ72ARa+s46Zn&#10;qDsVlNih/QeqtxqBoA4zDX0GdW21SRpYzWL+l5qHVnmTtLA55M820f+D1V/2D/4bijB+gJEHmESQ&#10;vwf9g4SD21a5xtwgwtAaVXHjRbQsGzwVx0+j1VRQBNkOn6HiIatdgAQ01thHV1inYHQewOFsuhmD&#10;0Fy8ulrkb5dSaL66WOSXyzSUTBWnjz1S+GigF3FTSuSZJnC1v6cQyaji9CT2crCxXZfm2rk/Cvww&#10;VhL5yHdiHsbtKGzFypK0KGYL1YHlIExx4XjzpgX8JcXAUSkl/dwpNFJ0nxxbEnOVNhfLy5wPeKpu&#10;n1eV0wxRyiDFtL0NUw53Hm3TcoeT+Tds38YmaU9sjrw5BknxMbIxZ8/P6dXTj7X+DQAA//8DAFBL&#10;AwQUAAYACAAAACEAln/Kp94AAAALAQAADwAAAGRycy9kb3ducmV2LnhtbEyPTU+EMBCG7yb+h2ZM&#10;vLlF2GUJUjbGaPTqfsRroSMQ6ZTQLgv/3vHk3ubNPHnnmWI3215MOPrOkYLHVQQCqXamo0bB8fD2&#10;kIHwQZPRvSNUsKCHXXl7U+jcuAt94rQPjeAS8rlW0IYw5FL6ukWr/coNSLz7dqPVgePYSDPqC5fb&#10;XsZRlEqrO+ILrR7wpcX6Z3+2Cuxh/XF6X76SOdWnSr6GbjDTotT93fz8BCLgHP5h+NNndSjZqXJn&#10;Ml70nNMsZpSHbbIBwUQSrxMQlYI4yTYgy0Je/1D+AgAA//8DAFBLAQItABQABgAIAAAAIQC2gziS&#10;/gAAAOEBAAATAAAAAAAAAAAAAAAAAAAAAABbQ29udGVudF9UeXBlc10ueG1sUEsBAi0AFAAGAAgA&#10;AAAhADj9If/WAAAAlAEAAAsAAAAAAAAAAAAAAAAALwEAAF9yZWxzLy5yZWxzUEsBAi0AFAAGAAgA&#10;AAAhAFdfRLjfAQAAoAMAAA4AAAAAAAAAAAAAAAAALgIAAGRycy9lMm9Eb2MueG1sUEsBAi0AFAAG&#10;AAgAAAAhAJZ/yqfeAAAACwEAAA8AAAAAAAAAAAAAAAAAOQQAAGRycy9kb3ducmV2LnhtbFBLBQYA&#10;AAAABAAEAPMAAABEBQAAAAA=&#10;" filled="f" stroked="f">
                      <v:textbox style="mso-fit-shape-to-text:t" inset="0,,0">
                        <w:txbxContent>
                          <w:p w14:paraId="3FD9FA64" w14:textId="7BB524D6" w:rsidR="0079783A" w:rsidRPr="001B3E1E" w:rsidRDefault="0079783A" w:rsidP="0079783A">
                            <w:pPr>
                              <w:rPr>
                                <w:rFonts w:cs="Arial"/>
                              </w:rPr>
                            </w:pPr>
                            <w:r w:rsidRPr="001B3E1E">
                              <w:t>Watje of gaasje en alcoholdoekje</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2" behindDoc="0" locked="1" layoutInCell="1" allowOverlap="1" wp14:anchorId="40A81D53" wp14:editId="3FFE8B39">
                      <wp:simplePos x="0" y="0"/>
                      <wp:positionH relativeFrom="column">
                        <wp:posOffset>1069340</wp:posOffset>
                      </wp:positionH>
                      <wp:positionV relativeFrom="page">
                        <wp:posOffset>1847850</wp:posOffset>
                      </wp:positionV>
                      <wp:extent cx="867410" cy="252095"/>
                      <wp:effectExtent l="0" t="0" r="0" b="0"/>
                      <wp:wrapNone/>
                      <wp:docPr id="116633040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252095"/>
                              </a:xfrm>
                              <a:prstGeom prst="rect">
                                <a:avLst/>
                              </a:prstGeom>
                              <a:noFill/>
                              <a:ln>
                                <a:noFill/>
                              </a:ln>
                            </wps:spPr>
                            <wps:txbx>
                              <w:txbxContent>
                                <w:p w14:paraId="425E80BD" w14:textId="3ABB6C93" w:rsidR="0079783A" w:rsidRPr="001B3E1E" w:rsidRDefault="0079783A" w:rsidP="0079783A">
                                  <w:pPr>
                                    <w:rPr>
                                      <w:rFonts w:cs="Arial"/>
                                    </w:rPr>
                                  </w:pPr>
                                  <w:r w:rsidRPr="001B3E1E">
                                    <w:t>Pleister</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0A81D53" id="Text Box 89" o:spid="_x0000_s1038" type="#_x0000_t202" style="position:absolute;left:0;text-align:left;margin-left:84.2pt;margin-top:145.5pt;width:68.3pt;height:19.85pt;z-index:2516582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FGM3wEAAKADAAAOAAAAZHJzL2Uyb0RvYy54bWysU9tu2zAMfR+wfxD0vjgxmrYz4hRdiwwD&#10;ugvQ7QMYWbaF2aJGKbGzrx8lJ2m3vRV9EShSPjznkF7djH0n9pq8QVvKxWwuhbYKK2ObUv74vnl3&#10;LYUPYCvo0OpSHrSXN+u3b1aDK3SOLXaVJsEg1heDK2UbgiuyzKtW9+Bn6LTlYo3UQ+ArNVlFMDB6&#10;32X5fH6ZDUiVI1Tae87eT0W5Tvh1rVX4WtdeB9GVkrmFdFI6t/HM1isoGgLXGnWkAS9g0YOx3PQM&#10;dQ8BxI7Mf1C9UYQe6zBT2GdY10bppIHVLOb/qHlswemkhc3x7myTfz1Y9WX/6L6RCOMHHHmASYR3&#10;D6h+emHxrgXb6FsiHFoNFTdeRMuywfni+Gm02hc+gmyHz1jxkGEXMAGNNfXRFdYpGJ0HcDibrscg&#10;FCevL68uFlxRXMqX+fz9MnWA4vSxIx8+auxFDEpJPNMEDvsHHyIZKE5PYi+LG9N1aa6d/SvBD2Mm&#10;kY98J+Zh3I7CVKwsj42jmC1WB5ZDOK0LrzcHLdJvKQZelVL6XzsgLUX3ybIlca9ScLG8yvlCp+z2&#10;eRasYohSBimm8C5Me7hzZJqWO5zMv2X7NiZJe2Jz5M1rkBQfVzbu2fN7evX0Y63/AAAA//8DAFBL&#10;AwQUAAYACAAAACEAvOiy+t0AAAALAQAADwAAAGRycy9kb3ducmV2LnhtbEyPwU7DMBBE70j8g7VI&#10;3KjdpoQS4lQIgeiVloqrEy9JRLyOYjdN/p7tCW4z2qfZmXw7uU6MOITWk4blQoFAqrxtqdbweXi7&#10;24AI0ZA1nSfUMGOAbXF9lZvM+jN94LiPteAQCpnR0MTYZ1KGqkFnwsL3SHz79oMzke1QSzuYM4e7&#10;Tq6USqUzLfGHxvT40mD1sz85De6w3h3f569kSs2xlK+x7e04a317Mz0/gYg4xT8YLvW5OhTcqfQn&#10;skF07NPNmlENq8clj2IiUfcsShaJegBZ5PL/huIXAAD//wMAUEsBAi0AFAAGAAgAAAAhALaDOJL+&#10;AAAA4QEAABMAAAAAAAAAAAAAAAAAAAAAAFtDb250ZW50X1R5cGVzXS54bWxQSwECLQAUAAYACAAA&#10;ACEAOP0h/9YAAACUAQAACwAAAAAAAAAAAAAAAAAvAQAAX3JlbHMvLnJlbHNQSwECLQAUAAYACAAA&#10;ACEANLhRjN8BAACgAwAADgAAAAAAAAAAAAAAAAAuAgAAZHJzL2Uyb0RvYy54bWxQSwECLQAUAAYA&#10;CAAAACEAvOiy+t0AAAALAQAADwAAAAAAAAAAAAAAAAA5BAAAZHJzL2Rvd25yZXYueG1sUEsFBgAA&#10;AAAEAAQA8wAAAEMFAAAAAA==&#10;" filled="f" stroked="f">
                      <v:textbox style="mso-fit-shape-to-text:t" inset="0,,0">
                        <w:txbxContent>
                          <w:p w14:paraId="425E80BD" w14:textId="3ABB6C93" w:rsidR="0079783A" w:rsidRPr="001B3E1E" w:rsidRDefault="0079783A" w:rsidP="0079783A">
                            <w:pPr>
                              <w:rPr>
                                <w:rFonts w:cs="Arial"/>
                              </w:rPr>
                            </w:pPr>
                            <w:r w:rsidRPr="001B3E1E">
                              <w:t>Pleister</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3" behindDoc="0" locked="1" layoutInCell="1" allowOverlap="1" wp14:anchorId="03191786" wp14:editId="4AA522A1">
                      <wp:simplePos x="0" y="0"/>
                      <wp:positionH relativeFrom="column">
                        <wp:posOffset>1060450</wp:posOffset>
                      </wp:positionH>
                      <wp:positionV relativeFrom="page">
                        <wp:posOffset>2639060</wp:posOffset>
                      </wp:positionV>
                      <wp:extent cx="1016000" cy="252095"/>
                      <wp:effectExtent l="0" t="0" r="0" b="0"/>
                      <wp:wrapNone/>
                      <wp:docPr id="139285094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252095"/>
                              </a:xfrm>
                              <a:prstGeom prst="rect">
                                <a:avLst/>
                              </a:prstGeom>
                              <a:noFill/>
                              <a:ln>
                                <a:noFill/>
                              </a:ln>
                            </wps:spPr>
                            <wps:txbx>
                              <w:txbxContent>
                                <w:p w14:paraId="07F3C7E0" w14:textId="45B1B514" w:rsidR="0079783A" w:rsidRPr="001B3E1E" w:rsidRDefault="0079783A" w:rsidP="0079783A">
                                  <w:pPr>
                                    <w:rPr>
                                      <w:rFonts w:cs="Arial"/>
                                    </w:rPr>
                                  </w:pPr>
                                  <w:r w:rsidRPr="001B3E1E">
                                    <w:t>Naaldencontainer</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3191786" id="Text Box 87" o:spid="_x0000_s1039" type="#_x0000_t202" style="position:absolute;left:0;text-align:left;margin-left:83.5pt;margin-top:207.8pt;width:80pt;height:19.85pt;z-index:2516582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P/3wEAAKEDAAAOAAAAZHJzL2Uyb0RvYy54bWysU9uO0zAQfUfiHyy/06SBLhA1XS27KkJa&#10;LtLCB0wcp7FIPGbsNilfz9hpuwu8IV6s8Yxz5pwzk/X1NPTioMkbtJVcLnIptFXYGLur5Lev2xdv&#10;pPABbAM9Wl3Jo/byevP82Xp0pS6ww77RJBjE+nJ0lexCcGWWedXpAfwCnbZcbJEGCHylXdYQjIw+&#10;9FmR51fZiNQ4QqW95+zdXJSbhN+2WoXPbet1EH0lmVtIJ6Wzjme2WUO5I3CdUSca8A8sBjCWm16g&#10;7iCA2JP5C2owitBjGxYKhwzb1iidNLCaZf6HmocOnE5a2BzvLjb5/werPh0e3BcSYXqHEw8wifDu&#10;HtV3LyzedmB3+oYIx05Dw42X0bJsdL48fRqt9qWPIPX4ERseMuwDJqCppSG6wjoFo/MAjhfT9RSE&#10;ii3z5VWec0lxrVgV+dtVagHl+WtHPrzXOIgYVJJ4qAkdDvc+RDZQnp/EZha3pu/TYHv7W4Ifxkxi&#10;HwnP1MNUT8I0zORlbBzV1NgcWQ/hvC+83xx0SD+lGHlXKul/7IG0FP0Hy57ExUrBq9Xrgi90ztZP&#10;s2AVQ1QySDGHt2FexL0js+u4w9n9G/Zva5K0RzYn3rwHSfFpZ+OiPb2nV49/1uYXAAAA//8DAFBL&#10;AwQUAAYACAAAACEAUsbJqt0AAAALAQAADwAAAGRycy9kb3ducmV2LnhtbEyPQU+DQBCF7yb+h82Y&#10;eLNLS0GDLE3T2NSrrY3XgV2ByM4Sdkvh3zs96fG9eXnzvXwz2U6MZvCtIwXLRQTCUOV0S7WCz9P+&#10;6QWED0gaO0dGwWw8bIr7uxwz7a70YcZjqAWXkM9QQRNCn0npq8ZY9AvXG+LbtxssBpZDLfWAVy63&#10;nVxFUSottsQfGuzNrjHVz/FiFdjT+v18mL/iKcVzKd9C2+txVurxYdq+gghmCn9huOEzOhTMVLoL&#10;aS861ukzbwkK1sskBcGJeHVzSnaSJAZZ5PL/huIXAAD//wMAUEsBAi0AFAAGAAgAAAAhALaDOJL+&#10;AAAA4QEAABMAAAAAAAAAAAAAAAAAAAAAAFtDb250ZW50X1R5cGVzXS54bWxQSwECLQAUAAYACAAA&#10;ACEAOP0h/9YAAACUAQAACwAAAAAAAAAAAAAAAAAvAQAAX3JlbHMvLnJlbHNQSwECLQAUAAYACAAA&#10;ACEAfsJT/98BAAChAwAADgAAAAAAAAAAAAAAAAAuAgAAZHJzL2Uyb0RvYy54bWxQSwECLQAUAAYA&#10;CAAAACEAUsbJqt0AAAALAQAADwAAAAAAAAAAAAAAAAA5BAAAZHJzL2Rvd25yZXYueG1sUEsFBgAA&#10;AAAEAAQA8wAAAEMFAAAAAA==&#10;" filled="f" stroked="f">
                      <v:textbox style="mso-fit-shape-to-text:t" inset="0,,0">
                        <w:txbxContent>
                          <w:p w14:paraId="07F3C7E0" w14:textId="45B1B514" w:rsidR="0079783A" w:rsidRPr="001B3E1E" w:rsidRDefault="0079783A" w:rsidP="0079783A">
                            <w:pPr>
                              <w:rPr>
                                <w:rFonts w:cs="Arial"/>
                              </w:rPr>
                            </w:pPr>
                            <w:r w:rsidRPr="001B3E1E">
                              <w:t>Naaldencontainer</w:t>
                            </w:r>
                          </w:p>
                        </w:txbxContent>
                      </v:textbox>
                      <w10:wrap anchory="page"/>
                      <w10:anchorlock/>
                    </v:shape>
                  </w:pict>
                </mc:Fallback>
              </mc:AlternateContent>
            </w:r>
            <w:r w:rsidR="0079783A" w:rsidRPr="00330234">
              <w:rPr>
                <w:b/>
              </w:rPr>
              <w:t>Figuur B</w:t>
            </w:r>
          </w:p>
        </w:tc>
        <w:tc>
          <w:tcPr>
            <w:tcW w:w="5517" w:type="dxa"/>
          </w:tcPr>
          <w:p w14:paraId="3C027A0D" w14:textId="77777777" w:rsidR="0079783A" w:rsidRPr="00330234" w:rsidRDefault="0079783A" w:rsidP="002C40DF">
            <w:pPr>
              <w:numPr>
                <w:ilvl w:val="0"/>
                <w:numId w:val="38"/>
              </w:numPr>
              <w:tabs>
                <w:tab w:val="left" w:pos="567"/>
              </w:tabs>
              <w:suppressAutoHyphens/>
              <w:autoSpaceDE/>
              <w:autoSpaceDN/>
              <w:ind w:left="567" w:hanging="567"/>
              <w:rPr>
                <w:b/>
              </w:rPr>
            </w:pPr>
            <w:r w:rsidRPr="00330234">
              <w:rPr>
                <w:b/>
              </w:rPr>
              <w:t>Verzamel de materialen voor de injectie.</w:t>
            </w:r>
          </w:p>
          <w:p w14:paraId="461120F6" w14:textId="77777777" w:rsidR="0079783A" w:rsidRPr="00330234" w:rsidRDefault="0079783A">
            <w:pPr>
              <w:suppressAutoHyphens/>
              <w:ind w:left="567" w:hanging="567"/>
              <w:rPr>
                <w:b/>
              </w:rPr>
            </w:pPr>
          </w:p>
          <w:p w14:paraId="1A2A47D9" w14:textId="77777777" w:rsidR="0079783A" w:rsidRPr="00330234" w:rsidRDefault="0079783A" w:rsidP="002C40DF">
            <w:pPr>
              <w:numPr>
                <w:ilvl w:val="0"/>
                <w:numId w:val="39"/>
              </w:numPr>
              <w:tabs>
                <w:tab w:val="left" w:pos="567"/>
              </w:tabs>
              <w:suppressAutoHyphens/>
              <w:autoSpaceDE/>
              <w:autoSpaceDN/>
              <w:ind w:left="567" w:hanging="567"/>
              <w:rPr>
                <w:bCs/>
              </w:rPr>
            </w:pPr>
            <w:r w:rsidRPr="00330234">
              <w:t>Bereid een schoon, vlak oppervlak voor, zoals een tafel of een aanrecht, in een goed verlichte ruimte.</w:t>
            </w:r>
          </w:p>
          <w:p w14:paraId="63131870" w14:textId="4EB5A71C" w:rsidR="0079783A" w:rsidRPr="00330234" w:rsidRDefault="0079783A" w:rsidP="002C40DF">
            <w:pPr>
              <w:numPr>
                <w:ilvl w:val="0"/>
                <w:numId w:val="39"/>
              </w:numPr>
              <w:tabs>
                <w:tab w:val="left" w:pos="567"/>
              </w:tabs>
              <w:suppressAutoHyphens/>
              <w:autoSpaceDE/>
              <w:autoSpaceDN/>
              <w:ind w:left="567" w:hanging="567"/>
              <w:rPr>
                <w:bCs/>
              </w:rPr>
            </w:pPr>
            <w:r w:rsidRPr="00330234">
              <w:t>Neem de doos met daarin de voorgevulde spuit uit de koelkast.</w:t>
            </w:r>
          </w:p>
          <w:p w14:paraId="6E9D5AE6" w14:textId="3E6B096B" w:rsidR="0079783A" w:rsidRPr="00330234" w:rsidRDefault="0079783A" w:rsidP="002C40DF">
            <w:pPr>
              <w:numPr>
                <w:ilvl w:val="0"/>
                <w:numId w:val="39"/>
              </w:numPr>
              <w:tabs>
                <w:tab w:val="left" w:pos="567"/>
              </w:tabs>
              <w:suppressAutoHyphens/>
              <w:autoSpaceDE/>
              <w:autoSpaceDN/>
              <w:ind w:left="567" w:hanging="567"/>
              <w:rPr>
                <w:bCs/>
              </w:rPr>
            </w:pPr>
            <w:r w:rsidRPr="00330234">
              <w:t xml:space="preserve">Zorg ervoor dat u de volgende benodigdheden heeft (zie </w:t>
            </w:r>
            <w:r w:rsidRPr="00330234">
              <w:rPr>
                <w:b/>
              </w:rPr>
              <w:t>figuur B</w:t>
            </w:r>
            <w:r w:rsidRPr="00330234">
              <w:t>):</w:t>
            </w:r>
          </w:p>
          <w:p w14:paraId="25B51E12" w14:textId="0B2FCE35" w:rsidR="0079783A" w:rsidRPr="00330234" w:rsidRDefault="0079783A">
            <w:pPr>
              <w:suppressAutoHyphens/>
            </w:pPr>
            <w:r w:rsidRPr="00330234">
              <w:t xml:space="preserve">- </w:t>
            </w:r>
            <w:r w:rsidR="003D4DD5" w:rsidRPr="00330234">
              <w:t>d</w:t>
            </w:r>
            <w:r w:rsidRPr="00330234">
              <w:t>oos met Avtozma voorgevulde spuit</w:t>
            </w:r>
          </w:p>
          <w:p w14:paraId="304F5D66" w14:textId="77777777" w:rsidR="0079783A" w:rsidRPr="00330234" w:rsidRDefault="0079783A" w:rsidP="003E2554"/>
          <w:p w14:paraId="6FBEE91E" w14:textId="77777777" w:rsidR="0079783A" w:rsidRPr="00330234" w:rsidRDefault="0079783A">
            <w:pPr>
              <w:suppressAutoHyphens/>
              <w:rPr>
                <w:b/>
              </w:rPr>
            </w:pPr>
            <w:r w:rsidRPr="00330234">
              <w:rPr>
                <w:b/>
              </w:rPr>
              <w:t>Niet meegeleverd in de doos:</w:t>
            </w:r>
          </w:p>
          <w:p w14:paraId="0A0226A7" w14:textId="77777777" w:rsidR="0079783A" w:rsidRPr="00330234" w:rsidRDefault="0079783A">
            <w:pPr>
              <w:suppressAutoHyphens/>
            </w:pPr>
            <w:r w:rsidRPr="00330234">
              <w:t>- watje of gaasje</w:t>
            </w:r>
          </w:p>
          <w:p w14:paraId="0F9186CC" w14:textId="77777777" w:rsidR="0079783A" w:rsidRPr="00330234" w:rsidRDefault="0079783A">
            <w:pPr>
              <w:suppressAutoHyphens/>
            </w:pPr>
            <w:r w:rsidRPr="00330234">
              <w:t>- pleister</w:t>
            </w:r>
          </w:p>
          <w:p w14:paraId="5CED0771" w14:textId="77777777" w:rsidR="0079783A" w:rsidRPr="00330234" w:rsidRDefault="0079783A">
            <w:pPr>
              <w:suppressAutoHyphens/>
            </w:pPr>
            <w:r w:rsidRPr="00330234">
              <w:t>- naaldencontainer</w:t>
            </w:r>
          </w:p>
          <w:p w14:paraId="0C4350E5" w14:textId="77777777" w:rsidR="0079783A" w:rsidRPr="00330234" w:rsidRDefault="0079783A">
            <w:pPr>
              <w:suppressAutoHyphens/>
            </w:pPr>
            <w:r w:rsidRPr="00330234">
              <w:t>- alcoholdoekje</w:t>
            </w:r>
          </w:p>
          <w:p w14:paraId="0D8328AD" w14:textId="77777777" w:rsidR="0079783A" w:rsidRPr="00330234" w:rsidRDefault="0079783A">
            <w:pPr>
              <w:ind w:left="567" w:hanging="567"/>
            </w:pPr>
          </w:p>
        </w:tc>
      </w:tr>
      <w:bookmarkEnd w:id="57"/>
      <w:tr w:rsidR="00A358A8" w:rsidRPr="00330234" w14:paraId="0BA51378" w14:textId="77777777">
        <w:trPr>
          <w:cantSplit/>
        </w:trPr>
        <w:tc>
          <w:tcPr>
            <w:tcW w:w="3539" w:type="dxa"/>
          </w:tcPr>
          <w:p w14:paraId="7E0776F0" w14:textId="5B7B6A01" w:rsidR="0079783A" w:rsidRPr="00330234" w:rsidRDefault="00315255">
            <w:pPr>
              <w:suppressAutoHyphens/>
            </w:pPr>
            <w:r>
              <w:rPr>
                <w:noProof/>
                <w:lang w:val="en-US" w:eastAsia="ko-KR"/>
              </w:rPr>
              <mc:AlternateContent>
                <mc:Choice Requires="wps">
                  <w:drawing>
                    <wp:anchor distT="45720" distB="45720" distL="114300" distR="114300" simplePos="0" relativeHeight="251658258" behindDoc="0" locked="1" layoutInCell="1" allowOverlap="1" wp14:anchorId="3EC1B733" wp14:editId="746B8287">
                      <wp:simplePos x="0" y="0"/>
                      <wp:positionH relativeFrom="column">
                        <wp:posOffset>1332865</wp:posOffset>
                      </wp:positionH>
                      <wp:positionV relativeFrom="page">
                        <wp:posOffset>1972310</wp:posOffset>
                      </wp:positionV>
                      <wp:extent cx="673100" cy="175260"/>
                      <wp:effectExtent l="19050" t="38100" r="0" b="34290"/>
                      <wp:wrapNone/>
                      <wp:docPr id="209867682"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10077">
                                <a:off x="0" y="0"/>
                                <a:ext cx="673100" cy="175260"/>
                              </a:xfrm>
                              <a:prstGeom prst="rect">
                                <a:avLst/>
                              </a:prstGeom>
                              <a:noFill/>
                              <a:ln>
                                <a:noFill/>
                              </a:ln>
                            </wps:spPr>
                            <wps:txbx>
                              <w:txbxContent>
                                <w:p w14:paraId="0907BFA6" w14:textId="77777777" w:rsidR="0079783A" w:rsidRPr="001B3E1E" w:rsidRDefault="0079783A" w:rsidP="0079783A">
                                  <w:pPr>
                                    <w:jc w:val="center"/>
                                    <w:rPr>
                                      <w:rFonts w:hAnsi="Times New Roman Bold"/>
                                      <w:b/>
                                      <w:sz w:val="12"/>
                                      <w:szCs w:val="12"/>
                                    </w:rPr>
                                  </w:pPr>
                                  <w:r w:rsidRPr="001B3E1E">
                                    <w:rPr>
                                      <w:rFonts w:hAnsi="Times New Roman Bold"/>
                                      <w:b/>
                                      <w:sz w:val="12"/>
                                    </w:rPr>
                                    <w:t>EXP: MM JJJJ</w:t>
                                  </w:r>
                                </w:p>
                                <w:p w14:paraId="094FFA61" w14:textId="77777777" w:rsidR="0079783A" w:rsidRPr="001B3E1E" w:rsidRDefault="0079783A" w:rsidP="0079783A">
                                  <w:pPr>
                                    <w:rPr>
                                      <w:rFonts w:hAnsi="Times New Roman Bold"/>
                                      <w:b/>
                                      <w:sz w:val="12"/>
                                      <w:szCs w:val="12"/>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EC1B733" id="Text Box 85" o:spid="_x0000_s1040" type="#_x0000_t202" style="position:absolute;margin-left:104.95pt;margin-top:155.3pt;width:53pt;height:13.8pt;rotation:-535127fd;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lSN4wEAAKcDAAAOAAAAZHJzL2Uyb0RvYy54bWysU9uO0zAQfUfiHyy/0yQFWhQ1XS27KkJa&#10;LtLCBziO01gkHjPjNilfz9i9Afu24sWajMdnzjkzWd1MQy/2BsmCq2Qxy6UwTkNj3baS379tXr2T&#10;goJyjerBmUoeDMmb9csXq9GXZg4d9I1BwSCOytFXsgvBl1lGujODohl44/iyBRxU4E/cZg2qkdGH&#10;Ppvn+SIbARuPoA0RZ++Pl3Kd8NvW6PClbckE0VeSuYV0YjrreGbrlSq3qHxn9YmGegaLQVnHTS9Q&#10;9yoosUP7BGqwGoGgDTMNQwZta7VJGlhNkf+j5rFT3iQtbA75i030/2D15/2j/4oiTO9h4gEmEeQf&#10;QP8g4eCuU25rbhFh7IxquHERLctGT+XpabSaSoog9fgJGh6y2gVIQFOLg0Bg1+dFUeT5cpnSLFtw&#10;M57H4TIDMwWhOblYvuZCKTRfFcu380WaUabKiBUd9kjhg4FBxKCSyCNOoGr/QCFyu5bEcgcb2/dp&#10;zL37K8GFMZO0RPpHIWGqJ2Ebbv4mKo3aamgOrC7pYGa87dy3A/wlxcibU0n6uVNopOg/OnYortk5&#10;wHNQnwPlND+tZJDiGN6F4zruPNptx8jnGdyyixubJF1ZnPjyNiSlp82N6/bnd6q6/l/r3wAAAP//&#10;AwBQSwMEFAAGAAgAAAAhABItKj7fAAAACwEAAA8AAABkcnMvZG93bnJldi54bWxMj8tOwzAQRfdI&#10;/IM1SOyok1gNTYhT8RALxIoWqVs3NnbUeBzFbhr+nmEFu3kc3TnTbBc/sNlMsQ8oIV9lwAx2Qfdo&#10;JXzuX+82wGJSqNUQ0Ej4NhG27fVVo2odLvhh5l2yjEIw1kqCS2msOY+dM17FVRgN0u4rTF4laifL&#10;9aQuFO4HXmRZyb3qkS44NZpnZ7rT7uwlvOzf5nUlrHg62Hd7fzo4UZaLlLc3y+MDsGSW9AfDrz6p&#10;Q0tOx3BGHdkgociqilAJIs9KYESIfE2TIxViUwBvG/7/h/YHAAD//wMAUEsBAi0AFAAGAAgAAAAh&#10;ALaDOJL+AAAA4QEAABMAAAAAAAAAAAAAAAAAAAAAAFtDb250ZW50X1R5cGVzXS54bWxQSwECLQAU&#10;AAYACAAAACEAOP0h/9YAAACUAQAACwAAAAAAAAAAAAAAAAAvAQAAX3JlbHMvLnJlbHNQSwECLQAU&#10;AAYACAAAACEA0eZUjeMBAACnAwAADgAAAAAAAAAAAAAAAAAuAgAAZHJzL2Uyb0RvYy54bWxQSwEC&#10;LQAUAAYACAAAACEAEi0qPt8AAAALAQAADwAAAAAAAAAAAAAAAAA9BAAAZHJzL2Rvd25yZXYueG1s&#10;UEsFBgAAAAAEAAQA8wAAAEkFAAAAAA==&#10;" filled="f" stroked="f">
                      <v:textbox style="mso-fit-shape-to-text:t" inset="0,0,0,0">
                        <w:txbxContent>
                          <w:p w14:paraId="0907BFA6" w14:textId="77777777" w:rsidR="0079783A" w:rsidRPr="001B3E1E" w:rsidRDefault="0079783A" w:rsidP="0079783A">
                            <w:pPr>
                              <w:jc w:val="center"/>
                              <w:rPr>
                                <w:rFonts w:hAnsi="Times New Roman Bold"/>
                                <w:b/>
                                <w:sz w:val="12"/>
                                <w:szCs w:val="12"/>
                              </w:rPr>
                            </w:pPr>
                            <w:r w:rsidRPr="001B3E1E">
                              <w:rPr>
                                <w:rFonts w:hAnsi="Times New Roman Bold"/>
                                <w:b/>
                                <w:sz w:val="12"/>
                              </w:rPr>
                              <w:t>EXP: MM JJJJ</w:t>
                            </w:r>
                          </w:p>
                          <w:p w14:paraId="094FFA61" w14:textId="77777777" w:rsidR="0079783A" w:rsidRPr="001B3E1E" w:rsidRDefault="0079783A" w:rsidP="0079783A">
                            <w:pPr>
                              <w:rPr>
                                <w:rFonts w:hAnsi="Times New Roman Bold"/>
                                <w:b/>
                                <w:sz w:val="12"/>
                                <w:szCs w:val="12"/>
                              </w:rPr>
                            </w:pP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7" behindDoc="0" locked="1" layoutInCell="1" allowOverlap="1" wp14:anchorId="2146EFCF" wp14:editId="491DF673">
                      <wp:simplePos x="0" y="0"/>
                      <wp:positionH relativeFrom="column">
                        <wp:posOffset>1085850</wp:posOffset>
                      </wp:positionH>
                      <wp:positionV relativeFrom="page">
                        <wp:posOffset>986155</wp:posOffset>
                      </wp:positionV>
                      <wp:extent cx="860425" cy="233680"/>
                      <wp:effectExtent l="19050" t="38100" r="0" b="33020"/>
                      <wp:wrapNone/>
                      <wp:docPr id="198440773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89538">
                                <a:off x="0" y="0"/>
                                <a:ext cx="860425" cy="233680"/>
                              </a:xfrm>
                              <a:prstGeom prst="rect">
                                <a:avLst/>
                              </a:prstGeom>
                              <a:noFill/>
                              <a:ln>
                                <a:noFill/>
                              </a:ln>
                            </wps:spPr>
                            <wps:txbx>
                              <w:txbxContent>
                                <w:p w14:paraId="633AD2A8" w14:textId="77777777" w:rsidR="0079783A" w:rsidRPr="001B3E1E" w:rsidRDefault="0079783A" w:rsidP="0079783A">
                                  <w:pPr>
                                    <w:jc w:val="center"/>
                                    <w:rPr>
                                      <w:rFonts w:hAnsi="Times New Roman Bold"/>
                                      <w:b/>
                                      <w:sz w:val="16"/>
                                      <w:szCs w:val="16"/>
                                    </w:rPr>
                                  </w:pPr>
                                  <w:r w:rsidRPr="001B3E1E">
                                    <w:rPr>
                                      <w:rFonts w:hAnsi="Times New Roman Bold"/>
                                      <w:b/>
                                      <w:sz w:val="16"/>
                                    </w:rPr>
                                    <w:t>EXP: MM JJJJ</w:t>
                                  </w:r>
                                </w:p>
                                <w:p w14:paraId="62B0573D" w14:textId="77777777" w:rsidR="0079783A" w:rsidRPr="001B3E1E" w:rsidRDefault="0079783A" w:rsidP="0079783A">
                                  <w:pPr>
                                    <w:jc w:val="center"/>
                                    <w:rPr>
                                      <w:rFonts w:hAnsi="Times New Roman Bold"/>
                                      <w:b/>
                                      <w:sz w:val="16"/>
                                      <w:szCs w:val="16"/>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146EFCF" id="Text Box 83" o:spid="_x0000_s1041" type="#_x0000_t202" style="position:absolute;margin-left:85.5pt;margin-top:77.65pt;width:67.75pt;height:18.4pt;rotation:-448334fd;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8i5AEAAKcDAAAOAAAAZHJzL2Uyb0RvYy54bWysU9uO0zAQfUfiHyy/01xKqxA1XS27KkJa&#10;LtLCBziOk1gkHjN2m5SvZ+zeuLwhXqzJeHzmnDOTzd08Duyg0GkwFc8WKWfKSGi06Sr+9cvuVcGZ&#10;88I0YgCjKn5Ujt9tX77YTLZUOfQwNAoZgRhXTrbivfe2TBInezUKtwCrDF22gKPw9Ild0qCYCH0c&#10;kjxN18kE2FgEqZyj7OPpkm8jftsq6T+1rVOeDRUnbj6eGM86nMl2I8oOhe21PNMQ/8BiFNpQ0yvU&#10;o/CC7VH/BTVqieCg9QsJYwJtq6WKGkhNlv6h5rkXVkUtZI6zV5vc/4OVHw/P9jMyP7+FmQYYRTj7&#10;BPKbYwYeemE6dY8IU69EQ42zYFkyWVeenwarXekCSD19gIaGLPYeItDc4sgQyPU8y4o3q2UR0ySb&#10;UTOax/E6AzV7JilZrNPX+YozSVf5crku4owSUQas4LBF598pGFkIKo404ggqDk/OB263klBuYKeH&#10;IY55ML8lqDBkopZA/yTEz/XMdENCV0Fp0FZDcyR1UQdxpm2nvj3gD84m2pyKu+97gYqz4b0hh8Ka&#10;XQK8BPUlEEbS04p7zk7hgz+t496i7npCvszgnlzc6SjpxuLMl7YhKj1vbli3X79j1e3/2v4EAAD/&#10;/wMAUEsDBBQABgAIAAAAIQDg6dQ84gAAAAsBAAAPAAAAZHJzL2Rvd25yZXYueG1sTI/BTsMwEETv&#10;SPyDtUjcqJOWtCXEqRACCVEJ1JRLb07sxhH2OoqdNvD1LCe47eyOZt8Um8lZdtJD6DwKSGcJMI2N&#10;Vx22Aj72zzdrYCFKVNJ61AK+dIBNeXlRyFz5M+70qYotoxAMuRRgYuxzzkNjtJNh5nuNdDv6wclI&#10;cmi5GuSZwp3l8yRZcic7pA9G9vrR6OazGp2At6o+vO7en75vt8bXx/ElnQ5rK8T11fRwDyzqKf6Z&#10;4Ref0KEkptqPqAKzpFcpdYk0ZNkCGDkWyTIDVtPmbp4CLwv+v0P5AwAA//8DAFBLAQItABQABgAI&#10;AAAAIQC2gziS/gAAAOEBAAATAAAAAAAAAAAAAAAAAAAAAABbQ29udGVudF9UeXBlc10ueG1sUEsB&#10;Ai0AFAAGAAgAAAAhADj9If/WAAAAlAEAAAsAAAAAAAAAAAAAAAAALwEAAF9yZWxzLy5yZWxzUEsB&#10;Ai0AFAAGAAgAAAAhAGE8zyLkAQAApwMAAA4AAAAAAAAAAAAAAAAALgIAAGRycy9lMm9Eb2MueG1s&#10;UEsBAi0AFAAGAAgAAAAhAODp1DziAAAACwEAAA8AAAAAAAAAAAAAAAAAPgQAAGRycy9kb3ducmV2&#10;LnhtbFBLBQYAAAAABAAEAPMAAABNBQAAAAA=&#10;" filled="f" stroked="f">
                      <v:textbox style="mso-fit-shape-to-text:t" inset="0,0,0,0">
                        <w:txbxContent>
                          <w:p w14:paraId="633AD2A8" w14:textId="77777777" w:rsidR="0079783A" w:rsidRPr="001B3E1E" w:rsidRDefault="0079783A" w:rsidP="0079783A">
                            <w:pPr>
                              <w:jc w:val="center"/>
                              <w:rPr>
                                <w:rFonts w:hAnsi="Times New Roman Bold"/>
                                <w:b/>
                                <w:sz w:val="16"/>
                                <w:szCs w:val="16"/>
                              </w:rPr>
                            </w:pPr>
                            <w:r w:rsidRPr="001B3E1E">
                              <w:rPr>
                                <w:rFonts w:hAnsi="Times New Roman Bold"/>
                                <w:b/>
                                <w:sz w:val="16"/>
                              </w:rPr>
                              <w:t>EXP: MM JJJJ</w:t>
                            </w:r>
                          </w:p>
                          <w:p w14:paraId="62B0573D" w14:textId="77777777" w:rsidR="0079783A" w:rsidRPr="001B3E1E" w:rsidRDefault="0079783A" w:rsidP="0079783A">
                            <w:pPr>
                              <w:jc w:val="center"/>
                              <w:rPr>
                                <w:rFonts w:hAnsi="Times New Roman Bold"/>
                                <w:b/>
                                <w:sz w:val="16"/>
                                <w:szCs w:val="16"/>
                              </w:rPr>
                            </w:pPr>
                          </w:p>
                        </w:txbxContent>
                      </v:textbox>
                      <w10:wrap anchory="page"/>
                      <w10:anchorlock/>
                    </v:shape>
                  </w:pict>
                </mc:Fallback>
              </mc:AlternateContent>
            </w:r>
            <w:r>
              <w:rPr>
                <w:b/>
                <w:noProof/>
                <w:lang w:val="en-US" w:eastAsia="ko-KR"/>
              </w:rPr>
              <w:drawing>
                <wp:inline distT="0" distB="0" distL="0" distR="0" wp14:anchorId="59CCC464" wp14:editId="19984E88">
                  <wp:extent cx="2105025" cy="2594610"/>
                  <wp:effectExtent l="19050" t="19050" r="9525" b="0"/>
                  <wp:docPr id="8" name="그림 5" descr="텍스트, 스케치, 도표, 원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텍스트, 스케치, 도표, 원이(가) 표시된 사진&#10;&#10;자동 생성된 설명"/>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05025" cy="2594610"/>
                          </a:xfrm>
                          <a:prstGeom prst="rect">
                            <a:avLst/>
                          </a:prstGeom>
                          <a:noFill/>
                          <a:ln w="9525" cmpd="sng">
                            <a:solidFill>
                              <a:srgbClr val="000000"/>
                            </a:solidFill>
                            <a:miter lim="800000"/>
                            <a:headEnd/>
                            <a:tailEnd/>
                          </a:ln>
                          <a:effectLst/>
                        </pic:spPr>
                      </pic:pic>
                    </a:graphicData>
                  </a:graphic>
                </wp:inline>
              </w:drawing>
            </w:r>
          </w:p>
          <w:p w14:paraId="7F6AE113" w14:textId="2C99478E" w:rsidR="0079783A" w:rsidRPr="00330234" w:rsidRDefault="0079783A">
            <w:pPr>
              <w:jc w:val="right"/>
              <w:rPr>
                <w:b/>
                <w:bCs/>
              </w:rPr>
            </w:pPr>
            <w:r w:rsidRPr="00330234">
              <w:rPr>
                <w:b/>
              </w:rPr>
              <w:t>Figuur C</w:t>
            </w:r>
          </w:p>
        </w:tc>
        <w:tc>
          <w:tcPr>
            <w:tcW w:w="5517" w:type="dxa"/>
          </w:tcPr>
          <w:p w14:paraId="42499AE6" w14:textId="3CBB1B3B" w:rsidR="0079783A" w:rsidRPr="00330234" w:rsidRDefault="0079783A" w:rsidP="002C40DF">
            <w:pPr>
              <w:numPr>
                <w:ilvl w:val="0"/>
                <w:numId w:val="38"/>
              </w:numPr>
              <w:tabs>
                <w:tab w:val="left" w:pos="567"/>
              </w:tabs>
              <w:suppressAutoHyphens/>
              <w:autoSpaceDE/>
              <w:autoSpaceDN/>
              <w:ind w:left="567" w:hanging="567"/>
              <w:rPr>
                <w:b/>
              </w:rPr>
            </w:pPr>
            <w:r w:rsidRPr="00330234">
              <w:rPr>
                <w:b/>
              </w:rPr>
              <w:t>Inspecteer de doos</w:t>
            </w:r>
            <w:r w:rsidR="00026FE4" w:rsidRPr="00330234">
              <w:rPr>
                <w:b/>
              </w:rPr>
              <w:t>.</w:t>
            </w:r>
          </w:p>
          <w:p w14:paraId="1CC85348" w14:textId="77777777" w:rsidR="0079783A" w:rsidRPr="00330234" w:rsidRDefault="0079783A" w:rsidP="002C40DF">
            <w:pPr>
              <w:tabs>
                <w:tab w:val="left" w:pos="567"/>
              </w:tabs>
              <w:suppressAutoHyphens/>
              <w:ind w:left="567" w:hanging="567"/>
              <w:rPr>
                <w:b/>
              </w:rPr>
            </w:pPr>
          </w:p>
          <w:p w14:paraId="4C2FAFF2" w14:textId="41D1967A" w:rsidR="0079783A" w:rsidRPr="00330234" w:rsidRDefault="0079783A" w:rsidP="002C40DF">
            <w:pPr>
              <w:numPr>
                <w:ilvl w:val="0"/>
                <w:numId w:val="40"/>
              </w:numPr>
              <w:tabs>
                <w:tab w:val="left" w:pos="567"/>
              </w:tabs>
              <w:suppressAutoHyphens/>
              <w:autoSpaceDE/>
              <w:autoSpaceDN/>
              <w:ind w:left="567" w:hanging="567"/>
              <w:rPr>
                <w:bCs/>
              </w:rPr>
            </w:pPr>
            <w:r w:rsidRPr="00330234">
              <w:t xml:space="preserve">Controleer de doos en zorg ervoor dat u het juiste geneesmiddel en de juiste </w:t>
            </w:r>
            <w:r w:rsidR="00C302F6" w:rsidRPr="00330234">
              <w:t>sterkte</w:t>
            </w:r>
            <w:r w:rsidRPr="00330234">
              <w:t xml:space="preserve"> heeft. (Avtozma)</w:t>
            </w:r>
          </w:p>
          <w:p w14:paraId="5C7DB8FE" w14:textId="77777777" w:rsidR="0079783A" w:rsidRPr="00330234" w:rsidRDefault="0079783A" w:rsidP="002C40DF">
            <w:pPr>
              <w:numPr>
                <w:ilvl w:val="0"/>
                <w:numId w:val="40"/>
              </w:numPr>
              <w:tabs>
                <w:tab w:val="left" w:pos="567"/>
              </w:tabs>
              <w:suppressAutoHyphens/>
              <w:autoSpaceDE/>
              <w:autoSpaceDN/>
              <w:ind w:left="567" w:hanging="567"/>
              <w:rPr>
                <w:bCs/>
              </w:rPr>
            </w:pPr>
            <w:r w:rsidRPr="00330234">
              <w:t>Controleer de uiterste houdbaarheidsdatum op de doos om te bevestigen dat deze niet is verstreken.</w:t>
            </w:r>
          </w:p>
          <w:p w14:paraId="5E2EDF8F" w14:textId="77777777" w:rsidR="0079783A" w:rsidRPr="00330234" w:rsidRDefault="0079783A" w:rsidP="003E2554"/>
          <w:p w14:paraId="47435162" w14:textId="77777777" w:rsidR="0079783A" w:rsidRPr="00330234" w:rsidRDefault="0079783A" w:rsidP="002C40DF">
            <w:pPr>
              <w:numPr>
                <w:ilvl w:val="0"/>
                <w:numId w:val="36"/>
              </w:numPr>
              <w:tabs>
                <w:tab w:val="left" w:pos="1134"/>
              </w:tabs>
              <w:suppressAutoHyphens/>
              <w:autoSpaceDE/>
              <w:autoSpaceDN/>
              <w:ind w:left="1134" w:hanging="567"/>
              <w:rPr>
                <w:rFonts w:eastAsia="맑은 고딕"/>
                <w:strike/>
              </w:rPr>
            </w:pPr>
            <w:r w:rsidRPr="00330234">
              <w:t xml:space="preserve">Gebruik de voorgevulde spuit </w:t>
            </w:r>
            <w:r w:rsidRPr="00330234">
              <w:rPr>
                <w:b/>
                <w:bCs/>
              </w:rPr>
              <w:t>niet</w:t>
            </w:r>
            <w:r w:rsidRPr="00330234">
              <w:t xml:space="preserve"> als de uiterste houdbaarheidsdatum is verstreken.</w:t>
            </w:r>
          </w:p>
          <w:p w14:paraId="7C95EDAC" w14:textId="116924E1" w:rsidR="0079783A" w:rsidRPr="00330234" w:rsidRDefault="0079783A" w:rsidP="002C40DF">
            <w:pPr>
              <w:numPr>
                <w:ilvl w:val="0"/>
                <w:numId w:val="36"/>
              </w:numPr>
              <w:tabs>
                <w:tab w:val="left" w:pos="1134"/>
              </w:tabs>
              <w:suppressAutoHyphens/>
              <w:autoSpaceDE/>
              <w:autoSpaceDN/>
              <w:ind w:left="1134" w:hanging="567"/>
            </w:pPr>
            <w:r w:rsidRPr="00330234">
              <w:t xml:space="preserve">Gebruik de voorgevulde spuit </w:t>
            </w:r>
            <w:r w:rsidRPr="00330234">
              <w:rPr>
                <w:b/>
                <w:bCs/>
              </w:rPr>
              <w:t>niet</w:t>
            </w:r>
            <w:r w:rsidRPr="00330234">
              <w:t xml:space="preserve"> als het erop </w:t>
            </w:r>
            <w:r w:rsidR="00D7329C" w:rsidRPr="00330234">
              <w:t xml:space="preserve">lijkt dat </w:t>
            </w:r>
            <w:r w:rsidRPr="00330234">
              <w:t>de doos geopend of beschadigd is als u de doos voor de eerste keer opent en controleer of deze goed verzegeld is.</w:t>
            </w:r>
          </w:p>
          <w:p w14:paraId="1ECBCDDB" w14:textId="77777777" w:rsidR="0079783A" w:rsidRPr="00330234" w:rsidRDefault="0079783A" w:rsidP="003E2554"/>
        </w:tc>
      </w:tr>
      <w:tr w:rsidR="00A358A8" w:rsidRPr="00330234" w14:paraId="6CB99253" w14:textId="77777777">
        <w:trPr>
          <w:cantSplit/>
        </w:trPr>
        <w:tc>
          <w:tcPr>
            <w:tcW w:w="3539" w:type="dxa"/>
          </w:tcPr>
          <w:p w14:paraId="56E88BF4" w14:textId="560C6633" w:rsidR="0079783A" w:rsidRPr="00330234" w:rsidRDefault="00315255">
            <w:pPr>
              <w:suppressAutoHyphens/>
              <w:jc w:val="right"/>
            </w:pPr>
            <w:r>
              <w:rPr>
                <w:noProof/>
                <w:lang w:val="en-US" w:eastAsia="ko-KR"/>
              </w:rPr>
              <w:lastRenderedPageBreak/>
              <mc:AlternateContent>
                <mc:Choice Requires="wps">
                  <w:drawing>
                    <wp:anchor distT="45720" distB="45720" distL="114300" distR="114300" simplePos="0" relativeHeight="251658254" behindDoc="0" locked="1" layoutInCell="1" allowOverlap="1" wp14:anchorId="6D7ADAD5" wp14:editId="3AD3450A">
                      <wp:simplePos x="0" y="0"/>
                      <wp:positionH relativeFrom="column">
                        <wp:posOffset>1193800</wp:posOffset>
                      </wp:positionH>
                      <wp:positionV relativeFrom="page">
                        <wp:posOffset>1556385</wp:posOffset>
                      </wp:positionV>
                      <wp:extent cx="767080" cy="102235"/>
                      <wp:effectExtent l="0" t="0" r="0" b="0"/>
                      <wp:wrapNone/>
                      <wp:docPr id="126990609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102235"/>
                              </a:xfrm>
                              <a:prstGeom prst="rect">
                                <a:avLst/>
                              </a:prstGeom>
                              <a:noFill/>
                              <a:ln>
                                <a:noFill/>
                              </a:ln>
                            </wps:spPr>
                            <wps:txbx>
                              <w:txbxContent>
                                <w:p w14:paraId="36F0A931" w14:textId="5F8F6D94" w:rsidR="0079783A" w:rsidRPr="001B3E1E" w:rsidRDefault="00863AF3" w:rsidP="0079783A">
                                  <w:pPr>
                                    <w:rPr>
                                      <w:rFonts w:cs="Times New Roman Bold"/>
                                      <w:b/>
                                      <w:bCs/>
                                      <w:sz w:val="18"/>
                                      <w:szCs w:val="18"/>
                                    </w:rPr>
                                  </w:pPr>
                                  <w:r w:rsidRPr="001B3E1E">
                                    <w:rPr>
                                      <w:b/>
                                      <w:bCs/>
                                      <w:sz w:val="14"/>
                                    </w:rPr>
                                    <w:t>EXP: MM JJJJ</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D7ADAD5" id="Text Box 81" o:spid="_x0000_s1042" type="#_x0000_t202" style="position:absolute;left:0;text-align:left;margin-left:94pt;margin-top:122.55pt;width:60.4pt;height:8.0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BU2QEAAJgDAAAOAAAAZHJzL2Uyb0RvYy54bWysU9tu2zAMfR+wfxD0vtjJsLQw4hRdiwwD&#10;ugvQ9QMUWbaF2aJGKrGzrx8lx+nWvQ17EWhSOjznkN7cjH0njgbJgivlcpFLYZyGyrqmlE/fdm+u&#10;paCgXKU6cKaUJ0PyZvv61WbwhVlBC11lUDCIo2LwpWxD8EWWkW5Nr2gB3jgu1oC9CvyJTVahGhi9&#10;77JVnq+zAbDyCNoQcfZ+Ksptwq9ro8OXuiYTRFdK5hbSiencxzPbblTRoPKt1Wca6h9Y9Mo6bnqB&#10;uldBiQPav6B6qxEI6rDQ0GdQ11abpIHVLPMXah5b5U3SwuaQv9hE/w9Wfz4++q8owvgeRh5gEkH+&#10;AfR3Eg7uWuUac4sIQ2tUxY2X0bJs8FScn0arqaAIsh8+QcVDVocACWissY+usE7B6DyA08V0Mwah&#10;OXm1vsqvuaK5tMxXq7fvUgdVzI89UvhgoBcxKCXyTBO4Oj5QiGRUMV+JvRzsbNeluXbujwRfjJlE&#10;PvKdmIdxPwpbcfN1bBzF7KE6sRyEaV14vTloAX9KMfCqlJJ+HBQaKbqPji2JezUHOAf7OVBO89NS&#10;Bimm8C5M+3fwaJuWkWfTb9m2nU2Snlmc+fL4k9Lzqsb9+v073Xr+oba/AAAA//8DAFBLAwQUAAYA&#10;CAAAACEAEx31md0AAAALAQAADwAAAGRycy9kb3ducmV2LnhtbEyPsU7EMBBEeyT+wVokGsQ5DhCF&#10;EOeEEDR0HDR0vnhJIux1FPuScF/PUnHlzI5m59Xb1Tsx4xSHQBrUJgOB1AY7UKfh4/3lugQRkyFr&#10;XCDU8IMRts35WW0qGxZ6w3mXOsElFCujoU9prKSMbY/exE0Ykfj2FSZvEsupk3YyC5d7J/MsK6Q3&#10;A/GH3oz41GP7vTt4DcX6PF693mO+HFs30+dRqYRK68uL9fEBRMI1/Yfhbz5Ph4Y37cOBbBSOdVky&#10;S9KQ394pEJy4yUqG2bNTqBxkU8tThuYXAAD//wMAUEsBAi0AFAAGAAgAAAAhALaDOJL+AAAA4QEA&#10;ABMAAAAAAAAAAAAAAAAAAAAAAFtDb250ZW50X1R5cGVzXS54bWxQSwECLQAUAAYACAAAACEAOP0h&#10;/9YAAACUAQAACwAAAAAAAAAAAAAAAAAvAQAAX3JlbHMvLnJlbHNQSwECLQAUAAYACAAAACEAqGWA&#10;VNkBAACYAwAADgAAAAAAAAAAAAAAAAAuAgAAZHJzL2Uyb0RvYy54bWxQSwECLQAUAAYACAAAACEA&#10;Ex31md0AAAALAQAADwAAAAAAAAAAAAAAAAAzBAAAZHJzL2Rvd25yZXYueG1sUEsFBgAAAAAEAAQA&#10;8wAAAD0FAAAAAA==&#10;" filled="f" stroked="f">
                      <v:textbox style="mso-fit-shape-to-text:t" inset="0,0,0,0">
                        <w:txbxContent>
                          <w:p w14:paraId="36F0A931" w14:textId="5F8F6D94" w:rsidR="0079783A" w:rsidRPr="001B3E1E" w:rsidRDefault="00863AF3" w:rsidP="0079783A">
                            <w:pPr>
                              <w:rPr>
                                <w:rFonts w:cs="Times New Roman Bold"/>
                                <w:b/>
                                <w:bCs/>
                                <w:sz w:val="18"/>
                                <w:szCs w:val="18"/>
                              </w:rPr>
                            </w:pPr>
                            <w:r w:rsidRPr="001B3E1E">
                              <w:rPr>
                                <w:b/>
                                <w:bCs/>
                                <w:sz w:val="14"/>
                              </w:rPr>
                              <w:t>EXP: MM JJJJ</w:t>
                            </w:r>
                          </w:p>
                        </w:txbxContent>
                      </v:textbox>
                      <w10:wrap anchory="page"/>
                      <w10:anchorlock/>
                    </v:shape>
                  </w:pict>
                </mc:Fallback>
              </mc:AlternateContent>
            </w:r>
            <w:r>
              <w:rPr>
                <w:noProof/>
                <w:lang w:val="en-US" w:eastAsia="ko-KR"/>
              </w:rPr>
              <w:drawing>
                <wp:inline distT="0" distB="0" distL="0" distR="0" wp14:anchorId="2B8B4C4A" wp14:editId="1CA8E9A6">
                  <wp:extent cx="2052320" cy="2552065"/>
                  <wp:effectExtent l="19050" t="19050" r="5080" b="635"/>
                  <wp:docPr id="9" name="그림 4" descr="스케치, 그림, 공구, 상징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스케치, 그림, 공구, 상징이(가) 표시된 사진&#10;&#10;자동 생성된 설명"/>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52320" cy="2552065"/>
                          </a:xfrm>
                          <a:prstGeom prst="rect">
                            <a:avLst/>
                          </a:prstGeom>
                          <a:noFill/>
                          <a:ln w="9525" cmpd="sng">
                            <a:solidFill>
                              <a:srgbClr val="000000"/>
                            </a:solidFill>
                            <a:miter lim="800000"/>
                            <a:headEnd/>
                            <a:tailEnd/>
                          </a:ln>
                          <a:effectLst/>
                        </pic:spPr>
                      </pic:pic>
                    </a:graphicData>
                  </a:graphic>
                </wp:inline>
              </w:drawing>
            </w:r>
          </w:p>
          <w:p w14:paraId="324DF3AC" w14:textId="610D64B8" w:rsidR="0079783A" w:rsidRPr="00330234" w:rsidRDefault="0079783A">
            <w:pPr>
              <w:suppressAutoHyphens/>
              <w:jc w:val="right"/>
              <w:rPr>
                <w:b/>
                <w:bCs/>
              </w:rPr>
            </w:pPr>
            <w:r w:rsidRPr="00330234">
              <w:rPr>
                <w:b/>
              </w:rPr>
              <w:t>Figuur D</w:t>
            </w:r>
          </w:p>
        </w:tc>
        <w:tc>
          <w:tcPr>
            <w:tcW w:w="5517" w:type="dxa"/>
          </w:tcPr>
          <w:p w14:paraId="7389D3C4" w14:textId="77777777" w:rsidR="0079783A" w:rsidRPr="00330234" w:rsidRDefault="0079783A" w:rsidP="002C40DF">
            <w:pPr>
              <w:pStyle w:val="a3"/>
              <w:numPr>
                <w:ilvl w:val="0"/>
                <w:numId w:val="38"/>
              </w:numPr>
              <w:tabs>
                <w:tab w:val="left" w:pos="567"/>
              </w:tabs>
              <w:suppressAutoHyphens/>
              <w:autoSpaceDE/>
              <w:autoSpaceDN/>
              <w:ind w:left="567" w:hanging="567"/>
              <w:rPr>
                <w:b/>
              </w:rPr>
            </w:pPr>
            <w:r w:rsidRPr="00330234">
              <w:rPr>
                <w:b/>
              </w:rPr>
              <w:t>Inspecteer de voorgevulde spuit.</w:t>
            </w:r>
          </w:p>
          <w:p w14:paraId="098DEE95" w14:textId="77777777" w:rsidR="0079783A" w:rsidRPr="00330234" w:rsidRDefault="0079783A" w:rsidP="002C40DF">
            <w:pPr>
              <w:tabs>
                <w:tab w:val="left" w:pos="567"/>
              </w:tabs>
              <w:suppressAutoHyphens/>
              <w:ind w:left="567" w:hanging="567"/>
              <w:rPr>
                <w:bCs/>
              </w:rPr>
            </w:pPr>
          </w:p>
          <w:p w14:paraId="25067EA8" w14:textId="77777777" w:rsidR="0079783A" w:rsidRPr="00330234" w:rsidRDefault="0079783A" w:rsidP="002C40DF">
            <w:pPr>
              <w:pStyle w:val="a3"/>
              <w:numPr>
                <w:ilvl w:val="0"/>
                <w:numId w:val="41"/>
              </w:numPr>
              <w:tabs>
                <w:tab w:val="left" w:pos="567"/>
              </w:tabs>
              <w:suppressAutoHyphens/>
              <w:autoSpaceDE/>
              <w:autoSpaceDN/>
              <w:ind w:left="567" w:hanging="567"/>
              <w:rPr>
                <w:bCs/>
              </w:rPr>
            </w:pPr>
            <w:r w:rsidRPr="00330234">
              <w:t>Open de doos en haal 1 voorgevulde spuit met een enkelvoudige dosis uit de doos. Plaats de doos met overgebleven voorgevulde spuiten Avtozma terug in de koelkast.</w:t>
            </w:r>
          </w:p>
          <w:p w14:paraId="0535B32C" w14:textId="77777777" w:rsidR="0079783A" w:rsidRPr="00330234" w:rsidRDefault="0079783A" w:rsidP="002C40DF">
            <w:pPr>
              <w:pStyle w:val="a3"/>
              <w:numPr>
                <w:ilvl w:val="0"/>
                <w:numId w:val="41"/>
              </w:numPr>
              <w:tabs>
                <w:tab w:val="left" w:pos="567"/>
              </w:tabs>
              <w:suppressAutoHyphens/>
              <w:autoSpaceDE/>
              <w:autoSpaceDN/>
              <w:ind w:left="567" w:hanging="567"/>
              <w:rPr>
                <w:bCs/>
              </w:rPr>
            </w:pPr>
            <w:r w:rsidRPr="00330234">
              <w:t xml:space="preserve">Controleer de uiterste houdbaarheidsdatum op de Avtozma voorgevulde spuit (zie </w:t>
            </w:r>
            <w:r w:rsidRPr="00330234">
              <w:rPr>
                <w:b/>
              </w:rPr>
              <w:t>figuur D</w:t>
            </w:r>
            <w:r w:rsidRPr="00330234">
              <w:t>).</w:t>
            </w:r>
          </w:p>
          <w:p w14:paraId="7827650A" w14:textId="119AF78D" w:rsidR="0079783A" w:rsidRPr="00330234" w:rsidRDefault="0079783A" w:rsidP="002C40DF">
            <w:pPr>
              <w:pStyle w:val="a3"/>
              <w:numPr>
                <w:ilvl w:val="0"/>
                <w:numId w:val="37"/>
              </w:numPr>
              <w:tabs>
                <w:tab w:val="left" w:pos="1134"/>
              </w:tabs>
              <w:suppressAutoHyphens/>
              <w:autoSpaceDE/>
              <w:autoSpaceDN/>
              <w:ind w:left="1134" w:hanging="567"/>
            </w:pPr>
            <w:r w:rsidRPr="00330234">
              <w:t xml:space="preserve">Gebruik de voorgevulde spuit </w:t>
            </w:r>
            <w:r w:rsidRPr="00330234">
              <w:rPr>
                <w:b/>
                <w:bCs/>
              </w:rPr>
              <w:t>niet</w:t>
            </w:r>
            <w:r w:rsidRPr="00330234">
              <w:t xml:space="preserve"> als de uiterste houdbaarheidsdatum is verstreken. Als de uiterste houdbaarheidsdatum is verstreken</w:t>
            </w:r>
            <w:r w:rsidR="00A404EE" w:rsidRPr="00330234">
              <w:t>,</w:t>
            </w:r>
            <w:r w:rsidRPr="00330234">
              <w:t xml:space="preserve"> gooi de voorgevulde spuit dan veilig weg in uw naaldencontainer, en neem een nieuwe voorgevulde spuit.</w:t>
            </w:r>
          </w:p>
          <w:p w14:paraId="1A5C2A78" w14:textId="77777777" w:rsidR="0079783A" w:rsidRPr="00330234" w:rsidRDefault="0079783A" w:rsidP="002C40DF">
            <w:pPr>
              <w:pStyle w:val="a3"/>
              <w:numPr>
                <w:ilvl w:val="0"/>
                <w:numId w:val="41"/>
              </w:numPr>
              <w:tabs>
                <w:tab w:val="left" w:pos="567"/>
              </w:tabs>
              <w:suppressAutoHyphens/>
              <w:autoSpaceDE/>
              <w:autoSpaceDN/>
              <w:ind w:left="567" w:hanging="567"/>
              <w:rPr>
                <w:bCs/>
              </w:rPr>
            </w:pPr>
            <w:r w:rsidRPr="00330234">
              <w:t>Controleer de voorgevulde spuit om er zeker van te zijn dat deze niet beschadigd is en geen tekenen van lekkage vertoont.</w:t>
            </w:r>
          </w:p>
          <w:p w14:paraId="5CD5FE8E" w14:textId="77777777" w:rsidR="0079783A" w:rsidRPr="00330234" w:rsidRDefault="0079783A" w:rsidP="002C40DF">
            <w:pPr>
              <w:pStyle w:val="a3"/>
              <w:numPr>
                <w:ilvl w:val="0"/>
                <w:numId w:val="37"/>
              </w:numPr>
              <w:tabs>
                <w:tab w:val="left" w:pos="1134"/>
              </w:tabs>
              <w:suppressAutoHyphens/>
              <w:autoSpaceDE/>
              <w:autoSpaceDN/>
              <w:ind w:left="1134" w:hanging="567"/>
            </w:pPr>
            <w:r w:rsidRPr="00330234">
              <w:t xml:space="preserve">Gebruik de voorgevulde spuit </w:t>
            </w:r>
            <w:r w:rsidRPr="00330234">
              <w:rPr>
                <w:b/>
              </w:rPr>
              <w:t>niet</w:t>
            </w:r>
            <w:r w:rsidRPr="00330234">
              <w:t xml:space="preserve"> als deze is gevallen, beschadigd is of heeft gelekt.</w:t>
            </w:r>
          </w:p>
          <w:p w14:paraId="189379EF" w14:textId="77777777" w:rsidR="0079783A" w:rsidRPr="00330234" w:rsidRDefault="0079783A" w:rsidP="003E2554"/>
        </w:tc>
      </w:tr>
      <w:tr w:rsidR="00A358A8" w:rsidRPr="00330234" w14:paraId="2E819A25" w14:textId="77777777">
        <w:trPr>
          <w:cantSplit/>
        </w:trPr>
        <w:tc>
          <w:tcPr>
            <w:tcW w:w="3539" w:type="dxa"/>
          </w:tcPr>
          <w:p w14:paraId="262F6574" w14:textId="388481F3" w:rsidR="0079783A" w:rsidRPr="00330234" w:rsidRDefault="00315255">
            <w:pPr>
              <w:suppressAutoHyphens/>
            </w:pPr>
            <w:r>
              <w:rPr>
                <w:noProof/>
                <w:lang w:val="en-US" w:eastAsia="ko-KR"/>
              </w:rPr>
              <mc:AlternateContent>
                <mc:Choice Requires="wps">
                  <w:drawing>
                    <wp:anchor distT="45720" distB="45720" distL="114300" distR="114300" simplePos="0" relativeHeight="251658256" behindDoc="0" locked="1" layoutInCell="1" allowOverlap="1" wp14:anchorId="16538018" wp14:editId="69388649">
                      <wp:simplePos x="0" y="0"/>
                      <wp:positionH relativeFrom="column">
                        <wp:posOffset>295275</wp:posOffset>
                      </wp:positionH>
                      <wp:positionV relativeFrom="page">
                        <wp:posOffset>427990</wp:posOffset>
                      </wp:positionV>
                      <wp:extent cx="767080" cy="470535"/>
                      <wp:effectExtent l="0" t="0" r="0" b="0"/>
                      <wp:wrapNone/>
                      <wp:docPr id="123715653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470535"/>
                              </a:xfrm>
                              <a:prstGeom prst="rect">
                                <a:avLst/>
                              </a:prstGeom>
                              <a:noFill/>
                              <a:ln>
                                <a:noFill/>
                              </a:ln>
                            </wps:spPr>
                            <wps:txbx>
                              <w:txbxContent>
                                <w:p w14:paraId="267EEB27" w14:textId="47C83A23" w:rsidR="0079783A" w:rsidRPr="001B3E1E" w:rsidRDefault="00E35F27" w:rsidP="0079783A">
                                  <w:pPr>
                                    <w:spacing w:line="216" w:lineRule="auto"/>
                                    <w:jc w:val="center"/>
                                    <w:rPr>
                                      <w:rFonts w:hAnsi="Times New Roman Bold"/>
                                      <w:b/>
                                      <w:sz w:val="16"/>
                                      <w:szCs w:val="16"/>
                                    </w:rPr>
                                  </w:pPr>
                                  <w:r w:rsidRPr="00330234">
                                    <w:rPr>
                                      <w:rFonts w:hAnsi="Times New Roman Bold"/>
                                      <w:b/>
                                      <w:sz w:val="36"/>
                                    </w:rPr>
                                    <w:t xml:space="preserve">30 </w:t>
                                  </w:r>
                                  <w:r w:rsidRPr="001B3E1E">
                                    <w:rPr>
                                      <w:rFonts w:hAnsi="Times New Roman Bold"/>
                                      <w:b/>
                                      <w:sz w:val="24"/>
                                      <w:szCs w:val="24"/>
                                    </w:rPr>
                                    <w:t>minuten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538018" id="Text Box 79" o:spid="_x0000_s1043" type="#_x0000_t202" style="position:absolute;margin-left:23.25pt;margin-top:33.7pt;width:60.4pt;height:37.0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4y2gEAAJgDAAAOAAAAZHJzL2Uyb0RvYy54bWysU9tu2zAMfR+wfxD0vtjp1qYw4hRdiw4D&#10;ugvQ7QNkWbaF2aJGKrGzrx8lx+kub8NeBJqUDs85pLc309CLg0Gy4Eq5XuVSGKehtq4t5dcvD6+u&#10;paCgXK16cKaUR0PyZvfyxXb0hbmADvraoGAQR8XoS9mF4IssI92ZQdEKvHFcbAAHFfgT26xGNTL6&#10;0GcXeX6VjYC1R9CGiLP3c1HuEn7TGB0+NQ2ZIPpSMreQTkxnFc9st1VFi8p3Vp9oqH9gMSjruOkZ&#10;6l4FJfZo/4IarEYgaMJKw5BB01htkgZWs87/UPPUKW+SFjaH/Nkm+n+w+uPhyX9GEaa3MPEAkwjy&#10;j6C/kXBw1ynXmltEGDujam68jpZlo6fi9DRaTQVFkGr8ADUPWe0DJKCpwSG6wjoFo/MAjmfTzRSE&#10;5uTmapNfc0Vz6c0mv3x9mTqoYnnskcI7A4OIQSmRZ5rA1eGRQiSjiuVK7OXgwfZ9mmvvfkvwxZhJ&#10;5CPfmXmYqknYmpVtYuMopoL6yHIQ5nXh9eagA/whxcirUkr6vldopOjfO7Yk7tUS4BJUS6Cc5qel&#10;DFLM4V2Y92/v0bYdI8+mO7hl2xqbJD2zOPHl8Selp1WN+/Xrd7r1/EPtfgIAAP//AwBQSwMEFAAG&#10;AAgAAAAhAIKA4S3fAAAACQEAAA8AAABkcnMvZG93bnJldi54bWxMj8FOwzAQRO9I/IO1SNyoU0jd&#10;NsSpKgQnJEQaDhydeJtYjdchdtvw97incpvVjGbe5pvJ9uyEozeOJMxnCTCkxmlDrYSv6u1hBcwH&#10;RVr1jlDCL3rYFLc3ucq0O1OJp11oWSwhnykJXQhDxrlvOrTKz9yAFL29G60K8Rxbrkd1juW2549J&#10;IrhVhuJCpwZ86bA57I5Wwvabylfz81F/lvvSVNU6oXdxkPL+bto+Aws4hWsYLvgRHYrIVLsjac96&#10;CalYxKQEsUyBXXyxfAJWR5HOF8CLnP//oPgDAAD//wMAUEsBAi0AFAAGAAgAAAAhALaDOJL+AAAA&#10;4QEAABMAAAAAAAAAAAAAAAAAAAAAAFtDb250ZW50X1R5cGVzXS54bWxQSwECLQAUAAYACAAAACEA&#10;OP0h/9YAAACUAQAACwAAAAAAAAAAAAAAAAAvAQAAX3JlbHMvLnJlbHNQSwECLQAUAAYACAAAACEA&#10;hp1eMtoBAACYAwAADgAAAAAAAAAAAAAAAAAuAgAAZHJzL2Uyb0RvYy54bWxQSwECLQAUAAYACAAA&#10;ACEAgoDhLd8AAAAJAQAADwAAAAAAAAAAAAAAAAA0BAAAZHJzL2Rvd25yZXYueG1sUEsFBgAAAAAE&#10;AAQA8wAAAEAFAAAAAA==&#10;" filled="f" stroked="f">
                      <v:textbox inset="0,0,0,0">
                        <w:txbxContent>
                          <w:p w14:paraId="267EEB27" w14:textId="47C83A23" w:rsidR="0079783A" w:rsidRPr="001B3E1E" w:rsidRDefault="00E35F27" w:rsidP="0079783A">
                            <w:pPr>
                              <w:spacing w:line="216" w:lineRule="auto"/>
                              <w:jc w:val="center"/>
                              <w:rPr>
                                <w:rFonts w:hAnsi="Times New Roman Bold"/>
                                <w:b/>
                                <w:sz w:val="16"/>
                                <w:szCs w:val="16"/>
                              </w:rPr>
                            </w:pPr>
                            <w:r w:rsidRPr="00330234">
                              <w:rPr>
                                <w:rFonts w:hAnsi="Times New Roman Bold"/>
                                <w:b/>
                                <w:sz w:val="36"/>
                              </w:rPr>
                              <w:t xml:space="preserve">30 </w:t>
                            </w:r>
                            <w:r w:rsidRPr="001B3E1E">
                              <w:rPr>
                                <w:rFonts w:hAnsi="Times New Roman Bold"/>
                                <w:b/>
                                <w:sz w:val="24"/>
                                <w:szCs w:val="24"/>
                              </w:rPr>
                              <w:t>minuten</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5" behindDoc="0" locked="1" layoutInCell="1" allowOverlap="1" wp14:anchorId="416C5186" wp14:editId="3B8F9A77">
                      <wp:simplePos x="0" y="0"/>
                      <wp:positionH relativeFrom="column">
                        <wp:posOffset>-1918970</wp:posOffset>
                      </wp:positionH>
                      <wp:positionV relativeFrom="page">
                        <wp:posOffset>446405</wp:posOffset>
                      </wp:positionV>
                      <wp:extent cx="767080" cy="489585"/>
                      <wp:effectExtent l="0" t="0" r="0" b="0"/>
                      <wp:wrapNone/>
                      <wp:docPr id="89032286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489585"/>
                              </a:xfrm>
                              <a:prstGeom prst="rect">
                                <a:avLst/>
                              </a:prstGeom>
                              <a:noFill/>
                              <a:ln>
                                <a:noFill/>
                              </a:ln>
                            </wps:spPr>
                            <wps:txbx>
                              <w:txbxContent>
                                <w:p w14:paraId="7889157C" w14:textId="77777777" w:rsidR="0079783A" w:rsidRPr="00330234" w:rsidRDefault="0079783A" w:rsidP="0079783A">
                                  <w:pPr>
                                    <w:spacing w:line="216" w:lineRule="auto"/>
                                    <w:jc w:val="center"/>
                                    <w:rPr>
                                      <w:rFonts w:ascii="Arial" w:hAnsi="Arial" w:cs="Arial"/>
                                      <w:b/>
                                      <w:bCs/>
                                      <w:sz w:val="16"/>
                                      <w:szCs w:val="16"/>
                                    </w:rPr>
                                  </w:pPr>
                                  <w:r w:rsidRPr="00330234">
                                    <w:rPr>
                                      <w:rFonts w:ascii="Arial" w:hAnsi="Arial"/>
                                      <w:b/>
                                      <w:sz w:val="36"/>
                                    </w:rPr>
                                    <w:t>30</w:t>
                                  </w:r>
                                  <w:r w:rsidRPr="00330234">
                                    <w:rPr>
                                      <w:rFonts w:ascii="Arial" w:hAnsi="Arial"/>
                                      <w:b/>
                                      <w:sz w:val="16"/>
                                    </w:rPr>
                                    <w:t xml:space="preserve"> </w:t>
                                  </w:r>
                                  <w:r w:rsidRPr="00330234">
                                    <w:rPr>
                                      <w:rFonts w:ascii="Arial" w:hAnsi="Arial"/>
                                      <w:b/>
                                      <w:sz w:val="16"/>
                                    </w:rPr>
                                    <w:br/>
                                  </w:r>
                                  <w:r w:rsidRPr="00330234">
                                    <w:rPr>
                                      <w:rFonts w:ascii="Arial" w:hAnsi="Arial"/>
                                      <w:b/>
                                      <w:sz w:val="24"/>
                                    </w:rPr>
                                    <w:t>minuten</w:t>
                                  </w:r>
                                </w:p>
                                <w:p w14:paraId="3E0A1DF9" w14:textId="77777777" w:rsidR="0079783A" w:rsidRPr="00330234" w:rsidRDefault="0079783A" w:rsidP="0079783A">
                                  <w:pPr>
                                    <w:spacing w:line="216" w:lineRule="auto"/>
                                    <w:jc w:val="center"/>
                                    <w:rPr>
                                      <w:rFonts w:ascii="Arial" w:hAnsi="Arial" w:cs="Arial"/>
                                      <w:b/>
                                      <w:bCs/>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6C5186" id="Text Box 77" o:spid="_x0000_s1044" type="#_x0000_t202" style="position:absolute;margin-left:-151.1pt;margin-top:35.15pt;width:60.4pt;height:38.5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MxN2gEAAJgDAAAOAAAAZHJzL2Uyb0RvYy54bWysU9tu2zAMfR+wfxD0vtgp1jYz4hRdiw4D&#10;ugvQ7QNkWbaF2aJGKrGzrx8lx+kub8NeBJqUDs85pLc309CLg0Gy4Eq5XuVSGKehtq4t5dcvD682&#10;UlBQrlY9OFPKoyF5s3v5Yjv6wlxAB31tUDCIo2L0pexC8EWWke7MoGgF3jguNoCDCvyJbVajGhl9&#10;6LOLPL/KRsDaI2hDxNn7uSh3Cb9pjA6fmoZMEH0pmVtIJ6azime226qiReU7q0801D+wGJR13PQM&#10;da+CEnu0f0ENViMQNGGlYcigaaw2SQOrWed/qHnqlDdJC5tD/mwT/T9Y/fHw5D+jCNNbmHiASQT5&#10;R9DfSDi465RrzS0ijJ1RNTdeR8uy0VNxehqtpoIiSDV+gJqHrPYBEtDU4BBdYZ2C0XkAx7PpZgpC&#10;c/L66jrfcEVz6fXmzeXmMnVQxfLYI4V3BgYRg1IizzSBq8MjhUhGFcuV2MvBg+37NNfe/ZbgizGT&#10;yEe+M/MwVZOwNSvbxMZRTAX1keUgzOvC681BB/hDipFXpZT0fa/QSNG/d2xJ3KslwCWolkA5zU9L&#10;GaSYw7sw79/eo207Rp5Nd3DLtjU2SXpmceLL409KT6sa9+vX73Tr+Yfa/QQAAP//AwBQSwMEFAAG&#10;AAgAAAAhANnajbbiAAAADAEAAA8AAABkcnMvZG93bnJldi54bWxMj8tOwzAQRfdI/IM1SOxSO2nU&#10;RxqnqhCskBBpWLB0EjexGo9D7Lbh7xlWsBzdo3vP5PvZDuyqJ28cSogXApjGxrUGOwkf1Uu0AeaD&#10;wlYNDrWEb+1hX9zf5Spr3Q1LfT2GjlEJ+kxJ6EMYM85902ur/MKNGik7ucmqQOfU8XZSNyq3A0+E&#10;WHGrDNJCr0b91OvmfLxYCYdPLJ/N11v9Xp5KU1Vbga+rs5SPD/NhByzoOfzB8KtP6lCQU+0u2Ho2&#10;SIiWIkmIlbAWS2BERPEmToHVxKbrFHiR8/9PFD8AAAD//wMAUEsBAi0AFAAGAAgAAAAhALaDOJL+&#10;AAAA4QEAABMAAAAAAAAAAAAAAAAAAAAAAFtDb250ZW50X1R5cGVzXS54bWxQSwECLQAUAAYACAAA&#10;ACEAOP0h/9YAAACUAQAACwAAAAAAAAAAAAAAAAAvAQAAX3JlbHMvLnJlbHNQSwECLQAUAAYACAAA&#10;ACEAZCzMTdoBAACYAwAADgAAAAAAAAAAAAAAAAAuAgAAZHJzL2Uyb0RvYy54bWxQSwECLQAUAAYA&#10;CAAAACEA2dqNtuIAAAAMAQAADwAAAAAAAAAAAAAAAAA0BAAAZHJzL2Rvd25yZXYueG1sUEsFBgAA&#10;AAAEAAQA8wAAAEMFAAAAAA==&#10;" filled="f" stroked="f">
                      <v:textbox inset="0,0,0,0">
                        <w:txbxContent>
                          <w:p w14:paraId="7889157C" w14:textId="77777777" w:rsidR="0079783A" w:rsidRPr="00330234" w:rsidRDefault="0079783A" w:rsidP="0079783A">
                            <w:pPr>
                              <w:spacing w:line="216" w:lineRule="auto"/>
                              <w:jc w:val="center"/>
                              <w:rPr>
                                <w:rFonts w:ascii="Arial" w:hAnsi="Arial" w:cs="Arial"/>
                                <w:b/>
                                <w:bCs/>
                                <w:sz w:val="16"/>
                                <w:szCs w:val="16"/>
                              </w:rPr>
                            </w:pPr>
                            <w:r w:rsidRPr="00330234">
                              <w:rPr>
                                <w:rFonts w:ascii="Arial" w:hAnsi="Arial"/>
                                <w:b/>
                                <w:sz w:val="36"/>
                              </w:rPr>
                              <w:t>30</w:t>
                            </w:r>
                            <w:r w:rsidRPr="00330234">
                              <w:rPr>
                                <w:rFonts w:ascii="Arial" w:hAnsi="Arial"/>
                                <w:b/>
                                <w:sz w:val="16"/>
                              </w:rPr>
                              <w:t xml:space="preserve"> </w:t>
                            </w:r>
                            <w:r w:rsidRPr="00330234">
                              <w:rPr>
                                <w:rFonts w:ascii="Arial" w:hAnsi="Arial"/>
                                <w:b/>
                                <w:sz w:val="16"/>
                              </w:rPr>
                              <w:br/>
                            </w:r>
                            <w:r w:rsidRPr="00330234">
                              <w:rPr>
                                <w:rFonts w:ascii="Arial" w:hAnsi="Arial"/>
                                <w:b/>
                                <w:sz w:val="24"/>
                              </w:rPr>
                              <w:t>minuten</w:t>
                            </w:r>
                          </w:p>
                          <w:p w14:paraId="3E0A1DF9" w14:textId="77777777" w:rsidR="0079783A" w:rsidRPr="00330234" w:rsidRDefault="0079783A" w:rsidP="0079783A">
                            <w:pPr>
                              <w:spacing w:line="216" w:lineRule="auto"/>
                              <w:jc w:val="center"/>
                              <w:rPr>
                                <w:rFonts w:ascii="Arial" w:hAnsi="Arial" w:cs="Arial"/>
                                <w:b/>
                                <w:bCs/>
                                <w:sz w:val="16"/>
                                <w:szCs w:val="16"/>
                              </w:rPr>
                            </w:pPr>
                          </w:p>
                        </w:txbxContent>
                      </v:textbox>
                      <w10:wrap anchory="page"/>
                      <w10:anchorlock/>
                    </v:shape>
                  </w:pict>
                </mc:Fallback>
              </mc:AlternateContent>
            </w:r>
            <w:r>
              <w:rPr>
                <w:noProof/>
                <w:lang w:val="en-US" w:eastAsia="ko-KR"/>
              </w:rPr>
              <w:drawing>
                <wp:inline distT="0" distB="0" distL="0" distR="0" wp14:anchorId="258A9D0C" wp14:editId="6693640F">
                  <wp:extent cx="2062480" cy="2552065"/>
                  <wp:effectExtent l="19050" t="19050" r="0" b="635"/>
                  <wp:docPr id="10" name="그림 1" descr="공구, 시계,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descr="공구, 시계, 일러스트레이션, 디자인이(가) 표시된 사진&#10;&#10;자동 생성된 설명"/>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62480" cy="2552065"/>
                          </a:xfrm>
                          <a:prstGeom prst="rect">
                            <a:avLst/>
                          </a:prstGeom>
                          <a:noFill/>
                          <a:ln w="9525" cmpd="sng">
                            <a:solidFill>
                              <a:srgbClr val="000000"/>
                            </a:solidFill>
                            <a:miter lim="800000"/>
                            <a:headEnd/>
                            <a:tailEnd/>
                          </a:ln>
                          <a:effectLst/>
                        </pic:spPr>
                      </pic:pic>
                    </a:graphicData>
                  </a:graphic>
                </wp:inline>
              </w:drawing>
            </w:r>
          </w:p>
          <w:p w14:paraId="0353CAD1" w14:textId="1C300FCF" w:rsidR="0079783A" w:rsidRPr="00330234" w:rsidRDefault="0079783A">
            <w:pPr>
              <w:suppressAutoHyphens/>
              <w:jc w:val="right"/>
              <w:rPr>
                <w:b/>
                <w:bCs/>
              </w:rPr>
            </w:pPr>
            <w:r w:rsidRPr="00330234">
              <w:rPr>
                <w:b/>
              </w:rPr>
              <w:t>Figuur E</w:t>
            </w:r>
          </w:p>
        </w:tc>
        <w:tc>
          <w:tcPr>
            <w:tcW w:w="5517" w:type="dxa"/>
          </w:tcPr>
          <w:p w14:paraId="409865D4" w14:textId="77777777" w:rsidR="0079783A" w:rsidRPr="00330234" w:rsidRDefault="0079783A" w:rsidP="002C40DF">
            <w:pPr>
              <w:pStyle w:val="a3"/>
              <w:numPr>
                <w:ilvl w:val="0"/>
                <w:numId w:val="38"/>
              </w:numPr>
              <w:tabs>
                <w:tab w:val="left" w:pos="567"/>
              </w:tabs>
              <w:suppressAutoHyphens/>
              <w:autoSpaceDE/>
              <w:autoSpaceDN/>
              <w:ind w:left="567" w:hanging="567"/>
              <w:rPr>
                <w:b/>
              </w:rPr>
            </w:pPr>
            <w:r w:rsidRPr="00330234">
              <w:rPr>
                <w:b/>
              </w:rPr>
              <w:t>Wacht 30 minuten.</w:t>
            </w:r>
          </w:p>
          <w:p w14:paraId="31874ECF" w14:textId="77777777" w:rsidR="0079783A" w:rsidRPr="00330234" w:rsidRDefault="0079783A" w:rsidP="002C40DF">
            <w:pPr>
              <w:tabs>
                <w:tab w:val="left" w:pos="567"/>
              </w:tabs>
              <w:suppressAutoHyphens/>
              <w:ind w:left="567" w:hanging="567"/>
            </w:pPr>
          </w:p>
          <w:p w14:paraId="2EE72F0C" w14:textId="37501092" w:rsidR="0079783A" w:rsidRPr="00330234" w:rsidRDefault="0079783A" w:rsidP="002C40DF">
            <w:pPr>
              <w:pStyle w:val="a3"/>
              <w:numPr>
                <w:ilvl w:val="0"/>
                <w:numId w:val="42"/>
              </w:numPr>
              <w:tabs>
                <w:tab w:val="left" w:pos="567"/>
              </w:tabs>
              <w:suppressAutoHyphens/>
              <w:autoSpaceDE/>
              <w:autoSpaceDN/>
              <w:ind w:left="567" w:hanging="567"/>
              <w:rPr>
                <w:rFonts w:eastAsia="SimSun"/>
              </w:rPr>
            </w:pPr>
            <w:r w:rsidRPr="00330234">
              <w:t>Laat de voorgevulde spuit uit de doos gedurende 30 minuten op kamertemperatuur (</w:t>
            </w:r>
            <w:r w:rsidR="00E704B5">
              <w:rPr>
                <w:rFonts w:eastAsia="맑은 고딕" w:hint="eastAsia"/>
                <w:lang w:eastAsia="ko-KR"/>
              </w:rPr>
              <w:t>18</w:t>
            </w:r>
            <w:r w:rsidRPr="00330234">
              <w:t xml:space="preserve">°C tot </w:t>
            </w:r>
            <w:r w:rsidR="00E704B5" w:rsidRPr="00330234">
              <w:t>2</w:t>
            </w:r>
            <w:r w:rsidR="00E704B5">
              <w:rPr>
                <w:rFonts w:eastAsia="맑은 고딕" w:hint="eastAsia"/>
                <w:lang w:eastAsia="ko-KR"/>
              </w:rPr>
              <w:t>8</w:t>
            </w:r>
            <w:r w:rsidRPr="00330234">
              <w:t xml:space="preserve">°C) komen (zie </w:t>
            </w:r>
            <w:r w:rsidRPr="00330234">
              <w:rPr>
                <w:b/>
              </w:rPr>
              <w:t>figuur E</w:t>
            </w:r>
            <w:r w:rsidRPr="00330234">
              <w:t>).</w:t>
            </w:r>
          </w:p>
          <w:p w14:paraId="76049CA6" w14:textId="1CA29B80" w:rsidR="0079783A" w:rsidRPr="00330234" w:rsidRDefault="0079783A" w:rsidP="002C40DF">
            <w:pPr>
              <w:pStyle w:val="a3"/>
              <w:numPr>
                <w:ilvl w:val="0"/>
                <w:numId w:val="37"/>
              </w:numPr>
              <w:tabs>
                <w:tab w:val="left" w:pos="1134"/>
              </w:tabs>
              <w:suppressAutoHyphens/>
              <w:autoSpaceDE/>
              <w:autoSpaceDN/>
              <w:ind w:left="1134" w:hanging="567"/>
              <w:rPr>
                <w:rFonts w:eastAsia="SimSun"/>
              </w:rPr>
            </w:pPr>
            <w:r w:rsidRPr="00330234">
              <w:t xml:space="preserve">Verwarm de voorgevulde spuit </w:t>
            </w:r>
            <w:r w:rsidRPr="00330234">
              <w:rPr>
                <w:b/>
              </w:rPr>
              <w:t>niet</w:t>
            </w:r>
            <w:r w:rsidRPr="00330234">
              <w:t xml:space="preserve"> met warmtebronnen zoals </w:t>
            </w:r>
            <w:r w:rsidR="00C302F6" w:rsidRPr="00330234">
              <w:t>warm</w:t>
            </w:r>
            <w:r w:rsidRPr="00330234">
              <w:t xml:space="preserve"> water of een magnetron.</w:t>
            </w:r>
          </w:p>
          <w:p w14:paraId="29FA7C79" w14:textId="77777777" w:rsidR="0079783A" w:rsidRPr="00330234" w:rsidRDefault="0079783A" w:rsidP="002C40DF">
            <w:pPr>
              <w:pStyle w:val="a3"/>
              <w:numPr>
                <w:ilvl w:val="0"/>
                <w:numId w:val="37"/>
              </w:numPr>
              <w:tabs>
                <w:tab w:val="left" w:pos="1134"/>
              </w:tabs>
              <w:suppressAutoHyphens/>
              <w:autoSpaceDE/>
              <w:autoSpaceDN/>
              <w:ind w:left="1134" w:hanging="567"/>
              <w:rPr>
                <w:rFonts w:eastAsia="SimSun"/>
              </w:rPr>
            </w:pPr>
            <w:r w:rsidRPr="00330234">
              <w:t xml:space="preserve">Laat de voorgevulde spuit </w:t>
            </w:r>
            <w:r w:rsidRPr="00330234">
              <w:rPr>
                <w:b/>
                <w:bCs/>
              </w:rPr>
              <w:t>niet</w:t>
            </w:r>
            <w:r w:rsidRPr="00330234">
              <w:t xml:space="preserve"> in direct zonlicht.</w:t>
            </w:r>
          </w:p>
          <w:p w14:paraId="098604A7" w14:textId="77777777" w:rsidR="0079783A" w:rsidRPr="00330234" w:rsidRDefault="0079783A" w:rsidP="002C40DF">
            <w:pPr>
              <w:pStyle w:val="a3"/>
              <w:numPr>
                <w:ilvl w:val="0"/>
                <w:numId w:val="37"/>
              </w:numPr>
              <w:tabs>
                <w:tab w:val="left" w:pos="1134"/>
              </w:tabs>
              <w:suppressAutoHyphens/>
              <w:autoSpaceDE/>
              <w:autoSpaceDN/>
              <w:ind w:left="1134" w:hanging="567"/>
              <w:rPr>
                <w:rFonts w:eastAsia="SimSun"/>
              </w:rPr>
            </w:pPr>
            <w:r w:rsidRPr="00330234">
              <w:t xml:space="preserve">Verwijder de dop </w:t>
            </w:r>
            <w:r w:rsidRPr="00330234">
              <w:rPr>
                <w:b/>
                <w:bCs/>
              </w:rPr>
              <w:t>niet</w:t>
            </w:r>
            <w:r w:rsidRPr="00330234">
              <w:t xml:space="preserve"> wanneer uw voorgevulde spuit nog niet op kamertemperatuur is.</w:t>
            </w:r>
          </w:p>
          <w:p w14:paraId="756D3436" w14:textId="2E9EBF94" w:rsidR="0079783A" w:rsidRPr="00330234" w:rsidRDefault="00C302F6" w:rsidP="002C40DF">
            <w:pPr>
              <w:pStyle w:val="a3"/>
              <w:numPr>
                <w:ilvl w:val="0"/>
                <w:numId w:val="37"/>
              </w:numPr>
              <w:tabs>
                <w:tab w:val="left" w:pos="1134"/>
              </w:tabs>
              <w:suppressAutoHyphens/>
              <w:autoSpaceDE/>
              <w:autoSpaceDN/>
              <w:ind w:left="1134" w:hanging="567"/>
              <w:rPr>
                <w:rFonts w:eastAsia="SimSun"/>
              </w:rPr>
            </w:pPr>
            <w:r w:rsidRPr="00330234">
              <w:t xml:space="preserve">Als de voorgevulde spuit </w:t>
            </w:r>
            <w:r w:rsidR="0079783A" w:rsidRPr="00330234">
              <w:t xml:space="preserve">niet op kamertemperatuur </w:t>
            </w:r>
            <w:r w:rsidRPr="00330234">
              <w:t>is ge</w:t>
            </w:r>
            <w:r w:rsidR="0079783A" w:rsidRPr="00330234">
              <w:t>komen</w:t>
            </w:r>
            <w:r w:rsidRPr="00330234">
              <w:t>,</w:t>
            </w:r>
            <w:r w:rsidR="0079783A" w:rsidRPr="00330234">
              <w:t xml:space="preserve"> kan </w:t>
            </w:r>
            <w:r w:rsidRPr="00330234">
              <w:t xml:space="preserve">dat </w:t>
            </w:r>
            <w:r w:rsidR="0079783A" w:rsidRPr="00330234">
              <w:t xml:space="preserve">een onprettige injectie tot gevolg hebben en </w:t>
            </w:r>
            <w:r w:rsidRPr="00330234">
              <w:t xml:space="preserve">kan </w:t>
            </w:r>
            <w:r w:rsidR="0079783A" w:rsidRPr="00330234">
              <w:t>het lastig zijn om de zuiger in te drukken.</w:t>
            </w:r>
          </w:p>
          <w:p w14:paraId="7978E8A2" w14:textId="77777777" w:rsidR="0079783A" w:rsidRPr="00330234" w:rsidRDefault="0079783A" w:rsidP="003E2554"/>
        </w:tc>
      </w:tr>
      <w:tr w:rsidR="00A358A8" w:rsidRPr="00330234" w14:paraId="2A6C82F7" w14:textId="77777777">
        <w:trPr>
          <w:cantSplit/>
        </w:trPr>
        <w:tc>
          <w:tcPr>
            <w:tcW w:w="3539" w:type="dxa"/>
          </w:tcPr>
          <w:p w14:paraId="3D034AB1" w14:textId="2457BFCD" w:rsidR="0079783A" w:rsidRPr="00330234" w:rsidRDefault="00315255">
            <w:pPr>
              <w:suppressAutoHyphens/>
            </w:pPr>
            <w:r>
              <w:rPr>
                <w:noProof/>
                <w:lang w:val="en-US" w:eastAsia="ko-KR"/>
              </w:rPr>
              <w:drawing>
                <wp:inline distT="0" distB="0" distL="0" distR="0" wp14:anchorId="40CEBDD6" wp14:editId="7AB246EC">
                  <wp:extent cx="2062480" cy="2562225"/>
                  <wp:effectExtent l="19050" t="19050" r="0" b="9525"/>
                  <wp:docPr id="11" name="그림 1590965773" descr="스케치, 그림, 검,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590965773" descr="스케치, 그림, 검, 일러스트레이션이(가) 표시된 사진&#10;&#10;자동 생성된 설명"/>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62480" cy="2562225"/>
                          </a:xfrm>
                          <a:prstGeom prst="rect">
                            <a:avLst/>
                          </a:prstGeom>
                          <a:noFill/>
                          <a:ln w="9525" cmpd="sng">
                            <a:solidFill>
                              <a:srgbClr val="000000"/>
                            </a:solidFill>
                            <a:miter lim="800000"/>
                            <a:headEnd/>
                            <a:tailEnd/>
                          </a:ln>
                          <a:effectLst/>
                        </pic:spPr>
                      </pic:pic>
                    </a:graphicData>
                  </a:graphic>
                </wp:inline>
              </w:drawing>
            </w:r>
          </w:p>
          <w:p w14:paraId="42554C8E" w14:textId="662CF3A3" w:rsidR="0079783A" w:rsidRPr="00330234" w:rsidRDefault="0079783A">
            <w:pPr>
              <w:suppressAutoHyphens/>
              <w:jc w:val="right"/>
              <w:rPr>
                <w:b/>
                <w:bCs/>
              </w:rPr>
            </w:pPr>
            <w:r w:rsidRPr="00330234">
              <w:rPr>
                <w:b/>
              </w:rPr>
              <w:t>Figuur F</w:t>
            </w:r>
          </w:p>
        </w:tc>
        <w:tc>
          <w:tcPr>
            <w:tcW w:w="5517" w:type="dxa"/>
          </w:tcPr>
          <w:p w14:paraId="5D66BEC6" w14:textId="77777777" w:rsidR="0079783A" w:rsidRPr="00330234" w:rsidRDefault="0079783A" w:rsidP="002C40DF">
            <w:pPr>
              <w:pStyle w:val="a3"/>
              <w:numPr>
                <w:ilvl w:val="0"/>
                <w:numId w:val="38"/>
              </w:numPr>
              <w:tabs>
                <w:tab w:val="left" w:pos="567"/>
              </w:tabs>
              <w:suppressAutoHyphens/>
              <w:autoSpaceDE/>
              <w:autoSpaceDN/>
              <w:ind w:left="567" w:hanging="567"/>
              <w:rPr>
                <w:b/>
              </w:rPr>
            </w:pPr>
            <w:r w:rsidRPr="00330234">
              <w:rPr>
                <w:b/>
              </w:rPr>
              <w:t>Inspecteer het geneesmiddel.</w:t>
            </w:r>
          </w:p>
          <w:p w14:paraId="49B18DF1" w14:textId="77777777" w:rsidR="0079783A" w:rsidRPr="00330234" w:rsidRDefault="0079783A" w:rsidP="002C40DF">
            <w:pPr>
              <w:tabs>
                <w:tab w:val="left" w:pos="567"/>
              </w:tabs>
              <w:suppressAutoHyphens/>
              <w:ind w:left="567" w:hanging="567"/>
            </w:pPr>
          </w:p>
          <w:p w14:paraId="3B9F327D" w14:textId="77777777" w:rsidR="0079783A" w:rsidRPr="00330234" w:rsidRDefault="0079783A" w:rsidP="002C40DF">
            <w:pPr>
              <w:pStyle w:val="a3"/>
              <w:numPr>
                <w:ilvl w:val="0"/>
                <w:numId w:val="43"/>
              </w:numPr>
              <w:tabs>
                <w:tab w:val="left" w:pos="567"/>
              </w:tabs>
              <w:suppressAutoHyphens/>
              <w:autoSpaceDE/>
              <w:autoSpaceDN/>
              <w:ind w:left="567" w:hanging="567"/>
              <w:rPr>
                <w:rFonts w:eastAsia="SimSun"/>
              </w:rPr>
            </w:pPr>
            <w:r w:rsidRPr="00330234">
              <w:t>Houd uw Avtozma-spuit vast met de dop naar beneden gericht.</w:t>
            </w:r>
          </w:p>
          <w:p w14:paraId="6560BA60" w14:textId="77777777" w:rsidR="0079783A" w:rsidRPr="00330234" w:rsidRDefault="0079783A" w:rsidP="002C40DF">
            <w:pPr>
              <w:pStyle w:val="a3"/>
              <w:numPr>
                <w:ilvl w:val="0"/>
                <w:numId w:val="43"/>
              </w:numPr>
              <w:tabs>
                <w:tab w:val="left" w:pos="567"/>
              </w:tabs>
              <w:suppressAutoHyphens/>
              <w:autoSpaceDE/>
              <w:autoSpaceDN/>
              <w:ind w:left="567" w:hanging="567"/>
              <w:rPr>
                <w:rFonts w:eastAsia="SimSun"/>
              </w:rPr>
            </w:pPr>
            <w:r w:rsidRPr="00330234">
              <w:t xml:space="preserve">Controleer het geneesmiddel en bevestig dat de vloeistof helder en kleurloos tot lichtgeel is en vrij van deeltjes of vlokken (zie </w:t>
            </w:r>
            <w:r w:rsidRPr="00330234">
              <w:rPr>
                <w:b/>
              </w:rPr>
              <w:t>figuur F</w:t>
            </w:r>
            <w:r w:rsidRPr="00330234">
              <w:t>).</w:t>
            </w:r>
          </w:p>
          <w:p w14:paraId="4ADAF454" w14:textId="77777777" w:rsidR="0079783A" w:rsidRPr="00330234" w:rsidRDefault="0079783A" w:rsidP="002C40DF">
            <w:pPr>
              <w:pStyle w:val="a3"/>
              <w:numPr>
                <w:ilvl w:val="0"/>
                <w:numId w:val="37"/>
              </w:numPr>
              <w:tabs>
                <w:tab w:val="left" w:pos="1134"/>
              </w:tabs>
              <w:suppressAutoHyphens/>
              <w:autoSpaceDE/>
              <w:autoSpaceDN/>
              <w:ind w:left="1134" w:hanging="567"/>
              <w:rPr>
                <w:rFonts w:eastAsia="SimSun"/>
              </w:rPr>
            </w:pPr>
            <w:r w:rsidRPr="00330234">
              <w:t xml:space="preserve">Gebruik de voorgevulde spuit </w:t>
            </w:r>
            <w:r w:rsidRPr="00330234">
              <w:rPr>
                <w:b/>
              </w:rPr>
              <w:t>niet</w:t>
            </w:r>
            <w:r w:rsidRPr="00330234">
              <w:t xml:space="preserve"> als de vloeistof verkleurd of troebel is of deeltjes of vlokken bevat. Gooi de voorgevulde spuit dan veilig weg in een naaldencontainer, en neem een nieuwe voorgevulde spuit.</w:t>
            </w:r>
          </w:p>
          <w:p w14:paraId="4CDC133B" w14:textId="77777777" w:rsidR="0079783A" w:rsidRPr="00330234" w:rsidRDefault="0079783A" w:rsidP="002C40DF">
            <w:pPr>
              <w:pStyle w:val="a3"/>
              <w:numPr>
                <w:ilvl w:val="0"/>
                <w:numId w:val="37"/>
              </w:numPr>
              <w:tabs>
                <w:tab w:val="left" w:pos="1134"/>
              </w:tabs>
              <w:suppressAutoHyphens/>
              <w:autoSpaceDE/>
              <w:autoSpaceDN/>
              <w:ind w:left="1134" w:hanging="567"/>
              <w:rPr>
                <w:rFonts w:eastAsia="SimSun"/>
              </w:rPr>
            </w:pPr>
            <w:r w:rsidRPr="00330234">
              <w:t>Luchtbellen zijn normaal.</w:t>
            </w:r>
          </w:p>
          <w:p w14:paraId="31DA9AAC" w14:textId="77777777" w:rsidR="0079783A" w:rsidRPr="00330234" w:rsidRDefault="0079783A" w:rsidP="003E2554"/>
        </w:tc>
      </w:tr>
      <w:tr w:rsidR="00A358A8" w:rsidRPr="00330234" w14:paraId="2EF251FB" w14:textId="77777777">
        <w:trPr>
          <w:cantSplit/>
        </w:trPr>
        <w:tc>
          <w:tcPr>
            <w:tcW w:w="3539" w:type="dxa"/>
          </w:tcPr>
          <w:p w14:paraId="1FE90657" w14:textId="69C0833F" w:rsidR="0079783A" w:rsidRPr="00330234" w:rsidRDefault="00315255">
            <w:pPr>
              <w:suppressAutoHyphens/>
            </w:pPr>
            <w:r>
              <w:rPr>
                <w:noProof/>
                <w:lang w:val="en-US" w:eastAsia="ko-KR"/>
              </w:rPr>
              <w:lastRenderedPageBreak/>
              <w:drawing>
                <wp:inline distT="0" distB="0" distL="0" distR="0" wp14:anchorId="523317CD" wp14:editId="5768C7A9">
                  <wp:extent cx="2062480" cy="2594610"/>
                  <wp:effectExtent l="19050" t="19050" r="0" b="0"/>
                  <wp:docPr id="12" name="그림 1920431552" descr="스케치, 그림, 라인 아트,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920431552" descr="스케치, 그림, 라인 아트, 아동 미술이(가) 표시된 사진&#10;&#10;자동 생성된 설명"/>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62480" cy="2594610"/>
                          </a:xfrm>
                          <a:prstGeom prst="rect">
                            <a:avLst/>
                          </a:prstGeom>
                          <a:noFill/>
                          <a:ln w="9525" cmpd="sng">
                            <a:solidFill>
                              <a:srgbClr val="000000"/>
                            </a:solidFill>
                            <a:miter lim="800000"/>
                            <a:headEnd/>
                            <a:tailEnd/>
                          </a:ln>
                          <a:effectLst/>
                        </pic:spPr>
                      </pic:pic>
                    </a:graphicData>
                  </a:graphic>
                </wp:inline>
              </w:drawing>
            </w:r>
          </w:p>
          <w:p w14:paraId="49A4EB75" w14:textId="77777777" w:rsidR="0079783A" w:rsidRPr="00330234" w:rsidRDefault="0079783A">
            <w:pPr>
              <w:suppressAutoHyphens/>
              <w:jc w:val="right"/>
              <w:rPr>
                <w:b/>
                <w:bCs/>
              </w:rPr>
            </w:pPr>
            <w:r w:rsidRPr="00330234">
              <w:rPr>
                <w:b/>
              </w:rPr>
              <w:t>Figuur G</w:t>
            </w:r>
          </w:p>
        </w:tc>
        <w:tc>
          <w:tcPr>
            <w:tcW w:w="5517" w:type="dxa"/>
          </w:tcPr>
          <w:p w14:paraId="56E9B5A7" w14:textId="77777777" w:rsidR="0079783A" w:rsidRPr="00330234" w:rsidRDefault="0079783A" w:rsidP="002C40DF">
            <w:pPr>
              <w:pStyle w:val="a3"/>
              <w:numPr>
                <w:ilvl w:val="0"/>
                <w:numId w:val="38"/>
              </w:numPr>
              <w:tabs>
                <w:tab w:val="left" w:pos="567"/>
              </w:tabs>
              <w:suppressAutoHyphens/>
              <w:autoSpaceDE/>
              <w:autoSpaceDN/>
              <w:ind w:left="567" w:hanging="567"/>
              <w:rPr>
                <w:b/>
              </w:rPr>
            </w:pPr>
            <w:r w:rsidRPr="00330234">
              <w:rPr>
                <w:b/>
              </w:rPr>
              <w:t>Was uw handen.</w:t>
            </w:r>
          </w:p>
          <w:p w14:paraId="5EEAB2D0" w14:textId="77777777" w:rsidR="0079783A" w:rsidRPr="00330234" w:rsidRDefault="0079783A" w:rsidP="002C40DF">
            <w:pPr>
              <w:tabs>
                <w:tab w:val="left" w:pos="567"/>
              </w:tabs>
              <w:suppressAutoHyphens/>
              <w:ind w:left="567" w:hanging="567"/>
            </w:pPr>
          </w:p>
          <w:p w14:paraId="6CDACC06" w14:textId="77777777" w:rsidR="0079783A" w:rsidRPr="00330234" w:rsidRDefault="0079783A" w:rsidP="002C40DF">
            <w:pPr>
              <w:pStyle w:val="a3"/>
              <w:numPr>
                <w:ilvl w:val="0"/>
                <w:numId w:val="44"/>
              </w:numPr>
              <w:tabs>
                <w:tab w:val="left" w:pos="567"/>
              </w:tabs>
              <w:suppressAutoHyphens/>
              <w:autoSpaceDE/>
              <w:autoSpaceDN/>
              <w:ind w:left="567" w:hanging="567"/>
              <w:rPr>
                <w:rFonts w:eastAsia="SimSun"/>
              </w:rPr>
            </w:pPr>
            <w:r w:rsidRPr="00330234">
              <w:t xml:space="preserve">Was uw handen met water en zeep, en droog ze goed af (zie </w:t>
            </w:r>
            <w:r w:rsidRPr="00330234">
              <w:rPr>
                <w:b/>
              </w:rPr>
              <w:t>figuur G</w:t>
            </w:r>
            <w:r w:rsidRPr="00330234">
              <w:t>).</w:t>
            </w:r>
          </w:p>
          <w:p w14:paraId="20D1E2B1" w14:textId="77777777" w:rsidR="0079783A" w:rsidRPr="00330234" w:rsidRDefault="0079783A" w:rsidP="003E2554"/>
        </w:tc>
      </w:tr>
      <w:tr w:rsidR="00A358A8" w:rsidRPr="00330234" w14:paraId="1135A43F" w14:textId="77777777">
        <w:trPr>
          <w:cantSplit/>
        </w:trPr>
        <w:tc>
          <w:tcPr>
            <w:tcW w:w="3539" w:type="dxa"/>
          </w:tcPr>
          <w:p w14:paraId="213FCE12" w14:textId="1CBB23BC" w:rsidR="0079783A" w:rsidRPr="00330234" w:rsidRDefault="00315255">
            <w:pPr>
              <w:suppressAutoHyphens/>
            </w:pPr>
            <w:r>
              <w:rPr>
                <w:noProof/>
                <w:lang w:val="en-US" w:eastAsia="ko-KR"/>
              </w:rPr>
              <w:drawing>
                <wp:inline distT="0" distB="0" distL="0" distR="0" wp14:anchorId="47446E31" wp14:editId="288F4E4A">
                  <wp:extent cx="2062480" cy="3317240"/>
                  <wp:effectExtent l="19050" t="19050" r="0" b="0"/>
                  <wp:docPr id="13" name="그림 1910960139" descr="스케치, 화이트, 그림,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910960139" descr="스케치, 화이트, 그림, 디자인이(가) 표시된 사진&#10;&#10;자동 생성된 설명"/>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62480" cy="3317240"/>
                          </a:xfrm>
                          <a:prstGeom prst="rect">
                            <a:avLst/>
                          </a:prstGeom>
                          <a:noFill/>
                          <a:ln w="9525" cmpd="sng">
                            <a:solidFill>
                              <a:srgbClr val="000000"/>
                            </a:solidFill>
                            <a:miter lim="800000"/>
                            <a:headEnd/>
                            <a:tailEnd/>
                          </a:ln>
                          <a:effectLst/>
                        </pic:spPr>
                      </pic:pic>
                    </a:graphicData>
                  </a:graphic>
                </wp:inline>
              </w:drawing>
            </w:r>
          </w:p>
          <w:p w14:paraId="27D151BF" w14:textId="43FAB260" w:rsidR="0079783A" w:rsidRPr="00330234" w:rsidRDefault="00315255">
            <w:pPr>
              <w:suppressAutoHyphens/>
              <w:jc w:val="right"/>
              <w:rPr>
                <w:b/>
                <w:bCs/>
              </w:rPr>
            </w:pPr>
            <w:r>
              <w:rPr>
                <w:noProof/>
                <w:lang w:val="en-US" w:eastAsia="ko-KR"/>
              </w:rPr>
              <mc:AlternateContent>
                <mc:Choice Requires="wps">
                  <w:drawing>
                    <wp:anchor distT="45720" distB="45720" distL="114300" distR="114300" simplePos="0" relativeHeight="251658259" behindDoc="0" locked="1" layoutInCell="1" allowOverlap="1" wp14:anchorId="463F32D9" wp14:editId="2006E7E3">
                      <wp:simplePos x="0" y="0"/>
                      <wp:positionH relativeFrom="column">
                        <wp:posOffset>574675</wp:posOffset>
                      </wp:positionH>
                      <wp:positionV relativeFrom="page">
                        <wp:posOffset>2881630</wp:posOffset>
                      </wp:positionV>
                      <wp:extent cx="1410970" cy="434975"/>
                      <wp:effectExtent l="0" t="0" r="0" b="0"/>
                      <wp:wrapNone/>
                      <wp:docPr id="77886427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970" cy="434975"/>
                              </a:xfrm>
                              <a:prstGeom prst="rect">
                                <a:avLst/>
                              </a:prstGeom>
                              <a:noFill/>
                              <a:ln>
                                <a:noFill/>
                              </a:ln>
                            </wps:spPr>
                            <wps:txbx>
                              <w:txbxContent>
                                <w:p w14:paraId="7F33330A" w14:textId="606B6F6E" w:rsidR="0079783A" w:rsidRPr="001B3E1E" w:rsidRDefault="0079783A" w:rsidP="0079783A">
                                  <w:pPr>
                                    <w:rPr>
                                      <w:rFonts w:cs="Arial"/>
                                      <w:b/>
                                      <w:bCs/>
                                      <w:sz w:val="20"/>
                                      <w:szCs w:val="20"/>
                                    </w:rPr>
                                  </w:pPr>
                                  <w:r w:rsidRPr="001B3E1E">
                                    <w:rPr>
                                      <w:b/>
                                      <w:bCs/>
                                      <w:sz w:val="20"/>
                                      <w:szCs w:val="20"/>
                                    </w:rPr>
                                    <w:t>Zelf-injectie, verzorger en beroepsbeoefenaar in de gezondheidszorg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3F32D9" id="Text Box 75" o:spid="_x0000_s1045" type="#_x0000_t202" style="position:absolute;left:0;text-align:left;margin-left:45.25pt;margin-top:226.9pt;width:111.1pt;height:34.2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LSv2wEAAJkDAAAOAAAAZHJzL2Uyb0RvYy54bWysU9tu2zAMfR+wfxD0vjjpsnUx4hRdiw4D&#10;ugvQ9QNoWbaF2aJGKbGzrx8lx+kub8VeBEqUDs85pLZXY9+JgyZv0BZytVhKoa3CytimkI/f7l69&#10;k8IHsBV0aHUhj9rLq93LF9vB5foCW+wqTYJBrM8HV8g2BJdnmVet7sEv0GnLyRqph8BbarKKYGD0&#10;vssulsu32YBUOUKlvefT2ykpdwm/rrUKX+ra6yC6QjK3kFZKaxnXbLeFvCFwrVEnGvAMFj0Yy0XP&#10;ULcQQOzJ/APVG0XosQ4LhX2GdW2UThpYzWr5l5qHFpxOWtgc7842+f8Hqz4fHtxXEmF8jyM3MInw&#10;7h7Vdy8s3rRgG31NhEOroeLCq2hZNjifn55Gq33uI0g5fMKKmwz7gAlorKmPrrBOwejcgOPZdD0G&#10;oWLJ9Wq5ueSU4tz69Xpz+SaVgHx+7ciHDxp7EYNCEjc1ocPh3ofIBvL5Sixm8c50XWpsZ/844Ivx&#10;JLGPhCfqYSxHYSpmsomFo5oSqyPrIZzmheebgxbppxQDz0oh/Y89kJai+2jZkzhYc0BzUM4BWMVP&#10;CxmkmMKbMA3g3pFpWkaeXLd4zb7VJkl6YnHiy/1PSk+zGgfs93269fSjdr8AAAD//wMAUEsDBBQA&#10;BgAIAAAAIQB0u4hC4AAAAAoBAAAPAAAAZHJzL2Rvd25yZXYueG1sTI/BTsMwEETvSPyDtUjcqN2E&#10;FBriVBWCExJqGg4cnXibWI3XIXbb8PeYExxX+zTzptjMdmBnnLxxJGG5EMCQWqcNdRI+6te7R2A+&#10;KNJqcIQSvtHDpry+KlSu3YUqPO9Dx2II+VxJ6EMYc85926NVfuFGpPg7uMmqEM+p43pSlxhuB54I&#10;seJWGYoNvRrxucf2uD9ZCdtPql7M13uzqw6Vqeu1oLfVUcrbm3n7BCzgHP5g+NWP6lBGp8adSHs2&#10;SFiLLJIS7rM0TohAukwegDUSsiRJgZcF/z+h/AEAAP//AwBQSwECLQAUAAYACAAAACEAtoM4kv4A&#10;AADhAQAAEwAAAAAAAAAAAAAAAAAAAAAAW0NvbnRlbnRfVHlwZXNdLnhtbFBLAQItABQABgAIAAAA&#10;IQA4/SH/1gAAAJQBAAALAAAAAAAAAAAAAAAAAC8BAABfcmVscy8ucmVsc1BLAQItABQABgAIAAAA&#10;IQCalLSv2wEAAJkDAAAOAAAAAAAAAAAAAAAAAC4CAABkcnMvZTJvRG9jLnhtbFBLAQItABQABgAI&#10;AAAAIQB0u4hC4AAAAAoBAAAPAAAAAAAAAAAAAAAAADUEAABkcnMvZG93bnJldi54bWxQSwUGAAAA&#10;AAQABADzAAAAQgUAAAAA&#10;" filled="f" stroked="f">
                      <v:textbox inset="0,0,0,0">
                        <w:txbxContent>
                          <w:p w14:paraId="7F33330A" w14:textId="606B6F6E" w:rsidR="0079783A" w:rsidRPr="001B3E1E" w:rsidRDefault="0079783A" w:rsidP="0079783A">
                            <w:pPr>
                              <w:rPr>
                                <w:rFonts w:cs="Arial"/>
                                <w:b/>
                                <w:bCs/>
                                <w:sz w:val="20"/>
                                <w:szCs w:val="20"/>
                              </w:rPr>
                            </w:pPr>
                            <w:r w:rsidRPr="001B3E1E">
                              <w:rPr>
                                <w:b/>
                                <w:bCs/>
                                <w:sz w:val="20"/>
                                <w:szCs w:val="20"/>
                              </w:rPr>
                              <w:t>Zelf-injectie, verzorger en beroepsbeoefenaar in de gezondheidszorg</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60" behindDoc="0" locked="1" layoutInCell="1" allowOverlap="1" wp14:anchorId="6C96DD66" wp14:editId="74E8EA87">
                      <wp:simplePos x="0" y="0"/>
                      <wp:positionH relativeFrom="column">
                        <wp:posOffset>573405</wp:posOffset>
                      </wp:positionH>
                      <wp:positionV relativeFrom="page">
                        <wp:posOffset>2400935</wp:posOffset>
                      </wp:positionV>
                      <wp:extent cx="1380490" cy="480695"/>
                      <wp:effectExtent l="0" t="0" r="0" b="0"/>
                      <wp:wrapNone/>
                      <wp:docPr id="202398747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0490" cy="480695"/>
                              </a:xfrm>
                              <a:prstGeom prst="rect">
                                <a:avLst/>
                              </a:prstGeom>
                              <a:noFill/>
                              <a:ln>
                                <a:noFill/>
                              </a:ln>
                            </wps:spPr>
                            <wps:txbx>
                              <w:txbxContent>
                                <w:p w14:paraId="3849655C" w14:textId="16F65B08" w:rsidR="0079783A" w:rsidRPr="001B3E1E" w:rsidRDefault="0079783A" w:rsidP="0079783A">
                                  <w:pPr>
                                    <w:rPr>
                                      <w:rFonts w:cs="Arial"/>
                                      <w:b/>
                                      <w:bCs/>
                                      <w:sz w:val="20"/>
                                      <w:szCs w:val="20"/>
                                    </w:rPr>
                                  </w:pPr>
                                  <w:r w:rsidRPr="001B3E1E">
                                    <w:rPr>
                                      <w:b/>
                                      <w:bCs/>
                                      <w:sz w:val="20"/>
                                      <w:szCs w:val="20"/>
                                    </w:rPr>
                                    <w:t>ALLEEN verzorger en beroepsbeoefenaar in de gezondheidszorg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96DD66" id="Text Box 73" o:spid="_x0000_s1046" type="#_x0000_t202" style="position:absolute;left:0;text-align:left;margin-left:45.15pt;margin-top:189.05pt;width:108.7pt;height:37.8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Izp2wEAAJkDAAAOAAAAZHJzL2Uyb0RvYy54bWysU8tu2zAQvBfoPxC815LdNHAEy0GaIEWB&#10;9AGk+QCKoiyiEpfdpS25X98lZTltcyt6IVZ8zM7MjjbXY9+Jg0Gy4Eq5XORSGKehtm5Xyqdv92/W&#10;UlBQrlYdOFPKoyF5vX39ajP4wqygha42KBjEUTH4UrYh+CLLSLemV7QAbxwfNoC9CvyJu6xGNTB6&#10;32WrPL/MBsDaI2hDxLt306HcJvymMTp8aRoyQXSlZG4hrZjWKq7ZdqOKHSrfWn2iof6BRa+s46Zn&#10;qDsVlNijfQHVW41A0ISFhj6DprHaJA2sZpn/peaxVd4kLWwO+bNN9P9g9efDo/+KIozvYeQBJhHk&#10;H0B/J+HgtlVuZ24QYWiNqrnxMlqWDZ6K09NoNRUUQarhE9Q8ZLUPkIDGBvvoCusUjM4DOJ5NN2MQ&#10;OrZ8u84vrvhI89nFOr+8epdaqGJ+7ZHCBwO9iEUpkYea0NXhgUJko4r5Smzm4N52XRps5/7Y4Itx&#10;J7GPhCfqYaxGYetSrlIcopoK6iPrQZjywvnmogX8KcXAWSkl/dgrNFJ0Hx17EoM1FzgX1Vwop/lp&#10;KYMUU3kbpgDuPdpdy8iT6w5u2LfGJknPLE58ef5J6SmrMWC/f6dbz3/U9hcAAAD//wMAUEsDBBQA&#10;BgAIAAAAIQDFWurh4AAAAAoBAAAPAAAAZHJzL2Rvd25yZXYueG1sTI/BTsMwEETvSPyDtUjcqF0C&#10;TRriVBWCExIiDQeOTrxNrMbrELtt+HvMqRxX8zTzttjMdmAnnLxxJGG5EMCQWqcNdRI+69e7DJgP&#10;irQaHKGEH/SwKa+vCpVrd6YKT7vQsVhCPlcS+hDGnHPf9miVX7gRKWZ7N1kV4jl1XE/qHMvtwO+F&#10;WHGrDMWFXo343GN72B2thO0XVS/m+735qPaVqeu1oLfVQcrbm3n7BCzgHC4w/OlHdSijU+OOpD0b&#10;JKxFEkkJSZotgUUgEWkKrJHw8JhkwMuC/3+h/AUAAP//AwBQSwECLQAUAAYACAAAACEAtoM4kv4A&#10;AADhAQAAEwAAAAAAAAAAAAAAAAAAAAAAW0NvbnRlbnRfVHlwZXNdLnhtbFBLAQItABQABgAIAAAA&#10;IQA4/SH/1gAAAJQBAAALAAAAAAAAAAAAAAAAAC8BAABfcmVscy8ucmVsc1BLAQItABQABgAIAAAA&#10;IQAIPIzp2wEAAJkDAAAOAAAAAAAAAAAAAAAAAC4CAABkcnMvZTJvRG9jLnhtbFBLAQItABQABgAI&#10;AAAAIQDFWurh4AAAAAoBAAAPAAAAAAAAAAAAAAAAADUEAABkcnMvZG93bnJldi54bWxQSwUGAAAA&#10;AAQABADzAAAAQgUAAAAA&#10;" filled="f" stroked="f">
                      <v:textbox inset="0,0,0,0">
                        <w:txbxContent>
                          <w:p w14:paraId="3849655C" w14:textId="16F65B08" w:rsidR="0079783A" w:rsidRPr="001B3E1E" w:rsidRDefault="0079783A" w:rsidP="0079783A">
                            <w:pPr>
                              <w:rPr>
                                <w:rFonts w:cs="Arial"/>
                                <w:b/>
                                <w:bCs/>
                                <w:sz w:val="20"/>
                                <w:szCs w:val="20"/>
                              </w:rPr>
                            </w:pPr>
                            <w:r w:rsidRPr="001B3E1E">
                              <w:rPr>
                                <w:b/>
                                <w:bCs/>
                                <w:sz w:val="20"/>
                                <w:szCs w:val="20"/>
                              </w:rPr>
                              <w:t>ALLEEN verzorger en beroepsbeoefenaar in de gezondheidszorg</w:t>
                            </w:r>
                          </w:p>
                        </w:txbxContent>
                      </v:textbox>
                      <w10:wrap anchory="page"/>
                      <w10:anchorlock/>
                    </v:shape>
                  </w:pict>
                </mc:Fallback>
              </mc:AlternateContent>
            </w:r>
            <w:r w:rsidR="0079783A" w:rsidRPr="00330234">
              <w:rPr>
                <w:b/>
              </w:rPr>
              <w:t>Figuur H</w:t>
            </w:r>
          </w:p>
        </w:tc>
        <w:tc>
          <w:tcPr>
            <w:tcW w:w="5517" w:type="dxa"/>
          </w:tcPr>
          <w:p w14:paraId="2439D19F" w14:textId="77777777" w:rsidR="0079783A" w:rsidRPr="00330234" w:rsidRDefault="0079783A" w:rsidP="002C40DF">
            <w:pPr>
              <w:pStyle w:val="a3"/>
              <w:numPr>
                <w:ilvl w:val="0"/>
                <w:numId w:val="38"/>
              </w:numPr>
              <w:tabs>
                <w:tab w:val="left" w:pos="567"/>
              </w:tabs>
              <w:suppressAutoHyphens/>
              <w:autoSpaceDE/>
              <w:autoSpaceDN/>
              <w:ind w:left="567" w:hanging="567"/>
              <w:rPr>
                <w:b/>
              </w:rPr>
            </w:pPr>
            <w:r w:rsidRPr="00330234">
              <w:rPr>
                <w:b/>
              </w:rPr>
              <w:t>Kies een geschikte injectieplaats (zie figuur H).</w:t>
            </w:r>
          </w:p>
          <w:p w14:paraId="592B944E" w14:textId="77777777" w:rsidR="0079783A" w:rsidRPr="00330234" w:rsidRDefault="0079783A" w:rsidP="002C40DF">
            <w:pPr>
              <w:tabs>
                <w:tab w:val="left" w:pos="567"/>
              </w:tabs>
            </w:pPr>
          </w:p>
          <w:p w14:paraId="77E5627A" w14:textId="7EF0F8C6" w:rsidR="0079783A" w:rsidRPr="00330234" w:rsidRDefault="0079783A" w:rsidP="002C40DF">
            <w:pPr>
              <w:pStyle w:val="a3"/>
              <w:numPr>
                <w:ilvl w:val="0"/>
                <w:numId w:val="45"/>
              </w:numPr>
              <w:tabs>
                <w:tab w:val="left" w:pos="567"/>
              </w:tabs>
              <w:suppressAutoHyphens/>
              <w:autoSpaceDE/>
              <w:autoSpaceDN/>
              <w:ind w:left="567" w:hanging="567"/>
              <w:rPr>
                <w:rFonts w:eastAsia="SimSun"/>
              </w:rPr>
            </w:pPr>
            <w:r w:rsidRPr="00330234">
              <w:t>U kunt injecteren in</w:t>
            </w:r>
            <w:r w:rsidR="008931E3" w:rsidRPr="00330234">
              <w:t>:</w:t>
            </w:r>
          </w:p>
          <w:p w14:paraId="35FFE2F9" w14:textId="01042B05" w:rsidR="0079783A" w:rsidRPr="00330234" w:rsidRDefault="0079783A" w:rsidP="002C40DF">
            <w:pPr>
              <w:pStyle w:val="a3"/>
              <w:numPr>
                <w:ilvl w:val="0"/>
                <w:numId w:val="46"/>
              </w:numPr>
              <w:tabs>
                <w:tab w:val="left" w:pos="1134"/>
              </w:tabs>
              <w:suppressAutoHyphens/>
              <w:autoSpaceDE/>
              <w:autoSpaceDN/>
              <w:ind w:left="1134" w:hanging="567"/>
              <w:rPr>
                <w:rFonts w:eastAsia="SimSun"/>
              </w:rPr>
            </w:pPr>
            <w:r w:rsidRPr="00330234">
              <w:t xml:space="preserve">de </w:t>
            </w:r>
            <w:r w:rsidR="00C302F6" w:rsidRPr="00330234">
              <w:t>voor</w:t>
            </w:r>
            <w:r w:rsidRPr="00330234">
              <w:t>kant van uw dijen</w:t>
            </w:r>
            <w:r w:rsidR="008931E3" w:rsidRPr="00330234">
              <w:t>.</w:t>
            </w:r>
          </w:p>
          <w:p w14:paraId="34B33FA7" w14:textId="3B4DDF2C" w:rsidR="0079783A" w:rsidRPr="00330234" w:rsidRDefault="0079783A" w:rsidP="002C40DF">
            <w:pPr>
              <w:pStyle w:val="a3"/>
              <w:numPr>
                <w:ilvl w:val="0"/>
                <w:numId w:val="46"/>
              </w:numPr>
              <w:tabs>
                <w:tab w:val="left" w:pos="1134"/>
              </w:tabs>
              <w:suppressAutoHyphens/>
              <w:autoSpaceDE/>
              <w:autoSpaceDN/>
              <w:ind w:left="1134" w:hanging="567"/>
              <w:rPr>
                <w:rFonts w:eastAsia="SimSun"/>
              </w:rPr>
            </w:pPr>
            <w:r w:rsidRPr="00330234">
              <w:t>de onderbuik, behalve binnen 5 cm rondom de navel</w:t>
            </w:r>
            <w:r w:rsidR="008931E3" w:rsidRPr="00330234">
              <w:t>.</w:t>
            </w:r>
          </w:p>
          <w:p w14:paraId="5B9DB14C" w14:textId="4AC5DA5E" w:rsidR="0079783A" w:rsidRPr="00330234" w:rsidRDefault="00592E0A" w:rsidP="002C40DF">
            <w:pPr>
              <w:pStyle w:val="a3"/>
              <w:numPr>
                <w:ilvl w:val="0"/>
                <w:numId w:val="46"/>
              </w:numPr>
              <w:tabs>
                <w:tab w:val="left" w:pos="1134"/>
              </w:tabs>
              <w:suppressAutoHyphens/>
              <w:autoSpaceDE/>
              <w:autoSpaceDN/>
              <w:ind w:left="1134" w:hanging="567"/>
              <w:rPr>
                <w:rFonts w:eastAsia="SimSun"/>
              </w:rPr>
            </w:pPr>
            <w:r w:rsidRPr="00330234">
              <w:t>d</w:t>
            </w:r>
            <w:r w:rsidR="0079783A" w:rsidRPr="00330234">
              <w:t>e buitenkant van de bovenarm (alleen als u een verzorger of beroepsbeoefenaar in de gezondheidszorg bent).</w:t>
            </w:r>
          </w:p>
          <w:p w14:paraId="4BA7A353" w14:textId="77777777" w:rsidR="0079783A" w:rsidRPr="00330234" w:rsidRDefault="0079783A" w:rsidP="002C40DF">
            <w:pPr>
              <w:pStyle w:val="a3"/>
              <w:numPr>
                <w:ilvl w:val="0"/>
                <w:numId w:val="37"/>
              </w:numPr>
              <w:tabs>
                <w:tab w:val="left" w:pos="1134"/>
              </w:tabs>
              <w:suppressAutoHyphens/>
              <w:autoSpaceDE/>
              <w:autoSpaceDN/>
              <w:ind w:left="1134" w:hanging="567"/>
              <w:rPr>
                <w:rFonts w:eastAsia="SimSun"/>
              </w:rPr>
            </w:pPr>
            <w:r w:rsidRPr="00330234">
              <w:t xml:space="preserve">Injecteer </w:t>
            </w:r>
            <w:r w:rsidRPr="00330234">
              <w:rPr>
                <w:b/>
              </w:rPr>
              <w:t>niet</w:t>
            </w:r>
            <w:r w:rsidRPr="00330234">
              <w:t xml:space="preserve"> zelf in uw bovenarm.</w:t>
            </w:r>
          </w:p>
          <w:p w14:paraId="79318483" w14:textId="77777777" w:rsidR="0079783A" w:rsidRPr="00330234" w:rsidRDefault="0079783A" w:rsidP="002C40DF">
            <w:pPr>
              <w:pStyle w:val="a3"/>
              <w:numPr>
                <w:ilvl w:val="0"/>
                <w:numId w:val="37"/>
              </w:numPr>
              <w:tabs>
                <w:tab w:val="left" w:pos="1134"/>
              </w:tabs>
              <w:suppressAutoHyphens/>
              <w:autoSpaceDE/>
              <w:autoSpaceDN/>
              <w:ind w:left="1134" w:hanging="567"/>
              <w:rPr>
                <w:rFonts w:eastAsia="SimSun"/>
              </w:rPr>
            </w:pPr>
            <w:r w:rsidRPr="00330234">
              <w:t>Kies voor elke nieuwe injectie een andere injectieplaats op een afstand van ten minste 2,5 cm van het gebied dat voor de laatste injectie is gebruikt.</w:t>
            </w:r>
          </w:p>
          <w:p w14:paraId="7BB57BDD" w14:textId="27BEE9A3" w:rsidR="0079783A" w:rsidRPr="00330234" w:rsidRDefault="0079783A" w:rsidP="002C40DF">
            <w:pPr>
              <w:pStyle w:val="a3"/>
              <w:numPr>
                <w:ilvl w:val="0"/>
                <w:numId w:val="37"/>
              </w:numPr>
              <w:tabs>
                <w:tab w:val="left" w:pos="1134"/>
              </w:tabs>
              <w:suppressAutoHyphens/>
              <w:autoSpaceDE/>
              <w:autoSpaceDN/>
              <w:ind w:left="1134" w:hanging="567"/>
              <w:rPr>
                <w:rFonts w:eastAsia="SimSun"/>
              </w:rPr>
            </w:pPr>
            <w:r w:rsidRPr="00330234">
              <w:t xml:space="preserve">Injecteer </w:t>
            </w:r>
            <w:r w:rsidRPr="00330234">
              <w:rPr>
                <w:b/>
                <w:bCs/>
              </w:rPr>
              <w:t>niet</w:t>
            </w:r>
            <w:r w:rsidRPr="00330234">
              <w:t xml:space="preserve"> in moedervlekken, littekens, blauwe plekken of </w:t>
            </w:r>
            <w:r w:rsidR="00CE6690" w:rsidRPr="00330234">
              <w:t>gebieden</w:t>
            </w:r>
            <w:r w:rsidRPr="00330234">
              <w:t xml:space="preserve"> waar de huid gevoelig, rood of hard is.</w:t>
            </w:r>
          </w:p>
          <w:p w14:paraId="7C5DCB3C" w14:textId="77777777" w:rsidR="0079783A" w:rsidRPr="00330234" w:rsidRDefault="0079783A" w:rsidP="002C40DF">
            <w:pPr>
              <w:pStyle w:val="a3"/>
              <w:numPr>
                <w:ilvl w:val="0"/>
                <w:numId w:val="37"/>
              </w:numPr>
              <w:tabs>
                <w:tab w:val="left" w:pos="1134"/>
              </w:tabs>
              <w:suppressAutoHyphens/>
              <w:autoSpaceDE/>
              <w:autoSpaceDN/>
              <w:ind w:left="1134" w:hanging="567"/>
              <w:rPr>
                <w:rFonts w:eastAsia="SimSun"/>
              </w:rPr>
            </w:pPr>
            <w:r w:rsidRPr="00330234">
              <w:t xml:space="preserve">Injecteer </w:t>
            </w:r>
            <w:r w:rsidRPr="00330234">
              <w:rPr>
                <w:b/>
              </w:rPr>
              <w:t>niet</w:t>
            </w:r>
            <w:r w:rsidRPr="00330234">
              <w:t xml:space="preserve"> door uw kleding.</w:t>
            </w:r>
          </w:p>
          <w:p w14:paraId="354ACA0A" w14:textId="77777777" w:rsidR="0079783A" w:rsidRPr="00330234" w:rsidRDefault="0079783A" w:rsidP="003E2554"/>
        </w:tc>
      </w:tr>
      <w:tr w:rsidR="00A358A8" w:rsidRPr="00330234" w14:paraId="2A741B62" w14:textId="77777777">
        <w:trPr>
          <w:cantSplit/>
        </w:trPr>
        <w:tc>
          <w:tcPr>
            <w:tcW w:w="3539" w:type="dxa"/>
          </w:tcPr>
          <w:p w14:paraId="51EACAB8" w14:textId="4E5FDF2F" w:rsidR="0079783A" w:rsidRPr="00330234" w:rsidRDefault="00315255">
            <w:pPr>
              <w:suppressAutoHyphens/>
            </w:pPr>
            <w:r>
              <w:rPr>
                <w:noProof/>
                <w:lang w:val="en-US" w:eastAsia="ko-KR"/>
              </w:rPr>
              <w:drawing>
                <wp:inline distT="0" distB="0" distL="0" distR="0" wp14:anchorId="7958641C" wp14:editId="5764BAD2">
                  <wp:extent cx="2105025" cy="2552065"/>
                  <wp:effectExtent l="19050" t="19050" r="9525" b="635"/>
                  <wp:docPr id="14" name="그림 1185998282"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185998282" descr="스케치, 라인 아트, 클립아트, 그림이(가) 표시된 사진&#10;&#10;자동 생성된 설명"/>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05025" cy="2552065"/>
                          </a:xfrm>
                          <a:prstGeom prst="rect">
                            <a:avLst/>
                          </a:prstGeom>
                          <a:noFill/>
                          <a:ln w="9525" cmpd="sng">
                            <a:solidFill>
                              <a:srgbClr val="000000"/>
                            </a:solidFill>
                            <a:miter lim="800000"/>
                            <a:headEnd/>
                            <a:tailEnd/>
                          </a:ln>
                          <a:effectLst/>
                        </pic:spPr>
                      </pic:pic>
                    </a:graphicData>
                  </a:graphic>
                </wp:inline>
              </w:drawing>
            </w:r>
          </w:p>
          <w:p w14:paraId="376FD9C6" w14:textId="77777777" w:rsidR="0079783A" w:rsidRPr="00330234" w:rsidRDefault="0079783A">
            <w:pPr>
              <w:suppressAutoHyphens/>
              <w:jc w:val="right"/>
              <w:rPr>
                <w:b/>
                <w:bCs/>
              </w:rPr>
            </w:pPr>
            <w:r w:rsidRPr="00330234">
              <w:rPr>
                <w:b/>
              </w:rPr>
              <w:t>Figuur I</w:t>
            </w:r>
          </w:p>
        </w:tc>
        <w:tc>
          <w:tcPr>
            <w:tcW w:w="5517" w:type="dxa"/>
          </w:tcPr>
          <w:p w14:paraId="59024E1B" w14:textId="77777777" w:rsidR="0079783A" w:rsidRPr="00330234" w:rsidRDefault="0079783A" w:rsidP="002C40DF">
            <w:pPr>
              <w:pStyle w:val="a3"/>
              <w:numPr>
                <w:ilvl w:val="0"/>
                <w:numId w:val="38"/>
              </w:numPr>
              <w:tabs>
                <w:tab w:val="left" w:pos="567"/>
              </w:tabs>
              <w:suppressAutoHyphens/>
              <w:autoSpaceDE/>
              <w:autoSpaceDN/>
              <w:ind w:left="567" w:hanging="567"/>
              <w:rPr>
                <w:b/>
              </w:rPr>
            </w:pPr>
            <w:r w:rsidRPr="00330234">
              <w:rPr>
                <w:b/>
              </w:rPr>
              <w:t>Reinig de injectieplaats.</w:t>
            </w:r>
          </w:p>
          <w:p w14:paraId="487B3F18" w14:textId="77777777" w:rsidR="0079783A" w:rsidRPr="00330234" w:rsidRDefault="0079783A" w:rsidP="002C40DF">
            <w:pPr>
              <w:tabs>
                <w:tab w:val="left" w:pos="567"/>
              </w:tabs>
              <w:suppressAutoHyphens/>
              <w:ind w:left="567" w:hanging="567"/>
            </w:pPr>
          </w:p>
          <w:p w14:paraId="3B305B07" w14:textId="4D501C61" w:rsidR="0079783A" w:rsidRPr="00330234" w:rsidRDefault="0079783A" w:rsidP="002C40DF">
            <w:pPr>
              <w:pStyle w:val="a3"/>
              <w:numPr>
                <w:ilvl w:val="0"/>
                <w:numId w:val="47"/>
              </w:numPr>
              <w:tabs>
                <w:tab w:val="left" w:pos="567"/>
              </w:tabs>
              <w:suppressAutoHyphens/>
              <w:autoSpaceDE/>
              <w:autoSpaceDN/>
              <w:ind w:left="567" w:hanging="567"/>
              <w:rPr>
                <w:rFonts w:eastAsia="SimSun"/>
              </w:rPr>
            </w:pPr>
            <w:r w:rsidRPr="00330234">
              <w:t xml:space="preserve">Veeg de injectieplaats schoon met een alcoholdoekje en laat ongeveer 10 seconden aan de lucht drogen (zie </w:t>
            </w:r>
            <w:r w:rsidRPr="00330234">
              <w:rPr>
                <w:b/>
              </w:rPr>
              <w:t>figuur I</w:t>
            </w:r>
            <w:r w:rsidRPr="00330234">
              <w:t>). Dit vermindert de kans op het krijgen van een infectie.</w:t>
            </w:r>
          </w:p>
          <w:p w14:paraId="4920F72E" w14:textId="77777777" w:rsidR="0079783A" w:rsidRPr="00330234" w:rsidRDefault="0079783A" w:rsidP="002C40DF">
            <w:pPr>
              <w:pStyle w:val="a3"/>
              <w:numPr>
                <w:ilvl w:val="0"/>
                <w:numId w:val="37"/>
              </w:numPr>
              <w:tabs>
                <w:tab w:val="left" w:pos="1134"/>
              </w:tabs>
              <w:suppressAutoHyphens/>
              <w:autoSpaceDE/>
              <w:autoSpaceDN/>
              <w:ind w:left="1134" w:hanging="567"/>
              <w:rPr>
                <w:rFonts w:eastAsia="SimSun"/>
              </w:rPr>
            </w:pPr>
            <w:r w:rsidRPr="00330234">
              <w:t xml:space="preserve">Raak de injectieplaats </w:t>
            </w:r>
            <w:r w:rsidRPr="00330234">
              <w:rPr>
                <w:b/>
                <w:bCs/>
              </w:rPr>
              <w:t>niet</w:t>
            </w:r>
            <w:r w:rsidRPr="00330234">
              <w:t xml:space="preserve"> opnieuw aan voordat de injectie wordt toegediend.</w:t>
            </w:r>
          </w:p>
          <w:p w14:paraId="13DB4D3C" w14:textId="77777777" w:rsidR="00D22BBA" w:rsidRPr="00330234" w:rsidRDefault="0079783A" w:rsidP="00D22BBA">
            <w:pPr>
              <w:pStyle w:val="a3"/>
              <w:numPr>
                <w:ilvl w:val="0"/>
                <w:numId w:val="37"/>
              </w:numPr>
              <w:tabs>
                <w:tab w:val="left" w:pos="1134"/>
              </w:tabs>
              <w:suppressAutoHyphens/>
              <w:autoSpaceDE/>
              <w:autoSpaceDN/>
              <w:ind w:left="1134" w:hanging="567"/>
              <w:rPr>
                <w:rFonts w:eastAsia="SimSun"/>
              </w:rPr>
            </w:pPr>
            <w:r w:rsidRPr="00330234">
              <w:t xml:space="preserve">Blaas </w:t>
            </w:r>
            <w:r w:rsidRPr="00330234">
              <w:rPr>
                <w:b/>
                <w:bCs/>
              </w:rPr>
              <w:t>niet</w:t>
            </w:r>
            <w:r w:rsidRPr="00330234">
              <w:t xml:space="preserve"> op het gereinigde </w:t>
            </w:r>
            <w:r w:rsidR="00D22BBA" w:rsidRPr="00330234">
              <w:t xml:space="preserve">gebied en wapper er </w:t>
            </w:r>
            <w:r w:rsidR="00D22BBA" w:rsidRPr="00330234">
              <w:rPr>
                <w:b/>
                <w:bCs/>
              </w:rPr>
              <w:t>niet</w:t>
            </w:r>
            <w:r w:rsidR="00D22BBA" w:rsidRPr="00330234">
              <w:t xml:space="preserve"> boven.</w:t>
            </w:r>
          </w:p>
          <w:p w14:paraId="6A967E31" w14:textId="57AFC4DA" w:rsidR="0079783A" w:rsidRPr="00330234" w:rsidRDefault="0079783A" w:rsidP="003E2554"/>
        </w:tc>
      </w:tr>
    </w:tbl>
    <w:p w14:paraId="434B4290" w14:textId="77777777" w:rsidR="0079783A" w:rsidRPr="00330234" w:rsidRDefault="0079783A" w:rsidP="0079783A"/>
    <w:p w14:paraId="39455E7D" w14:textId="77777777" w:rsidR="0079783A" w:rsidRPr="00330234" w:rsidRDefault="0079783A" w:rsidP="0079783A">
      <w:pPr>
        <w:keepNext/>
        <w:rPr>
          <w:b/>
          <w:bCs/>
        </w:rPr>
      </w:pPr>
      <w:r w:rsidRPr="00330234">
        <w:rPr>
          <w:b/>
        </w:rPr>
        <w:t>Toedienen van de injectie</w:t>
      </w:r>
    </w:p>
    <w:p w14:paraId="3546A286" w14:textId="77777777" w:rsidR="0079783A" w:rsidRPr="00330234" w:rsidRDefault="0079783A" w:rsidP="0079783A">
      <w:pPr>
        <w:keepNex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A358A8" w:rsidRPr="00330234" w14:paraId="412DA8CC" w14:textId="77777777">
        <w:trPr>
          <w:cantSplit/>
        </w:trPr>
        <w:tc>
          <w:tcPr>
            <w:tcW w:w="3539" w:type="dxa"/>
          </w:tcPr>
          <w:p w14:paraId="71D5C299" w14:textId="7FC953B5" w:rsidR="0079783A" w:rsidRPr="00330234" w:rsidRDefault="00315255">
            <w:pPr>
              <w:suppressAutoHyphens/>
              <w:jc w:val="right"/>
            </w:pPr>
            <w:r>
              <w:rPr>
                <w:noProof/>
                <w:lang w:val="en-US" w:eastAsia="ko-KR"/>
              </w:rPr>
              <w:drawing>
                <wp:inline distT="0" distB="0" distL="0" distR="0" wp14:anchorId="0C6D34C5" wp14:editId="24F5ABB7">
                  <wp:extent cx="2062480" cy="2562225"/>
                  <wp:effectExtent l="19050" t="19050" r="0" b="9525"/>
                  <wp:docPr id="15" name="그림 268006210"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8006210" descr="스케치, 그림, 라인 아트, 클립아트이(가) 표시된 사진&#10;&#10;자동 생성된 설명"/>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62480" cy="2562225"/>
                          </a:xfrm>
                          <a:prstGeom prst="rect">
                            <a:avLst/>
                          </a:prstGeom>
                          <a:noFill/>
                          <a:ln w="9525" cmpd="sng">
                            <a:solidFill>
                              <a:srgbClr val="000000"/>
                            </a:solidFill>
                            <a:miter lim="800000"/>
                            <a:headEnd/>
                            <a:tailEnd/>
                          </a:ln>
                          <a:effectLst/>
                        </pic:spPr>
                      </pic:pic>
                    </a:graphicData>
                  </a:graphic>
                </wp:inline>
              </w:drawing>
            </w:r>
          </w:p>
          <w:p w14:paraId="30975235" w14:textId="77777777" w:rsidR="0079783A" w:rsidRPr="00330234" w:rsidRDefault="0079783A">
            <w:pPr>
              <w:suppressAutoHyphens/>
              <w:jc w:val="right"/>
              <w:rPr>
                <w:b/>
                <w:bCs/>
              </w:rPr>
            </w:pPr>
            <w:r w:rsidRPr="00330234">
              <w:rPr>
                <w:b/>
              </w:rPr>
              <w:t>Figuur J</w:t>
            </w:r>
          </w:p>
        </w:tc>
        <w:tc>
          <w:tcPr>
            <w:tcW w:w="5517" w:type="dxa"/>
          </w:tcPr>
          <w:p w14:paraId="38398103" w14:textId="77777777" w:rsidR="0079783A" w:rsidRPr="00330234" w:rsidRDefault="0079783A" w:rsidP="002C40DF">
            <w:pPr>
              <w:pStyle w:val="a3"/>
              <w:numPr>
                <w:ilvl w:val="0"/>
                <w:numId w:val="38"/>
              </w:numPr>
              <w:tabs>
                <w:tab w:val="left" w:pos="567"/>
              </w:tabs>
              <w:suppressAutoHyphens/>
              <w:autoSpaceDE/>
              <w:autoSpaceDN/>
              <w:ind w:left="567" w:hanging="567"/>
              <w:rPr>
                <w:b/>
              </w:rPr>
            </w:pPr>
            <w:r w:rsidRPr="00330234">
              <w:rPr>
                <w:b/>
              </w:rPr>
              <w:t>Haal de dop eraf.</w:t>
            </w:r>
          </w:p>
          <w:p w14:paraId="11172E0E" w14:textId="77777777" w:rsidR="0079783A" w:rsidRPr="00330234" w:rsidRDefault="0079783A" w:rsidP="002C40DF">
            <w:pPr>
              <w:pStyle w:val="Default"/>
              <w:widowControl w:val="0"/>
              <w:tabs>
                <w:tab w:val="left" w:pos="567"/>
              </w:tabs>
              <w:ind w:left="567" w:hanging="567"/>
              <w:rPr>
                <w:rFonts w:eastAsia="새굴림"/>
                <w:sz w:val="22"/>
                <w:szCs w:val="22"/>
                <w:lang w:val="nl-NL"/>
              </w:rPr>
            </w:pPr>
          </w:p>
          <w:p w14:paraId="414E7A05" w14:textId="77777777" w:rsidR="0079783A" w:rsidRPr="00330234" w:rsidRDefault="0079783A" w:rsidP="002C40DF">
            <w:pPr>
              <w:pStyle w:val="a3"/>
              <w:numPr>
                <w:ilvl w:val="0"/>
                <w:numId w:val="48"/>
              </w:numPr>
              <w:tabs>
                <w:tab w:val="left" w:pos="567"/>
              </w:tabs>
              <w:autoSpaceDE/>
              <w:autoSpaceDN/>
              <w:ind w:left="567" w:hanging="567"/>
              <w:rPr>
                <w:bCs/>
              </w:rPr>
            </w:pPr>
            <w:r w:rsidRPr="00330234">
              <w:rPr>
                <w:color w:val="231F20"/>
              </w:rPr>
              <w:t>Houd de voorgevulde spuit met één hand vast bij de cilinder van de spuit.</w:t>
            </w:r>
            <w:r w:rsidRPr="00330234">
              <w:rPr>
                <w:color w:val="231F20"/>
              </w:rPr>
              <w:br/>
            </w:r>
            <w:r w:rsidRPr="00330234">
              <w:t xml:space="preserve">Trek de dop er met de andere hand voorzichtig recht van af (zie </w:t>
            </w:r>
            <w:r w:rsidRPr="00330234">
              <w:rPr>
                <w:b/>
              </w:rPr>
              <w:t>Figuur J</w:t>
            </w:r>
            <w:r w:rsidRPr="00330234">
              <w:t>).</w:t>
            </w:r>
          </w:p>
          <w:p w14:paraId="7AABEEB9" w14:textId="6EBF0C01" w:rsidR="0079783A" w:rsidRPr="00330234" w:rsidRDefault="0079783A">
            <w:pPr>
              <w:pStyle w:val="a3"/>
              <w:ind w:left="567"/>
              <w:rPr>
                <w:bCs/>
              </w:rPr>
            </w:pPr>
            <w:r w:rsidRPr="00330234">
              <w:rPr>
                <w:i/>
                <w:iCs/>
              </w:rPr>
              <w:t>Opmerking</w:t>
            </w:r>
            <w:r w:rsidRPr="00330234">
              <w:t xml:space="preserve">: </w:t>
            </w:r>
            <w:r w:rsidR="00592E0A" w:rsidRPr="00330234">
              <w:t>a</w:t>
            </w:r>
            <w:r w:rsidRPr="00330234">
              <w:t>ls het niet lukt om de dop te verwijderen, moet u hulp vragen van een verzorger of contact opnemen met uw zorgverlener.</w:t>
            </w:r>
          </w:p>
          <w:p w14:paraId="30F23867" w14:textId="77777777" w:rsidR="0079783A" w:rsidRPr="00330234" w:rsidRDefault="0079783A">
            <w:pPr>
              <w:pStyle w:val="a3"/>
              <w:numPr>
                <w:ilvl w:val="12"/>
                <w:numId w:val="0"/>
              </w:numPr>
              <w:ind w:left="567" w:hanging="567"/>
              <w:rPr>
                <w:bCs/>
                <w:lang w:eastAsia="ko-KR"/>
              </w:rPr>
            </w:pPr>
          </w:p>
          <w:p w14:paraId="576A915F" w14:textId="77777777" w:rsidR="0079783A" w:rsidRPr="00330234" w:rsidRDefault="0079783A" w:rsidP="002C40DF">
            <w:pPr>
              <w:pStyle w:val="a3"/>
              <w:numPr>
                <w:ilvl w:val="0"/>
                <w:numId w:val="37"/>
              </w:numPr>
              <w:tabs>
                <w:tab w:val="left" w:pos="1134"/>
              </w:tabs>
              <w:suppressAutoHyphens/>
              <w:autoSpaceDE/>
              <w:autoSpaceDN/>
              <w:ind w:left="1134" w:hanging="567"/>
            </w:pPr>
            <w:r w:rsidRPr="00330234">
              <w:t xml:space="preserve">Houd de zuigerstaaf </w:t>
            </w:r>
            <w:r w:rsidRPr="00330234">
              <w:rPr>
                <w:b/>
              </w:rPr>
              <w:t>niet</w:t>
            </w:r>
            <w:r w:rsidRPr="00330234">
              <w:t xml:space="preserve"> vast tijdens het verwijderen van de dop.</w:t>
            </w:r>
          </w:p>
          <w:p w14:paraId="2E57CE11" w14:textId="7179893D" w:rsidR="0079783A" w:rsidRPr="00330234" w:rsidRDefault="0079783A" w:rsidP="002C40DF">
            <w:pPr>
              <w:pStyle w:val="a3"/>
              <w:numPr>
                <w:ilvl w:val="0"/>
                <w:numId w:val="37"/>
              </w:numPr>
              <w:tabs>
                <w:tab w:val="left" w:pos="1134"/>
              </w:tabs>
              <w:suppressAutoHyphens/>
              <w:autoSpaceDE/>
              <w:autoSpaceDN/>
              <w:ind w:left="1134" w:hanging="567"/>
              <w:rPr>
                <w:bCs/>
              </w:rPr>
            </w:pPr>
            <w:r w:rsidRPr="00330234">
              <w:t>Het is mogelijk dat u een druppel vloeistof bij de punt van de naald ziet. D</w:t>
            </w:r>
            <w:r w:rsidR="00C302F6" w:rsidRPr="00330234">
              <w:t>i</w:t>
            </w:r>
            <w:r w:rsidRPr="00330234">
              <w:t>t is normaal.</w:t>
            </w:r>
          </w:p>
          <w:p w14:paraId="798932DF" w14:textId="77777777" w:rsidR="0079783A" w:rsidRPr="00330234" w:rsidRDefault="0079783A" w:rsidP="002C40DF">
            <w:pPr>
              <w:pStyle w:val="a3"/>
              <w:numPr>
                <w:ilvl w:val="0"/>
                <w:numId w:val="37"/>
              </w:numPr>
              <w:tabs>
                <w:tab w:val="left" w:pos="1134"/>
              </w:tabs>
              <w:suppressAutoHyphens/>
              <w:autoSpaceDE/>
              <w:autoSpaceDN/>
              <w:ind w:left="1134" w:hanging="567"/>
              <w:rPr>
                <w:bCs/>
              </w:rPr>
            </w:pPr>
            <w:r w:rsidRPr="00330234">
              <w:t>Als de voorgevulde spuit niet binnen 5 minuten na het verwijderen van de naalddop wordt gebruikt, moet de voorgevulde spuit worden weggegooid in de naaldencontainer en moet een nieuwe voorgevulde spuit worden gebruikt.</w:t>
            </w:r>
          </w:p>
          <w:p w14:paraId="1F7186E8" w14:textId="187FB8CC" w:rsidR="0079783A" w:rsidRPr="00330234" w:rsidRDefault="0079783A" w:rsidP="002C40DF">
            <w:pPr>
              <w:pStyle w:val="a3"/>
              <w:numPr>
                <w:ilvl w:val="0"/>
                <w:numId w:val="48"/>
              </w:numPr>
              <w:tabs>
                <w:tab w:val="left" w:pos="567"/>
              </w:tabs>
              <w:autoSpaceDE/>
              <w:autoSpaceDN/>
              <w:ind w:left="567" w:hanging="567"/>
            </w:pPr>
            <w:r w:rsidRPr="00330234">
              <w:rPr>
                <w:color w:val="231F20"/>
              </w:rPr>
              <w:t xml:space="preserve">Gooi de dop onmiddellijk weg in de naaldencontainer (zie </w:t>
            </w:r>
            <w:r w:rsidRPr="00330234">
              <w:rPr>
                <w:b/>
                <w:color w:val="231F20"/>
              </w:rPr>
              <w:t>stap 14</w:t>
            </w:r>
            <w:r w:rsidR="002555BD" w:rsidRPr="00330234">
              <w:rPr>
                <w:b/>
                <w:color w:val="231F20"/>
              </w:rPr>
              <w:t>.</w:t>
            </w:r>
            <w:r w:rsidR="002555BD" w:rsidRPr="00330234">
              <w:rPr>
                <w:color w:val="231F20"/>
              </w:rPr>
              <w:t xml:space="preserve"> </w:t>
            </w:r>
            <w:r w:rsidRPr="00330234">
              <w:rPr>
                <w:b/>
                <w:color w:val="231F20"/>
              </w:rPr>
              <w:t xml:space="preserve">Gooi </w:t>
            </w:r>
            <w:r w:rsidR="008931E3" w:rsidRPr="00330234">
              <w:rPr>
                <w:b/>
                <w:color w:val="231F20"/>
              </w:rPr>
              <w:t xml:space="preserve">de </w:t>
            </w:r>
            <w:r w:rsidRPr="00330234">
              <w:rPr>
                <w:b/>
                <w:color w:val="231F20"/>
              </w:rPr>
              <w:t>voorgevulde spuit weg</w:t>
            </w:r>
            <w:r w:rsidRPr="00330234">
              <w:rPr>
                <w:color w:val="231F20"/>
              </w:rPr>
              <w:t xml:space="preserve"> en </w:t>
            </w:r>
            <w:r w:rsidRPr="00330234">
              <w:rPr>
                <w:b/>
                <w:color w:val="231F20"/>
              </w:rPr>
              <w:t>figuur N</w:t>
            </w:r>
            <w:r w:rsidRPr="00330234">
              <w:rPr>
                <w:color w:val="231F20"/>
              </w:rPr>
              <w:t>)</w:t>
            </w:r>
          </w:p>
          <w:p w14:paraId="6151295A" w14:textId="77777777" w:rsidR="0079783A" w:rsidRPr="00330234" w:rsidRDefault="0079783A">
            <w:pPr>
              <w:pStyle w:val="a3"/>
              <w:ind w:left="567" w:hanging="567"/>
            </w:pPr>
          </w:p>
          <w:p w14:paraId="01AC4EF2" w14:textId="77777777" w:rsidR="0079783A" w:rsidRPr="00330234" w:rsidRDefault="0079783A" w:rsidP="002C40DF">
            <w:pPr>
              <w:pStyle w:val="a3"/>
              <w:numPr>
                <w:ilvl w:val="0"/>
                <w:numId w:val="37"/>
              </w:numPr>
              <w:tabs>
                <w:tab w:val="left" w:pos="1134"/>
              </w:tabs>
              <w:suppressAutoHyphens/>
              <w:autoSpaceDE/>
              <w:autoSpaceDN/>
              <w:ind w:left="1134" w:hanging="567"/>
            </w:pPr>
            <w:r w:rsidRPr="00330234">
              <w:t xml:space="preserve">Plaats de dop </w:t>
            </w:r>
            <w:r w:rsidRPr="00330234">
              <w:rPr>
                <w:b/>
              </w:rPr>
              <w:t>niet</w:t>
            </w:r>
            <w:r w:rsidRPr="00330234">
              <w:t xml:space="preserve"> terug op de voorgevulde spuit.</w:t>
            </w:r>
          </w:p>
          <w:p w14:paraId="4A5D46F2" w14:textId="77777777" w:rsidR="0079783A" w:rsidRPr="00330234" w:rsidRDefault="0079783A" w:rsidP="002C40DF">
            <w:pPr>
              <w:pStyle w:val="a3"/>
              <w:numPr>
                <w:ilvl w:val="0"/>
                <w:numId w:val="37"/>
              </w:numPr>
              <w:tabs>
                <w:tab w:val="left" w:pos="1134"/>
              </w:tabs>
              <w:suppressAutoHyphens/>
              <w:autoSpaceDE/>
              <w:autoSpaceDN/>
              <w:ind w:left="1134" w:hanging="567"/>
              <w:rPr>
                <w:b/>
              </w:rPr>
            </w:pPr>
            <w:r w:rsidRPr="00330234">
              <w:t xml:space="preserve">Raak de naalddop </w:t>
            </w:r>
            <w:r w:rsidRPr="00330234">
              <w:rPr>
                <w:b/>
                <w:bCs/>
              </w:rPr>
              <w:t>niet</w:t>
            </w:r>
            <w:r w:rsidRPr="00330234">
              <w:t xml:space="preserve"> aan, om verwonding door de naald te voorkomen. De naalddop bevindt zich aan de punt van de voorgevulde spuit.</w:t>
            </w:r>
          </w:p>
          <w:p w14:paraId="7777921F" w14:textId="77777777" w:rsidR="0079783A" w:rsidRPr="00330234" w:rsidRDefault="0079783A" w:rsidP="003E2554"/>
        </w:tc>
      </w:tr>
      <w:tr w:rsidR="00A358A8" w:rsidRPr="00330234" w14:paraId="3A1FA33E" w14:textId="77777777">
        <w:trPr>
          <w:cantSplit/>
        </w:trPr>
        <w:tc>
          <w:tcPr>
            <w:tcW w:w="3539" w:type="dxa"/>
          </w:tcPr>
          <w:p w14:paraId="0FB16591" w14:textId="7DA00B36" w:rsidR="0079783A" w:rsidRPr="00330234" w:rsidRDefault="00315255">
            <w:pPr>
              <w:suppressAutoHyphens/>
              <w:jc w:val="right"/>
            </w:pPr>
            <w:r>
              <w:rPr>
                <w:noProof/>
                <w:lang w:val="en-US" w:eastAsia="ko-KR"/>
              </w:rPr>
              <w:lastRenderedPageBreak/>
              <mc:AlternateContent>
                <mc:Choice Requires="wps">
                  <w:drawing>
                    <wp:anchor distT="45720" distB="45720" distL="114300" distR="114300" simplePos="0" relativeHeight="251658264" behindDoc="0" locked="0" layoutInCell="1" allowOverlap="1" wp14:anchorId="79F256B1" wp14:editId="574498A0">
                      <wp:simplePos x="0" y="0"/>
                      <wp:positionH relativeFrom="column">
                        <wp:posOffset>636270</wp:posOffset>
                      </wp:positionH>
                      <wp:positionV relativeFrom="page">
                        <wp:posOffset>500380</wp:posOffset>
                      </wp:positionV>
                      <wp:extent cx="629920" cy="306705"/>
                      <wp:effectExtent l="0" t="0" r="0" b="0"/>
                      <wp:wrapNone/>
                      <wp:docPr id="64042747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306705"/>
                              </a:xfrm>
                              <a:prstGeom prst="rect">
                                <a:avLst/>
                              </a:prstGeom>
                              <a:noFill/>
                              <a:ln>
                                <a:noFill/>
                              </a:ln>
                            </wps:spPr>
                            <wps:txbx>
                              <w:txbxContent>
                                <w:p w14:paraId="6B391A8C" w14:textId="77777777" w:rsidR="0079783A" w:rsidRPr="001B3E1E" w:rsidRDefault="0079783A" w:rsidP="0079783A">
                                  <w:pPr>
                                    <w:rPr>
                                      <w:rFonts w:cs="Arial"/>
                                      <w:b/>
                                      <w:bCs/>
                                      <w:sz w:val="21"/>
                                      <w:szCs w:val="21"/>
                                    </w:rPr>
                                  </w:pPr>
                                  <w:r w:rsidRPr="001B3E1E">
                                    <w:rPr>
                                      <w:b/>
                                      <w:bCs/>
                                      <w:sz w:val="21"/>
                                    </w:rPr>
                                    <w:t>OK</w:t>
                                  </w:r>
                                </w:p>
                                <w:p w14:paraId="08BC6D4A" w14:textId="77777777" w:rsidR="0079783A" w:rsidRPr="001B3E1E" w:rsidRDefault="0079783A" w:rsidP="0079783A">
                                  <w:pPr>
                                    <w:rPr>
                                      <w:rFonts w:cs="Arial"/>
                                      <w:b/>
                                      <w:bCs/>
                                      <w:sz w:val="21"/>
                                      <w:szCs w:val="21"/>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9F256B1" id="Text Box 71" o:spid="_x0000_s1047" type="#_x0000_t202" style="position:absolute;left:0;text-align:left;margin-left:50.1pt;margin-top:39.4pt;width:49.6pt;height:24.15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4PE2QEAAJgDAAAOAAAAZHJzL2Uyb0RvYy54bWysU9uO0zAQfUfiHyy/06RBFDZqulp2VYS0&#10;XKRlP2DqOIlF4jFjt0n5esZu0wX2DfFiTWbsM+ecmayvp6EXB03eoK3kcpFLoa3C2ti2ko/ftq/e&#10;SeED2Bp6tLqSR+3l9ebli/XoSl1gh32tSTCI9eXoKtmF4Mos86rTA/gFOm252CANEPiT2qwmGBl9&#10;6LMiz1fZiFQ7QqW95+zdqSg3Cb9ptApfmsbrIPpKMreQTkrnLp7ZZg1lS+A6o8404B9YDGAsN71A&#10;3UEAsSfzDGowitBjExYKhwybxiidNLCaZf6XmocOnE5a2BzvLjb5/werPh8e3FcSYXqPEw8wifDu&#10;HtV3LyzedmBbfUOEY6eh5sbLaFk2Ol+en0arfekjyG78hDUPGfYBE9DU0BBdYZ2C0XkAx4vpegpC&#10;cXJVXF0VXFFcep2v3uZvUgco58eOfPigcRAxqCTxTBM4HO59iGSgnK/EXha3pu/TXHv7R4Ivxkwi&#10;H/memIdpNwlTV7JI0qKYHdZHlkN4Whdebw46pJ9SjLwqlfQ/9kBaiv6jZUviXs0BzcFuDsAqflrJ&#10;IMUpvA2n/ds7Mm3HyLPpN2zb1iRJTyzOfHn8Sel5VeN+/f6dbj39UJtfAAAA//8DAFBLAwQUAAYA&#10;CAAAACEAHyTBNdwAAAAKAQAADwAAAGRycy9kb3ducmV2LnhtbEyPPU/DMBCGdyT+g3VILIjajlDb&#10;hDgVQrCw0bKwufGRRMTnKHaT0F/PdYLtXt2j96PcLb4XE46xC2RArxQIpDq4jhoDH4fX+y2ImCw5&#10;2wdCAz8YYVddX5W2cGGmd5z2qRFsQrGwBtqUhkLKWLfobVyFAYl/X2H0NrEcG+lGO7O572Wm1Fp6&#10;2xEntHbA5xbr7/3JG1gvL8PdW47ZfK77iT7PWifUxtzeLE+PIBIu6Q+GS32uDhV3OoYTuSh61kpl&#10;jBrYbHnCBcjzBxBHPrKNBlmV8v+E6hcAAP//AwBQSwECLQAUAAYACAAAACEAtoM4kv4AAADhAQAA&#10;EwAAAAAAAAAAAAAAAAAAAAAAW0NvbnRlbnRfVHlwZXNdLnhtbFBLAQItABQABgAIAAAAIQA4/SH/&#10;1gAAAJQBAAALAAAAAAAAAAAAAAAAAC8BAABfcmVscy8ucmVsc1BLAQItABQABgAIAAAAIQD794PE&#10;2QEAAJgDAAAOAAAAAAAAAAAAAAAAAC4CAABkcnMvZTJvRG9jLnhtbFBLAQItABQABgAIAAAAIQAf&#10;JME13AAAAAoBAAAPAAAAAAAAAAAAAAAAADMEAABkcnMvZG93bnJldi54bWxQSwUGAAAAAAQABADz&#10;AAAAPAUAAAAA&#10;" filled="f" stroked="f">
                      <v:textbox style="mso-fit-shape-to-text:t" inset="0,0,0,0">
                        <w:txbxContent>
                          <w:p w14:paraId="6B391A8C" w14:textId="77777777" w:rsidR="0079783A" w:rsidRPr="001B3E1E" w:rsidRDefault="0079783A" w:rsidP="0079783A">
                            <w:pPr>
                              <w:rPr>
                                <w:rFonts w:cs="Arial"/>
                                <w:b/>
                                <w:bCs/>
                                <w:sz w:val="21"/>
                                <w:szCs w:val="21"/>
                              </w:rPr>
                            </w:pPr>
                            <w:r w:rsidRPr="001B3E1E">
                              <w:rPr>
                                <w:b/>
                                <w:bCs/>
                                <w:sz w:val="21"/>
                              </w:rPr>
                              <w:t>OK</w:t>
                            </w:r>
                          </w:p>
                          <w:p w14:paraId="08BC6D4A" w14:textId="77777777" w:rsidR="0079783A" w:rsidRPr="001B3E1E" w:rsidRDefault="0079783A" w:rsidP="0079783A">
                            <w:pPr>
                              <w:rPr>
                                <w:rFonts w:cs="Arial"/>
                                <w:b/>
                                <w:bCs/>
                                <w:sz w:val="21"/>
                                <w:szCs w:val="21"/>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8263" behindDoc="0" locked="0" layoutInCell="1" allowOverlap="1" wp14:anchorId="43E3654F" wp14:editId="000F661C">
                      <wp:simplePos x="0" y="0"/>
                      <wp:positionH relativeFrom="column">
                        <wp:posOffset>422275</wp:posOffset>
                      </wp:positionH>
                      <wp:positionV relativeFrom="page">
                        <wp:posOffset>254635</wp:posOffset>
                      </wp:positionV>
                      <wp:extent cx="629920" cy="408940"/>
                      <wp:effectExtent l="0" t="0" r="0" b="0"/>
                      <wp:wrapNone/>
                      <wp:docPr id="47249614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24CA0295" w14:textId="77777777" w:rsidR="0079783A" w:rsidRPr="001B3E1E" w:rsidRDefault="0079783A" w:rsidP="0079783A">
                                  <w:pPr>
                                    <w:rPr>
                                      <w:rFonts w:cs="Arial"/>
                                      <w:b/>
                                      <w:bCs/>
                                      <w:sz w:val="28"/>
                                      <w:szCs w:val="28"/>
                                    </w:rPr>
                                  </w:pPr>
                                  <w:r w:rsidRPr="001B3E1E">
                                    <w:rPr>
                                      <w:b/>
                                      <w:bCs/>
                                      <w:sz w:val="28"/>
                                    </w:rPr>
                                    <w:t>90°</w:t>
                                  </w:r>
                                </w:p>
                                <w:p w14:paraId="74D1DFDF" w14:textId="77777777" w:rsidR="0079783A" w:rsidRPr="001B3E1E" w:rsidRDefault="0079783A" w:rsidP="0079783A">
                                  <w:pPr>
                                    <w:rPr>
                                      <w:rFonts w:cs="Arial"/>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3E3654F" id="Text Box 69" o:spid="_x0000_s1048" type="#_x0000_t202" style="position:absolute;left:0;text-align:left;margin-left:33.25pt;margin-top:20.05pt;width:49.6pt;height:32.2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yqu2QEAAJgDAAAOAAAAZHJzL2Uyb0RvYy54bWysU9tu2zAMfR+wfxD0vjgxiqIx4hRdiwwD&#10;ugvQ7QNkWY6F2aJGKrGzrx8lx+m2vhV7EShSOjrnkNrcjn0njgbJgivlarGUwjgNtXX7Un7/tnt3&#10;IwUF5WrVgTOlPBmSt9u3bzaDL0wOLXS1QcEgjorBl7INwRdZRro1vaIFeOO42AD2KvAW91mNamD0&#10;vsvy5fI6GwBrj6ANEWcfpqLcJvymMTp8aRoyQXSlZG4hrZjWKq7ZdqOKPSrfWn2moV7BolfW8aMX&#10;qAcVlDigfQHVW41A0ISFhj6DprHaJA2sZrX8R81Tq7xJWtgc8heb6P/B6s/HJ/8VRRjfw8gNTCLI&#10;P4L+QcLBfavc3twhwtAaVfPDq2hZNngqzlej1VRQBKmGT1Bzk9UhQAIaG+yjK6xTMDo34HQx3YxB&#10;aE5e5+t1zhXNpavlzfoqNSVTxXzZI4UPBnoRg1Ii9zSBq+MjhUhGFfOR+JaDne261NfO/ZXggzGT&#10;yEe+E/MwVqOwdSnzPEqLYiqoTywHYRoXHm8OWsBfUgw8KqWknweFRoruo2NL4lzNAc5BNQfKab5a&#10;yiDFFN6Haf4OHu2+ZeTZ9Du2bWeTpGcWZ77c/qT0PKpxvv7cp1PPH2r7GwAA//8DAFBLAwQUAAYA&#10;CAAAACEAfnVeLN0AAAAJAQAADwAAAGRycy9kb3ducmV2LnhtbEyPwU7DMAyG70i8Q2QkLoglndYC&#10;pemEEFy4MbhwyxrTViRO1WRt2dPjndjN1v/r8+dqu3gnJhxjH0hDtlIgkJpge2o1fH683t6DiMmQ&#10;NS4QavjFCNv68qIypQ0zveO0S61gCMXSaOhSGkopY9OhN3EVBiTOvsPoTeJ1bKUdzcxw7+RaqUJ6&#10;0xNf6MyAzx02P7uD11AsL8PN2wOu52PjJvo6ZlnCTOvrq+XpEUTCJf2X4aTP6lCz0z4cyEbhmFHk&#10;3NSwURmIU17kdyD2PKhNDrKu5PkH9R8AAAD//wMAUEsBAi0AFAAGAAgAAAAhALaDOJL+AAAA4QEA&#10;ABMAAAAAAAAAAAAAAAAAAAAAAFtDb250ZW50X1R5cGVzXS54bWxQSwECLQAUAAYACAAAACEAOP0h&#10;/9YAAACUAQAACwAAAAAAAAAAAAAAAAAvAQAAX3JlbHMvLnJlbHNQSwECLQAUAAYACAAAACEABRcq&#10;rtkBAACYAwAADgAAAAAAAAAAAAAAAAAuAgAAZHJzL2Uyb0RvYy54bWxQSwECLQAUAAYACAAAACEA&#10;fnVeLN0AAAAJAQAADwAAAAAAAAAAAAAAAAAzBAAAZHJzL2Rvd25yZXYueG1sUEsFBgAAAAAEAAQA&#10;8wAAAD0FAAAAAA==&#10;" filled="f" stroked="f">
                      <v:textbox style="mso-fit-shape-to-text:t" inset="0,0,0,0">
                        <w:txbxContent>
                          <w:p w14:paraId="24CA0295" w14:textId="77777777" w:rsidR="0079783A" w:rsidRPr="001B3E1E" w:rsidRDefault="0079783A" w:rsidP="0079783A">
                            <w:pPr>
                              <w:rPr>
                                <w:rFonts w:cs="Arial"/>
                                <w:b/>
                                <w:bCs/>
                                <w:sz w:val="28"/>
                                <w:szCs w:val="28"/>
                              </w:rPr>
                            </w:pPr>
                            <w:r w:rsidRPr="001B3E1E">
                              <w:rPr>
                                <w:b/>
                                <w:bCs/>
                                <w:sz w:val="28"/>
                              </w:rPr>
                              <w:t>90°</w:t>
                            </w:r>
                          </w:p>
                          <w:p w14:paraId="74D1DFDF" w14:textId="77777777" w:rsidR="0079783A" w:rsidRPr="001B3E1E" w:rsidRDefault="0079783A" w:rsidP="0079783A">
                            <w:pPr>
                              <w:rPr>
                                <w:rFonts w:cs="Arial"/>
                                <w:b/>
                                <w:bCs/>
                                <w:sz w:val="28"/>
                                <w:szCs w:val="28"/>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8265" behindDoc="0" locked="0" layoutInCell="1" allowOverlap="1" wp14:anchorId="40C535CA" wp14:editId="368E9CF8">
                      <wp:simplePos x="0" y="0"/>
                      <wp:positionH relativeFrom="column">
                        <wp:posOffset>613410</wp:posOffset>
                      </wp:positionH>
                      <wp:positionV relativeFrom="page">
                        <wp:posOffset>2797175</wp:posOffset>
                      </wp:positionV>
                      <wp:extent cx="629920" cy="408940"/>
                      <wp:effectExtent l="0" t="0" r="0" b="0"/>
                      <wp:wrapNone/>
                      <wp:docPr id="167616718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4813FBD9" w14:textId="77777777" w:rsidR="0079783A" w:rsidRPr="001B3E1E" w:rsidRDefault="0079783A" w:rsidP="0079783A">
                                  <w:pPr>
                                    <w:rPr>
                                      <w:rFonts w:cs="Arial"/>
                                      <w:b/>
                                      <w:bCs/>
                                      <w:sz w:val="28"/>
                                      <w:szCs w:val="28"/>
                                    </w:rPr>
                                  </w:pPr>
                                  <w:r w:rsidRPr="001B3E1E">
                                    <w:rPr>
                                      <w:b/>
                                      <w:bCs/>
                                      <w:sz w:val="28"/>
                                    </w:rPr>
                                    <w:t>90°</w:t>
                                  </w:r>
                                </w:p>
                                <w:p w14:paraId="41B1A14D" w14:textId="77777777" w:rsidR="0079783A" w:rsidRPr="001B3E1E" w:rsidRDefault="0079783A" w:rsidP="0079783A">
                                  <w:pPr>
                                    <w:rPr>
                                      <w:rFonts w:cs="Arial"/>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0C535CA" id="Text Box 67" o:spid="_x0000_s1049" type="#_x0000_t202" style="position:absolute;left:0;text-align:left;margin-left:48.3pt;margin-top:220.25pt;width:49.6pt;height:32.2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YD72gEAAJgDAAAOAAAAZHJzL2Uyb0RvYy54bWysU9tu2zAMfR+wfxD0vjjxiqIx4hRdiwwD&#10;uq1Atw9gZNkWZosapcTOvn6UHKe7vA17EShSOjrnkNrcjn0njpq8QVvK1WIphbYKK2ObUn79sntz&#10;I4UPYCvo0OpSnrSXt9vXrzaDK3SOLXaVJsEg1heDK2UbgiuyzKtW9+AX6LTlYo3UQ+AtNVlFMDB6&#10;32X5cnmdDUiVI1Tae84+TEW5Tfh1rVX4XNdeB9GVkrmFtFJa93HNthsoGgLXGnWmAf/Aogdj+dEL&#10;1AMEEAcyf0H1RhF6rMNCYZ9hXRulkwZWs1r+oea5BaeTFjbHu4tN/v/Bqk/HZ/dEIozvcOQGJhHe&#10;PaL65oXF+xZso++IcGg1VPzwKlqWDc4X56vRal/4CLIfPmLFTYZDwAQ01tRHV1inYHRuwOliuh6D&#10;UJy8ztfrnCuKS1fLm/VVakoGxXzZkQ/vNfYiBqUk7mkCh+OjD5EMFPOR+JbFnem61NfO/pbggzGT&#10;yEe+E/Mw7kdhqlLmb6O0KGaP1YnlEE7jwuPNQYv0Q4qBR6WU/vsBSEvRfbBsSZyrOaA52M8BWMVX&#10;SxmkmML7MM3fwZFpWkaeTb9j23YmSXphcebL7U9Kz6Ma5+vXfTr18qG2PwEAAP//AwBQSwMEFAAG&#10;AAgAAAAhAFHpEMzeAAAACgEAAA8AAABkcnMvZG93bnJldi54bWxMj0FPhDAQhe8m/odmTLwYt2UD&#10;RJBhY4xevLnrxVsXRiC2U0K7gPvr7Z70OJkv732v2q3WiJkmPzhGSDYKBHHj2oE7hI/D6/0DCB80&#10;t9o4JoQf8rCrr68qXbZu4Xea96ETMYR9qRH6EMZSSt/0ZLXfuJE4/r7cZHWI59TJdtJLDLdGbpXK&#10;pdUDx4Zej/TcU/O9P1mEfH0Z794K2i7nxsz8eU6SQAni7c369Agi0Br+YLjoR3Woo9PRnbj1wiAU&#10;eR5JhDRVGYgLUGRxyxEhU2kBsq7k/wn1LwAAAP//AwBQSwECLQAUAAYACAAAACEAtoM4kv4AAADh&#10;AQAAEwAAAAAAAAAAAAAAAAAAAAAAW0NvbnRlbnRfVHlwZXNdLnhtbFBLAQItABQABgAIAAAAIQA4&#10;/SH/1gAAAJQBAAALAAAAAAAAAAAAAAAAAC8BAABfcmVscy8ucmVsc1BLAQItABQABgAIAAAAIQC2&#10;5YD72gEAAJgDAAAOAAAAAAAAAAAAAAAAAC4CAABkcnMvZTJvRG9jLnhtbFBLAQItABQABgAIAAAA&#10;IQBR6RDM3gAAAAoBAAAPAAAAAAAAAAAAAAAAADQEAABkcnMvZG93bnJldi54bWxQSwUGAAAAAAQA&#10;BADzAAAAPwUAAAAA&#10;" filled="f" stroked="f">
                      <v:textbox style="mso-fit-shape-to-text:t" inset="0,0,0,0">
                        <w:txbxContent>
                          <w:p w14:paraId="4813FBD9" w14:textId="77777777" w:rsidR="0079783A" w:rsidRPr="001B3E1E" w:rsidRDefault="0079783A" w:rsidP="0079783A">
                            <w:pPr>
                              <w:rPr>
                                <w:rFonts w:cs="Arial"/>
                                <w:b/>
                                <w:bCs/>
                                <w:sz w:val="28"/>
                                <w:szCs w:val="28"/>
                              </w:rPr>
                            </w:pPr>
                            <w:r w:rsidRPr="001B3E1E">
                              <w:rPr>
                                <w:b/>
                                <w:bCs/>
                                <w:sz w:val="28"/>
                              </w:rPr>
                              <w:t>90°</w:t>
                            </w:r>
                          </w:p>
                          <w:p w14:paraId="41B1A14D" w14:textId="77777777" w:rsidR="0079783A" w:rsidRPr="001B3E1E" w:rsidRDefault="0079783A" w:rsidP="0079783A">
                            <w:pPr>
                              <w:rPr>
                                <w:rFonts w:cs="Arial"/>
                                <w:b/>
                                <w:bCs/>
                                <w:sz w:val="28"/>
                                <w:szCs w:val="28"/>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8266" behindDoc="0" locked="0" layoutInCell="1" allowOverlap="1" wp14:anchorId="09F5EAB4" wp14:editId="51C2A0DF">
                      <wp:simplePos x="0" y="0"/>
                      <wp:positionH relativeFrom="column">
                        <wp:posOffset>136525</wp:posOffset>
                      </wp:positionH>
                      <wp:positionV relativeFrom="page">
                        <wp:posOffset>2909570</wp:posOffset>
                      </wp:positionV>
                      <wp:extent cx="629920" cy="408940"/>
                      <wp:effectExtent l="0" t="0" r="0" b="0"/>
                      <wp:wrapNone/>
                      <wp:docPr id="92972207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6B392446" w14:textId="77777777" w:rsidR="0079783A" w:rsidRPr="001B3E1E" w:rsidRDefault="0079783A" w:rsidP="0079783A">
                                  <w:pPr>
                                    <w:rPr>
                                      <w:rFonts w:cs="Arial"/>
                                      <w:b/>
                                      <w:bCs/>
                                      <w:sz w:val="28"/>
                                      <w:szCs w:val="28"/>
                                    </w:rPr>
                                  </w:pPr>
                                  <w:r w:rsidRPr="001B3E1E">
                                    <w:rPr>
                                      <w:b/>
                                      <w:bCs/>
                                      <w:sz w:val="28"/>
                                    </w:rPr>
                                    <w:t>45°</w:t>
                                  </w:r>
                                </w:p>
                                <w:p w14:paraId="0A317517" w14:textId="77777777" w:rsidR="0079783A" w:rsidRPr="001B3E1E" w:rsidRDefault="0079783A" w:rsidP="0079783A">
                                  <w:pPr>
                                    <w:rPr>
                                      <w:rFonts w:cs="Arial"/>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9F5EAB4" id="Text Box 65" o:spid="_x0000_s1050" type="#_x0000_t202" style="position:absolute;left:0;text-align:left;margin-left:10.75pt;margin-top:229.1pt;width:49.6pt;height:32.2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WI2QEAAJgDAAAOAAAAZHJzL2Uyb0RvYy54bWysU9tu2zAMfR+wfxD0vtgxgqIx4hRdiwwD&#10;ugvQ7QMYWbaF2aJGKbGzrx+lxOkub8NeBIqUjs45pDZ309CLoyZv0FZyucil0FZhbWxbya9fdm9u&#10;pfABbA09Wl3Jk/bybvv61WZ0pS6ww77WJBjE+nJ0lexCcGWWedXpAfwCnbZcbJAGCLylNqsJRkYf&#10;+qzI85tsRKododLec/bxXJTbhN80WoVPTeN1EH0lmVtIK6V1H9dsu4GyJXCdURca8A8sBjCWH71C&#10;PUIAcSDzF9RgFKHHJiwUDhk2jVE6aWA1y/wPNc8dOJ20sDneXW3y/w9WfTw+u88kwvQWJ25gEuHd&#10;E6pvXlh86MC2+p4Ix05DzQ8vo2XZ6Hx5uRqt9qWPIPvxA9bcZDgETEBTQ0N0hXUKRucGnK6m6ykI&#10;xcmbYr0uuKK4tMpv16vUlAzK+bIjH95pHEQMKknc0wQOxycfIhko5yPxLYs70/epr739LcEHYyaR&#10;j3zPzMO0n4SpK1msorQoZo/1ieUQnseFx5uDDumHFCOPSiX99wOQlqJ/b9mSOFdzQHOwnwOwiq9W&#10;MkhxDh/Cef4OjkzbMfJs+j3btjNJ0guLC19uf1J6GdU4X7/u06mXD7X9CQAA//8DAFBLAwQUAAYA&#10;CAAAACEAii/CVt4AAAAKAQAADwAAAGRycy9kb3ducmV2LnhtbEyPMU/DMBCFdyT+g3VILKh1bJHQ&#10;hjgVQrCwUVjY3PhIIuxzFLtJ6K/Hneh4ep/e+67aLc6yCcfQe1Ig1hkwpMabnloFnx+vqw2wEDUZ&#10;bT2hgl8MsKuvrypdGj/TO0772LJUQqHUCroYh5Lz0HTodFj7ASll3350OqZzbLkZ9ZzKneUyywru&#10;dE9podMDPnfY/OyPTkGxvAx3b1uU86mxE32dhIgolLq9WZ4egUVc4j8MZ/2kDnVyOvgjmcCsAiny&#10;RCq4zzcS2BmQ2QOwg4JcygJ4XfHLF+o/AAAA//8DAFBLAQItABQABgAIAAAAIQC2gziS/gAAAOEB&#10;AAATAAAAAAAAAAAAAAAAAAAAAABbQ29udGVudF9UeXBlc10ueG1sUEsBAi0AFAAGAAgAAAAhADj9&#10;If/WAAAAlAEAAAsAAAAAAAAAAAAAAAAALwEAAF9yZWxzLy5yZWxzUEsBAi0AFAAGAAgAAAAhAO4+&#10;pYjZAQAAmAMAAA4AAAAAAAAAAAAAAAAALgIAAGRycy9lMm9Eb2MueG1sUEsBAi0AFAAGAAgAAAAh&#10;AIovwlbeAAAACgEAAA8AAAAAAAAAAAAAAAAAMwQAAGRycy9kb3ducmV2LnhtbFBLBQYAAAAABAAE&#10;APMAAAA+BQAAAAA=&#10;" filled="f" stroked="f">
                      <v:textbox style="mso-fit-shape-to-text:t" inset="0,0,0,0">
                        <w:txbxContent>
                          <w:p w14:paraId="6B392446" w14:textId="77777777" w:rsidR="0079783A" w:rsidRPr="001B3E1E" w:rsidRDefault="0079783A" w:rsidP="0079783A">
                            <w:pPr>
                              <w:rPr>
                                <w:rFonts w:cs="Arial"/>
                                <w:b/>
                                <w:bCs/>
                                <w:sz w:val="28"/>
                                <w:szCs w:val="28"/>
                              </w:rPr>
                            </w:pPr>
                            <w:r w:rsidRPr="001B3E1E">
                              <w:rPr>
                                <w:b/>
                                <w:bCs/>
                                <w:sz w:val="28"/>
                              </w:rPr>
                              <w:t>45°</w:t>
                            </w:r>
                          </w:p>
                          <w:p w14:paraId="0A317517" w14:textId="77777777" w:rsidR="0079783A" w:rsidRPr="001B3E1E" w:rsidRDefault="0079783A" w:rsidP="0079783A">
                            <w:pPr>
                              <w:rPr>
                                <w:rFonts w:cs="Arial"/>
                                <w:b/>
                                <w:bCs/>
                                <w:sz w:val="28"/>
                                <w:szCs w:val="28"/>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8267" behindDoc="0" locked="0" layoutInCell="1" allowOverlap="1" wp14:anchorId="45110081" wp14:editId="45C441FE">
                      <wp:simplePos x="0" y="0"/>
                      <wp:positionH relativeFrom="column">
                        <wp:posOffset>430530</wp:posOffset>
                      </wp:positionH>
                      <wp:positionV relativeFrom="page">
                        <wp:posOffset>3077210</wp:posOffset>
                      </wp:positionV>
                      <wp:extent cx="629920" cy="306705"/>
                      <wp:effectExtent l="0" t="0" r="0" b="0"/>
                      <wp:wrapNone/>
                      <wp:docPr id="162908580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306705"/>
                              </a:xfrm>
                              <a:prstGeom prst="rect">
                                <a:avLst/>
                              </a:prstGeom>
                              <a:noFill/>
                              <a:ln>
                                <a:noFill/>
                              </a:ln>
                            </wps:spPr>
                            <wps:txbx>
                              <w:txbxContent>
                                <w:p w14:paraId="225CA678" w14:textId="77777777" w:rsidR="0079783A" w:rsidRPr="001B3E1E" w:rsidRDefault="0079783A" w:rsidP="0079783A">
                                  <w:pPr>
                                    <w:rPr>
                                      <w:rFonts w:cs="Arial"/>
                                      <w:b/>
                                      <w:bCs/>
                                      <w:sz w:val="21"/>
                                      <w:szCs w:val="21"/>
                                    </w:rPr>
                                  </w:pPr>
                                  <w:r w:rsidRPr="001B3E1E">
                                    <w:rPr>
                                      <w:b/>
                                      <w:bCs/>
                                      <w:sz w:val="21"/>
                                    </w:rPr>
                                    <w:t>OK</w:t>
                                  </w:r>
                                </w:p>
                                <w:p w14:paraId="576B1A4A" w14:textId="77777777" w:rsidR="0079783A" w:rsidRPr="001B3E1E" w:rsidRDefault="0079783A" w:rsidP="0079783A">
                                  <w:pPr>
                                    <w:rPr>
                                      <w:rFonts w:cs="Arial"/>
                                      <w:b/>
                                      <w:bCs/>
                                      <w:sz w:val="21"/>
                                      <w:szCs w:val="21"/>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5110081" id="Text Box 63" o:spid="_x0000_s1051" type="#_x0000_t202" style="position:absolute;left:0;text-align:left;margin-left:33.9pt;margin-top:242.3pt;width:49.6pt;height:24.1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1lJ2QEAAJgDAAAOAAAAZHJzL2Uyb0RvYy54bWysU9uO0zAQfUfiHyy/06RBFDZqulp2VYS0&#10;XKRlP2DqOIlF4jFjt0n5esZu0wX2DfFiTWbsM+ecmayvp6EXB03eoK3kcpFLoa3C2ti2ko/ftq/e&#10;SeED2Bp6tLqSR+3l9ebli/XoSl1gh32tSTCI9eXoKtmF4Mos86rTA/gFOm252CANEPiT2qwmGBl9&#10;6LMiz1fZiFQ7QqW95+zdqSg3Cb9ptApfmsbrIPpKMreQTkrnLp7ZZg1lS+A6o8404B9YDGAsN71A&#10;3UEAsSfzDGowitBjExYKhwybxiidNLCaZf6XmocOnE5a2BzvLjb5/werPh8e3FcSYXqPEw8wifDu&#10;HtV3LyzedmBbfUOEY6eh5sbLaFk2Ol+en0arfekjyG78hDUPGfYBE9DU0BBdYZ2C0XkAx4vpegpC&#10;cXJVXF0VXFFcep2v3uZvUgco58eOfPigcRAxqCTxTBM4HO59iGSgnK/EXha3pu/TXHv7R4Ivxkwi&#10;H/memIdpNwlTV7JIjaOYHdZHlkN4Whdebw46pJ9SjLwqlfQ/9kBaiv6jZUviXs0BzcFuDsAqflrJ&#10;IMUpvA2n/ds7Mm3HyLPpN2zb1iRJTyzOfHn8Sel5VeN+/f6dbj39UJtfAAAA//8DAFBLAwQUAAYA&#10;CAAAACEAWsR+8N4AAAAKAQAADwAAAGRycy9kb3ducmV2LnhtbEyPMU/DMBCFdyT+g3VILKh1Ekra&#10;hjgVQrCwUVi6ufGRRNjnKHaT0F/PdYLxdE/f+165m50VIw6h86QgXSYgkGpvOmoUfH68LjYgQtRk&#10;tPWECn4wwK66vip1YfxE7zjuYyMYQqHQCtoY+0LKULfodFj6Hol/X35wOvI5NNIMemK4szJLklw6&#10;3RE3tLrH5xbr7/3JKcjnl/7ubYvZdK7tSIdzmkZMlbq9mZ8eQUSc418YLvqsDhU7Hf2JTBCWGWs2&#10;jwpWm1UO4hLI1zzuqODhPtuCrEr5f0L1CwAA//8DAFBLAQItABQABgAIAAAAIQC2gziS/gAAAOEB&#10;AAATAAAAAAAAAAAAAAAAAAAAAABbQ29udGVudF9UeXBlc10ueG1sUEsBAi0AFAAGAAgAAAAhADj9&#10;If/WAAAAlAEAAAsAAAAAAAAAAAAAAAAALwEAAF9yZWxzLy5yZWxzUEsBAi0AFAAGAAgAAAAhAHY7&#10;WUnZAQAAmAMAAA4AAAAAAAAAAAAAAAAALgIAAGRycy9lMm9Eb2MueG1sUEsBAi0AFAAGAAgAAAAh&#10;AFrEfvDeAAAACgEAAA8AAAAAAAAAAAAAAAAAMwQAAGRycy9kb3ducmV2LnhtbFBLBQYAAAAABAAE&#10;APMAAAA+BQAAAAA=&#10;" filled="f" stroked="f">
                      <v:textbox style="mso-fit-shape-to-text:t" inset="0,0,0,0">
                        <w:txbxContent>
                          <w:p w14:paraId="225CA678" w14:textId="77777777" w:rsidR="0079783A" w:rsidRPr="001B3E1E" w:rsidRDefault="0079783A" w:rsidP="0079783A">
                            <w:pPr>
                              <w:rPr>
                                <w:rFonts w:cs="Arial"/>
                                <w:b/>
                                <w:bCs/>
                                <w:sz w:val="21"/>
                                <w:szCs w:val="21"/>
                              </w:rPr>
                            </w:pPr>
                            <w:r w:rsidRPr="001B3E1E">
                              <w:rPr>
                                <w:b/>
                                <w:bCs/>
                                <w:sz w:val="21"/>
                              </w:rPr>
                              <w:t>OK</w:t>
                            </w:r>
                          </w:p>
                          <w:p w14:paraId="576B1A4A" w14:textId="77777777" w:rsidR="0079783A" w:rsidRPr="001B3E1E" w:rsidRDefault="0079783A" w:rsidP="0079783A">
                            <w:pPr>
                              <w:rPr>
                                <w:rFonts w:cs="Arial"/>
                                <w:b/>
                                <w:bCs/>
                                <w:sz w:val="21"/>
                                <w:szCs w:val="21"/>
                              </w:rPr>
                            </w:pPr>
                          </w:p>
                        </w:txbxContent>
                      </v:textbox>
                      <w10:wrap anchory="page"/>
                    </v:shape>
                  </w:pict>
                </mc:Fallback>
              </mc:AlternateContent>
            </w:r>
            <w:r>
              <w:rPr>
                <w:noProof/>
                <w:lang w:val="en-US" w:eastAsia="ko-KR"/>
              </w:rPr>
              <mc:AlternateContent>
                <mc:Choice Requires="wps">
                  <w:drawing>
                    <wp:anchor distT="45720" distB="45720" distL="114300" distR="114300" simplePos="0" relativeHeight="251658262" behindDoc="0" locked="0" layoutInCell="1" allowOverlap="1" wp14:anchorId="20A60E99" wp14:editId="42FA3E40">
                      <wp:simplePos x="0" y="0"/>
                      <wp:positionH relativeFrom="column">
                        <wp:posOffset>8255</wp:posOffset>
                      </wp:positionH>
                      <wp:positionV relativeFrom="page">
                        <wp:posOffset>1730375</wp:posOffset>
                      </wp:positionV>
                      <wp:extent cx="1983740" cy="277495"/>
                      <wp:effectExtent l="0" t="0" r="0" b="0"/>
                      <wp:wrapNone/>
                      <wp:docPr id="70781729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77495"/>
                              </a:xfrm>
                              <a:prstGeom prst="rect">
                                <a:avLst/>
                              </a:prstGeom>
                              <a:noFill/>
                              <a:ln>
                                <a:noFill/>
                              </a:ln>
                            </wps:spPr>
                            <wps:txbx>
                              <w:txbxContent>
                                <w:p w14:paraId="21F9B91A" w14:textId="77777777" w:rsidR="0079783A" w:rsidRPr="001B3E1E" w:rsidRDefault="0079783A" w:rsidP="0079783A">
                                  <w:pPr>
                                    <w:jc w:val="center"/>
                                    <w:rPr>
                                      <w:rFonts w:cs="Arial"/>
                                      <w:b/>
                                      <w:bCs/>
                                      <w:color w:val="FFFFFF"/>
                                      <w:sz w:val="28"/>
                                      <w:szCs w:val="28"/>
                                    </w:rPr>
                                  </w:pPr>
                                  <w:r w:rsidRPr="001B3E1E">
                                    <w:rPr>
                                      <w:b/>
                                      <w:bCs/>
                                      <w:color w:val="FFFFFF"/>
                                      <w:sz w:val="28"/>
                                    </w:rPr>
                                    <w:t>OF</w:t>
                                  </w:r>
                                </w:p>
                                <w:p w14:paraId="043EEDB2" w14:textId="77777777" w:rsidR="0079783A" w:rsidRPr="001B3E1E" w:rsidRDefault="0079783A" w:rsidP="0079783A">
                                  <w:pPr>
                                    <w:jc w:val="center"/>
                                    <w:rPr>
                                      <w:rFonts w:cs="Arial"/>
                                      <w:b/>
                                      <w:bCs/>
                                      <w:color w:val="FFFFFF"/>
                                      <w:sz w:val="28"/>
                                      <w:szCs w:val="2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A60E99" id="Text Box 61" o:spid="_x0000_s1052" type="#_x0000_t202" style="position:absolute;left:0;text-align:left;margin-left:.65pt;margin-top:136.25pt;width:156.2pt;height:21.8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CP2wEAAJkDAAAOAAAAZHJzL2Uyb0RvYy54bWysU9tu2zAMfR+wfxD0vjjJuqY14hRdiw4D&#10;ugvQ7QNoWbaF2aJGKbGzrx8lx+kub8NeBEqUDs85pLY3Y9+JgyZv0BZytVhKoa3CytimkF+/PLy6&#10;ksIHsBV0aHUhj9rLm93LF9vB5XqNLXaVJsEg1ueDK2QbgsuzzKtW9+AX6LTlZI3UQ+AtNVlFMDB6&#10;32Xr5fIyG5AqR6i093x6PyXlLuHXtVbhU117HURXSOYW0kppLeOa7baQNwSuNepEA/6BRQ/GctEz&#10;1D0EEHsyf0H1RhF6rMNCYZ9hXRulkwZWs1r+oeapBaeTFjbHu7NN/v/Bqo+HJ/eZRBjf4sgNTCK8&#10;e0T1zQuLdy3YRt8S4dBqqLjwKlqWDc7np6fRap/7CFIOH7DiJsM+YAIaa+qjK6xTMDo34Hg2XY9B&#10;qFjy+ur15oJTinPrzebi+k0qAfn82pEP7zT2IgaFJG5qQofDow+RDeTzlVjM4oPputTYzv52wBfj&#10;SWIfCU/Uw1iOwlRc/DIWjmpKrI6sh3CaF55vDlqkH1IMPCuF9N/3QFqK7r1lT+JgzQHNQTkHYBU/&#10;LWSQYgrvwjSAe0emaRl5ct3iLftWmyTpmcWJL/c/KT3NahywX/fp1vOP2v0EAAD//wMAUEsDBBQA&#10;BgAIAAAAIQAyyiID3gAAAAkBAAAPAAAAZHJzL2Rvd25yZXYueG1sTI9BT4NAEIXvJv6HzZh4s0sh&#10;UossTWP0ZGKkeOhxgSlsys4iu23x3zs96W1e3sub7+Wb2Q7ijJM3jhQsFxEIpMa1hjoFX9XbwxMI&#10;HzS1enCECn7Qw6a4vcl11roLlXjehU5wCflMK+hDGDMpfdOj1X7hRiT2Dm6yOrCcOtlO+sLldpBx&#10;FKXSakP8odcjvvTYHHcnq2C7p/LVfH/Un+WhNFW1jug9PSp1fzdvn0EEnMNfGK74jA4FM9XuRK0X&#10;A+uEgwriVfwIgv1kmaxA1NcjjUEWufy/oPgFAAD//wMAUEsBAi0AFAAGAAgAAAAhALaDOJL+AAAA&#10;4QEAABMAAAAAAAAAAAAAAAAAAAAAAFtDb250ZW50X1R5cGVzXS54bWxQSwECLQAUAAYACAAAACEA&#10;OP0h/9YAAACUAQAACwAAAAAAAAAAAAAAAAAvAQAAX3JlbHMvLnJlbHNQSwECLQAUAAYACAAAACEA&#10;Gc/gj9sBAACZAwAADgAAAAAAAAAAAAAAAAAuAgAAZHJzL2Uyb0RvYy54bWxQSwECLQAUAAYACAAA&#10;ACEAMsoiA94AAAAJAQAADwAAAAAAAAAAAAAAAAA1BAAAZHJzL2Rvd25yZXYueG1sUEsFBgAAAAAE&#10;AAQA8wAAAEAFAAAAAA==&#10;" filled="f" stroked="f">
                      <v:textbox inset="0,0,0,0">
                        <w:txbxContent>
                          <w:p w14:paraId="21F9B91A" w14:textId="77777777" w:rsidR="0079783A" w:rsidRPr="001B3E1E" w:rsidRDefault="0079783A" w:rsidP="0079783A">
                            <w:pPr>
                              <w:jc w:val="center"/>
                              <w:rPr>
                                <w:rFonts w:cs="Arial"/>
                                <w:b/>
                                <w:bCs/>
                                <w:color w:val="FFFFFF"/>
                                <w:sz w:val="28"/>
                                <w:szCs w:val="28"/>
                              </w:rPr>
                            </w:pPr>
                            <w:r w:rsidRPr="001B3E1E">
                              <w:rPr>
                                <w:b/>
                                <w:bCs/>
                                <w:color w:val="FFFFFF"/>
                                <w:sz w:val="28"/>
                              </w:rPr>
                              <w:t>OF</w:t>
                            </w:r>
                          </w:p>
                          <w:p w14:paraId="043EEDB2" w14:textId="77777777" w:rsidR="0079783A" w:rsidRPr="001B3E1E" w:rsidRDefault="0079783A" w:rsidP="0079783A">
                            <w:pPr>
                              <w:jc w:val="center"/>
                              <w:rPr>
                                <w:rFonts w:cs="Arial"/>
                                <w:b/>
                                <w:bCs/>
                                <w:color w:val="FFFFFF"/>
                                <w:sz w:val="28"/>
                                <w:szCs w:val="28"/>
                              </w:rPr>
                            </w:pPr>
                          </w:p>
                        </w:txbxContent>
                      </v:textbox>
                      <w10:wrap anchory="page"/>
                    </v:shape>
                  </w:pict>
                </mc:Fallback>
              </mc:AlternateContent>
            </w:r>
            <w:r>
              <w:rPr>
                <w:noProof/>
                <w:lang w:val="en-US" w:eastAsia="ko-KR"/>
              </w:rPr>
              <w:drawing>
                <wp:inline distT="0" distB="0" distL="0" distR="0" wp14:anchorId="287EC0B9" wp14:editId="2EB2BA0D">
                  <wp:extent cx="2105025" cy="3561715"/>
                  <wp:effectExtent l="19050" t="19050" r="9525" b="635"/>
                  <wp:docPr id="16" name="그림 627406449" descr="그림, 스케치, 만화 영화,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27406449" descr="그림, 스케치, 만화 영화, 클립아트이(가) 표시된 사진&#10;&#10;자동 생성된 설명"/>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05025" cy="3561715"/>
                          </a:xfrm>
                          <a:prstGeom prst="rect">
                            <a:avLst/>
                          </a:prstGeom>
                          <a:noFill/>
                          <a:ln w="9525" cmpd="sng">
                            <a:solidFill>
                              <a:srgbClr val="000000"/>
                            </a:solidFill>
                            <a:miter lim="800000"/>
                            <a:headEnd/>
                            <a:tailEnd/>
                          </a:ln>
                          <a:effectLst/>
                        </pic:spPr>
                      </pic:pic>
                    </a:graphicData>
                  </a:graphic>
                </wp:inline>
              </w:drawing>
            </w:r>
          </w:p>
          <w:p w14:paraId="23921BC8" w14:textId="696639D4" w:rsidR="0079783A" w:rsidRPr="00330234" w:rsidRDefault="00315255">
            <w:pPr>
              <w:suppressAutoHyphens/>
              <w:jc w:val="right"/>
              <w:rPr>
                <w:b/>
                <w:bCs/>
              </w:rPr>
            </w:pPr>
            <w:r>
              <w:rPr>
                <w:noProof/>
                <w:lang w:val="en-US" w:eastAsia="ko-KR"/>
              </w:rPr>
              <mc:AlternateContent>
                <mc:Choice Requires="wps">
                  <w:drawing>
                    <wp:anchor distT="45720" distB="45720" distL="114300" distR="114300" simplePos="0" relativeHeight="251658261" behindDoc="0" locked="0" layoutInCell="1" allowOverlap="1" wp14:anchorId="6F34A0FB" wp14:editId="5A4A247A">
                      <wp:simplePos x="0" y="0"/>
                      <wp:positionH relativeFrom="column">
                        <wp:posOffset>950595</wp:posOffset>
                      </wp:positionH>
                      <wp:positionV relativeFrom="page">
                        <wp:posOffset>381635</wp:posOffset>
                      </wp:positionV>
                      <wp:extent cx="629920" cy="408940"/>
                      <wp:effectExtent l="0" t="0" r="0" b="0"/>
                      <wp:wrapNone/>
                      <wp:docPr id="163100597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6CDED8CF" w14:textId="77777777" w:rsidR="0079783A" w:rsidRPr="001B3E1E" w:rsidRDefault="0079783A" w:rsidP="0079783A">
                                  <w:pPr>
                                    <w:rPr>
                                      <w:rFonts w:cs="Arial"/>
                                      <w:b/>
                                      <w:bCs/>
                                      <w:sz w:val="28"/>
                                      <w:szCs w:val="28"/>
                                    </w:rPr>
                                  </w:pPr>
                                  <w:r w:rsidRPr="001B3E1E">
                                    <w:rPr>
                                      <w:b/>
                                      <w:bCs/>
                                      <w:sz w:val="28"/>
                                    </w:rPr>
                                    <w:t>45°</w:t>
                                  </w:r>
                                </w:p>
                                <w:p w14:paraId="3C307742" w14:textId="77777777" w:rsidR="0079783A" w:rsidRPr="001B3E1E" w:rsidRDefault="0079783A" w:rsidP="0079783A">
                                  <w:pPr>
                                    <w:rPr>
                                      <w:rFonts w:cs="Arial"/>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F34A0FB" id="Text Box 59" o:spid="_x0000_s1053" type="#_x0000_t202" style="position:absolute;left:0;text-align:left;margin-left:74.85pt;margin-top:30.05pt;width:49.6pt;height:32.2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Vp22gEAAJgDAAAOAAAAZHJzL2Uyb0RvYy54bWysU9tu2zAMfR+wfxD0vjgxiq4x4hRdiwwD&#10;uq1Atw9gZNkWZosapcTOvn6UHKe7vA17EShSOjrnkNrcjn0njpq8QVvK1WIphbYKK2ObUn79sntz&#10;I4UPYCvo0OpSnrSXt9vXrzaDK3SOLXaVJsEg1heDK2UbgiuyzKtW9+AX6LTlYo3UQ+AtNVlFMDB6&#10;32X5cnmdDUiVI1Tae84+TEW5Tfh1rVX4XNdeB9GVkrmFtFJa93HNthsoGgLXGnWmAf/Aogdj+dEL&#10;1AMEEAcyf0H1RhF6rMNCYZ9hXRulkwZWs1r+oea5BaeTFjbHu4tN/v/Bqk/HZ/dEIozvcOQGJhHe&#10;PaL65oXF+xZso++IcGg1VPzwKlqWDc4X56vRal/4CLIfPmLFTYZDwAQ01tRHV1inYHRuwOliuh6D&#10;UJy8ztfrnCuKS1fLm/VVakoGxXzZkQ/vNfYiBqUk7mkCh+OjD5EMFPOR+JbFnem61NfO/pbggzGT&#10;yEe+E/Mw7kdhqlLmb6O0KGaP1YnlEE7jwuPNQYv0Q4qBR6WU/vsBSEvRfbBsSZyrOaA52M8BWMVX&#10;SxmkmML7MM3fwZFpWkaeTb9j23YmSXphcebL7U9Kz6Ma5+vXfTr18qG2PwEAAP//AwBQSwMEFAAG&#10;AAgAAAAhAHW8ZlDdAAAACgEAAA8AAABkcnMvZG93bnJldi54bWxMjzFPwzAQhXck/oN1SCyodRKF&#10;0oQ4FUKwsFFY2Nz4mkTY5yh2k9BfzzHR8ek9ffddtVucFROOofekIF0nIJAab3pqFXx+vK62IELU&#10;ZLT1hAp+MMCuvr6qdGn8TO847WMrGEKh1Aq6GIdSytB06HRY+wGJu6MfnY4cx1aaUc8Md1ZmSbKR&#10;TvfEFzo94HOHzff+5BRslpfh7q3AbD43dqKvc5pGTJW6vVmeHkFEXOL/GP70WR1qdjr4E5kgLOe8&#10;eOApw5IUBA+yfFuAOHCT5fcg60pevlD/AgAA//8DAFBLAQItABQABgAIAAAAIQC2gziS/gAAAOEB&#10;AAATAAAAAAAAAAAAAAAAAAAAAABbQ29udGVudF9UeXBlc10ueG1sUEsBAi0AFAAGAAgAAAAhADj9&#10;If/WAAAAlAEAAAsAAAAAAAAAAAAAAAAALwEAAF9yZWxzLy5yZWxzUEsBAi0AFAAGAAgAAAAhADsp&#10;WnbaAQAAmAMAAA4AAAAAAAAAAAAAAAAALgIAAGRycy9lMm9Eb2MueG1sUEsBAi0AFAAGAAgAAAAh&#10;AHW8ZlDdAAAACgEAAA8AAAAAAAAAAAAAAAAANAQAAGRycy9kb3ducmV2LnhtbFBLBQYAAAAABAAE&#10;APMAAAA+BQAAAAA=&#10;" filled="f" stroked="f">
                      <v:textbox style="mso-fit-shape-to-text:t" inset="0,0,0,0">
                        <w:txbxContent>
                          <w:p w14:paraId="6CDED8CF" w14:textId="77777777" w:rsidR="0079783A" w:rsidRPr="001B3E1E" w:rsidRDefault="0079783A" w:rsidP="0079783A">
                            <w:pPr>
                              <w:rPr>
                                <w:rFonts w:cs="Arial"/>
                                <w:b/>
                                <w:bCs/>
                                <w:sz w:val="28"/>
                                <w:szCs w:val="28"/>
                              </w:rPr>
                            </w:pPr>
                            <w:r w:rsidRPr="001B3E1E">
                              <w:rPr>
                                <w:b/>
                                <w:bCs/>
                                <w:sz w:val="28"/>
                              </w:rPr>
                              <w:t>45°</w:t>
                            </w:r>
                          </w:p>
                          <w:p w14:paraId="3C307742" w14:textId="77777777" w:rsidR="0079783A" w:rsidRPr="001B3E1E" w:rsidRDefault="0079783A" w:rsidP="0079783A">
                            <w:pPr>
                              <w:rPr>
                                <w:rFonts w:cs="Arial"/>
                                <w:b/>
                                <w:bCs/>
                                <w:sz w:val="28"/>
                                <w:szCs w:val="28"/>
                              </w:rPr>
                            </w:pPr>
                          </w:p>
                        </w:txbxContent>
                      </v:textbox>
                      <w10:wrap anchory="page"/>
                    </v:shape>
                  </w:pict>
                </mc:Fallback>
              </mc:AlternateContent>
            </w:r>
            <w:r w:rsidR="0079783A" w:rsidRPr="00330234">
              <w:rPr>
                <w:b/>
              </w:rPr>
              <w:t>Figuur K</w:t>
            </w:r>
          </w:p>
        </w:tc>
        <w:tc>
          <w:tcPr>
            <w:tcW w:w="5517" w:type="dxa"/>
          </w:tcPr>
          <w:p w14:paraId="374092A9" w14:textId="77777777" w:rsidR="0079783A" w:rsidRPr="00330234" w:rsidRDefault="0079783A" w:rsidP="002C40DF">
            <w:pPr>
              <w:pStyle w:val="a3"/>
              <w:numPr>
                <w:ilvl w:val="0"/>
                <w:numId w:val="38"/>
              </w:numPr>
              <w:tabs>
                <w:tab w:val="left" w:pos="567"/>
              </w:tabs>
              <w:suppressAutoHyphens/>
              <w:autoSpaceDE/>
              <w:autoSpaceDN/>
              <w:ind w:left="567" w:hanging="567"/>
              <w:rPr>
                <w:b/>
              </w:rPr>
            </w:pPr>
            <w:r w:rsidRPr="00330234">
              <w:rPr>
                <w:b/>
              </w:rPr>
              <w:t>Breng de voorgevulde spuit in de injectieplaats in.</w:t>
            </w:r>
          </w:p>
          <w:p w14:paraId="4347306A" w14:textId="77777777" w:rsidR="0079783A" w:rsidRPr="00330234" w:rsidRDefault="0079783A" w:rsidP="002C40DF">
            <w:pPr>
              <w:pStyle w:val="Default"/>
              <w:widowControl w:val="0"/>
              <w:tabs>
                <w:tab w:val="left" w:pos="567"/>
              </w:tabs>
              <w:ind w:left="567" w:hanging="567"/>
              <w:rPr>
                <w:rFonts w:eastAsia="새굴림"/>
                <w:sz w:val="22"/>
                <w:szCs w:val="22"/>
                <w:lang w:val="nl-NL"/>
              </w:rPr>
            </w:pPr>
          </w:p>
          <w:p w14:paraId="1D19363D" w14:textId="77777777" w:rsidR="0079783A" w:rsidRPr="00330234" w:rsidRDefault="0079783A" w:rsidP="002C40DF">
            <w:pPr>
              <w:pStyle w:val="a3"/>
              <w:numPr>
                <w:ilvl w:val="0"/>
                <w:numId w:val="49"/>
              </w:numPr>
              <w:tabs>
                <w:tab w:val="left" w:pos="567"/>
              </w:tabs>
              <w:autoSpaceDE/>
              <w:autoSpaceDN/>
              <w:ind w:left="567" w:hanging="567"/>
              <w:rPr>
                <w:color w:val="231F20"/>
              </w:rPr>
            </w:pPr>
            <w:r w:rsidRPr="00330234">
              <w:rPr>
                <w:color w:val="231F20"/>
              </w:rPr>
              <w:t>Knijp voorzichtig met één hand de huid op de injectieplaats samen.</w:t>
            </w:r>
          </w:p>
          <w:p w14:paraId="6B4292EE" w14:textId="77777777" w:rsidR="0079783A" w:rsidRPr="00330234" w:rsidRDefault="0079783A">
            <w:pPr>
              <w:pStyle w:val="a3"/>
              <w:ind w:left="567" w:hanging="567"/>
              <w:rPr>
                <w:color w:val="231F20"/>
              </w:rPr>
            </w:pPr>
          </w:p>
          <w:p w14:paraId="740BAD51" w14:textId="5A324EB2" w:rsidR="0079783A" w:rsidRPr="00330234" w:rsidRDefault="0079783A">
            <w:pPr>
              <w:pStyle w:val="a3"/>
              <w:ind w:left="567"/>
              <w:rPr>
                <w:color w:val="231F20"/>
              </w:rPr>
            </w:pPr>
            <w:r w:rsidRPr="00330234">
              <w:rPr>
                <w:i/>
                <w:iCs/>
              </w:rPr>
              <w:t>Opmerking</w:t>
            </w:r>
            <w:r w:rsidRPr="00330234">
              <w:t xml:space="preserve">: </w:t>
            </w:r>
            <w:r w:rsidR="00592E0A" w:rsidRPr="00330234">
              <w:t>h</w:t>
            </w:r>
            <w:r w:rsidRPr="00330234">
              <w:t>et is belangrijk dat de huid wordt samengeknepen om er zeker van te zijn dat u onder de huid injecteert (in het vetrijke deel), maar niet dieper (in de spier).</w:t>
            </w:r>
          </w:p>
          <w:p w14:paraId="7F04FC2D" w14:textId="77777777" w:rsidR="0079783A" w:rsidRPr="00330234" w:rsidRDefault="0079783A">
            <w:pPr>
              <w:pStyle w:val="a3"/>
              <w:numPr>
                <w:ilvl w:val="12"/>
                <w:numId w:val="0"/>
              </w:numPr>
              <w:ind w:left="567" w:hanging="567"/>
              <w:rPr>
                <w:bCs/>
                <w:lang w:eastAsia="ko-KR"/>
              </w:rPr>
            </w:pPr>
          </w:p>
          <w:p w14:paraId="7D4B3F02" w14:textId="77777777" w:rsidR="0079783A" w:rsidRPr="00330234" w:rsidRDefault="0079783A" w:rsidP="002C40DF">
            <w:pPr>
              <w:pStyle w:val="a3"/>
              <w:numPr>
                <w:ilvl w:val="0"/>
                <w:numId w:val="37"/>
              </w:numPr>
              <w:tabs>
                <w:tab w:val="left" w:pos="1134"/>
              </w:tabs>
              <w:suppressAutoHyphens/>
              <w:autoSpaceDE/>
              <w:autoSpaceDN/>
              <w:ind w:left="1134" w:hanging="567"/>
            </w:pPr>
            <w:r w:rsidRPr="00330234">
              <w:t xml:space="preserve">Trek de zuigerstaaf </w:t>
            </w:r>
            <w:r w:rsidRPr="00330234">
              <w:rPr>
                <w:b/>
              </w:rPr>
              <w:t>nooit</w:t>
            </w:r>
            <w:r w:rsidRPr="00330234">
              <w:t xml:space="preserve"> terug.</w:t>
            </w:r>
          </w:p>
          <w:p w14:paraId="4ABD28E3" w14:textId="77777777" w:rsidR="0079783A" w:rsidRPr="00330234" w:rsidRDefault="0079783A">
            <w:pPr>
              <w:pStyle w:val="a3"/>
              <w:ind w:left="567" w:hanging="567"/>
              <w:rPr>
                <w:color w:val="231F20"/>
              </w:rPr>
            </w:pPr>
          </w:p>
          <w:p w14:paraId="55D65B5D" w14:textId="3A7E9A06" w:rsidR="0079783A" w:rsidRPr="00330234" w:rsidRDefault="0079783A" w:rsidP="002C40DF">
            <w:pPr>
              <w:pStyle w:val="a3"/>
              <w:numPr>
                <w:ilvl w:val="0"/>
                <w:numId w:val="49"/>
              </w:numPr>
              <w:tabs>
                <w:tab w:val="left" w:pos="567"/>
              </w:tabs>
              <w:autoSpaceDE/>
              <w:autoSpaceDN/>
              <w:ind w:left="567" w:hanging="567"/>
              <w:rPr>
                <w:color w:val="231F20"/>
              </w:rPr>
            </w:pPr>
            <w:r w:rsidRPr="00330234">
              <w:rPr>
                <w:color w:val="231F20"/>
              </w:rPr>
              <w:t xml:space="preserve">Steek de naald met een snelle “dart-achtige” beweging volledig in de samengeknepen huid onder een hoek van 45 tot 90 graden (zie </w:t>
            </w:r>
            <w:r w:rsidR="00A23B83" w:rsidRPr="00330234">
              <w:rPr>
                <w:b/>
                <w:color w:val="231F20"/>
              </w:rPr>
              <w:t>figuur</w:t>
            </w:r>
            <w:r w:rsidRPr="00330234">
              <w:rPr>
                <w:b/>
                <w:color w:val="231F20"/>
              </w:rPr>
              <w:t> K</w:t>
            </w:r>
            <w:r w:rsidRPr="00330234">
              <w:rPr>
                <w:color w:val="231F20"/>
              </w:rPr>
              <w:t>).</w:t>
            </w:r>
          </w:p>
          <w:p w14:paraId="1B7BE2E4" w14:textId="77777777" w:rsidR="0079783A" w:rsidRPr="00330234" w:rsidRDefault="0079783A">
            <w:pPr>
              <w:pStyle w:val="a3"/>
              <w:ind w:left="567" w:hanging="567"/>
              <w:rPr>
                <w:bCs/>
                <w:i/>
                <w:iCs/>
                <w:lang w:eastAsia="ko-KR"/>
              </w:rPr>
            </w:pPr>
          </w:p>
          <w:p w14:paraId="7ABC1213" w14:textId="649D2416" w:rsidR="0079783A" w:rsidRPr="00330234" w:rsidRDefault="0079783A">
            <w:pPr>
              <w:pStyle w:val="a3"/>
              <w:ind w:left="567"/>
              <w:rPr>
                <w:bCs/>
              </w:rPr>
            </w:pPr>
            <w:r w:rsidRPr="00330234">
              <w:rPr>
                <w:i/>
                <w:iCs/>
              </w:rPr>
              <w:t>Opmerking</w:t>
            </w:r>
            <w:r w:rsidRPr="00330234">
              <w:t xml:space="preserve">: </w:t>
            </w:r>
            <w:r w:rsidR="00592E0A" w:rsidRPr="00330234">
              <w:t>h</w:t>
            </w:r>
            <w:r w:rsidRPr="00330234">
              <w:t xml:space="preserve">et is belangrijk om de juiste hoek te kiezen om er zeker van te zijn dat het geneesmiddel onder de huid wordt afgegeven (in het vetweefsel), omdat anders de injectie pijnlijk kan zijn en het </w:t>
            </w:r>
            <w:r w:rsidR="005D74A9" w:rsidRPr="00330234">
              <w:t>geneesmiddel</w:t>
            </w:r>
            <w:r w:rsidRPr="00330234">
              <w:t xml:space="preserve"> mogelijk niet werkt.</w:t>
            </w:r>
          </w:p>
          <w:p w14:paraId="1C0E6D86" w14:textId="77777777" w:rsidR="0079783A" w:rsidRPr="00330234" w:rsidRDefault="0079783A">
            <w:pPr>
              <w:pStyle w:val="a3"/>
              <w:ind w:left="567" w:hanging="567"/>
              <w:rPr>
                <w:color w:val="231F20"/>
              </w:rPr>
            </w:pPr>
          </w:p>
          <w:p w14:paraId="708C62A7" w14:textId="77777777" w:rsidR="0079783A" w:rsidRPr="00330234" w:rsidRDefault="0079783A" w:rsidP="002C40DF">
            <w:pPr>
              <w:pStyle w:val="a3"/>
              <w:numPr>
                <w:ilvl w:val="0"/>
                <w:numId w:val="37"/>
              </w:numPr>
              <w:tabs>
                <w:tab w:val="left" w:pos="1134"/>
              </w:tabs>
              <w:suppressAutoHyphens/>
              <w:autoSpaceDE/>
              <w:autoSpaceDN/>
              <w:ind w:left="1134" w:hanging="567"/>
            </w:pPr>
            <w:r w:rsidRPr="00330234">
              <w:t xml:space="preserve">Raak de zuigerstaaf </w:t>
            </w:r>
            <w:r w:rsidRPr="00330234">
              <w:rPr>
                <w:b/>
              </w:rPr>
              <w:t>niet</w:t>
            </w:r>
            <w:r w:rsidRPr="00330234">
              <w:t xml:space="preserve"> aan terwijl u de naald in de huid steekt.</w:t>
            </w:r>
          </w:p>
          <w:p w14:paraId="54B18A9E" w14:textId="77777777" w:rsidR="0079783A" w:rsidRPr="00330234" w:rsidRDefault="0079783A" w:rsidP="003E2554"/>
        </w:tc>
      </w:tr>
      <w:tr w:rsidR="00A358A8" w:rsidRPr="00330234" w14:paraId="4AA04C9F" w14:textId="77777777">
        <w:trPr>
          <w:cantSplit/>
        </w:trPr>
        <w:tc>
          <w:tcPr>
            <w:tcW w:w="3539" w:type="dxa"/>
          </w:tcPr>
          <w:p w14:paraId="6AC6652D" w14:textId="67DBF980" w:rsidR="0079783A" w:rsidRPr="00330234" w:rsidRDefault="00315255">
            <w:pPr>
              <w:suppressAutoHyphens/>
              <w:jc w:val="right"/>
            </w:pPr>
            <w:r>
              <w:rPr>
                <w:noProof/>
                <w:lang w:val="en-US" w:eastAsia="ko-KR"/>
              </w:rPr>
              <w:drawing>
                <wp:inline distT="0" distB="0" distL="0" distR="0" wp14:anchorId="67D558D5" wp14:editId="4186B509">
                  <wp:extent cx="2094865" cy="2594610"/>
                  <wp:effectExtent l="19050" t="19050" r="635" b="0"/>
                  <wp:docPr id="17" name="그림 468000863" descr="그림, 클립아트, 스케치,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68000863" descr="그림, 클립아트, 스케치, 만화 영화이(가) 표시된 사진&#10;&#10;자동 생성된 설명"/>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94865" cy="2594610"/>
                          </a:xfrm>
                          <a:prstGeom prst="rect">
                            <a:avLst/>
                          </a:prstGeom>
                          <a:noFill/>
                          <a:ln w="9525" cmpd="sng">
                            <a:solidFill>
                              <a:srgbClr val="000000"/>
                            </a:solidFill>
                            <a:miter lim="800000"/>
                            <a:headEnd/>
                            <a:tailEnd/>
                          </a:ln>
                          <a:effectLst/>
                        </pic:spPr>
                      </pic:pic>
                    </a:graphicData>
                  </a:graphic>
                </wp:inline>
              </w:drawing>
            </w:r>
          </w:p>
          <w:p w14:paraId="58245F84" w14:textId="77777777" w:rsidR="0079783A" w:rsidRPr="00330234" w:rsidRDefault="0079783A">
            <w:pPr>
              <w:suppressAutoHyphens/>
              <w:jc w:val="right"/>
              <w:rPr>
                <w:b/>
                <w:bCs/>
              </w:rPr>
            </w:pPr>
            <w:r w:rsidRPr="00330234">
              <w:rPr>
                <w:b/>
              </w:rPr>
              <w:t>Figuur L</w:t>
            </w:r>
          </w:p>
        </w:tc>
        <w:tc>
          <w:tcPr>
            <w:tcW w:w="5517" w:type="dxa"/>
          </w:tcPr>
          <w:p w14:paraId="067121A6" w14:textId="77777777" w:rsidR="0079783A" w:rsidRPr="00330234" w:rsidRDefault="0079783A" w:rsidP="002C40DF">
            <w:pPr>
              <w:pStyle w:val="a3"/>
              <w:numPr>
                <w:ilvl w:val="0"/>
                <w:numId w:val="38"/>
              </w:numPr>
              <w:tabs>
                <w:tab w:val="left" w:pos="567"/>
              </w:tabs>
              <w:suppressAutoHyphens/>
              <w:autoSpaceDE/>
              <w:autoSpaceDN/>
              <w:ind w:left="567" w:hanging="567"/>
              <w:rPr>
                <w:b/>
              </w:rPr>
            </w:pPr>
            <w:r w:rsidRPr="00330234">
              <w:rPr>
                <w:b/>
              </w:rPr>
              <w:t>Dien de injectie toe.</w:t>
            </w:r>
          </w:p>
          <w:p w14:paraId="3D2496DA" w14:textId="77777777" w:rsidR="0079783A" w:rsidRPr="00330234" w:rsidRDefault="0079783A" w:rsidP="002C40DF">
            <w:pPr>
              <w:pStyle w:val="Default"/>
              <w:widowControl w:val="0"/>
              <w:tabs>
                <w:tab w:val="left" w:pos="567"/>
              </w:tabs>
              <w:ind w:left="567" w:hanging="567"/>
              <w:rPr>
                <w:rFonts w:eastAsia="새굴림"/>
                <w:sz w:val="22"/>
                <w:szCs w:val="22"/>
                <w:lang w:val="nl-NL"/>
              </w:rPr>
            </w:pPr>
          </w:p>
          <w:p w14:paraId="3FBBEFDA" w14:textId="77777777" w:rsidR="0079783A" w:rsidRPr="00330234" w:rsidRDefault="0079783A" w:rsidP="002C40DF">
            <w:pPr>
              <w:pStyle w:val="a3"/>
              <w:numPr>
                <w:ilvl w:val="0"/>
                <w:numId w:val="50"/>
              </w:numPr>
              <w:tabs>
                <w:tab w:val="left" w:pos="567"/>
              </w:tabs>
              <w:autoSpaceDE/>
              <w:autoSpaceDN/>
              <w:ind w:left="567" w:hanging="567"/>
              <w:rPr>
                <w:bCs/>
              </w:rPr>
            </w:pPr>
            <w:r w:rsidRPr="00330234">
              <w:t>Nadat de naald is ingebracht, laat u de samengeknepen huid los.</w:t>
            </w:r>
          </w:p>
          <w:p w14:paraId="27ED630D" w14:textId="7E26CECC" w:rsidR="0079783A" w:rsidRPr="00330234" w:rsidRDefault="0079783A" w:rsidP="002C40DF">
            <w:pPr>
              <w:pStyle w:val="a3"/>
              <w:numPr>
                <w:ilvl w:val="0"/>
                <w:numId w:val="50"/>
              </w:numPr>
              <w:tabs>
                <w:tab w:val="left" w:pos="567"/>
              </w:tabs>
              <w:autoSpaceDE/>
              <w:autoSpaceDN/>
              <w:ind w:left="567" w:hanging="567"/>
              <w:rPr>
                <w:bCs/>
              </w:rPr>
            </w:pPr>
            <w:r w:rsidRPr="00330234">
              <w:t xml:space="preserve">Duw de zuigerstaaf langzaam zo ver mogelijk in tot de volledige dosis van het geneesmiddel wordt geïnjecteerd en de spuit leeg is (zie </w:t>
            </w:r>
            <w:r w:rsidR="00A23B83" w:rsidRPr="00330234">
              <w:rPr>
                <w:b/>
                <w:color w:val="231F20"/>
              </w:rPr>
              <w:t>figuur</w:t>
            </w:r>
            <w:r w:rsidRPr="00330234">
              <w:rPr>
                <w:b/>
              </w:rPr>
              <w:t> L</w:t>
            </w:r>
            <w:r w:rsidRPr="00330234">
              <w:t>).</w:t>
            </w:r>
          </w:p>
          <w:p w14:paraId="58FDAFEE" w14:textId="77777777" w:rsidR="0079783A" w:rsidRPr="00330234" w:rsidRDefault="0079783A">
            <w:pPr>
              <w:pStyle w:val="a3"/>
              <w:numPr>
                <w:ilvl w:val="12"/>
                <w:numId w:val="0"/>
              </w:numPr>
              <w:ind w:left="567" w:hanging="567"/>
              <w:rPr>
                <w:bCs/>
                <w:lang w:eastAsia="ko-KR"/>
              </w:rPr>
            </w:pPr>
          </w:p>
          <w:p w14:paraId="17531EDF" w14:textId="77777777" w:rsidR="0079783A" w:rsidRPr="00330234" w:rsidRDefault="0079783A" w:rsidP="002C40DF">
            <w:pPr>
              <w:pStyle w:val="a3"/>
              <w:numPr>
                <w:ilvl w:val="0"/>
                <w:numId w:val="37"/>
              </w:numPr>
              <w:tabs>
                <w:tab w:val="left" w:pos="1134"/>
              </w:tabs>
              <w:suppressAutoHyphens/>
              <w:autoSpaceDE/>
              <w:autoSpaceDN/>
              <w:ind w:left="1134" w:hanging="567"/>
            </w:pPr>
            <w:r w:rsidRPr="00330234">
              <w:t>Als de zuiger niet kan worden ingedrukt, gooi de voorgevulde spuit dan weg en gebruik een nieuwe voorgevulde spuit.</w:t>
            </w:r>
          </w:p>
          <w:p w14:paraId="6AD40995" w14:textId="77777777" w:rsidR="0079783A" w:rsidRPr="00330234" w:rsidRDefault="0079783A" w:rsidP="002C40DF">
            <w:pPr>
              <w:pStyle w:val="a3"/>
              <w:numPr>
                <w:ilvl w:val="0"/>
                <w:numId w:val="37"/>
              </w:numPr>
              <w:tabs>
                <w:tab w:val="left" w:pos="1134"/>
              </w:tabs>
              <w:suppressAutoHyphens/>
              <w:autoSpaceDE/>
              <w:autoSpaceDN/>
              <w:ind w:left="1134" w:hanging="567"/>
            </w:pPr>
            <w:r w:rsidRPr="00330234">
              <w:t xml:space="preserve">Verander de positie van de voorgevulde spuit </w:t>
            </w:r>
            <w:r w:rsidRPr="00330234">
              <w:rPr>
                <w:b/>
              </w:rPr>
              <w:t>niet</w:t>
            </w:r>
            <w:r w:rsidRPr="00330234">
              <w:t xml:space="preserve"> nadat de injectie is gestart.</w:t>
            </w:r>
          </w:p>
          <w:p w14:paraId="63807849" w14:textId="77777777" w:rsidR="0079783A" w:rsidRPr="00330234" w:rsidRDefault="0079783A" w:rsidP="002C40DF">
            <w:pPr>
              <w:pStyle w:val="a3"/>
              <w:numPr>
                <w:ilvl w:val="0"/>
                <w:numId w:val="37"/>
              </w:numPr>
              <w:tabs>
                <w:tab w:val="left" w:pos="1134"/>
              </w:tabs>
              <w:suppressAutoHyphens/>
              <w:autoSpaceDE/>
              <w:autoSpaceDN/>
              <w:ind w:left="1134" w:hanging="567"/>
            </w:pPr>
            <w:r w:rsidRPr="00330234">
              <w:t>Als de zuigerstaaf niet volledig wordt ingedrukt, zal de naaldbeschermer niet uitschuiven om de naald te bedekken wanneer deze wordt verwijderd.</w:t>
            </w:r>
          </w:p>
          <w:p w14:paraId="52937CBC" w14:textId="77777777" w:rsidR="0079783A" w:rsidRPr="00330234" w:rsidRDefault="0079783A" w:rsidP="002C40DF">
            <w:pPr>
              <w:pStyle w:val="a3"/>
              <w:numPr>
                <w:ilvl w:val="0"/>
                <w:numId w:val="37"/>
              </w:numPr>
              <w:tabs>
                <w:tab w:val="left" w:pos="1134"/>
              </w:tabs>
              <w:suppressAutoHyphens/>
              <w:autoSpaceDE/>
              <w:autoSpaceDN/>
              <w:ind w:left="1134" w:hanging="567"/>
            </w:pPr>
            <w:r w:rsidRPr="00330234">
              <w:t xml:space="preserve">Als de naald niet is bedekt, gooi de spuit dan voorzichtig weg (zie </w:t>
            </w:r>
            <w:r w:rsidRPr="00330234">
              <w:rPr>
                <w:b/>
                <w:bCs/>
              </w:rPr>
              <w:t>stap</w:t>
            </w:r>
            <w:r w:rsidRPr="00330234">
              <w:rPr>
                <w:b/>
              </w:rPr>
              <w:t xml:space="preserve"> 14. </w:t>
            </w:r>
            <w:r w:rsidRPr="00330234">
              <w:rPr>
                <w:b/>
                <w:bCs/>
              </w:rPr>
              <w:t>Gooi de voorgevulde spuit weg</w:t>
            </w:r>
            <w:r w:rsidRPr="00330234">
              <w:t>).</w:t>
            </w:r>
          </w:p>
          <w:p w14:paraId="7F250791" w14:textId="77777777" w:rsidR="0079783A" w:rsidRPr="00330234" w:rsidRDefault="0079783A" w:rsidP="003E2554"/>
        </w:tc>
      </w:tr>
      <w:tr w:rsidR="00A358A8" w:rsidRPr="00330234" w14:paraId="75180D91" w14:textId="77777777">
        <w:trPr>
          <w:cantSplit/>
        </w:trPr>
        <w:tc>
          <w:tcPr>
            <w:tcW w:w="3539" w:type="dxa"/>
          </w:tcPr>
          <w:p w14:paraId="02A84EDA" w14:textId="6A09F365" w:rsidR="0079783A" w:rsidRPr="00330234" w:rsidRDefault="00315255">
            <w:pPr>
              <w:suppressAutoHyphens/>
              <w:jc w:val="right"/>
            </w:pPr>
            <w:r>
              <w:rPr>
                <w:noProof/>
                <w:lang w:val="en-US" w:eastAsia="ko-KR"/>
              </w:rPr>
              <w:lastRenderedPageBreak/>
              <w:drawing>
                <wp:inline distT="0" distB="0" distL="0" distR="0" wp14:anchorId="554C661F" wp14:editId="2FF1CB1D">
                  <wp:extent cx="2062480" cy="2594610"/>
                  <wp:effectExtent l="19050" t="19050" r="0" b="0"/>
                  <wp:docPr id="18" name="그림 1861318681" descr="스케치, 그림, 만화 영화,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61318681" descr="스케치, 그림, 만화 영화, 클립아트이(가) 표시된 사진&#10;&#10;자동 생성된 설명"/>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62480" cy="2594610"/>
                          </a:xfrm>
                          <a:prstGeom prst="rect">
                            <a:avLst/>
                          </a:prstGeom>
                          <a:noFill/>
                          <a:ln w="9525" cmpd="sng">
                            <a:solidFill>
                              <a:srgbClr val="000000"/>
                            </a:solidFill>
                            <a:miter lim="800000"/>
                            <a:headEnd/>
                            <a:tailEnd/>
                          </a:ln>
                          <a:effectLst/>
                        </pic:spPr>
                      </pic:pic>
                    </a:graphicData>
                  </a:graphic>
                </wp:inline>
              </w:drawing>
            </w:r>
          </w:p>
          <w:p w14:paraId="0DE5A191" w14:textId="77777777" w:rsidR="0079783A" w:rsidRPr="00330234" w:rsidRDefault="0079783A">
            <w:pPr>
              <w:suppressAutoHyphens/>
              <w:jc w:val="right"/>
              <w:rPr>
                <w:b/>
                <w:bCs/>
              </w:rPr>
            </w:pPr>
            <w:r w:rsidRPr="00330234">
              <w:rPr>
                <w:b/>
              </w:rPr>
              <w:t>Figuur M</w:t>
            </w:r>
          </w:p>
        </w:tc>
        <w:tc>
          <w:tcPr>
            <w:tcW w:w="5517" w:type="dxa"/>
          </w:tcPr>
          <w:p w14:paraId="3D73FD23" w14:textId="77777777" w:rsidR="0079783A" w:rsidRPr="00330234" w:rsidRDefault="0079783A" w:rsidP="002C40DF">
            <w:pPr>
              <w:pStyle w:val="a3"/>
              <w:numPr>
                <w:ilvl w:val="0"/>
                <w:numId w:val="38"/>
              </w:numPr>
              <w:tabs>
                <w:tab w:val="left" w:pos="567"/>
              </w:tabs>
              <w:suppressAutoHyphens/>
              <w:autoSpaceDE/>
              <w:autoSpaceDN/>
              <w:ind w:left="567" w:hanging="567"/>
              <w:rPr>
                <w:b/>
              </w:rPr>
            </w:pPr>
            <w:r w:rsidRPr="00330234">
              <w:rPr>
                <w:b/>
              </w:rPr>
              <w:t>Haal de voorgevulde spuit uit de injectieplaats.</w:t>
            </w:r>
          </w:p>
          <w:p w14:paraId="25C300CE" w14:textId="77777777" w:rsidR="0079783A" w:rsidRPr="00330234" w:rsidRDefault="0079783A" w:rsidP="002C40DF">
            <w:pPr>
              <w:pStyle w:val="Default"/>
              <w:widowControl w:val="0"/>
              <w:tabs>
                <w:tab w:val="left" w:pos="567"/>
              </w:tabs>
              <w:ind w:left="567" w:hanging="567"/>
              <w:rPr>
                <w:rFonts w:eastAsia="새굴림"/>
                <w:sz w:val="22"/>
                <w:szCs w:val="22"/>
                <w:lang w:val="nl-NL"/>
              </w:rPr>
            </w:pPr>
          </w:p>
          <w:p w14:paraId="4502B78D" w14:textId="5E21D521" w:rsidR="0079783A" w:rsidRPr="00330234" w:rsidRDefault="0079783A" w:rsidP="002C40DF">
            <w:pPr>
              <w:pStyle w:val="a3"/>
              <w:numPr>
                <w:ilvl w:val="0"/>
                <w:numId w:val="51"/>
              </w:numPr>
              <w:tabs>
                <w:tab w:val="left" w:pos="567"/>
              </w:tabs>
              <w:autoSpaceDE/>
              <w:autoSpaceDN/>
              <w:ind w:left="567" w:hanging="567"/>
              <w:rPr>
                <w:bCs/>
              </w:rPr>
            </w:pPr>
            <w:r w:rsidRPr="00330234">
              <w:t xml:space="preserve">Nadat de voorgevulde spuit leeg </w:t>
            </w:r>
            <w:r w:rsidR="002555BD" w:rsidRPr="00330234">
              <w:t>is gemaakt</w:t>
            </w:r>
            <w:r w:rsidRPr="00330234">
              <w:t xml:space="preserve">, verwijdert u de naald van de injectieplaats en laat u de zuiger los tot de naald volledig door de naaldbeschermer is bedekt (zie </w:t>
            </w:r>
            <w:r w:rsidRPr="00330234">
              <w:rPr>
                <w:b/>
              </w:rPr>
              <w:t>figuur M</w:t>
            </w:r>
            <w:r w:rsidRPr="00330234">
              <w:t>).</w:t>
            </w:r>
          </w:p>
          <w:p w14:paraId="14487876" w14:textId="3EFDB5A8" w:rsidR="0079783A" w:rsidRPr="00330234" w:rsidRDefault="0079783A" w:rsidP="002C40DF">
            <w:pPr>
              <w:pStyle w:val="a3"/>
              <w:numPr>
                <w:ilvl w:val="0"/>
                <w:numId w:val="37"/>
              </w:numPr>
              <w:tabs>
                <w:tab w:val="left" w:pos="1134"/>
              </w:tabs>
              <w:suppressAutoHyphens/>
              <w:autoSpaceDE/>
              <w:autoSpaceDN/>
              <w:ind w:left="1134" w:hanging="567"/>
            </w:pPr>
            <w:r w:rsidRPr="00330234">
              <w:t xml:space="preserve">Er kan een kleine hoeveelheid bloed op de injectieplaats aanwezig zijn (zie </w:t>
            </w:r>
            <w:r w:rsidRPr="00330234">
              <w:rPr>
                <w:b/>
                <w:bCs/>
              </w:rPr>
              <w:t>stap</w:t>
            </w:r>
            <w:r w:rsidRPr="00330234">
              <w:t> </w:t>
            </w:r>
            <w:r w:rsidRPr="00330234">
              <w:rPr>
                <w:b/>
              </w:rPr>
              <w:t xml:space="preserve">13. </w:t>
            </w:r>
            <w:r w:rsidR="002555BD" w:rsidRPr="00330234">
              <w:rPr>
                <w:b/>
              </w:rPr>
              <w:t>Verzorg de injectieplaats</w:t>
            </w:r>
            <w:r w:rsidRPr="00330234">
              <w:rPr>
                <w:b/>
              </w:rPr>
              <w:t>.</w:t>
            </w:r>
          </w:p>
          <w:p w14:paraId="3B421159" w14:textId="77777777" w:rsidR="0079783A" w:rsidRPr="00330234" w:rsidRDefault="0079783A" w:rsidP="002C40DF">
            <w:pPr>
              <w:pStyle w:val="a3"/>
              <w:numPr>
                <w:ilvl w:val="0"/>
                <w:numId w:val="37"/>
              </w:numPr>
              <w:tabs>
                <w:tab w:val="left" w:pos="1134"/>
              </w:tabs>
              <w:suppressAutoHyphens/>
              <w:autoSpaceDE/>
              <w:autoSpaceDN/>
              <w:ind w:left="1134" w:hanging="567"/>
            </w:pPr>
            <w:r w:rsidRPr="00330234">
              <w:t>Als het geneesmiddel in contact is gekomen met uw huid, wast u het aangetaste gebied met water.</w:t>
            </w:r>
          </w:p>
          <w:p w14:paraId="70A04BEF" w14:textId="77777777" w:rsidR="0079783A" w:rsidRPr="00330234" w:rsidRDefault="0079783A" w:rsidP="002C40DF">
            <w:pPr>
              <w:pStyle w:val="a3"/>
              <w:numPr>
                <w:ilvl w:val="0"/>
                <w:numId w:val="37"/>
              </w:numPr>
              <w:tabs>
                <w:tab w:val="left" w:pos="1134"/>
              </w:tabs>
              <w:suppressAutoHyphens/>
              <w:autoSpaceDE/>
              <w:autoSpaceDN/>
              <w:ind w:left="1134" w:hanging="567"/>
            </w:pPr>
            <w:r w:rsidRPr="00330234">
              <w:t xml:space="preserve">Gebruik de voorgevulde spuit </w:t>
            </w:r>
            <w:r w:rsidRPr="00330234">
              <w:rPr>
                <w:b/>
              </w:rPr>
              <w:t>niet</w:t>
            </w:r>
            <w:r w:rsidRPr="00330234">
              <w:t xml:space="preserve"> opnieuw.</w:t>
            </w:r>
          </w:p>
          <w:p w14:paraId="508E1067" w14:textId="77777777" w:rsidR="0079783A" w:rsidRPr="00330234" w:rsidRDefault="0079783A" w:rsidP="003E2554"/>
        </w:tc>
      </w:tr>
    </w:tbl>
    <w:p w14:paraId="36CD5ED3" w14:textId="77777777" w:rsidR="0079783A" w:rsidRPr="00330234" w:rsidRDefault="0079783A" w:rsidP="0079783A"/>
    <w:p w14:paraId="7FBB94E6" w14:textId="77777777" w:rsidR="0079783A" w:rsidRPr="00330234" w:rsidRDefault="0079783A" w:rsidP="0079783A">
      <w:pPr>
        <w:keepNext/>
        <w:rPr>
          <w:b/>
          <w:bCs/>
        </w:rPr>
      </w:pPr>
      <w:r w:rsidRPr="00330234">
        <w:rPr>
          <w:b/>
        </w:rPr>
        <w:t>Na de injectie</w:t>
      </w:r>
    </w:p>
    <w:p w14:paraId="5A4C29FF" w14:textId="77777777" w:rsidR="0079783A" w:rsidRPr="00330234" w:rsidRDefault="0079783A" w:rsidP="0079783A">
      <w:pPr>
        <w:keepNex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A358A8" w:rsidRPr="00330234" w14:paraId="30331F79" w14:textId="77777777">
        <w:trPr>
          <w:cantSplit/>
        </w:trPr>
        <w:tc>
          <w:tcPr>
            <w:tcW w:w="9056" w:type="dxa"/>
            <w:gridSpan w:val="2"/>
          </w:tcPr>
          <w:p w14:paraId="36F411F3" w14:textId="4B419124" w:rsidR="0079783A" w:rsidRPr="00330234" w:rsidRDefault="002555BD" w:rsidP="002C40DF">
            <w:pPr>
              <w:pStyle w:val="a3"/>
              <w:numPr>
                <w:ilvl w:val="0"/>
                <w:numId w:val="38"/>
              </w:numPr>
              <w:tabs>
                <w:tab w:val="left" w:pos="567"/>
              </w:tabs>
              <w:suppressAutoHyphens/>
              <w:autoSpaceDE/>
              <w:autoSpaceDN/>
              <w:ind w:left="567" w:hanging="567"/>
              <w:rPr>
                <w:b/>
              </w:rPr>
            </w:pPr>
            <w:r w:rsidRPr="00330234">
              <w:rPr>
                <w:b/>
              </w:rPr>
              <w:t xml:space="preserve">Verzorg de </w:t>
            </w:r>
            <w:r w:rsidR="0079783A" w:rsidRPr="00330234">
              <w:rPr>
                <w:b/>
              </w:rPr>
              <w:t>injectieplaats.</w:t>
            </w:r>
          </w:p>
          <w:p w14:paraId="4C6169D9" w14:textId="77777777" w:rsidR="0079783A" w:rsidRPr="00330234" w:rsidRDefault="0079783A" w:rsidP="002C40DF">
            <w:pPr>
              <w:pStyle w:val="Default"/>
              <w:widowControl w:val="0"/>
              <w:tabs>
                <w:tab w:val="left" w:pos="567"/>
              </w:tabs>
              <w:ind w:left="567" w:hanging="567"/>
              <w:rPr>
                <w:rFonts w:eastAsia="새굴림"/>
                <w:sz w:val="22"/>
                <w:szCs w:val="22"/>
                <w:lang w:val="nl-NL"/>
              </w:rPr>
            </w:pPr>
          </w:p>
          <w:p w14:paraId="50268A1D" w14:textId="619D9DEB" w:rsidR="0079783A" w:rsidRPr="00330234" w:rsidRDefault="0079783A" w:rsidP="002C40DF">
            <w:pPr>
              <w:pStyle w:val="a3"/>
              <w:numPr>
                <w:ilvl w:val="0"/>
                <w:numId w:val="52"/>
              </w:numPr>
              <w:tabs>
                <w:tab w:val="left" w:pos="567"/>
              </w:tabs>
              <w:autoSpaceDE/>
              <w:autoSpaceDN/>
              <w:ind w:left="567" w:hanging="567"/>
              <w:rPr>
                <w:bCs/>
              </w:rPr>
            </w:pPr>
            <w:r w:rsidRPr="00330234">
              <w:t xml:space="preserve">Als er een kleine hoeveelheid bloed aanwezig is, behandel de injectieplaats dan door er voorzichtig </w:t>
            </w:r>
            <w:r w:rsidR="00616301" w:rsidRPr="00330234">
              <w:t xml:space="preserve">met een watje of gaasje en </w:t>
            </w:r>
            <w:r w:rsidRPr="00330234">
              <w:t xml:space="preserve">op te </w:t>
            </w:r>
            <w:r w:rsidR="002555BD" w:rsidRPr="00330234">
              <w:t>drukken, zonder te wrijven</w:t>
            </w:r>
            <w:r w:rsidRPr="00330234">
              <w:t>, breng indien nodig een pleister aan.</w:t>
            </w:r>
          </w:p>
          <w:p w14:paraId="718D6408" w14:textId="77777777" w:rsidR="0079783A" w:rsidRPr="00330234" w:rsidRDefault="0079783A" w:rsidP="002C40DF">
            <w:pPr>
              <w:pStyle w:val="a3"/>
              <w:numPr>
                <w:ilvl w:val="0"/>
                <w:numId w:val="37"/>
              </w:numPr>
              <w:tabs>
                <w:tab w:val="left" w:pos="1134"/>
              </w:tabs>
              <w:suppressAutoHyphens/>
              <w:autoSpaceDE/>
              <w:autoSpaceDN/>
              <w:ind w:left="1134" w:hanging="567"/>
              <w:rPr>
                <w:bCs/>
              </w:rPr>
            </w:pPr>
            <w:r w:rsidRPr="00330234">
              <w:rPr>
                <w:b/>
              </w:rPr>
              <w:t>Niet</w:t>
            </w:r>
            <w:r w:rsidRPr="00330234">
              <w:t xml:space="preserve"> over de injectieplaats wrijven.</w:t>
            </w:r>
          </w:p>
          <w:p w14:paraId="58437D84" w14:textId="77777777" w:rsidR="0079783A" w:rsidRPr="00330234" w:rsidRDefault="0079783A" w:rsidP="003E2554"/>
        </w:tc>
      </w:tr>
      <w:tr w:rsidR="00A358A8" w:rsidRPr="00330234" w14:paraId="5DE7AD33" w14:textId="77777777">
        <w:trPr>
          <w:cantSplit/>
        </w:trPr>
        <w:tc>
          <w:tcPr>
            <w:tcW w:w="3539" w:type="dxa"/>
          </w:tcPr>
          <w:p w14:paraId="344B3BBA" w14:textId="0D3D9907" w:rsidR="0079783A" w:rsidRPr="00330234" w:rsidRDefault="00315255">
            <w:pPr>
              <w:suppressAutoHyphens/>
              <w:jc w:val="right"/>
            </w:pPr>
            <w:r>
              <w:rPr>
                <w:noProof/>
                <w:lang w:val="en-US" w:eastAsia="ko-KR"/>
              </w:rPr>
              <w:drawing>
                <wp:inline distT="0" distB="0" distL="0" distR="0" wp14:anchorId="2F28C13B" wp14:editId="4EAAE5C5">
                  <wp:extent cx="1924685" cy="2552065"/>
                  <wp:effectExtent l="19050" t="19050" r="0" b="635"/>
                  <wp:docPr id="19" name="그림 2017990357" descr="스케치, 그림, 아동 미술, 예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17990357" descr="스케치, 그림, 아동 미술, 예술이(가) 표시된 사진&#10;&#10;자동 생성된 설명"/>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24685" cy="2552065"/>
                          </a:xfrm>
                          <a:prstGeom prst="rect">
                            <a:avLst/>
                          </a:prstGeom>
                          <a:noFill/>
                          <a:ln w="9525" cmpd="sng">
                            <a:solidFill>
                              <a:srgbClr val="000000"/>
                            </a:solidFill>
                            <a:miter lim="800000"/>
                            <a:headEnd/>
                            <a:tailEnd/>
                          </a:ln>
                          <a:effectLst/>
                        </pic:spPr>
                      </pic:pic>
                    </a:graphicData>
                  </a:graphic>
                </wp:inline>
              </w:drawing>
            </w:r>
          </w:p>
          <w:p w14:paraId="453F0F15" w14:textId="77777777" w:rsidR="0079783A" w:rsidRPr="00330234" w:rsidRDefault="0079783A">
            <w:pPr>
              <w:suppressAutoHyphens/>
              <w:jc w:val="right"/>
              <w:rPr>
                <w:b/>
                <w:bCs/>
              </w:rPr>
            </w:pPr>
            <w:r w:rsidRPr="00330234">
              <w:rPr>
                <w:b/>
              </w:rPr>
              <w:t>Figuur N</w:t>
            </w:r>
          </w:p>
        </w:tc>
        <w:tc>
          <w:tcPr>
            <w:tcW w:w="5517" w:type="dxa"/>
          </w:tcPr>
          <w:p w14:paraId="1F328188" w14:textId="77777777" w:rsidR="0079783A" w:rsidRPr="00330234" w:rsidRDefault="0079783A" w:rsidP="002C40DF">
            <w:pPr>
              <w:pStyle w:val="a3"/>
              <w:numPr>
                <w:ilvl w:val="0"/>
                <w:numId w:val="38"/>
              </w:numPr>
              <w:tabs>
                <w:tab w:val="left" w:pos="567"/>
              </w:tabs>
              <w:suppressAutoHyphens/>
              <w:autoSpaceDE/>
              <w:autoSpaceDN/>
              <w:ind w:left="567" w:hanging="567"/>
              <w:rPr>
                <w:b/>
              </w:rPr>
            </w:pPr>
            <w:r w:rsidRPr="00330234">
              <w:rPr>
                <w:b/>
              </w:rPr>
              <w:t>Gooi de voorgevulde spuit weg.</w:t>
            </w:r>
          </w:p>
          <w:p w14:paraId="6F9FFD45" w14:textId="77777777" w:rsidR="0079783A" w:rsidRPr="00330234" w:rsidRDefault="0079783A" w:rsidP="002C40DF">
            <w:pPr>
              <w:pStyle w:val="Default"/>
              <w:widowControl w:val="0"/>
              <w:tabs>
                <w:tab w:val="left" w:pos="567"/>
              </w:tabs>
              <w:ind w:left="567" w:hanging="567"/>
              <w:rPr>
                <w:rFonts w:eastAsia="새굴림"/>
                <w:sz w:val="22"/>
                <w:szCs w:val="22"/>
                <w:lang w:val="nl-NL"/>
              </w:rPr>
            </w:pPr>
          </w:p>
          <w:p w14:paraId="67C4291D" w14:textId="533F955A" w:rsidR="0079783A" w:rsidRPr="00330234" w:rsidRDefault="0079783A" w:rsidP="002C40DF">
            <w:pPr>
              <w:pStyle w:val="a3"/>
              <w:numPr>
                <w:ilvl w:val="0"/>
                <w:numId w:val="53"/>
              </w:numPr>
              <w:tabs>
                <w:tab w:val="left" w:pos="567"/>
              </w:tabs>
              <w:autoSpaceDE/>
              <w:autoSpaceDN/>
              <w:ind w:left="567" w:hanging="567"/>
              <w:rPr>
                <w:bCs/>
              </w:rPr>
            </w:pPr>
            <w:r w:rsidRPr="00330234">
              <w:t xml:space="preserve">Doe de gebruikte voorgevulde spuit meteen na gebruik in een naaldencontainer (zie </w:t>
            </w:r>
            <w:r w:rsidR="00A23B83" w:rsidRPr="00330234">
              <w:rPr>
                <w:b/>
                <w:color w:val="231F20"/>
              </w:rPr>
              <w:t>figuur</w:t>
            </w:r>
            <w:r w:rsidRPr="00330234">
              <w:rPr>
                <w:b/>
              </w:rPr>
              <w:t> N</w:t>
            </w:r>
            <w:r w:rsidRPr="00330234">
              <w:t>).</w:t>
            </w:r>
          </w:p>
          <w:p w14:paraId="6B6A30D9" w14:textId="77777777" w:rsidR="0079783A" w:rsidRPr="00330234" w:rsidRDefault="0079783A">
            <w:pPr>
              <w:pStyle w:val="a3"/>
              <w:ind w:left="567" w:hanging="567"/>
              <w:rPr>
                <w:bCs/>
              </w:rPr>
            </w:pPr>
          </w:p>
          <w:p w14:paraId="63E0E393" w14:textId="6AB55220" w:rsidR="0079783A" w:rsidRPr="00330234" w:rsidRDefault="0079783A">
            <w:pPr>
              <w:pStyle w:val="a3"/>
              <w:ind w:left="567"/>
              <w:rPr>
                <w:bCs/>
              </w:rPr>
            </w:pPr>
            <w:r w:rsidRPr="00330234">
              <w:rPr>
                <w:i/>
                <w:iCs/>
              </w:rPr>
              <w:t>Opmerking</w:t>
            </w:r>
            <w:r w:rsidRPr="00330234">
              <w:t xml:space="preserve">: </w:t>
            </w:r>
            <w:r w:rsidR="00592E0A" w:rsidRPr="00330234">
              <w:t>w</w:t>
            </w:r>
            <w:r w:rsidRPr="00330234">
              <w:t>anneer een andere persoon de injectie toedient, moet deze persoon ook voorzichtig zijn bij het verwijderen van de voorgevulde spuit en bij het weggooien hiervan om te voorkomen dat de naald verwondingen veroorzaakt en infecties verspreidt.</w:t>
            </w:r>
          </w:p>
          <w:p w14:paraId="45876A39" w14:textId="77777777" w:rsidR="0079783A" w:rsidRPr="00330234" w:rsidRDefault="0079783A">
            <w:pPr>
              <w:pStyle w:val="a3"/>
              <w:ind w:left="567" w:hanging="567"/>
              <w:rPr>
                <w:bCs/>
              </w:rPr>
            </w:pPr>
          </w:p>
          <w:p w14:paraId="7702F527" w14:textId="77777777" w:rsidR="0079783A" w:rsidRPr="00330234" w:rsidRDefault="0079783A" w:rsidP="002C40DF">
            <w:pPr>
              <w:pStyle w:val="a3"/>
              <w:numPr>
                <w:ilvl w:val="0"/>
                <w:numId w:val="37"/>
              </w:numPr>
              <w:tabs>
                <w:tab w:val="left" w:pos="1134"/>
              </w:tabs>
              <w:suppressAutoHyphens/>
              <w:autoSpaceDE/>
              <w:autoSpaceDN/>
              <w:ind w:left="1134" w:hanging="567"/>
            </w:pPr>
            <w:r w:rsidRPr="00330234">
              <w:t xml:space="preserve">Gebruik de voorgevulde spuit </w:t>
            </w:r>
            <w:r w:rsidRPr="00330234">
              <w:rPr>
                <w:b/>
              </w:rPr>
              <w:t>niet</w:t>
            </w:r>
            <w:r w:rsidRPr="00330234">
              <w:t xml:space="preserve"> opnieuw.</w:t>
            </w:r>
          </w:p>
          <w:p w14:paraId="4783E150" w14:textId="77777777" w:rsidR="0079783A" w:rsidRPr="00330234" w:rsidRDefault="0079783A" w:rsidP="002C40DF">
            <w:pPr>
              <w:pStyle w:val="a3"/>
              <w:numPr>
                <w:ilvl w:val="0"/>
                <w:numId w:val="37"/>
              </w:numPr>
              <w:tabs>
                <w:tab w:val="left" w:pos="1134"/>
              </w:tabs>
              <w:suppressAutoHyphens/>
              <w:autoSpaceDE/>
              <w:autoSpaceDN/>
              <w:ind w:left="1134" w:hanging="567"/>
            </w:pPr>
            <w:r w:rsidRPr="00330234">
              <w:t xml:space="preserve">Plaats de dop </w:t>
            </w:r>
            <w:r w:rsidRPr="00330234">
              <w:rPr>
                <w:b/>
                <w:bCs/>
              </w:rPr>
              <w:t>niet</w:t>
            </w:r>
            <w:r w:rsidRPr="00330234">
              <w:t xml:space="preserve"> terug op de voorgevulde spuit.</w:t>
            </w:r>
          </w:p>
          <w:p w14:paraId="2967958D" w14:textId="77777777" w:rsidR="0079783A" w:rsidRPr="00330234" w:rsidRDefault="0079783A" w:rsidP="002C40DF">
            <w:pPr>
              <w:pStyle w:val="a3"/>
              <w:numPr>
                <w:ilvl w:val="0"/>
                <w:numId w:val="37"/>
              </w:numPr>
              <w:tabs>
                <w:tab w:val="left" w:pos="1134"/>
              </w:tabs>
              <w:suppressAutoHyphens/>
              <w:autoSpaceDE/>
              <w:autoSpaceDN/>
              <w:ind w:left="1134" w:hanging="567"/>
            </w:pPr>
            <w:r w:rsidRPr="00330234">
              <w:t xml:space="preserve">Gooi de naaldencontainer </w:t>
            </w:r>
            <w:r w:rsidRPr="00330234">
              <w:rPr>
                <w:b/>
              </w:rPr>
              <w:t>niet</w:t>
            </w:r>
            <w:r w:rsidRPr="00330234">
              <w:t xml:space="preserve"> in de vuilnisbak.</w:t>
            </w:r>
          </w:p>
          <w:p w14:paraId="05E113C0" w14:textId="77777777" w:rsidR="0079783A" w:rsidRPr="00330234" w:rsidRDefault="0079783A" w:rsidP="002C40DF">
            <w:pPr>
              <w:pStyle w:val="a3"/>
              <w:numPr>
                <w:ilvl w:val="0"/>
                <w:numId w:val="37"/>
              </w:numPr>
              <w:tabs>
                <w:tab w:val="left" w:pos="1134"/>
              </w:tabs>
              <w:suppressAutoHyphens/>
              <w:autoSpaceDE/>
              <w:autoSpaceDN/>
              <w:ind w:left="1134" w:hanging="567"/>
            </w:pPr>
            <w:r w:rsidRPr="00330234">
              <w:t xml:space="preserve">Recycle uw gebruikte naaldencontainer </w:t>
            </w:r>
            <w:r w:rsidRPr="00330234">
              <w:rPr>
                <w:b/>
              </w:rPr>
              <w:t>niet</w:t>
            </w:r>
            <w:r w:rsidRPr="00330234">
              <w:t>.</w:t>
            </w:r>
          </w:p>
          <w:p w14:paraId="26BF51D7" w14:textId="77777777" w:rsidR="0079783A" w:rsidRPr="00330234" w:rsidRDefault="0079783A" w:rsidP="002C40DF">
            <w:pPr>
              <w:pStyle w:val="a3"/>
              <w:numPr>
                <w:ilvl w:val="0"/>
                <w:numId w:val="37"/>
              </w:numPr>
              <w:tabs>
                <w:tab w:val="left" w:pos="1134"/>
              </w:tabs>
              <w:suppressAutoHyphens/>
              <w:autoSpaceDE/>
              <w:autoSpaceDN/>
              <w:ind w:left="1134" w:hanging="567"/>
              <w:rPr>
                <w:bCs/>
              </w:rPr>
            </w:pPr>
            <w:r w:rsidRPr="00330234">
              <w:t>Houd de voorgevulde spuit met Avtozma en de naaldencontainer buiten het bereik van kinderen.</w:t>
            </w:r>
          </w:p>
          <w:p w14:paraId="14B37B93" w14:textId="77777777" w:rsidR="0079783A" w:rsidRPr="00330234" w:rsidRDefault="0079783A">
            <w:pPr>
              <w:pStyle w:val="a3"/>
              <w:ind w:left="567" w:hanging="567"/>
              <w:rPr>
                <w:bCs/>
              </w:rPr>
            </w:pPr>
          </w:p>
          <w:p w14:paraId="44988168" w14:textId="77777777" w:rsidR="0079783A" w:rsidRPr="00330234" w:rsidRDefault="0079783A" w:rsidP="003E2554">
            <w:r w:rsidRPr="00330234">
              <w:t>Gooi de volle container weg volgens de aanwijzingen van uw zorgverlener of apotheker. Als u geen naaldencontainer heeft, kunt u een normale container gebruiken die afsluitbaar en lekbestendig is. Al het ongebruikte geneesmiddel of afvalmateriaal dient te worden vernietigd overeenkomstig lokale voorschriften.</w:t>
            </w:r>
          </w:p>
          <w:p w14:paraId="29A945CE" w14:textId="77777777" w:rsidR="0079783A" w:rsidRPr="00330234" w:rsidRDefault="0079783A" w:rsidP="003E2554"/>
        </w:tc>
      </w:tr>
      <w:tr w:rsidR="00A358A8" w:rsidRPr="00330234" w14:paraId="0DD765B9" w14:textId="77777777">
        <w:trPr>
          <w:cantSplit/>
        </w:trPr>
        <w:tc>
          <w:tcPr>
            <w:tcW w:w="9056" w:type="dxa"/>
            <w:gridSpan w:val="2"/>
          </w:tcPr>
          <w:p w14:paraId="1BEC74AA" w14:textId="77777777" w:rsidR="0079783A" w:rsidRPr="00330234" w:rsidRDefault="0079783A" w:rsidP="002C40DF">
            <w:pPr>
              <w:pStyle w:val="a3"/>
              <w:numPr>
                <w:ilvl w:val="0"/>
                <w:numId w:val="38"/>
              </w:numPr>
              <w:tabs>
                <w:tab w:val="left" w:pos="567"/>
              </w:tabs>
              <w:autoSpaceDE/>
              <w:autoSpaceDN/>
              <w:ind w:left="567" w:hanging="567"/>
              <w:rPr>
                <w:b/>
              </w:rPr>
            </w:pPr>
            <w:r w:rsidRPr="00330234">
              <w:rPr>
                <w:b/>
              </w:rPr>
              <w:lastRenderedPageBreak/>
              <w:t>Noteer uw injectie.</w:t>
            </w:r>
          </w:p>
          <w:p w14:paraId="59447041" w14:textId="77777777" w:rsidR="0079783A" w:rsidRPr="00330234" w:rsidRDefault="0079783A" w:rsidP="002C40DF">
            <w:pPr>
              <w:pStyle w:val="Default"/>
              <w:widowControl w:val="0"/>
              <w:tabs>
                <w:tab w:val="left" w:pos="567"/>
              </w:tabs>
              <w:ind w:left="567" w:hanging="567"/>
              <w:rPr>
                <w:rFonts w:eastAsia="새굴림"/>
                <w:sz w:val="22"/>
                <w:szCs w:val="22"/>
                <w:lang w:val="nl-NL"/>
              </w:rPr>
            </w:pPr>
          </w:p>
          <w:p w14:paraId="319346EE" w14:textId="77777777" w:rsidR="0079783A" w:rsidRPr="00330234" w:rsidRDefault="0079783A" w:rsidP="002C40DF">
            <w:pPr>
              <w:pStyle w:val="a3"/>
              <w:numPr>
                <w:ilvl w:val="0"/>
                <w:numId w:val="55"/>
              </w:numPr>
              <w:tabs>
                <w:tab w:val="left" w:pos="567"/>
              </w:tabs>
              <w:autoSpaceDE/>
              <w:autoSpaceDN/>
              <w:ind w:left="567" w:hanging="567"/>
            </w:pPr>
            <w:r w:rsidRPr="00330234">
              <w:t>Schrijf de dag, tijd en het lichaamsdeel op waar u uzelf geïnjecteerd heeft.</w:t>
            </w:r>
          </w:p>
          <w:p w14:paraId="7A14DFB7" w14:textId="77777777" w:rsidR="0079783A" w:rsidRPr="00330234" w:rsidRDefault="0079783A" w:rsidP="003E2554"/>
        </w:tc>
      </w:tr>
    </w:tbl>
    <w:p w14:paraId="20B5CDCA" w14:textId="35712C8F" w:rsidR="007C4042" w:rsidRPr="00330234" w:rsidRDefault="007C4042" w:rsidP="00BD109B">
      <w:pPr>
        <w:widowControl/>
      </w:pPr>
    </w:p>
    <w:p w14:paraId="20C3479C" w14:textId="3926880F" w:rsidR="00436DAA" w:rsidRPr="00330234" w:rsidRDefault="009D3BAB" w:rsidP="00C55107">
      <w:pPr>
        <w:pStyle w:val="2"/>
        <w:ind w:left="0" w:firstLine="0"/>
        <w:jc w:val="center"/>
      </w:pPr>
      <w:r w:rsidRPr="00330234">
        <w:br w:type="page"/>
      </w:r>
      <w:r w:rsidR="009B4B8E" w:rsidRPr="00330234">
        <w:lastRenderedPageBreak/>
        <w:t>Bijsluiter: informatie voor de gebruiker</w:t>
      </w:r>
    </w:p>
    <w:p w14:paraId="7E9EE25E" w14:textId="77777777" w:rsidR="00436DAA" w:rsidRPr="00330234" w:rsidRDefault="00436DAA" w:rsidP="00C0064D">
      <w:pPr>
        <w:pStyle w:val="a3"/>
        <w:widowControl/>
        <w:ind w:left="0"/>
        <w:jc w:val="center"/>
        <w:rPr>
          <w:b/>
        </w:rPr>
      </w:pPr>
    </w:p>
    <w:p w14:paraId="305F20EB" w14:textId="6F0C375A" w:rsidR="00436DAA" w:rsidRPr="00330234" w:rsidRDefault="00ED2966" w:rsidP="00C0064D">
      <w:pPr>
        <w:widowControl/>
        <w:jc w:val="center"/>
        <w:rPr>
          <w:b/>
        </w:rPr>
      </w:pPr>
      <w:r w:rsidRPr="00330234">
        <w:rPr>
          <w:b/>
        </w:rPr>
        <w:t>Avtozma</w:t>
      </w:r>
      <w:r w:rsidR="009B4B8E" w:rsidRPr="00330234">
        <w:rPr>
          <w:b/>
        </w:rPr>
        <w:t xml:space="preserve"> 162 mg oplossing voor injectie in een voorgevulde pen</w:t>
      </w:r>
    </w:p>
    <w:p w14:paraId="4C7E9915" w14:textId="77777777" w:rsidR="00436DAA" w:rsidRPr="00330234" w:rsidRDefault="009B4B8E" w:rsidP="00C0064D">
      <w:pPr>
        <w:pStyle w:val="a3"/>
        <w:widowControl/>
        <w:ind w:left="0"/>
        <w:jc w:val="center"/>
      </w:pPr>
      <w:r w:rsidRPr="00330234">
        <w:t>tocilizumab</w:t>
      </w:r>
    </w:p>
    <w:p w14:paraId="20C393B9" w14:textId="77777777" w:rsidR="00D855DD" w:rsidRPr="00330234" w:rsidRDefault="00D855DD" w:rsidP="00D855DD"/>
    <w:p w14:paraId="0A06F062" w14:textId="02CAE93B" w:rsidR="00D855DD" w:rsidRPr="00330234" w:rsidRDefault="00315255" w:rsidP="00D855DD">
      <w:pPr>
        <w:pStyle w:val="a3"/>
        <w:widowControl/>
        <w:ind w:left="0"/>
      </w:pPr>
      <w:r>
        <w:rPr>
          <w:noProof/>
          <w:lang w:val="en-US" w:eastAsia="ko-KR"/>
        </w:rPr>
        <w:drawing>
          <wp:inline distT="0" distB="0" distL="0" distR="0" wp14:anchorId="1CB32C9F" wp14:editId="25905FAA">
            <wp:extent cx="223520" cy="170180"/>
            <wp:effectExtent l="0" t="0" r="0" b="0"/>
            <wp:docPr id="20"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3520" cy="170180"/>
                    </a:xfrm>
                    <a:prstGeom prst="rect">
                      <a:avLst/>
                    </a:prstGeom>
                    <a:noFill/>
                    <a:ln>
                      <a:noFill/>
                    </a:ln>
                  </pic:spPr>
                </pic:pic>
              </a:graphicData>
            </a:graphic>
          </wp:inline>
        </w:drawing>
      </w:r>
      <w:r w:rsidR="00D855DD" w:rsidRPr="00330234">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2FC39FEF" w14:textId="77777777" w:rsidR="00436DAA" w:rsidRPr="00330234" w:rsidRDefault="00436DAA" w:rsidP="00BD109B">
      <w:pPr>
        <w:pStyle w:val="a3"/>
        <w:widowControl/>
        <w:ind w:left="0"/>
      </w:pPr>
    </w:p>
    <w:p w14:paraId="7EDB5D7A" w14:textId="77777777" w:rsidR="00436DAA" w:rsidRPr="004A769F" w:rsidRDefault="009B4B8E" w:rsidP="004A769F">
      <w:pPr>
        <w:rPr>
          <w:b/>
          <w:bCs/>
        </w:rPr>
      </w:pPr>
      <w:r w:rsidRPr="004A769F">
        <w:rPr>
          <w:b/>
          <w:bCs/>
        </w:rPr>
        <w:t>Lees goed de hele bijsluiter voordat u dit geneesmiddel gaat gebruiken want er staat belangrijke informatie in voor u.</w:t>
      </w:r>
    </w:p>
    <w:p w14:paraId="409E005D" w14:textId="6BA42B44" w:rsidR="00436DAA" w:rsidRPr="00330234" w:rsidRDefault="005328BF" w:rsidP="00C0064D">
      <w:pPr>
        <w:pStyle w:val="bullet"/>
      </w:pPr>
      <w:r w:rsidRPr="00330234">
        <w:rPr>
          <w:rFonts w:eastAsia="Symbol"/>
        </w:rPr>
        <w:tab/>
      </w:r>
      <w:r w:rsidR="009B4B8E" w:rsidRPr="00330234">
        <w:t>Bewaar deze bijsluiter. Misschien heeft u hem later weer nodig.</w:t>
      </w:r>
    </w:p>
    <w:p w14:paraId="0880D11F" w14:textId="141CB263" w:rsidR="00436DAA" w:rsidRPr="00330234" w:rsidRDefault="005328BF" w:rsidP="00C0064D">
      <w:pPr>
        <w:pStyle w:val="bullet"/>
      </w:pPr>
      <w:r w:rsidRPr="00330234">
        <w:rPr>
          <w:rFonts w:eastAsia="Symbol"/>
        </w:rPr>
        <w:tab/>
      </w:r>
      <w:r w:rsidR="009B4B8E" w:rsidRPr="00330234">
        <w:t>Heeft u nog vragen? Neem dan contact op met uw arts, apotheker of verpleegkundige.</w:t>
      </w:r>
    </w:p>
    <w:p w14:paraId="50E343DD" w14:textId="2BF43BFC" w:rsidR="00436DAA" w:rsidRPr="00330234" w:rsidRDefault="005328BF" w:rsidP="00C0064D">
      <w:pPr>
        <w:pStyle w:val="bullet"/>
      </w:pPr>
      <w:r w:rsidRPr="00330234">
        <w:rPr>
          <w:rFonts w:eastAsia="Symbol"/>
        </w:rPr>
        <w:tab/>
      </w:r>
      <w:r w:rsidR="009B4B8E" w:rsidRPr="00330234">
        <w:t>Geef dit geneesmiddel niet door aan anderen, want het is alleen aan u voorgeschreven. Het kan schadelijk zijn voor anderen, ook al hebben zij dezelfde klachten als u.</w:t>
      </w:r>
    </w:p>
    <w:p w14:paraId="39AF5891" w14:textId="53ADF8FB" w:rsidR="00436DAA" w:rsidRPr="00330234" w:rsidRDefault="005328BF" w:rsidP="00C0064D">
      <w:pPr>
        <w:pStyle w:val="bullet"/>
      </w:pPr>
      <w:r w:rsidRPr="00330234">
        <w:rPr>
          <w:rFonts w:eastAsia="Symbol"/>
        </w:rPr>
        <w:tab/>
      </w:r>
      <w:r w:rsidR="009B4B8E" w:rsidRPr="00330234">
        <w:t>Krijgt u last van een van de bijwerkingen die in rubriek 4 staan? Of krijgt u een bijwerking die niet in deze bijsluiter staat? Neem dan contact op met uw arts, apotheker of verpleegkundige.</w:t>
      </w:r>
    </w:p>
    <w:p w14:paraId="24413BED" w14:textId="77777777" w:rsidR="00C0064D" w:rsidRPr="00330234" w:rsidRDefault="00C0064D" w:rsidP="00BD109B">
      <w:pPr>
        <w:pStyle w:val="a3"/>
        <w:widowControl/>
        <w:ind w:left="0"/>
      </w:pPr>
    </w:p>
    <w:p w14:paraId="16E58001" w14:textId="42B4755A" w:rsidR="00436DAA" w:rsidRPr="00330234" w:rsidRDefault="009B4B8E" w:rsidP="00BD109B">
      <w:pPr>
        <w:pStyle w:val="a3"/>
        <w:widowControl/>
        <w:ind w:left="0"/>
      </w:pPr>
      <w:r w:rsidRPr="00330234">
        <w:t xml:space="preserve">Naast deze bijsluiter ontvangt u een </w:t>
      </w:r>
      <w:r w:rsidRPr="00330234">
        <w:rPr>
          <w:b/>
        </w:rPr>
        <w:t xml:space="preserve">patiëntenwaarschuwingskaart. </w:t>
      </w:r>
      <w:r w:rsidRPr="00330234">
        <w:t xml:space="preserve">Deze kaart bevat belangrijke risicoinformatie waarvan u op de hoogte moet zijn vóór en tijdens de behandeling met </w:t>
      </w:r>
      <w:r w:rsidR="00ED2966" w:rsidRPr="00330234">
        <w:t>Avtozma</w:t>
      </w:r>
      <w:r w:rsidRPr="00330234">
        <w:t>.</w:t>
      </w:r>
    </w:p>
    <w:p w14:paraId="7D6C6B38" w14:textId="77777777" w:rsidR="00436DAA" w:rsidRPr="00330234" w:rsidRDefault="00436DAA" w:rsidP="00BD109B">
      <w:pPr>
        <w:pStyle w:val="a3"/>
        <w:widowControl/>
        <w:ind w:left="0"/>
      </w:pPr>
    </w:p>
    <w:p w14:paraId="435A40C6" w14:textId="77777777" w:rsidR="00436DAA" w:rsidRPr="004A769F" w:rsidRDefault="009B4B8E" w:rsidP="004A769F">
      <w:pPr>
        <w:rPr>
          <w:b/>
          <w:bCs/>
        </w:rPr>
      </w:pPr>
      <w:r w:rsidRPr="004A769F">
        <w:rPr>
          <w:b/>
          <w:bCs/>
        </w:rPr>
        <w:t>Inhoud van deze bijsluiter</w:t>
      </w:r>
    </w:p>
    <w:p w14:paraId="7873C877" w14:textId="2006C8B3" w:rsidR="00436DAA" w:rsidRPr="00330234" w:rsidRDefault="005328BF" w:rsidP="00C0064D">
      <w:pPr>
        <w:widowControl/>
        <w:ind w:left="567" w:hanging="567"/>
      </w:pPr>
      <w:r w:rsidRPr="00330234">
        <w:t>1.</w:t>
      </w:r>
      <w:r w:rsidRPr="00330234">
        <w:tab/>
      </w:r>
      <w:r w:rsidR="009B4B8E" w:rsidRPr="00330234">
        <w:t xml:space="preserve">Wat is </w:t>
      </w:r>
      <w:r w:rsidR="00ED2966" w:rsidRPr="00330234">
        <w:t>Avtozma</w:t>
      </w:r>
      <w:r w:rsidR="009B4B8E" w:rsidRPr="00330234">
        <w:t xml:space="preserve"> en waarvoor wordt dit middel gebruikt?</w:t>
      </w:r>
    </w:p>
    <w:p w14:paraId="0CDE6396" w14:textId="32CAAB67" w:rsidR="00436DAA" w:rsidRPr="00330234" w:rsidRDefault="005328BF" w:rsidP="00C0064D">
      <w:pPr>
        <w:widowControl/>
        <w:ind w:left="567" w:hanging="567"/>
      </w:pPr>
      <w:r w:rsidRPr="00330234">
        <w:t>2.</w:t>
      </w:r>
      <w:r w:rsidRPr="00330234">
        <w:tab/>
      </w:r>
      <w:r w:rsidR="009B4B8E" w:rsidRPr="00330234">
        <w:t>Wanneer mag u dit middel niet gebruiken of moet u er extra voorzichtig mee zijn?</w:t>
      </w:r>
    </w:p>
    <w:p w14:paraId="4A9F29C3" w14:textId="3A88A076" w:rsidR="00436DAA" w:rsidRPr="00330234" w:rsidRDefault="005328BF" w:rsidP="00C0064D">
      <w:pPr>
        <w:widowControl/>
        <w:ind w:left="567" w:hanging="567"/>
      </w:pPr>
      <w:r w:rsidRPr="00330234">
        <w:t>3.</w:t>
      </w:r>
      <w:r w:rsidRPr="00330234">
        <w:tab/>
      </w:r>
      <w:r w:rsidR="009B4B8E" w:rsidRPr="00330234">
        <w:t>Hoe gebruikt u dit middel?</w:t>
      </w:r>
    </w:p>
    <w:p w14:paraId="5712077D" w14:textId="68CBCF9B" w:rsidR="00436DAA" w:rsidRPr="00330234" w:rsidRDefault="005328BF" w:rsidP="00C0064D">
      <w:pPr>
        <w:widowControl/>
        <w:ind w:left="567" w:hanging="567"/>
      </w:pPr>
      <w:r w:rsidRPr="00330234">
        <w:t>4.</w:t>
      </w:r>
      <w:r w:rsidRPr="00330234">
        <w:tab/>
      </w:r>
      <w:r w:rsidR="009B4B8E" w:rsidRPr="00330234">
        <w:t>Mogelijke bijwerkingen</w:t>
      </w:r>
    </w:p>
    <w:p w14:paraId="69B62498" w14:textId="2C25DD87" w:rsidR="00436DAA" w:rsidRPr="00330234" w:rsidRDefault="005328BF" w:rsidP="00C0064D">
      <w:pPr>
        <w:widowControl/>
        <w:ind w:left="567" w:hanging="567"/>
      </w:pPr>
      <w:r w:rsidRPr="00330234">
        <w:t>5.</w:t>
      </w:r>
      <w:r w:rsidRPr="00330234">
        <w:tab/>
      </w:r>
      <w:r w:rsidR="009B4B8E" w:rsidRPr="00330234">
        <w:t>Hoe bewaart u dit middel?</w:t>
      </w:r>
    </w:p>
    <w:p w14:paraId="0BA6C16D" w14:textId="7F63A6F7" w:rsidR="00436DAA" w:rsidRDefault="005328BF" w:rsidP="00C0064D">
      <w:pPr>
        <w:widowControl/>
        <w:ind w:left="567" w:hanging="567"/>
      </w:pPr>
      <w:r w:rsidRPr="00330234">
        <w:t>6.</w:t>
      </w:r>
      <w:r w:rsidRPr="00330234">
        <w:tab/>
      </w:r>
      <w:r w:rsidR="009B4B8E" w:rsidRPr="00330234">
        <w:t>Inhoud van de verpakking en overige informatie</w:t>
      </w:r>
    </w:p>
    <w:p w14:paraId="4445B897" w14:textId="0D25134F" w:rsidR="007408C4" w:rsidRPr="00330234" w:rsidRDefault="007408C4" w:rsidP="00C0064D">
      <w:pPr>
        <w:widowControl/>
        <w:ind w:left="567" w:hanging="567"/>
      </w:pPr>
      <w:r>
        <w:t>7.</w:t>
      </w:r>
      <w:r>
        <w:tab/>
        <w:t>Instructies voor gebruik</w:t>
      </w:r>
    </w:p>
    <w:p w14:paraId="17571CC9" w14:textId="77777777" w:rsidR="00436DAA" w:rsidRPr="00330234" w:rsidRDefault="00436DAA" w:rsidP="00BD109B">
      <w:pPr>
        <w:pStyle w:val="a3"/>
        <w:widowControl/>
        <w:ind w:left="0"/>
      </w:pPr>
    </w:p>
    <w:p w14:paraId="03F8089D" w14:textId="77777777" w:rsidR="00436DAA" w:rsidRPr="00330234" w:rsidRDefault="00436DAA" w:rsidP="00BD109B">
      <w:pPr>
        <w:pStyle w:val="a3"/>
        <w:widowControl/>
        <w:ind w:left="0"/>
      </w:pPr>
    </w:p>
    <w:p w14:paraId="5D6F2E59" w14:textId="3F4E4E0C" w:rsidR="00436DAA" w:rsidRPr="00330234" w:rsidRDefault="005328BF" w:rsidP="00BD109B">
      <w:pPr>
        <w:pStyle w:val="2"/>
      </w:pPr>
      <w:r w:rsidRPr="00330234">
        <w:t>1.</w:t>
      </w:r>
      <w:r w:rsidRPr="00330234">
        <w:tab/>
      </w:r>
      <w:r w:rsidR="009B4B8E" w:rsidRPr="00330234">
        <w:t xml:space="preserve">Wat is </w:t>
      </w:r>
      <w:r w:rsidR="00ED2966" w:rsidRPr="00330234">
        <w:t>Avtozma</w:t>
      </w:r>
      <w:r w:rsidR="009B4B8E" w:rsidRPr="00330234">
        <w:t xml:space="preserve"> en waarvoor wordt dit middel gebruikt?</w:t>
      </w:r>
    </w:p>
    <w:p w14:paraId="1A772007" w14:textId="77777777" w:rsidR="00C0064D" w:rsidRPr="00330234" w:rsidRDefault="00C0064D" w:rsidP="00BD109B">
      <w:pPr>
        <w:pStyle w:val="a3"/>
        <w:widowControl/>
        <w:ind w:left="0"/>
      </w:pPr>
    </w:p>
    <w:p w14:paraId="0D51F8D5" w14:textId="53977121" w:rsidR="00436DAA" w:rsidRPr="00330234" w:rsidRDefault="00ED2966" w:rsidP="00BD109B">
      <w:pPr>
        <w:pStyle w:val="a3"/>
        <w:widowControl/>
        <w:ind w:left="0"/>
      </w:pPr>
      <w:r w:rsidRPr="00330234">
        <w:t>Avtozma</w:t>
      </w:r>
      <w:r w:rsidR="009B4B8E" w:rsidRPr="00330234">
        <w:t xml:space="preserve"> bevat de werkzame stof tocilizumab. Dit is een eiwit, gemaakt door specifieke immuuncellen (monoklonaal antilichaam), dat de werking blokkeert van een specifiek eiwit (cytokine) genaamd interleukine-6. Interleukine-6 is betrokken bij ontstekingsprocessen in het lichaam en het blokkeren daarvan kan de ontstekingen in uw lichaam verminderen. </w:t>
      </w:r>
      <w:r w:rsidRPr="00330234">
        <w:t>Avtozma</w:t>
      </w:r>
      <w:r w:rsidR="009B4B8E" w:rsidRPr="00330234">
        <w:t xml:space="preserve"> wordt gebruikt bij de behandeling van:</w:t>
      </w:r>
    </w:p>
    <w:p w14:paraId="1CC3B775" w14:textId="77777777" w:rsidR="00436DAA" w:rsidRPr="00330234" w:rsidRDefault="00436DAA" w:rsidP="00BD109B">
      <w:pPr>
        <w:pStyle w:val="a3"/>
        <w:widowControl/>
        <w:ind w:left="0"/>
      </w:pPr>
    </w:p>
    <w:p w14:paraId="1B61C033" w14:textId="434FBD9F" w:rsidR="00436DAA" w:rsidRPr="00330234" w:rsidRDefault="005328BF" w:rsidP="00C0064D">
      <w:pPr>
        <w:pStyle w:val="bullet"/>
      </w:pPr>
      <w:r w:rsidRPr="00330234">
        <w:rPr>
          <w:rFonts w:eastAsia="Symbol"/>
        </w:rPr>
        <w:tab/>
      </w:r>
      <w:r w:rsidR="009B4B8E" w:rsidRPr="00330234">
        <w:rPr>
          <w:b/>
        </w:rPr>
        <w:t>volwassenen met matige tot ernstige actieve reumatoïde artritis (RA)</w:t>
      </w:r>
      <w:r w:rsidR="009B4B8E" w:rsidRPr="00330234">
        <w:t>, een auto- immuunziekte, wanneer eerdere behandelingen niet voldoende hebben gewerkt.</w:t>
      </w:r>
    </w:p>
    <w:p w14:paraId="23A82ADD" w14:textId="77777777" w:rsidR="00C0064D" w:rsidRPr="00330234" w:rsidRDefault="00C0064D" w:rsidP="00BD109B">
      <w:pPr>
        <w:widowControl/>
        <w:rPr>
          <w:rFonts w:eastAsia="Symbol"/>
        </w:rPr>
      </w:pPr>
    </w:p>
    <w:p w14:paraId="10171CF4" w14:textId="086EACED" w:rsidR="00436DAA" w:rsidRPr="00330234" w:rsidRDefault="005328BF" w:rsidP="00C0064D">
      <w:pPr>
        <w:pStyle w:val="bullet"/>
      </w:pPr>
      <w:r w:rsidRPr="00330234">
        <w:rPr>
          <w:rFonts w:eastAsia="Symbol"/>
        </w:rPr>
        <w:tab/>
      </w:r>
      <w:r w:rsidR="009B4B8E" w:rsidRPr="00330234">
        <w:rPr>
          <w:b/>
        </w:rPr>
        <w:t xml:space="preserve">volwassenen met ernstige, actieve en progressieve RA </w:t>
      </w:r>
      <w:r w:rsidR="009B4B8E" w:rsidRPr="00330234">
        <w:t>die niet eerder methotrexaatbehandeling hebben ontvangen.</w:t>
      </w:r>
    </w:p>
    <w:p w14:paraId="49FCF3BB" w14:textId="77777777" w:rsidR="00C0064D" w:rsidRPr="00330234" w:rsidRDefault="00C0064D" w:rsidP="00BD109B">
      <w:pPr>
        <w:pStyle w:val="a3"/>
        <w:widowControl/>
        <w:ind w:left="0"/>
      </w:pPr>
    </w:p>
    <w:p w14:paraId="61BE677F" w14:textId="53005B5C" w:rsidR="00436DAA" w:rsidRPr="00330234" w:rsidRDefault="00ED2966" w:rsidP="001B3E1E">
      <w:pPr>
        <w:pStyle w:val="a3"/>
        <w:widowControl/>
        <w:ind w:left="567"/>
      </w:pPr>
      <w:r w:rsidRPr="00330234">
        <w:t>Avtozma</w:t>
      </w:r>
      <w:r w:rsidR="009B4B8E" w:rsidRPr="00330234">
        <w:t xml:space="preserve"> helpt om de symptomen van RA, zoals pijn en zwelling in uw gewrichten, te verminderen en kan het uitvoeren van dagelijkse taken doen verbeteren. Van </w:t>
      </w:r>
      <w:r w:rsidRPr="00330234">
        <w:t>Avtozma</w:t>
      </w:r>
      <w:r w:rsidR="009B4B8E" w:rsidRPr="00330234">
        <w:t xml:space="preserve"> is aangetoond dat het de beschadiging van het kraakbeen en het bot van de gewrichten, veroorzaakt door de aandoening, vertraagt en uw vermogen om de normale dagelijkse activiteiten uit te voeren verbetert.</w:t>
      </w:r>
    </w:p>
    <w:p w14:paraId="2FF0F6A7" w14:textId="77777777" w:rsidR="00C0064D" w:rsidRPr="00330234" w:rsidRDefault="00C0064D" w:rsidP="00BD109B">
      <w:pPr>
        <w:pStyle w:val="a3"/>
        <w:widowControl/>
        <w:ind w:left="0"/>
      </w:pPr>
    </w:p>
    <w:p w14:paraId="60956F71" w14:textId="3E6363DF" w:rsidR="00436DAA" w:rsidRPr="00330234" w:rsidRDefault="00ED2966" w:rsidP="001B3E1E">
      <w:pPr>
        <w:pStyle w:val="a3"/>
        <w:widowControl/>
        <w:ind w:left="567"/>
      </w:pPr>
      <w:r w:rsidRPr="00330234">
        <w:t>Avtozma</w:t>
      </w:r>
      <w:r w:rsidR="009B4B8E" w:rsidRPr="00330234">
        <w:t xml:space="preserve"> wordt meestal in combinatie met een ander geneesmiddel voor RA gegeven dat methotrexaat wordt genoemd. </w:t>
      </w:r>
      <w:r w:rsidRPr="00330234">
        <w:t>Avtozma</w:t>
      </w:r>
      <w:r w:rsidR="009B4B8E" w:rsidRPr="00330234">
        <w:t xml:space="preserve"> kan echter ook alleen worden gegeven, als uw arts bepaalt dat methotrexaat niet geschikt is.</w:t>
      </w:r>
    </w:p>
    <w:p w14:paraId="5FE12900" w14:textId="77777777" w:rsidR="00436DAA" w:rsidRPr="00330234" w:rsidRDefault="00436DAA" w:rsidP="00BD109B">
      <w:pPr>
        <w:pStyle w:val="a3"/>
        <w:widowControl/>
        <w:ind w:left="0"/>
      </w:pPr>
    </w:p>
    <w:p w14:paraId="5BEED4DE" w14:textId="73A52703" w:rsidR="00436DAA" w:rsidRPr="00330234" w:rsidRDefault="005328BF" w:rsidP="00C0064D">
      <w:pPr>
        <w:pStyle w:val="bullet"/>
      </w:pPr>
      <w:r w:rsidRPr="00330234">
        <w:rPr>
          <w:rFonts w:eastAsia="Symbol"/>
        </w:rPr>
        <w:lastRenderedPageBreak/>
        <w:tab/>
      </w:r>
      <w:r w:rsidR="009B4B8E" w:rsidRPr="00330234">
        <w:rPr>
          <w:b/>
        </w:rPr>
        <w:t xml:space="preserve">volwassenen met een aandoening van de slagaderen, die </w:t>
      </w:r>
      <w:r w:rsidR="009B4B8E" w:rsidRPr="00330234">
        <w:rPr>
          <w:b/>
          <w:i/>
        </w:rPr>
        <w:t xml:space="preserve">Giant Cell Arteritis </w:t>
      </w:r>
      <w:r w:rsidR="009B4B8E" w:rsidRPr="00330234">
        <w:rPr>
          <w:b/>
        </w:rPr>
        <w:t>(GCA) of reuscelarteritis wordt genoemd</w:t>
      </w:r>
      <w:r w:rsidR="009B4B8E" w:rsidRPr="00330234">
        <w:t>, veroorzaakt door ontsteking van de grootste slagaderen van het lichaam, met name de slagaderen die zorgen voor de bloedtoevoer naar het hoofd en de hals. De symptomen zijn onder andere hoofdpijn, vermoeidheid en pijn aan de kaak. De gevolgen kunnen onder andere beroertes en blindheid zijn.</w:t>
      </w:r>
    </w:p>
    <w:p w14:paraId="28906E51" w14:textId="77777777" w:rsidR="00436DAA" w:rsidRPr="00330234" w:rsidRDefault="00436DAA" w:rsidP="00BD109B">
      <w:pPr>
        <w:widowControl/>
      </w:pPr>
    </w:p>
    <w:p w14:paraId="0173BA8B" w14:textId="05FB2D9E" w:rsidR="00436DAA" w:rsidRPr="00330234" w:rsidRDefault="00ED2966" w:rsidP="00C0064D">
      <w:pPr>
        <w:pStyle w:val="a3"/>
        <w:widowControl/>
        <w:ind w:left="567"/>
      </w:pPr>
      <w:r w:rsidRPr="00330234">
        <w:t>Avtozma</w:t>
      </w:r>
      <w:r w:rsidR="009B4B8E" w:rsidRPr="00330234">
        <w:t xml:space="preserve"> kan de pijn en zwelling van de slagaderen en aders in uw hoofd, hals en armen verminderen.</w:t>
      </w:r>
    </w:p>
    <w:p w14:paraId="4FC8097D" w14:textId="77777777" w:rsidR="00436DAA" w:rsidRPr="00330234" w:rsidRDefault="00436DAA" w:rsidP="00BD109B">
      <w:pPr>
        <w:pStyle w:val="a3"/>
        <w:widowControl/>
        <w:ind w:left="0"/>
      </w:pPr>
    </w:p>
    <w:p w14:paraId="4820D395" w14:textId="1011C471" w:rsidR="00436DAA" w:rsidRPr="00330234" w:rsidRDefault="009B4B8E" w:rsidP="00C0064D">
      <w:pPr>
        <w:pStyle w:val="a3"/>
        <w:widowControl/>
        <w:ind w:left="567"/>
      </w:pPr>
      <w:r w:rsidRPr="00330234">
        <w:t xml:space="preserve">GCA wordt meestal behandeld met geneesmiddelen die steroïden worden genoemd. Deze middelen zijn meestal effectief, maar kunnen bijwerkingen veroorzaken als ze voor lange tijd in hoge doses gebruikt worden. Het verminderen van de dosering van steroïden kan er ook toe leiden dat er een ‘flare-up’ (opvlamming) van GCA optreedt. Door </w:t>
      </w:r>
      <w:r w:rsidR="00ED2966" w:rsidRPr="00330234">
        <w:t>Avtozma</w:t>
      </w:r>
      <w:r w:rsidRPr="00330234">
        <w:t xml:space="preserve"> aan de behandeling toe te voegen kunnen steroïden voor een kortere tijd gebruikt worden, terwijl de GCA toch onder controle blijft.</w:t>
      </w:r>
    </w:p>
    <w:p w14:paraId="2E61D1E6" w14:textId="77777777" w:rsidR="00436DAA" w:rsidRPr="00330234" w:rsidRDefault="00436DAA" w:rsidP="00BD109B">
      <w:pPr>
        <w:pStyle w:val="a3"/>
        <w:widowControl/>
        <w:ind w:left="0"/>
      </w:pPr>
    </w:p>
    <w:p w14:paraId="79BE2511" w14:textId="4C4340D0" w:rsidR="00436DAA" w:rsidRPr="00330234" w:rsidRDefault="005328BF" w:rsidP="00C0064D">
      <w:pPr>
        <w:pStyle w:val="bullet"/>
      </w:pPr>
      <w:r w:rsidRPr="00330234">
        <w:rPr>
          <w:rFonts w:eastAsia="Symbol"/>
        </w:rPr>
        <w:tab/>
      </w:r>
      <w:r w:rsidR="009B4B8E" w:rsidRPr="00330234">
        <w:rPr>
          <w:b/>
        </w:rPr>
        <w:t xml:space="preserve">kinderen en jongeren van 12 jaar en ouder met actieve </w:t>
      </w:r>
      <w:r w:rsidR="009B4B8E" w:rsidRPr="00330234">
        <w:rPr>
          <w:b/>
          <w:i/>
        </w:rPr>
        <w:t xml:space="preserve">systemische juveniele idiopathische artritis </w:t>
      </w:r>
      <w:r w:rsidR="009B4B8E" w:rsidRPr="00330234">
        <w:rPr>
          <w:b/>
        </w:rPr>
        <w:t>(sJIA)</w:t>
      </w:r>
      <w:r w:rsidR="009B4B8E" w:rsidRPr="00330234">
        <w:rPr>
          <w:b/>
          <w:i/>
        </w:rPr>
        <w:t xml:space="preserve">, </w:t>
      </w:r>
      <w:r w:rsidR="009B4B8E" w:rsidRPr="00330234">
        <w:t>een ontstekingsziekte die pijn en zwelling van een of meer gewrichten en koorts en huiduitslag veroorzaakt.</w:t>
      </w:r>
    </w:p>
    <w:p w14:paraId="648B3179" w14:textId="77777777" w:rsidR="00C0064D" w:rsidRPr="00330234" w:rsidRDefault="00C0064D" w:rsidP="00BD109B">
      <w:pPr>
        <w:widowControl/>
      </w:pPr>
    </w:p>
    <w:p w14:paraId="0EA0E614" w14:textId="14A9E5D1" w:rsidR="00436DAA" w:rsidRPr="00330234" w:rsidRDefault="00ED2966" w:rsidP="00C0064D">
      <w:pPr>
        <w:pStyle w:val="a3"/>
        <w:widowControl/>
        <w:ind w:left="567"/>
      </w:pPr>
      <w:r w:rsidRPr="00330234">
        <w:t>Avtozma</w:t>
      </w:r>
      <w:r w:rsidR="009B4B8E" w:rsidRPr="00330234">
        <w:t xml:space="preserve"> wordt gebruikt om de klachten van sJIA te verbeteren en kan gegeven worden samen met methotrexaat of op zichzelf.</w:t>
      </w:r>
    </w:p>
    <w:p w14:paraId="4DA74C21" w14:textId="77777777" w:rsidR="00436DAA" w:rsidRPr="00330234" w:rsidRDefault="00436DAA" w:rsidP="00BD109B">
      <w:pPr>
        <w:pStyle w:val="a3"/>
        <w:widowControl/>
        <w:ind w:left="0"/>
      </w:pPr>
    </w:p>
    <w:p w14:paraId="2620770A" w14:textId="5E931B46" w:rsidR="00436DAA" w:rsidRPr="00330234" w:rsidRDefault="005328BF" w:rsidP="00C0064D">
      <w:pPr>
        <w:pStyle w:val="bullet"/>
      </w:pPr>
      <w:r w:rsidRPr="00330234">
        <w:rPr>
          <w:rFonts w:eastAsia="Symbol"/>
        </w:rPr>
        <w:tab/>
      </w:r>
      <w:r w:rsidR="009B4B8E" w:rsidRPr="00330234">
        <w:rPr>
          <w:b/>
          <w:bCs/>
        </w:rPr>
        <w:t xml:space="preserve">kinderen en jongeren van 12 jaar en ouder met actieve </w:t>
      </w:r>
      <w:r w:rsidR="009B4B8E" w:rsidRPr="00330234">
        <w:rPr>
          <w:b/>
          <w:bCs/>
          <w:i/>
        </w:rPr>
        <w:t xml:space="preserve">polyarticulaire juveniele idiopathische artritis </w:t>
      </w:r>
      <w:r w:rsidR="009B4B8E" w:rsidRPr="00330234">
        <w:rPr>
          <w:b/>
          <w:bCs/>
        </w:rPr>
        <w:t>(pJIA).</w:t>
      </w:r>
      <w:r w:rsidR="009B4B8E" w:rsidRPr="00330234">
        <w:t xml:space="preserve"> Dit is een ontstekingsziekte die pijn en zwelling van een of meer gewrichten veroorzaakt.</w:t>
      </w:r>
    </w:p>
    <w:p w14:paraId="4683876F" w14:textId="77777777" w:rsidR="00436DAA" w:rsidRPr="00330234" w:rsidRDefault="00436DAA" w:rsidP="00BD109B">
      <w:pPr>
        <w:pStyle w:val="a3"/>
        <w:widowControl/>
        <w:ind w:left="0"/>
      </w:pPr>
    </w:p>
    <w:p w14:paraId="3EEF8E22" w14:textId="54E23055" w:rsidR="00436DAA" w:rsidRPr="00330234" w:rsidRDefault="00ED2966" w:rsidP="00C0064D">
      <w:pPr>
        <w:pStyle w:val="a3"/>
        <w:widowControl/>
        <w:ind w:left="567"/>
      </w:pPr>
      <w:r w:rsidRPr="00330234">
        <w:t>Avtozma</w:t>
      </w:r>
      <w:r w:rsidR="009B4B8E" w:rsidRPr="00330234">
        <w:t xml:space="preserve"> wordt gebruikt om de klachten van pJIA te verbeteren. Het kan gegeven worden samen met methotrexaat of op zichzelf.</w:t>
      </w:r>
    </w:p>
    <w:p w14:paraId="072C7BE8" w14:textId="77777777" w:rsidR="00436DAA" w:rsidRPr="00330234" w:rsidRDefault="00436DAA" w:rsidP="00BD109B">
      <w:pPr>
        <w:pStyle w:val="a3"/>
        <w:widowControl/>
        <w:ind w:left="0"/>
      </w:pPr>
    </w:p>
    <w:p w14:paraId="509A26AE" w14:textId="77777777" w:rsidR="00436DAA" w:rsidRPr="00330234" w:rsidRDefault="00436DAA" w:rsidP="00BD109B">
      <w:pPr>
        <w:pStyle w:val="a3"/>
        <w:widowControl/>
        <w:ind w:left="0"/>
      </w:pPr>
    </w:p>
    <w:p w14:paraId="44CAD247" w14:textId="67CF7ADB" w:rsidR="00436DAA" w:rsidRPr="00330234" w:rsidRDefault="005328BF" w:rsidP="00BD109B">
      <w:pPr>
        <w:pStyle w:val="2"/>
      </w:pPr>
      <w:r w:rsidRPr="00330234">
        <w:t>2.</w:t>
      </w:r>
      <w:r w:rsidRPr="00330234">
        <w:tab/>
      </w:r>
      <w:r w:rsidR="009B4B8E" w:rsidRPr="00330234">
        <w:t>Wanneer mag u dit middel niet gebruiken of moet u er extra voorzichtig mee zijn?</w:t>
      </w:r>
    </w:p>
    <w:p w14:paraId="33F1CB4E" w14:textId="77777777" w:rsidR="00436DAA" w:rsidRPr="00330234" w:rsidRDefault="00436DAA" w:rsidP="00BD109B">
      <w:pPr>
        <w:pStyle w:val="a3"/>
        <w:widowControl/>
        <w:ind w:left="0"/>
        <w:rPr>
          <w:b/>
        </w:rPr>
      </w:pPr>
    </w:p>
    <w:p w14:paraId="5E113D2F" w14:textId="77777777" w:rsidR="00436DAA" w:rsidRPr="00330234" w:rsidRDefault="009B4B8E" w:rsidP="00BD109B">
      <w:pPr>
        <w:widowControl/>
        <w:rPr>
          <w:b/>
        </w:rPr>
      </w:pPr>
      <w:r w:rsidRPr="00330234">
        <w:rPr>
          <w:b/>
        </w:rPr>
        <w:t>Wanneer mag u dit middel niet gebruiken?</w:t>
      </w:r>
    </w:p>
    <w:p w14:paraId="566529B6" w14:textId="4C6081C8" w:rsidR="00436DAA" w:rsidRPr="00330234" w:rsidRDefault="005328BF" w:rsidP="00C0064D">
      <w:pPr>
        <w:pStyle w:val="bullet"/>
      </w:pPr>
      <w:r w:rsidRPr="00330234">
        <w:rPr>
          <w:rFonts w:eastAsia="Symbol"/>
        </w:rPr>
        <w:tab/>
      </w:r>
      <w:r w:rsidR="009B4B8E" w:rsidRPr="00330234">
        <w:t>U bent of het kind waar u voor zorgt is allergisch voor een van de stoffen in dit geneesmiddel. Deze stoffen kunt u vinden in rubriek 6.</w:t>
      </w:r>
      <w:r w:rsidR="00ED2966" w:rsidRPr="00330234">
        <w:t xml:space="preserve"> (Zie de speciale waarschuwingen aan het einde van deze rubriek onder de subtitel “Avtozma bevat polysorbaat”)</w:t>
      </w:r>
    </w:p>
    <w:p w14:paraId="01FE0BB4" w14:textId="3569325E" w:rsidR="00436DAA" w:rsidRPr="00330234" w:rsidRDefault="005328BF" w:rsidP="00C0064D">
      <w:pPr>
        <w:pStyle w:val="bullet"/>
      </w:pPr>
      <w:r w:rsidRPr="00330234">
        <w:rPr>
          <w:rFonts w:eastAsia="Symbol"/>
        </w:rPr>
        <w:tab/>
      </w:r>
      <w:r w:rsidR="009B4B8E" w:rsidRPr="00330234">
        <w:t>U of het kind waar u voor zorgt heeft een actieve, ernstige infectie.</w:t>
      </w:r>
    </w:p>
    <w:p w14:paraId="5BE665D9" w14:textId="77777777" w:rsidR="00C0064D" w:rsidRPr="00330234" w:rsidRDefault="00C0064D" w:rsidP="00BD109B">
      <w:pPr>
        <w:pStyle w:val="a3"/>
        <w:widowControl/>
        <w:ind w:left="0"/>
      </w:pPr>
    </w:p>
    <w:p w14:paraId="0A13B10A" w14:textId="04650992" w:rsidR="00436DAA" w:rsidRPr="00330234" w:rsidRDefault="009B4B8E" w:rsidP="00BD109B">
      <w:pPr>
        <w:pStyle w:val="a3"/>
        <w:widowControl/>
        <w:ind w:left="0"/>
      </w:pPr>
      <w:r w:rsidRPr="00330234">
        <w:t xml:space="preserve">Als een van bovengenoemde punten op u van toepassing is, vertel het dan aan een arts. Gebruik </w:t>
      </w:r>
      <w:r w:rsidR="00ED2966" w:rsidRPr="00330234">
        <w:t>Avtozma</w:t>
      </w:r>
      <w:r w:rsidRPr="00330234">
        <w:t xml:space="preserve"> niet.</w:t>
      </w:r>
    </w:p>
    <w:p w14:paraId="307B8C67" w14:textId="77777777" w:rsidR="00436DAA" w:rsidRPr="00330234" w:rsidRDefault="00436DAA" w:rsidP="00BD109B">
      <w:pPr>
        <w:pStyle w:val="a3"/>
        <w:widowControl/>
        <w:ind w:left="0"/>
      </w:pPr>
    </w:p>
    <w:p w14:paraId="0EC605A2" w14:textId="77777777" w:rsidR="00436DAA" w:rsidRPr="004A769F" w:rsidRDefault="009B4B8E" w:rsidP="004A769F">
      <w:pPr>
        <w:rPr>
          <w:b/>
          <w:bCs/>
        </w:rPr>
      </w:pPr>
      <w:r w:rsidRPr="004A769F">
        <w:rPr>
          <w:b/>
          <w:bCs/>
        </w:rPr>
        <w:t>Wanneer moet u extra voorzichtig zijn met dit middel?</w:t>
      </w:r>
    </w:p>
    <w:p w14:paraId="5DD2C13F" w14:textId="77777777" w:rsidR="00436DAA" w:rsidRPr="00330234" w:rsidRDefault="009B4B8E" w:rsidP="00BD109B">
      <w:pPr>
        <w:pStyle w:val="a3"/>
        <w:widowControl/>
        <w:ind w:left="0"/>
      </w:pPr>
      <w:r w:rsidRPr="00330234">
        <w:t>Neem contact op met uw arts, apotheker of verpleegkundige voordat u dit middel gebruikt.</w:t>
      </w:r>
    </w:p>
    <w:p w14:paraId="794C8894" w14:textId="77777777" w:rsidR="00436DAA" w:rsidRPr="00330234" w:rsidRDefault="00436DAA" w:rsidP="00BD109B">
      <w:pPr>
        <w:pStyle w:val="a3"/>
        <w:widowControl/>
        <w:ind w:left="0"/>
      </w:pPr>
    </w:p>
    <w:p w14:paraId="08209380" w14:textId="75292D5C" w:rsidR="00436DAA" w:rsidRPr="00330234" w:rsidRDefault="005328BF" w:rsidP="00C0064D">
      <w:pPr>
        <w:pStyle w:val="bullet"/>
      </w:pPr>
      <w:r w:rsidRPr="00330234">
        <w:rPr>
          <w:rFonts w:eastAsia="Symbol"/>
        </w:rPr>
        <w:tab/>
      </w:r>
      <w:r w:rsidR="009B4B8E" w:rsidRPr="00330234">
        <w:t xml:space="preserve">Als u </w:t>
      </w:r>
      <w:r w:rsidR="009B4B8E" w:rsidRPr="00330234">
        <w:rPr>
          <w:b/>
        </w:rPr>
        <w:t xml:space="preserve">allergische reacties </w:t>
      </w:r>
      <w:r w:rsidR="009B4B8E" w:rsidRPr="00330234">
        <w:t xml:space="preserve">ervaart, zoals een beklemmend gevoel op de borst, piepende ademhaling, ernstige duizeligheid of een licht gevoel in het hoofd, zwelling van de lippen, tong of het gezicht of jeukende huid, netelroos of huiduitslag tijdens of na de injectie, </w:t>
      </w:r>
      <w:r w:rsidR="009B4B8E" w:rsidRPr="00330234">
        <w:rPr>
          <w:b/>
        </w:rPr>
        <w:t>meld dit direct aan uw arts</w:t>
      </w:r>
      <w:r w:rsidR="009B4B8E" w:rsidRPr="00330234">
        <w:t>.</w:t>
      </w:r>
    </w:p>
    <w:p w14:paraId="5276665F" w14:textId="77777777" w:rsidR="00C0064D" w:rsidRPr="00330234" w:rsidRDefault="00C0064D" w:rsidP="00BD109B">
      <w:pPr>
        <w:widowControl/>
        <w:rPr>
          <w:rFonts w:eastAsia="Symbol"/>
        </w:rPr>
      </w:pPr>
    </w:p>
    <w:p w14:paraId="64C7412E" w14:textId="332CCD9A" w:rsidR="00436DAA" w:rsidRPr="00330234" w:rsidRDefault="005328BF" w:rsidP="00C0064D">
      <w:pPr>
        <w:pStyle w:val="bullet"/>
      </w:pPr>
      <w:r w:rsidRPr="00330234">
        <w:rPr>
          <w:rFonts w:eastAsia="Symbol"/>
        </w:rPr>
        <w:tab/>
      </w:r>
      <w:r w:rsidR="009B4B8E" w:rsidRPr="00330234">
        <w:t xml:space="preserve">Neem de volgende dosis niet als u symptomen heeft gehad van een allergische reactie na toediening van </w:t>
      </w:r>
      <w:r w:rsidR="00ED2966" w:rsidRPr="00330234">
        <w:t>Avtozma</w:t>
      </w:r>
      <w:r w:rsidR="009B4B8E" w:rsidRPr="00330234">
        <w:t>, totdat u uw arts heeft geïnformeerd EN uw arts u heeft verteld om de volgende dosis te nemen.</w:t>
      </w:r>
    </w:p>
    <w:p w14:paraId="4B1C7DF1" w14:textId="77777777" w:rsidR="00436DAA" w:rsidRPr="00330234" w:rsidRDefault="00436DAA" w:rsidP="00BD109B">
      <w:pPr>
        <w:pStyle w:val="a3"/>
        <w:widowControl/>
        <w:ind w:left="0"/>
      </w:pPr>
    </w:p>
    <w:p w14:paraId="1F186689" w14:textId="58D86330" w:rsidR="00436DAA" w:rsidRPr="00330234" w:rsidRDefault="005328BF" w:rsidP="00C0064D">
      <w:pPr>
        <w:pStyle w:val="bullet"/>
      </w:pPr>
      <w:r w:rsidRPr="00330234">
        <w:rPr>
          <w:rFonts w:eastAsia="Symbol"/>
        </w:rPr>
        <w:tab/>
      </w:r>
      <w:r w:rsidR="009B4B8E" w:rsidRPr="00330234">
        <w:t xml:space="preserve">Als u een </w:t>
      </w:r>
      <w:r w:rsidR="009B4B8E" w:rsidRPr="00330234">
        <w:rPr>
          <w:b/>
        </w:rPr>
        <w:t xml:space="preserve">infectie </w:t>
      </w:r>
      <w:r w:rsidR="009B4B8E" w:rsidRPr="00330234">
        <w:t xml:space="preserve">heeft, wat voor infectie dan ook, kort- of langdurend, of als u vaak infecties krijgt, meld dit dan aan uw arts. </w:t>
      </w:r>
      <w:r w:rsidR="009B4B8E" w:rsidRPr="00330234">
        <w:rPr>
          <w:b/>
        </w:rPr>
        <w:t xml:space="preserve">Meld het ook direct aan uw arts </w:t>
      </w:r>
      <w:r w:rsidR="009B4B8E" w:rsidRPr="00330234">
        <w:t xml:space="preserve">als u zich onwel voelt. </w:t>
      </w:r>
      <w:r w:rsidR="00ED2966" w:rsidRPr="00330234">
        <w:t>Avtozma</w:t>
      </w:r>
      <w:r w:rsidR="009B4B8E" w:rsidRPr="00330234">
        <w:t xml:space="preserve"> kan ervoor zorgen dat uw lichaam minder goed in staat is om op infecties te reageren </w:t>
      </w:r>
      <w:r w:rsidR="009B4B8E" w:rsidRPr="00330234">
        <w:lastRenderedPageBreak/>
        <w:t>en het kan een bestaande infectie verergeren of het risico op het krijgen van een nieuwe infectie verhogen.</w:t>
      </w:r>
    </w:p>
    <w:p w14:paraId="3B8D8176" w14:textId="77777777" w:rsidR="00436DAA" w:rsidRPr="00330234" w:rsidRDefault="00436DAA" w:rsidP="00BD109B">
      <w:pPr>
        <w:widowControl/>
      </w:pPr>
    </w:p>
    <w:p w14:paraId="704BFA6C" w14:textId="006204E7" w:rsidR="00436DAA" w:rsidRPr="00330234" w:rsidRDefault="005328BF" w:rsidP="00C0064D">
      <w:pPr>
        <w:pStyle w:val="bullet"/>
      </w:pPr>
      <w:r w:rsidRPr="00330234">
        <w:rPr>
          <w:rFonts w:eastAsia="Symbol"/>
        </w:rPr>
        <w:tab/>
      </w:r>
      <w:r w:rsidR="009B4B8E" w:rsidRPr="00330234">
        <w:t xml:space="preserve">Als u een voorgeschiedenis heeft van </w:t>
      </w:r>
      <w:r w:rsidR="009B4B8E" w:rsidRPr="00330234">
        <w:rPr>
          <w:b/>
        </w:rPr>
        <w:t>tuberculose</w:t>
      </w:r>
      <w:r w:rsidR="009B4B8E" w:rsidRPr="00330234">
        <w:t xml:space="preserve">, meld dit dan aan uw arts. Uw arts zal u controleren op klachten of symptomen van tuberculose voordat u start met </w:t>
      </w:r>
      <w:r w:rsidR="00ED2966" w:rsidRPr="00330234">
        <w:t>Avtozma</w:t>
      </w:r>
      <w:r w:rsidR="009B4B8E" w:rsidRPr="00330234">
        <w:t>. Als u tijdens of na de behandeling symptomen van tuberculose ervaart (aanhoudende hoest, gewichtsverlies, lusteloosheid, lichte koorts), of een andere infectie krijgt, meld dit direct aan uw arts.</w:t>
      </w:r>
    </w:p>
    <w:p w14:paraId="2DD2EE2E" w14:textId="77777777" w:rsidR="00436DAA" w:rsidRPr="00330234" w:rsidRDefault="00436DAA" w:rsidP="00BD109B">
      <w:pPr>
        <w:pStyle w:val="a3"/>
        <w:widowControl/>
        <w:ind w:left="0"/>
      </w:pPr>
    </w:p>
    <w:p w14:paraId="100838C0" w14:textId="67B47B84" w:rsidR="00436DAA" w:rsidRPr="00330234" w:rsidRDefault="005328BF" w:rsidP="00C0064D">
      <w:pPr>
        <w:pStyle w:val="bullet"/>
      </w:pPr>
      <w:r w:rsidRPr="00330234">
        <w:rPr>
          <w:rFonts w:eastAsia="Symbol"/>
        </w:rPr>
        <w:tab/>
      </w:r>
      <w:r w:rsidR="009B4B8E" w:rsidRPr="00330234">
        <w:t xml:space="preserve">Als u een voorgeschiedenis heeft van </w:t>
      </w:r>
      <w:r w:rsidR="009B4B8E" w:rsidRPr="00330234">
        <w:rPr>
          <w:b/>
        </w:rPr>
        <w:t xml:space="preserve">zweren in de darm </w:t>
      </w:r>
      <w:r w:rsidR="009B4B8E" w:rsidRPr="00330234">
        <w:t xml:space="preserve">of </w:t>
      </w:r>
      <w:r w:rsidR="009B4B8E" w:rsidRPr="00330234">
        <w:rPr>
          <w:b/>
        </w:rPr>
        <w:t>diverticulitis</w:t>
      </w:r>
      <w:r w:rsidR="009B4B8E" w:rsidRPr="00330234">
        <w:t>, meld dit dan aan uw arts. De symptomen kunnen bestaan uit buikpijn en onverklaarbare veranderingen van de stoelgang gepaard gaande met koorts.</w:t>
      </w:r>
    </w:p>
    <w:p w14:paraId="41B3C7C9" w14:textId="77777777" w:rsidR="00C0064D" w:rsidRPr="00330234" w:rsidRDefault="00C0064D" w:rsidP="00BD109B">
      <w:pPr>
        <w:widowControl/>
        <w:rPr>
          <w:rFonts w:eastAsia="Symbol"/>
        </w:rPr>
      </w:pPr>
    </w:p>
    <w:p w14:paraId="2675CFA7" w14:textId="4B62CAF0" w:rsidR="00436DAA" w:rsidRPr="00330234" w:rsidRDefault="005328BF" w:rsidP="00C0064D">
      <w:pPr>
        <w:pStyle w:val="bullet"/>
      </w:pPr>
      <w:r w:rsidRPr="00330234">
        <w:rPr>
          <w:rFonts w:eastAsia="Symbol"/>
        </w:rPr>
        <w:tab/>
      </w:r>
      <w:r w:rsidR="009B4B8E" w:rsidRPr="00330234">
        <w:t xml:space="preserve">Als u een </w:t>
      </w:r>
      <w:r w:rsidR="009B4B8E" w:rsidRPr="00330234">
        <w:rPr>
          <w:b/>
        </w:rPr>
        <w:t xml:space="preserve">leveraandoening </w:t>
      </w:r>
      <w:r w:rsidR="009B4B8E" w:rsidRPr="00330234">
        <w:t xml:space="preserve">heeft, meld dit dan aan uw arts. Voordat u start met </w:t>
      </w:r>
      <w:r w:rsidR="00ED2966" w:rsidRPr="00330234">
        <w:t>Avtozma</w:t>
      </w:r>
      <w:r w:rsidR="009B4B8E" w:rsidRPr="00330234">
        <w:t xml:space="preserve"> kan uw arts een bloedonderzoek doen om uw leverfunctie te controleren.</w:t>
      </w:r>
    </w:p>
    <w:p w14:paraId="10AC1276" w14:textId="77777777" w:rsidR="00436DAA" w:rsidRPr="00330234" w:rsidRDefault="00436DAA" w:rsidP="00BD109B">
      <w:pPr>
        <w:pStyle w:val="a3"/>
        <w:widowControl/>
        <w:ind w:left="0"/>
      </w:pPr>
    </w:p>
    <w:p w14:paraId="344CF5B6" w14:textId="11D2C479" w:rsidR="00436DAA" w:rsidRPr="00330234" w:rsidRDefault="005328BF" w:rsidP="00C0064D">
      <w:pPr>
        <w:pStyle w:val="bullet"/>
      </w:pPr>
      <w:r w:rsidRPr="00330234">
        <w:rPr>
          <w:rFonts w:eastAsia="Symbol"/>
        </w:rPr>
        <w:tab/>
      </w:r>
      <w:r w:rsidR="009B4B8E" w:rsidRPr="00330234">
        <w:t xml:space="preserve">Als u </w:t>
      </w:r>
      <w:r w:rsidR="009B4B8E" w:rsidRPr="00330234">
        <w:rPr>
          <w:b/>
        </w:rPr>
        <w:t>recent een vaccinatie heeft gehad of gevaccineerd gaat worden</w:t>
      </w:r>
      <w:r w:rsidR="009B4B8E" w:rsidRPr="00330234">
        <w:t xml:space="preserve">, meld dit dan aan uw arts. Het wordt voor alle patiënten aanbevolen om bij te zijn met al hun inentingen voordat gestart wordt met de </w:t>
      </w:r>
      <w:r w:rsidR="00ED2966" w:rsidRPr="00330234">
        <w:t>Avtozma</w:t>
      </w:r>
      <w:r w:rsidR="009B4B8E" w:rsidRPr="00330234">
        <w:t xml:space="preserve">-behandeling. Bepaalde typen vaccins mogen niet gegeven worden tijdens de behandeling met </w:t>
      </w:r>
      <w:r w:rsidR="00ED2966" w:rsidRPr="00330234">
        <w:t>Avtozma</w:t>
      </w:r>
      <w:r w:rsidR="009B4B8E" w:rsidRPr="00330234">
        <w:t>.</w:t>
      </w:r>
    </w:p>
    <w:p w14:paraId="2161E74C" w14:textId="77777777" w:rsidR="00C0064D" w:rsidRPr="00330234" w:rsidRDefault="00C0064D" w:rsidP="00BD109B">
      <w:pPr>
        <w:widowControl/>
        <w:rPr>
          <w:rFonts w:eastAsia="Symbol"/>
        </w:rPr>
      </w:pPr>
    </w:p>
    <w:p w14:paraId="077B0D7B" w14:textId="5DC814BF" w:rsidR="00436DAA" w:rsidRPr="00330234" w:rsidRDefault="005328BF" w:rsidP="00C0064D">
      <w:pPr>
        <w:pStyle w:val="bullet"/>
      </w:pPr>
      <w:r w:rsidRPr="00330234">
        <w:rPr>
          <w:rFonts w:eastAsia="Symbol"/>
        </w:rPr>
        <w:tab/>
      </w:r>
      <w:r w:rsidR="009B4B8E" w:rsidRPr="00330234">
        <w:t xml:space="preserve">Als u </w:t>
      </w:r>
      <w:r w:rsidR="009B4B8E" w:rsidRPr="00330234">
        <w:rPr>
          <w:b/>
        </w:rPr>
        <w:t xml:space="preserve">kanker </w:t>
      </w:r>
      <w:r w:rsidR="009B4B8E" w:rsidRPr="00330234">
        <w:t xml:space="preserve">heeft, meld dit dan aan uw arts. Uw arts zal dan beslissen of u toch </w:t>
      </w:r>
      <w:r w:rsidR="00ED2966" w:rsidRPr="00330234">
        <w:t>Avtozma</w:t>
      </w:r>
      <w:r w:rsidR="009B4B8E" w:rsidRPr="00330234">
        <w:t xml:space="preserve"> mag krijgen.</w:t>
      </w:r>
    </w:p>
    <w:p w14:paraId="16C0CA4E" w14:textId="77777777" w:rsidR="00436DAA" w:rsidRPr="00330234" w:rsidRDefault="00436DAA" w:rsidP="00BD109B">
      <w:pPr>
        <w:pStyle w:val="a3"/>
        <w:widowControl/>
        <w:ind w:left="0"/>
      </w:pPr>
    </w:p>
    <w:p w14:paraId="7D1DC2A9" w14:textId="5FD0C577" w:rsidR="00436DAA" w:rsidRPr="00330234" w:rsidRDefault="005328BF" w:rsidP="00C0064D">
      <w:pPr>
        <w:pStyle w:val="bullet"/>
      </w:pPr>
      <w:r w:rsidRPr="00330234">
        <w:rPr>
          <w:rFonts w:eastAsia="Symbol"/>
        </w:rPr>
        <w:tab/>
      </w:r>
      <w:r w:rsidR="009B4B8E" w:rsidRPr="00330234">
        <w:t xml:space="preserve">Als u </w:t>
      </w:r>
      <w:r w:rsidR="009B4B8E" w:rsidRPr="00330234">
        <w:rPr>
          <w:b/>
        </w:rPr>
        <w:t xml:space="preserve">cardiovasculaire risicofactoren </w:t>
      </w:r>
      <w:r w:rsidR="009B4B8E" w:rsidRPr="00330234">
        <w:t xml:space="preserve">heeft zoals een verhoogde bloeddruk en verhoogde cholesterolspiegels, meld dit dan aan uw arts. Deze factoren dienen te worden gecontroleerd gedurende de behandeling met </w:t>
      </w:r>
      <w:r w:rsidR="00ED2966" w:rsidRPr="00330234">
        <w:t>Avtozma</w:t>
      </w:r>
      <w:r w:rsidR="009B4B8E" w:rsidRPr="00330234">
        <w:t>.</w:t>
      </w:r>
    </w:p>
    <w:p w14:paraId="449D6D5E" w14:textId="77777777" w:rsidR="00C0064D" w:rsidRPr="00330234" w:rsidRDefault="00C0064D" w:rsidP="00BD109B">
      <w:pPr>
        <w:widowControl/>
        <w:rPr>
          <w:rFonts w:eastAsia="Symbol"/>
        </w:rPr>
      </w:pPr>
    </w:p>
    <w:p w14:paraId="79C1D3AA" w14:textId="42D22351" w:rsidR="00436DAA" w:rsidRPr="00330234" w:rsidRDefault="005328BF" w:rsidP="00C0064D">
      <w:pPr>
        <w:pStyle w:val="bullet"/>
      </w:pPr>
      <w:r w:rsidRPr="00330234">
        <w:rPr>
          <w:rFonts w:eastAsia="Symbol"/>
        </w:rPr>
        <w:tab/>
      </w:r>
      <w:r w:rsidR="009B4B8E" w:rsidRPr="00330234">
        <w:t xml:space="preserve">Als u matige tot ernstige </w:t>
      </w:r>
      <w:r w:rsidR="009B4B8E" w:rsidRPr="00330234">
        <w:rPr>
          <w:b/>
        </w:rPr>
        <w:t xml:space="preserve">nierfunctieproblemen </w:t>
      </w:r>
      <w:r w:rsidR="009B4B8E" w:rsidRPr="00330234">
        <w:t>heeft, zal uw arts u nauwlettend controleren.</w:t>
      </w:r>
    </w:p>
    <w:p w14:paraId="1BE20DC8" w14:textId="77777777" w:rsidR="00436DAA" w:rsidRPr="00330234" w:rsidRDefault="00436DAA" w:rsidP="00BD109B">
      <w:pPr>
        <w:pStyle w:val="a3"/>
        <w:widowControl/>
        <w:ind w:left="0"/>
      </w:pPr>
    </w:p>
    <w:p w14:paraId="4A377039" w14:textId="23BE0D58" w:rsidR="00436DAA" w:rsidRPr="00330234" w:rsidRDefault="005328BF" w:rsidP="00C0064D">
      <w:pPr>
        <w:pStyle w:val="bullet"/>
      </w:pPr>
      <w:r w:rsidRPr="00330234">
        <w:rPr>
          <w:rFonts w:eastAsia="Symbol"/>
        </w:rPr>
        <w:tab/>
      </w:r>
      <w:r w:rsidR="009B4B8E" w:rsidRPr="00330234">
        <w:t xml:space="preserve">Als u </w:t>
      </w:r>
      <w:r w:rsidR="009B4B8E" w:rsidRPr="00330234">
        <w:rPr>
          <w:b/>
          <w:bCs/>
        </w:rPr>
        <w:t>aanhoudende hoofdpijn</w:t>
      </w:r>
      <w:r w:rsidR="009B4B8E" w:rsidRPr="00330234">
        <w:t xml:space="preserve"> heeft.</w:t>
      </w:r>
    </w:p>
    <w:p w14:paraId="616CC308" w14:textId="77777777" w:rsidR="00C0064D" w:rsidRPr="00330234" w:rsidRDefault="00C0064D" w:rsidP="00BD109B">
      <w:pPr>
        <w:pStyle w:val="a3"/>
        <w:widowControl/>
        <w:ind w:left="0"/>
      </w:pPr>
    </w:p>
    <w:p w14:paraId="4BD907E2" w14:textId="67345D84" w:rsidR="00436DAA" w:rsidRPr="00330234" w:rsidRDefault="009B4B8E" w:rsidP="00BD109B">
      <w:pPr>
        <w:pStyle w:val="a3"/>
        <w:widowControl/>
        <w:ind w:left="0"/>
      </w:pPr>
      <w:r w:rsidRPr="00330234">
        <w:t xml:space="preserve">Voordat u </w:t>
      </w:r>
      <w:r w:rsidR="00ED2966" w:rsidRPr="00330234">
        <w:t>Avtozma</w:t>
      </w:r>
      <w:r w:rsidRPr="00330234">
        <w:t xml:space="preserve"> krijgt, zal uw arts een bloedonderzoek doen om te bepalen of u een verlaagd aantal witte bloedcellen, een verlaagd aantal bloedplaatjes of verhoogde leverenzymwaarden heeft.</w:t>
      </w:r>
    </w:p>
    <w:p w14:paraId="60104663" w14:textId="77777777" w:rsidR="00436DAA" w:rsidRPr="00330234" w:rsidRDefault="00436DAA" w:rsidP="00BD109B">
      <w:pPr>
        <w:pStyle w:val="a3"/>
        <w:widowControl/>
        <w:ind w:left="0"/>
      </w:pPr>
    </w:p>
    <w:p w14:paraId="6B692345" w14:textId="77777777" w:rsidR="00436DAA" w:rsidRPr="004A769F" w:rsidRDefault="009B4B8E" w:rsidP="004A769F">
      <w:pPr>
        <w:rPr>
          <w:b/>
          <w:bCs/>
        </w:rPr>
      </w:pPr>
      <w:r w:rsidRPr="004A769F">
        <w:rPr>
          <w:b/>
          <w:bCs/>
        </w:rPr>
        <w:t>Kinderen en jongeren tot 18 jaar</w:t>
      </w:r>
    </w:p>
    <w:p w14:paraId="3B7B1011" w14:textId="633DABA3" w:rsidR="00436DAA" w:rsidRPr="00330234" w:rsidRDefault="00ED2966" w:rsidP="00BD109B">
      <w:pPr>
        <w:pStyle w:val="a3"/>
        <w:widowControl/>
        <w:ind w:left="0"/>
      </w:pPr>
      <w:r w:rsidRPr="00330234">
        <w:t>Avtozma</w:t>
      </w:r>
      <w:r w:rsidR="009B4B8E" w:rsidRPr="00330234">
        <w:t xml:space="preserve"> voorgevulde pen wordt niet aanbevolen voor gebruik bij kinderen jonger dan 12 jaar. </w:t>
      </w:r>
      <w:r w:rsidRPr="00330234">
        <w:t>Avtozma</w:t>
      </w:r>
      <w:r w:rsidR="009B4B8E" w:rsidRPr="00330234">
        <w:t xml:space="preserve"> mag niet worden gegeven aan kinderen met sJIA die minder dan 10 kg wegen.</w:t>
      </w:r>
    </w:p>
    <w:p w14:paraId="4E30F37F" w14:textId="77777777" w:rsidR="00C0064D" w:rsidRPr="00330234" w:rsidRDefault="00C0064D" w:rsidP="00BD109B">
      <w:pPr>
        <w:pStyle w:val="a3"/>
        <w:widowControl/>
        <w:ind w:left="0"/>
      </w:pPr>
    </w:p>
    <w:p w14:paraId="7B243BB5" w14:textId="4FEE7B68" w:rsidR="00436DAA" w:rsidRPr="00330234" w:rsidRDefault="009B4B8E" w:rsidP="00BD109B">
      <w:pPr>
        <w:pStyle w:val="a3"/>
        <w:widowControl/>
        <w:ind w:left="0"/>
      </w:pPr>
      <w:r w:rsidRPr="00330234">
        <w:t xml:space="preserve">Als een kind het </w:t>
      </w:r>
      <w:r w:rsidRPr="00330234">
        <w:rPr>
          <w:b/>
          <w:i/>
        </w:rPr>
        <w:t xml:space="preserve">macrofaagactivatiesyndroom </w:t>
      </w:r>
      <w:r w:rsidRPr="00330234">
        <w:t xml:space="preserve">heeft gehad (activatie en ongecontroleerde groei van specifieke bloedcellen), vertel dit dan aan uw arts. Uw arts zal moeten besluiten of het kind nog wel </w:t>
      </w:r>
      <w:r w:rsidR="00ED2966" w:rsidRPr="00330234">
        <w:t>Avtozma</w:t>
      </w:r>
      <w:r w:rsidRPr="00330234">
        <w:t xml:space="preserve"> kan krijgen.</w:t>
      </w:r>
    </w:p>
    <w:p w14:paraId="38137F4C" w14:textId="77777777" w:rsidR="00436DAA" w:rsidRPr="00330234" w:rsidRDefault="00436DAA" w:rsidP="00BD109B">
      <w:pPr>
        <w:pStyle w:val="a3"/>
        <w:widowControl/>
        <w:ind w:left="0"/>
      </w:pPr>
    </w:p>
    <w:p w14:paraId="5F0759DA" w14:textId="77777777" w:rsidR="00436DAA" w:rsidRPr="00B6214F" w:rsidRDefault="009B4B8E" w:rsidP="00B6214F">
      <w:pPr>
        <w:rPr>
          <w:b/>
          <w:bCs/>
        </w:rPr>
      </w:pPr>
      <w:r w:rsidRPr="00B6214F">
        <w:rPr>
          <w:b/>
          <w:bCs/>
        </w:rPr>
        <w:t>Gebruikt u nog andere geneesmiddelen?</w:t>
      </w:r>
    </w:p>
    <w:p w14:paraId="380EF8D5" w14:textId="0B0133E7" w:rsidR="00436DAA" w:rsidRPr="00330234" w:rsidRDefault="009B4B8E" w:rsidP="00BD109B">
      <w:pPr>
        <w:pStyle w:val="a3"/>
        <w:widowControl/>
        <w:ind w:left="0"/>
      </w:pPr>
      <w:r w:rsidRPr="00330234">
        <w:t xml:space="preserve">Gebruikt u naast </w:t>
      </w:r>
      <w:r w:rsidR="00ED2966" w:rsidRPr="00330234">
        <w:t>Avtozma</w:t>
      </w:r>
      <w:r w:rsidRPr="00330234">
        <w:t xml:space="preserve"> nog andere geneesmiddelen, heeft u dat kort geleden gedaan of bestaat de mogelijkheid dat u binnenkort andere geneesmiddelen gaat gebruiken? Vertel dat dan uw arts.</w:t>
      </w:r>
    </w:p>
    <w:p w14:paraId="316CC7CA" w14:textId="4830E6B4" w:rsidR="00436DAA" w:rsidRPr="00330234" w:rsidRDefault="00ED2966" w:rsidP="00BD109B">
      <w:pPr>
        <w:pStyle w:val="a3"/>
        <w:widowControl/>
        <w:ind w:left="0"/>
      </w:pPr>
      <w:r w:rsidRPr="00330234">
        <w:t>Avtozma</w:t>
      </w:r>
      <w:r w:rsidR="009B4B8E" w:rsidRPr="00330234">
        <w:t xml:space="preserve"> kan de werking van sommige geneesmiddelen beïnvloeden, waardoor aanpassing van de dosering van deze geneesmiddelen nodig kan zijn. Vertel uw arts wanneer u geneesmiddelen gebruikt die een van de volgende werkzame stoffen bevatten:</w:t>
      </w:r>
    </w:p>
    <w:p w14:paraId="35396401" w14:textId="669AA1D8" w:rsidR="00436DAA" w:rsidRPr="00330234" w:rsidRDefault="005328BF" w:rsidP="00C0064D">
      <w:pPr>
        <w:pStyle w:val="bullet"/>
      </w:pPr>
      <w:r w:rsidRPr="00330234">
        <w:rPr>
          <w:rFonts w:eastAsia="Symbol"/>
        </w:rPr>
        <w:tab/>
      </w:r>
      <w:r w:rsidR="009B4B8E" w:rsidRPr="00330234">
        <w:t>methylprednisolon, dexamethason, gebruikt om ontsteking te verminderen</w:t>
      </w:r>
    </w:p>
    <w:p w14:paraId="75BE491C" w14:textId="553FC74A" w:rsidR="00436DAA" w:rsidRPr="00330234" w:rsidRDefault="005328BF" w:rsidP="00C0064D">
      <w:pPr>
        <w:pStyle w:val="bullet"/>
      </w:pPr>
      <w:r w:rsidRPr="00330234">
        <w:rPr>
          <w:rFonts w:eastAsia="Symbol"/>
        </w:rPr>
        <w:tab/>
      </w:r>
      <w:r w:rsidR="009B4B8E" w:rsidRPr="00330234">
        <w:t>simvastatine of atorvastatine, voor verlaging van cholesterolspiegels</w:t>
      </w:r>
    </w:p>
    <w:p w14:paraId="2007B3B4" w14:textId="0ACD4A56" w:rsidR="00436DAA" w:rsidRPr="00330234" w:rsidRDefault="005328BF" w:rsidP="00C0064D">
      <w:pPr>
        <w:pStyle w:val="bullet"/>
      </w:pPr>
      <w:r w:rsidRPr="00330234">
        <w:rPr>
          <w:rFonts w:eastAsia="Symbol"/>
        </w:rPr>
        <w:tab/>
      </w:r>
      <w:r w:rsidR="009B4B8E" w:rsidRPr="00330234">
        <w:t>calciumkanaalblokkers (bijv. amlodipine), voor de behandeling van verhoogde bloeddruk</w:t>
      </w:r>
    </w:p>
    <w:p w14:paraId="6285D608" w14:textId="00A980AA" w:rsidR="00436DAA" w:rsidRPr="00330234" w:rsidRDefault="005328BF" w:rsidP="00C0064D">
      <w:pPr>
        <w:pStyle w:val="bullet"/>
      </w:pPr>
      <w:r w:rsidRPr="00330234">
        <w:rPr>
          <w:rFonts w:eastAsia="Symbol"/>
        </w:rPr>
        <w:tab/>
      </w:r>
      <w:r w:rsidR="009B4B8E" w:rsidRPr="00330234">
        <w:t>theofylline, voor de behandeling van astma</w:t>
      </w:r>
    </w:p>
    <w:p w14:paraId="4370E259" w14:textId="01B9AED0" w:rsidR="00436DAA" w:rsidRPr="00330234" w:rsidRDefault="005328BF" w:rsidP="00C0064D">
      <w:pPr>
        <w:pStyle w:val="bullet"/>
      </w:pPr>
      <w:r w:rsidRPr="00330234">
        <w:rPr>
          <w:rFonts w:eastAsia="Symbol"/>
        </w:rPr>
        <w:tab/>
      </w:r>
      <w:r w:rsidR="009B4B8E" w:rsidRPr="00330234">
        <w:t>warfarine of fenprocoumon, bloedverdunners</w:t>
      </w:r>
    </w:p>
    <w:p w14:paraId="5CA84A52" w14:textId="4B7405C1" w:rsidR="00436DAA" w:rsidRPr="00330234" w:rsidRDefault="005328BF" w:rsidP="00C0064D">
      <w:pPr>
        <w:pStyle w:val="bullet"/>
      </w:pPr>
      <w:r w:rsidRPr="00330234">
        <w:rPr>
          <w:rFonts w:eastAsia="Symbol"/>
        </w:rPr>
        <w:tab/>
      </w:r>
      <w:r w:rsidR="009B4B8E" w:rsidRPr="00330234">
        <w:t>fenytoïne, voor de behandeling van stuipen</w:t>
      </w:r>
    </w:p>
    <w:p w14:paraId="3F380B66" w14:textId="3D0D9830" w:rsidR="00436DAA" w:rsidRPr="00330234" w:rsidRDefault="005328BF" w:rsidP="00C0064D">
      <w:pPr>
        <w:pStyle w:val="bullet"/>
      </w:pPr>
      <w:r w:rsidRPr="00330234">
        <w:rPr>
          <w:rFonts w:eastAsia="Symbol"/>
        </w:rPr>
        <w:tab/>
      </w:r>
      <w:r w:rsidR="009B4B8E" w:rsidRPr="00330234">
        <w:t>ciclosporine, gebruikt voor onderdrukking van het immuunsysteem bij orgaantransplantatie</w:t>
      </w:r>
    </w:p>
    <w:p w14:paraId="641A1933" w14:textId="4D943736" w:rsidR="00436DAA" w:rsidRPr="00330234" w:rsidRDefault="005328BF" w:rsidP="00C0064D">
      <w:pPr>
        <w:pStyle w:val="bullet"/>
      </w:pPr>
      <w:r w:rsidRPr="00330234">
        <w:rPr>
          <w:rFonts w:eastAsia="Symbol"/>
        </w:rPr>
        <w:lastRenderedPageBreak/>
        <w:tab/>
      </w:r>
      <w:r w:rsidR="009B4B8E" w:rsidRPr="00330234">
        <w:t>benzodiazepines (bijv. temazepam), voor verlichting van angst</w:t>
      </w:r>
    </w:p>
    <w:p w14:paraId="057BB693" w14:textId="77777777" w:rsidR="00436DAA" w:rsidRPr="00330234" w:rsidRDefault="00436DAA" w:rsidP="00BD109B">
      <w:pPr>
        <w:widowControl/>
      </w:pPr>
    </w:p>
    <w:p w14:paraId="04523F5D" w14:textId="170F73AA" w:rsidR="00436DAA" w:rsidRPr="00330234" w:rsidRDefault="009B4B8E" w:rsidP="00BD109B">
      <w:pPr>
        <w:pStyle w:val="a3"/>
        <w:widowControl/>
        <w:ind w:left="0"/>
      </w:pPr>
      <w:r w:rsidRPr="00330234">
        <w:t xml:space="preserve">Wegens het ontbreken van klinische ervaring, wordt </w:t>
      </w:r>
      <w:r w:rsidR="00ED2966" w:rsidRPr="00330234">
        <w:t>tocilizumab</w:t>
      </w:r>
      <w:r w:rsidRPr="00330234">
        <w:t xml:space="preserve"> niet aanbevolen in combinatie met andere biologische geneesmiddelen voor de behandeling van RA, sJIA, pJIA of GCA.</w:t>
      </w:r>
    </w:p>
    <w:p w14:paraId="6255758D" w14:textId="77777777" w:rsidR="00436DAA" w:rsidRPr="00330234" w:rsidRDefault="00436DAA" w:rsidP="00BD109B">
      <w:pPr>
        <w:pStyle w:val="a3"/>
        <w:widowControl/>
        <w:ind w:left="0"/>
      </w:pPr>
    </w:p>
    <w:p w14:paraId="038B86DB" w14:textId="77777777" w:rsidR="00436DAA" w:rsidRPr="00B6214F" w:rsidRDefault="009B4B8E" w:rsidP="00B6214F">
      <w:pPr>
        <w:rPr>
          <w:b/>
          <w:bCs/>
        </w:rPr>
      </w:pPr>
      <w:r w:rsidRPr="00B6214F">
        <w:rPr>
          <w:b/>
          <w:bCs/>
        </w:rPr>
        <w:t>Zwangerschap, borstvoeding en vruchtbaarheid</w:t>
      </w:r>
    </w:p>
    <w:p w14:paraId="6F993238" w14:textId="77777777" w:rsidR="00C0064D" w:rsidRPr="00330234" w:rsidRDefault="00C0064D" w:rsidP="00C0064D">
      <w:pPr>
        <w:keepNext/>
        <w:keepLines/>
        <w:widowControl/>
        <w:rPr>
          <w:b/>
        </w:rPr>
      </w:pPr>
    </w:p>
    <w:p w14:paraId="1AC130DD" w14:textId="46D5064B" w:rsidR="00436DAA" w:rsidRPr="00330234" w:rsidRDefault="00ED2966" w:rsidP="00C0064D">
      <w:pPr>
        <w:keepNext/>
        <w:keepLines/>
        <w:widowControl/>
      </w:pPr>
      <w:r w:rsidRPr="00330234">
        <w:rPr>
          <w:b/>
        </w:rPr>
        <w:t>Avtozma</w:t>
      </w:r>
      <w:r w:rsidR="009B4B8E" w:rsidRPr="00330234">
        <w:rPr>
          <w:b/>
        </w:rPr>
        <w:t xml:space="preserve"> mag niet worden gebruikt tijdens de zwangerschap </w:t>
      </w:r>
      <w:r w:rsidR="009B4B8E" w:rsidRPr="00330234">
        <w:t>tenzij het echt noodzakelijk is. Bent u zwanger, denkt u zwanger te zijn, wilt u zwanger worden of geeft u borstvoeding? Neem dan contact op met uw arts voordat u dit geneesmiddel gebruikt.</w:t>
      </w:r>
    </w:p>
    <w:p w14:paraId="010DDCC1" w14:textId="77777777" w:rsidR="00C0064D" w:rsidRPr="00330234" w:rsidRDefault="00C0064D" w:rsidP="00C0064D">
      <w:pPr>
        <w:keepNext/>
        <w:keepLines/>
        <w:widowControl/>
      </w:pPr>
    </w:p>
    <w:p w14:paraId="007C55B2" w14:textId="77777777" w:rsidR="00436DAA" w:rsidRPr="00330234" w:rsidRDefault="009B4B8E" w:rsidP="00BD109B">
      <w:pPr>
        <w:widowControl/>
      </w:pPr>
      <w:r w:rsidRPr="00330234">
        <w:rPr>
          <w:b/>
        </w:rPr>
        <w:t xml:space="preserve">Vrouwen die zwanger kunnen worden moeten </w:t>
      </w:r>
      <w:r w:rsidRPr="00330234">
        <w:t>gedurende de behandeling en tot 3 maanden daarna effectieve anticonceptie gebruiken.</w:t>
      </w:r>
    </w:p>
    <w:p w14:paraId="56F3D684" w14:textId="77777777" w:rsidR="00C0064D" w:rsidRPr="00330234" w:rsidRDefault="00C0064D" w:rsidP="00BD109B">
      <w:pPr>
        <w:widowControl/>
      </w:pPr>
    </w:p>
    <w:p w14:paraId="3CF0451D" w14:textId="4F7061CA" w:rsidR="00436DAA" w:rsidRPr="00330234" w:rsidRDefault="009B4B8E" w:rsidP="00BD109B">
      <w:pPr>
        <w:widowControl/>
      </w:pPr>
      <w:r w:rsidRPr="00330234">
        <w:rPr>
          <w:b/>
        </w:rPr>
        <w:t xml:space="preserve">Stop met het geven van borstvoeding als u </w:t>
      </w:r>
      <w:r w:rsidR="00ED2966" w:rsidRPr="00330234">
        <w:rPr>
          <w:b/>
        </w:rPr>
        <w:t>Avtozma</w:t>
      </w:r>
      <w:r w:rsidRPr="00330234">
        <w:rPr>
          <w:b/>
        </w:rPr>
        <w:t xml:space="preserve"> gaat gebruiken </w:t>
      </w:r>
      <w:r w:rsidRPr="00330234">
        <w:t xml:space="preserve">en overleg met uw arts. Voordat u borstvoeding gaat geven, moet de laatste behandeling met </w:t>
      </w:r>
      <w:r w:rsidR="00ED2966" w:rsidRPr="00330234">
        <w:t>Avtozma</w:t>
      </w:r>
      <w:r w:rsidRPr="00330234">
        <w:t xml:space="preserve"> ten minste 3 maanden geleden zijn. Het is niet bekend of </w:t>
      </w:r>
      <w:r w:rsidR="00ED2966" w:rsidRPr="00330234">
        <w:t>Avtozma</w:t>
      </w:r>
      <w:r w:rsidRPr="00330234">
        <w:t xml:space="preserve"> wordt uitgescheiden in de moedermelk.</w:t>
      </w:r>
    </w:p>
    <w:p w14:paraId="68982CE5" w14:textId="77777777" w:rsidR="00436DAA" w:rsidRPr="00330234" w:rsidRDefault="00436DAA" w:rsidP="00BD109B">
      <w:pPr>
        <w:pStyle w:val="a3"/>
        <w:widowControl/>
        <w:ind w:left="0"/>
      </w:pPr>
    </w:p>
    <w:p w14:paraId="30FF3DCF" w14:textId="77777777" w:rsidR="00436DAA" w:rsidRPr="00B6214F" w:rsidRDefault="009B4B8E" w:rsidP="00B6214F">
      <w:pPr>
        <w:rPr>
          <w:b/>
          <w:bCs/>
        </w:rPr>
      </w:pPr>
      <w:r w:rsidRPr="00B6214F">
        <w:rPr>
          <w:b/>
          <w:bCs/>
        </w:rPr>
        <w:t>Rijvaardigheid en het gebruik van machines</w:t>
      </w:r>
    </w:p>
    <w:p w14:paraId="4AF30843" w14:textId="77777777" w:rsidR="00436DAA" w:rsidRPr="00330234" w:rsidRDefault="009B4B8E" w:rsidP="00BD109B">
      <w:pPr>
        <w:pStyle w:val="a3"/>
        <w:widowControl/>
        <w:ind w:left="0"/>
      </w:pPr>
      <w:r w:rsidRPr="00330234">
        <w:t>Dit geneesmiddel kan duizeligheid veroorzaken. Als u zich duizelig voelt, rij dan niet en bedien geen machines.</w:t>
      </w:r>
    </w:p>
    <w:p w14:paraId="6890D8EA" w14:textId="77777777" w:rsidR="00436DAA" w:rsidRPr="00330234" w:rsidRDefault="00436DAA" w:rsidP="00BD109B">
      <w:pPr>
        <w:pStyle w:val="a3"/>
        <w:widowControl/>
        <w:ind w:left="0"/>
      </w:pPr>
    </w:p>
    <w:p w14:paraId="2E55E520" w14:textId="77777777" w:rsidR="00ED2966" w:rsidRPr="00B6214F" w:rsidRDefault="00ED2966" w:rsidP="00B6214F">
      <w:pPr>
        <w:rPr>
          <w:b/>
          <w:bCs/>
        </w:rPr>
      </w:pPr>
      <w:r w:rsidRPr="00B6214F">
        <w:rPr>
          <w:b/>
          <w:bCs/>
        </w:rPr>
        <w:t>Avtozma bevat polysorbaat</w:t>
      </w:r>
    </w:p>
    <w:p w14:paraId="3043D2CB" w14:textId="28DED5A7" w:rsidR="00ED2966" w:rsidRPr="00330234" w:rsidRDefault="00ED2966" w:rsidP="00ED2966">
      <w:pPr>
        <w:pStyle w:val="a3"/>
        <w:widowControl/>
        <w:ind w:left="0"/>
      </w:pPr>
      <w:r w:rsidRPr="00330234">
        <w:t xml:space="preserve">Dit geneesmiddel bevat 0,2 mg polysorbaat 80 in elke voorgevulde pen. Polysorbaten kunnen allergische reacties veroorzaken. Heeft u bekende </w:t>
      </w:r>
      <w:r w:rsidR="00DC2762" w:rsidRPr="00330234">
        <w:t>allergieën</w:t>
      </w:r>
      <w:r w:rsidRPr="00330234">
        <w:t>? Vertel dit aan uw arts.</w:t>
      </w:r>
    </w:p>
    <w:p w14:paraId="1B1CAD86" w14:textId="77777777" w:rsidR="00ED2966" w:rsidRPr="00330234" w:rsidRDefault="00ED2966" w:rsidP="00BD109B">
      <w:pPr>
        <w:pStyle w:val="a3"/>
        <w:widowControl/>
        <w:ind w:left="0"/>
      </w:pPr>
    </w:p>
    <w:p w14:paraId="78EDE2D3" w14:textId="77777777" w:rsidR="00ED2966" w:rsidRPr="00330234" w:rsidRDefault="00ED2966" w:rsidP="00BD109B">
      <w:pPr>
        <w:pStyle w:val="a3"/>
        <w:widowControl/>
        <w:ind w:left="0"/>
      </w:pPr>
    </w:p>
    <w:p w14:paraId="17DE7C66" w14:textId="16A45225" w:rsidR="00436DAA" w:rsidRPr="00330234" w:rsidRDefault="005328BF" w:rsidP="00BD109B">
      <w:pPr>
        <w:pStyle w:val="2"/>
      </w:pPr>
      <w:r w:rsidRPr="00330234">
        <w:t>3.</w:t>
      </w:r>
      <w:r w:rsidRPr="00330234">
        <w:tab/>
      </w:r>
      <w:r w:rsidR="009B4B8E" w:rsidRPr="00330234">
        <w:t>Hoe gebruikt u dit middel?</w:t>
      </w:r>
    </w:p>
    <w:p w14:paraId="1BFAA0A1" w14:textId="77777777" w:rsidR="00C0064D" w:rsidRPr="00330234" w:rsidRDefault="00C0064D" w:rsidP="00BD109B">
      <w:pPr>
        <w:pStyle w:val="a3"/>
        <w:widowControl/>
        <w:ind w:left="0"/>
      </w:pPr>
    </w:p>
    <w:p w14:paraId="4D572467" w14:textId="59D35898" w:rsidR="00436DAA" w:rsidRPr="00330234" w:rsidRDefault="009B4B8E" w:rsidP="00BD109B">
      <w:pPr>
        <w:pStyle w:val="a3"/>
        <w:widowControl/>
        <w:ind w:left="0"/>
      </w:pPr>
      <w:r w:rsidRPr="00330234">
        <w:t>Gebruik dit geneesmiddel altijd precies zoals uw arts, apotheker of verpleegkundige u dat heeft verteld. Twijfelt u over het juiste gebruik? Neem dan contact op met uw arts, apotheker of verpleegkundige.</w:t>
      </w:r>
    </w:p>
    <w:p w14:paraId="231C6AF9" w14:textId="77777777" w:rsidR="00436DAA" w:rsidRPr="00330234" w:rsidRDefault="00436DAA" w:rsidP="00BD109B">
      <w:pPr>
        <w:pStyle w:val="a3"/>
        <w:widowControl/>
        <w:ind w:left="0"/>
      </w:pPr>
    </w:p>
    <w:p w14:paraId="144086FC" w14:textId="77777777" w:rsidR="00436DAA" w:rsidRPr="00330234" w:rsidRDefault="009B4B8E" w:rsidP="00BD109B">
      <w:pPr>
        <w:pStyle w:val="a3"/>
        <w:widowControl/>
        <w:ind w:left="0"/>
      </w:pPr>
      <w:r w:rsidRPr="00330234">
        <w:t>De behandeling zal voorgeschreven en gestart worden door een beroepsbeoefenaar in de gezondheidszorg die ervaring heeft met de diagnose en behandeling van RA, sJIA, pJIA of GCA.</w:t>
      </w:r>
    </w:p>
    <w:p w14:paraId="0A8731B0" w14:textId="77777777" w:rsidR="00436DAA" w:rsidRPr="00330234" w:rsidRDefault="00436DAA" w:rsidP="00BD109B">
      <w:pPr>
        <w:pStyle w:val="a3"/>
        <w:widowControl/>
        <w:ind w:left="0"/>
      </w:pPr>
    </w:p>
    <w:p w14:paraId="7F89F2FE" w14:textId="77777777" w:rsidR="00436DAA" w:rsidRPr="00B6214F" w:rsidRDefault="009B4B8E" w:rsidP="00B6214F">
      <w:pPr>
        <w:rPr>
          <w:b/>
          <w:bCs/>
        </w:rPr>
      </w:pPr>
      <w:r w:rsidRPr="00B6214F">
        <w:rPr>
          <w:b/>
          <w:bCs/>
        </w:rPr>
        <w:t>De aanbevolen dosering</w:t>
      </w:r>
    </w:p>
    <w:p w14:paraId="6A3BF41B" w14:textId="77777777" w:rsidR="00436DAA" w:rsidRPr="00330234" w:rsidRDefault="009B4B8E" w:rsidP="00BD109B">
      <w:pPr>
        <w:pStyle w:val="a3"/>
        <w:widowControl/>
        <w:ind w:left="0"/>
      </w:pPr>
      <w:r w:rsidRPr="00330234">
        <w:t>De dosering voor RA of GCA voor alle volwassenen is eenmaal per week 162 mg (de inhoud van 1 voorgevulde pen).</w:t>
      </w:r>
    </w:p>
    <w:p w14:paraId="4F8F939C" w14:textId="77777777" w:rsidR="00C0064D" w:rsidRPr="00330234" w:rsidRDefault="00C0064D" w:rsidP="00BD109B">
      <w:pPr>
        <w:pStyle w:val="a3"/>
        <w:widowControl/>
        <w:ind w:left="0"/>
      </w:pPr>
    </w:p>
    <w:p w14:paraId="19109723" w14:textId="77777777" w:rsidR="00436DAA" w:rsidRPr="00B6214F" w:rsidRDefault="009B4B8E" w:rsidP="00B6214F">
      <w:pPr>
        <w:rPr>
          <w:b/>
          <w:bCs/>
        </w:rPr>
      </w:pPr>
      <w:r w:rsidRPr="00B6214F">
        <w:rPr>
          <w:b/>
          <w:bCs/>
        </w:rPr>
        <w:t>Kinderen en jongeren met sJIA (12 jaar en ouder)</w:t>
      </w:r>
    </w:p>
    <w:p w14:paraId="2C82DFB3" w14:textId="2564575A" w:rsidR="00436DAA" w:rsidRPr="00330234" w:rsidRDefault="009B4B8E" w:rsidP="00BD109B">
      <w:pPr>
        <w:widowControl/>
        <w:rPr>
          <w:b/>
        </w:rPr>
      </w:pPr>
      <w:r w:rsidRPr="00330234">
        <w:rPr>
          <w:b/>
        </w:rPr>
        <w:t xml:space="preserve">De gebruikelijke dosering van </w:t>
      </w:r>
      <w:r w:rsidR="00ED2966" w:rsidRPr="00330234">
        <w:rPr>
          <w:b/>
        </w:rPr>
        <w:t>Avtozma</w:t>
      </w:r>
      <w:r w:rsidRPr="00330234">
        <w:rPr>
          <w:b/>
        </w:rPr>
        <w:t xml:space="preserve"> is afhankelijk van het gewicht van de patiënt.</w:t>
      </w:r>
    </w:p>
    <w:p w14:paraId="33CCA288" w14:textId="6B5FFA70" w:rsidR="00436DAA" w:rsidRPr="00330234" w:rsidRDefault="005328BF" w:rsidP="00C0064D">
      <w:pPr>
        <w:pStyle w:val="bullet"/>
      </w:pPr>
      <w:r w:rsidRPr="00330234">
        <w:rPr>
          <w:rFonts w:eastAsia="Symbol"/>
        </w:rPr>
        <w:tab/>
      </w:r>
      <w:r w:rsidR="009B4B8E" w:rsidRPr="00330234">
        <w:t xml:space="preserve">Als de patiënt </w:t>
      </w:r>
      <w:r w:rsidR="009B4B8E" w:rsidRPr="00330234">
        <w:rPr>
          <w:b/>
        </w:rPr>
        <w:t xml:space="preserve">minder dan 30 kg </w:t>
      </w:r>
      <w:r w:rsidR="009B4B8E" w:rsidRPr="00330234">
        <w:t xml:space="preserve">weegt, is de dosering </w:t>
      </w:r>
      <w:r w:rsidR="009B4B8E" w:rsidRPr="00330234">
        <w:rPr>
          <w:b/>
        </w:rPr>
        <w:t xml:space="preserve">eenmaal per 2 weken </w:t>
      </w:r>
      <w:r w:rsidR="009B4B8E" w:rsidRPr="00330234">
        <w:t>162 mg (de inhoud van 1 voorgevulde pen).</w:t>
      </w:r>
    </w:p>
    <w:p w14:paraId="4C840057" w14:textId="3A357DF2" w:rsidR="00436DAA" w:rsidRPr="00330234" w:rsidRDefault="005328BF" w:rsidP="00C0064D">
      <w:pPr>
        <w:pStyle w:val="bullet"/>
      </w:pPr>
      <w:r w:rsidRPr="00330234">
        <w:rPr>
          <w:rFonts w:eastAsia="Symbol"/>
        </w:rPr>
        <w:tab/>
      </w:r>
      <w:r w:rsidR="009B4B8E" w:rsidRPr="00330234">
        <w:t xml:space="preserve">Als de patiënt </w:t>
      </w:r>
      <w:r w:rsidR="009B4B8E" w:rsidRPr="00330234">
        <w:rPr>
          <w:b/>
        </w:rPr>
        <w:t xml:space="preserve">30 kg of meer </w:t>
      </w:r>
      <w:r w:rsidR="009B4B8E" w:rsidRPr="00330234">
        <w:t xml:space="preserve">weegt, is de dosering </w:t>
      </w:r>
      <w:r w:rsidR="009B4B8E" w:rsidRPr="00330234">
        <w:rPr>
          <w:b/>
        </w:rPr>
        <w:t xml:space="preserve">eenmaal per week </w:t>
      </w:r>
      <w:r w:rsidR="009B4B8E" w:rsidRPr="00330234">
        <w:t>162 mg (de inhoud van 1 voorgevulde pen).</w:t>
      </w:r>
    </w:p>
    <w:p w14:paraId="7A5B04F3" w14:textId="77777777" w:rsidR="00C0064D" w:rsidRPr="00330234" w:rsidRDefault="00C0064D" w:rsidP="00BD109B">
      <w:pPr>
        <w:pStyle w:val="a3"/>
        <w:widowControl/>
        <w:ind w:left="0"/>
      </w:pPr>
    </w:p>
    <w:p w14:paraId="7F0DE7A3" w14:textId="521E9586" w:rsidR="00436DAA" w:rsidRPr="00330234" w:rsidRDefault="009B4B8E" w:rsidP="00BD109B">
      <w:pPr>
        <w:pStyle w:val="a3"/>
        <w:widowControl/>
        <w:ind w:left="0"/>
      </w:pPr>
      <w:r w:rsidRPr="00330234">
        <w:t>De voorgevulde pen mag niet gebruikt worden voor de behandeling van kinderen jonger dan 12 jaar.</w:t>
      </w:r>
    </w:p>
    <w:p w14:paraId="537C56D8" w14:textId="77777777" w:rsidR="00436DAA" w:rsidRPr="00330234" w:rsidRDefault="00436DAA" w:rsidP="00BD109B">
      <w:pPr>
        <w:pStyle w:val="a3"/>
        <w:widowControl/>
        <w:ind w:left="0"/>
      </w:pPr>
    </w:p>
    <w:p w14:paraId="641C7568" w14:textId="77777777" w:rsidR="00436DAA" w:rsidRPr="00B6214F" w:rsidRDefault="009B4B8E" w:rsidP="00B6214F">
      <w:pPr>
        <w:rPr>
          <w:b/>
          <w:bCs/>
        </w:rPr>
      </w:pPr>
      <w:r w:rsidRPr="00B6214F">
        <w:rPr>
          <w:b/>
          <w:bCs/>
        </w:rPr>
        <w:t>Kinderen en jongeren met pJIA (12 jaar en ouder)</w:t>
      </w:r>
    </w:p>
    <w:p w14:paraId="32D107ED" w14:textId="1577F0CA" w:rsidR="00436DAA" w:rsidRPr="00330234" w:rsidRDefault="009B4B8E" w:rsidP="00BD109B">
      <w:pPr>
        <w:widowControl/>
        <w:rPr>
          <w:b/>
        </w:rPr>
      </w:pPr>
      <w:r w:rsidRPr="00330234">
        <w:rPr>
          <w:b/>
        </w:rPr>
        <w:t xml:space="preserve">De gebruikelijke dosering van </w:t>
      </w:r>
      <w:r w:rsidR="00ED2966" w:rsidRPr="00330234">
        <w:rPr>
          <w:b/>
        </w:rPr>
        <w:t>Avtozma</w:t>
      </w:r>
      <w:r w:rsidRPr="00330234">
        <w:rPr>
          <w:b/>
        </w:rPr>
        <w:t xml:space="preserve"> is afhankelijk van het gewicht van de patiënt.</w:t>
      </w:r>
    </w:p>
    <w:p w14:paraId="1829CD37" w14:textId="4FDD31D0" w:rsidR="00436DAA" w:rsidRPr="00330234" w:rsidRDefault="005328BF" w:rsidP="00C0064D">
      <w:pPr>
        <w:pStyle w:val="bullet"/>
      </w:pPr>
      <w:r w:rsidRPr="00330234">
        <w:rPr>
          <w:rFonts w:eastAsia="Symbol"/>
        </w:rPr>
        <w:tab/>
      </w:r>
      <w:r w:rsidR="009B4B8E" w:rsidRPr="00330234">
        <w:t xml:space="preserve">Als de patiënt </w:t>
      </w:r>
      <w:r w:rsidR="009B4B8E" w:rsidRPr="00330234">
        <w:rPr>
          <w:b/>
        </w:rPr>
        <w:t xml:space="preserve">minder dan 30 kg </w:t>
      </w:r>
      <w:r w:rsidR="009B4B8E" w:rsidRPr="00330234">
        <w:t xml:space="preserve">weegt, is de dosering </w:t>
      </w:r>
      <w:r w:rsidR="009B4B8E" w:rsidRPr="00330234">
        <w:rPr>
          <w:b/>
        </w:rPr>
        <w:t xml:space="preserve">eenmaal per 3 weken </w:t>
      </w:r>
      <w:r w:rsidR="009B4B8E" w:rsidRPr="00330234">
        <w:t>162 mg (de inhoud van 1 voorgevulde pen).</w:t>
      </w:r>
    </w:p>
    <w:p w14:paraId="16B280B6" w14:textId="702C304C" w:rsidR="00436DAA" w:rsidRPr="00330234" w:rsidRDefault="005328BF" w:rsidP="00C0064D">
      <w:pPr>
        <w:pStyle w:val="bullet"/>
      </w:pPr>
      <w:r w:rsidRPr="00330234">
        <w:rPr>
          <w:rFonts w:eastAsia="Symbol"/>
        </w:rPr>
        <w:tab/>
      </w:r>
      <w:r w:rsidR="009B4B8E" w:rsidRPr="00330234">
        <w:t xml:space="preserve">Als de patiënt </w:t>
      </w:r>
      <w:r w:rsidR="009B4B8E" w:rsidRPr="00330234">
        <w:rPr>
          <w:b/>
        </w:rPr>
        <w:t xml:space="preserve">30 kg of meer </w:t>
      </w:r>
      <w:r w:rsidR="009B4B8E" w:rsidRPr="00330234">
        <w:t xml:space="preserve">weegt, is de dosering </w:t>
      </w:r>
      <w:r w:rsidR="009B4B8E" w:rsidRPr="00330234">
        <w:rPr>
          <w:b/>
        </w:rPr>
        <w:t xml:space="preserve">eenmaal per 2 weken </w:t>
      </w:r>
      <w:r w:rsidR="009B4B8E" w:rsidRPr="00330234">
        <w:t>162 mg (de inhoud van 1 voorgevulde pen).</w:t>
      </w:r>
    </w:p>
    <w:p w14:paraId="3BD95D4D" w14:textId="77777777" w:rsidR="00C0064D" w:rsidRPr="00330234" w:rsidRDefault="00C0064D" w:rsidP="00BD109B">
      <w:pPr>
        <w:pStyle w:val="a3"/>
        <w:widowControl/>
        <w:ind w:left="0"/>
      </w:pPr>
    </w:p>
    <w:p w14:paraId="590095C4" w14:textId="312D8F25" w:rsidR="00436DAA" w:rsidRPr="00330234" w:rsidRDefault="009B4B8E" w:rsidP="00BD109B">
      <w:pPr>
        <w:pStyle w:val="a3"/>
        <w:widowControl/>
        <w:ind w:left="0"/>
      </w:pPr>
      <w:r w:rsidRPr="00330234">
        <w:t>De voorgevulde pen mag niet gebruikt worden voor de behandeling van kinderen jonger dan 12 jaar.</w:t>
      </w:r>
    </w:p>
    <w:p w14:paraId="067E5D45" w14:textId="77777777" w:rsidR="00436DAA" w:rsidRPr="00330234" w:rsidRDefault="00436DAA" w:rsidP="00BD109B">
      <w:pPr>
        <w:pStyle w:val="a3"/>
        <w:widowControl/>
        <w:ind w:left="0"/>
      </w:pPr>
    </w:p>
    <w:p w14:paraId="38CCC41C" w14:textId="12266D15" w:rsidR="00436DAA" w:rsidRPr="00330234" w:rsidRDefault="00ED2966" w:rsidP="00BD109B">
      <w:pPr>
        <w:pStyle w:val="a3"/>
        <w:widowControl/>
        <w:ind w:left="0"/>
      </w:pPr>
      <w:r w:rsidRPr="00330234">
        <w:t>Avtozma</w:t>
      </w:r>
      <w:r w:rsidR="009B4B8E" w:rsidRPr="00330234">
        <w:t xml:space="preserve"> wordt gegeven door een injectie onder de huid (</w:t>
      </w:r>
      <w:r w:rsidR="009B4B8E" w:rsidRPr="00330234">
        <w:rPr>
          <w:i/>
        </w:rPr>
        <w:t>subcutaan</w:t>
      </w:r>
      <w:r w:rsidR="009B4B8E" w:rsidRPr="00330234">
        <w:t xml:space="preserve">). Bij de start van de behandeling zal waarschijnlijk uw arts of verpleegkundige </w:t>
      </w:r>
      <w:r w:rsidRPr="00330234">
        <w:t>Avtozma</w:t>
      </w:r>
      <w:r w:rsidR="009B4B8E" w:rsidRPr="00330234">
        <w:t xml:space="preserve"> bij u injecteren. Uw arts kan echter ook besluiten dat u </w:t>
      </w:r>
      <w:r w:rsidRPr="00330234">
        <w:t>Avtozma</w:t>
      </w:r>
      <w:r w:rsidR="009B4B8E" w:rsidRPr="00330234">
        <w:t xml:space="preserve"> zelf mag injecteren. In dit geval zult u getraind worden om </w:t>
      </w:r>
      <w:r w:rsidRPr="00330234">
        <w:t>Avtozma</w:t>
      </w:r>
      <w:r w:rsidR="009B4B8E" w:rsidRPr="00330234">
        <w:t xml:space="preserve"> zelf te injecteren. Ouders en voogden zullen getraind worden om </w:t>
      </w:r>
      <w:r w:rsidRPr="00330234">
        <w:t>Avtozma</w:t>
      </w:r>
      <w:r w:rsidR="009B4B8E" w:rsidRPr="00330234">
        <w:t xml:space="preserve"> te injecteren bij patiënten die dit niet zelf kunnen.</w:t>
      </w:r>
    </w:p>
    <w:p w14:paraId="10AB490B" w14:textId="77777777" w:rsidR="00436DAA" w:rsidRPr="00330234" w:rsidRDefault="00436DAA" w:rsidP="00BD109B">
      <w:pPr>
        <w:widowControl/>
      </w:pPr>
    </w:p>
    <w:p w14:paraId="75E00E88" w14:textId="77777777" w:rsidR="00436DAA" w:rsidRPr="00330234" w:rsidRDefault="009B4B8E" w:rsidP="00BD109B">
      <w:pPr>
        <w:pStyle w:val="a3"/>
        <w:widowControl/>
        <w:ind w:left="0"/>
      </w:pPr>
      <w:r w:rsidRPr="00330234">
        <w:t>Overleg met uw arts als u vragen heeft over het zelf toedienen van een injectie bij uzelf of bij een kind. U vindt gedetailleerde ‘instructies voor toediening’ aan het eind van deze bijsluiter.</w:t>
      </w:r>
    </w:p>
    <w:p w14:paraId="2F9A6B8C" w14:textId="77777777" w:rsidR="00436DAA" w:rsidRPr="00330234" w:rsidRDefault="00436DAA" w:rsidP="00BD109B">
      <w:pPr>
        <w:pStyle w:val="a3"/>
        <w:widowControl/>
        <w:ind w:left="0"/>
      </w:pPr>
    </w:p>
    <w:p w14:paraId="521CA250" w14:textId="77777777" w:rsidR="00436DAA" w:rsidRPr="00B6214F" w:rsidRDefault="009B4B8E" w:rsidP="00B6214F">
      <w:pPr>
        <w:rPr>
          <w:b/>
          <w:bCs/>
        </w:rPr>
      </w:pPr>
      <w:r w:rsidRPr="00B6214F">
        <w:rPr>
          <w:b/>
          <w:bCs/>
        </w:rPr>
        <w:t>Heeft u te veel van dit middel gebruikt?</w:t>
      </w:r>
    </w:p>
    <w:p w14:paraId="2F8BC9B4" w14:textId="6733837C" w:rsidR="00436DAA" w:rsidRPr="00330234" w:rsidRDefault="009B4B8E" w:rsidP="00BD109B">
      <w:pPr>
        <w:pStyle w:val="a3"/>
        <w:widowControl/>
        <w:ind w:left="0"/>
      </w:pPr>
      <w:r w:rsidRPr="00330234">
        <w:t xml:space="preserve">Omdat </w:t>
      </w:r>
      <w:r w:rsidR="00ED2966" w:rsidRPr="00330234">
        <w:t>Avtozma</w:t>
      </w:r>
      <w:r w:rsidRPr="00330234">
        <w:t xml:space="preserve"> wordt gegeven in een voorgevulde pen, is het niet waarschijnlijk dat u te veel zult gebruiken. Als u zich toch zorgen maakt, overleg dan met uw arts, apotheker of verpleegkundige.</w:t>
      </w:r>
    </w:p>
    <w:p w14:paraId="20C5D4C9" w14:textId="77777777" w:rsidR="00436DAA" w:rsidRPr="00330234" w:rsidRDefault="00436DAA" w:rsidP="00BD109B">
      <w:pPr>
        <w:pStyle w:val="a3"/>
        <w:widowControl/>
        <w:ind w:left="0"/>
      </w:pPr>
    </w:p>
    <w:p w14:paraId="6080E70E" w14:textId="77777777" w:rsidR="00436DAA" w:rsidRPr="00B6214F" w:rsidRDefault="009B4B8E" w:rsidP="00B6214F">
      <w:pPr>
        <w:rPr>
          <w:b/>
          <w:bCs/>
        </w:rPr>
      </w:pPr>
      <w:r w:rsidRPr="00B6214F">
        <w:rPr>
          <w:b/>
          <w:bCs/>
        </w:rPr>
        <w:t>Als volwassenen met RA of GCA of kinderen of jongeren met sJIA vergeten dit middel te gebruiken</w:t>
      </w:r>
    </w:p>
    <w:p w14:paraId="4C2CDB3A" w14:textId="3E48297A" w:rsidR="00436DAA" w:rsidRPr="00330234" w:rsidRDefault="009B4B8E" w:rsidP="00BD109B">
      <w:pPr>
        <w:pStyle w:val="a3"/>
        <w:widowControl/>
        <w:ind w:left="0"/>
      </w:pPr>
      <w:r w:rsidRPr="00330234">
        <w:t xml:space="preserve">Het is belangrijk dat u </w:t>
      </w:r>
      <w:r w:rsidR="00ED2966" w:rsidRPr="00330234">
        <w:t>Avtozma</w:t>
      </w:r>
      <w:r w:rsidRPr="00330234">
        <w:t xml:space="preserve"> precies gebruikt zoals voorgeschreven door uw arts. Houd uw volgende dosis in de gaten.</w:t>
      </w:r>
    </w:p>
    <w:p w14:paraId="6FE3236C" w14:textId="520487C3" w:rsidR="00436DAA" w:rsidRPr="00330234" w:rsidRDefault="005328BF" w:rsidP="00C0064D">
      <w:pPr>
        <w:pStyle w:val="bullet"/>
      </w:pPr>
      <w:r w:rsidRPr="00330234">
        <w:rPr>
          <w:rFonts w:eastAsia="Symbol"/>
        </w:rPr>
        <w:tab/>
      </w:r>
      <w:r w:rsidR="009B4B8E" w:rsidRPr="00330234">
        <w:t>Als u uw wekelijkse dosis mist en u komt hier binnen 7 dagen van de geplande dosis achter, neem uw dosis dan op de volgende geplande dag.</w:t>
      </w:r>
    </w:p>
    <w:p w14:paraId="77D2E0E4" w14:textId="12D9125E" w:rsidR="00436DAA" w:rsidRPr="00330234" w:rsidRDefault="005328BF" w:rsidP="00C0064D">
      <w:pPr>
        <w:pStyle w:val="bullet"/>
      </w:pPr>
      <w:r w:rsidRPr="00330234">
        <w:rPr>
          <w:rFonts w:eastAsia="Symbol"/>
        </w:rPr>
        <w:tab/>
      </w:r>
      <w:r w:rsidR="009B4B8E" w:rsidRPr="00330234">
        <w:t>Als u uw om-de-week dosis mist en u komt hier binnen 7 dagen van de geplande dosis achter, injecteer dan een dosis zodra u er aan denkt en neem uw volgende dosis op de volgende geplande dag.</w:t>
      </w:r>
    </w:p>
    <w:p w14:paraId="700A7200" w14:textId="716C09B4" w:rsidR="00436DAA" w:rsidRPr="00330234" w:rsidRDefault="005328BF" w:rsidP="00C0064D">
      <w:pPr>
        <w:pStyle w:val="bullet"/>
      </w:pPr>
      <w:r w:rsidRPr="00330234">
        <w:rPr>
          <w:rFonts w:eastAsia="Symbol"/>
        </w:rPr>
        <w:tab/>
      </w:r>
      <w:r w:rsidR="009B4B8E" w:rsidRPr="00330234">
        <w:t xml:space="preserve">Als u er na meer dan 7 dagen na de geplande dosis achter komt dat u uw wekelijkse dosis of uw om-de-week dosis heeft gemist, of wanneer u niet zeker bent wanneer u </w:t>
      </w:r>
      <w:r w:rsidR="00ED2966" w:rsidRPr="00330234">
        <w:t>Avtozma</w:t>
      </w:r>
      <w:r w:rsidR="009B4B8E" w:rsidRPr="00330234">
        <w:t xml:space="preserve"> moet injecteren, neem dan contact op met uw arts of apotheker.</w:t>
      </w:r>
    </w:p>
    <w:p w14:paraId="6590F430" w14:textId="77777777" w:rsidR="00C0064D" w:rsidRPr="00330234" w:rsidRDefault="00C0064D" w:rsidP="00BD109B">
      <w:pPr>
        <w:widowControl/>
      </w:pPr>
    </w:p>
    <w:p w14:paraId="5BC46ED9" w14:textId="77777777" w:rsidR="00436DAA" w:rsidRPr="00B6214F" w:rsidRDefault="009B4B8E" w:rsidP="00B6214F">
      <w:pPr>
        <w:rPr>
          <w:b/>
          <w:bCs/>
        </w:rPr>
      </w:pPr>
      <w:r w:rsidRPr="00B6214F">
        <w:rPr>
          <w:b/>
          <w:bCs/>
        </w:rPr>
        <w:t>Als kinderen of jongeren met pJIA vergeten dit middel te gebruiken</w:t>
      </w:r>
    </w:p>
    <w:p w14:paraId="19DD569F" w14:textId="58BD3D2B" w:rsidR="00436DAA" w:rsidRPr="00330234" w:rsidRDefault="009B4B8E" w:rsidP="00BD109B">
      <w:pPr>
        <w:pStyle w:val="a3"/>
        <w:widowControl/>
        <w:ind w:left="0"/>
      </w:pPr>
      <w:r w:rsidRPr="00330234">
        <w:t xml:space="preserve">Het is belangrijk dat u </w:t>
      </w:r>
      <w:r w:rsidR="00ED2966" w:rsidRPr="00330234">
        <w:t>Avtozma</w:t>
      </w:r>
      <w:r w:rsidRPr="00330234">
        <w:t xml:space="preserve"> precies gebruikt zoals voorgeschreven door uw arts. Houd de volgende dosis in de gaten.</w:t>
      </w:r>
    </w:p>
    <w:p w14:paraId="5B50D8CB" w14:textId="62BA9031" w:rsidR="00436DAA" w:rsidRPr="00330234" w:rsidRDefault="005328BF" w:rsidP="00C0064D">
      <w:pPr>
        <w:pStyle w:val="bullet"/>
      </w:pPr>
      <w:r w:rsidRPr="00330234">
        <w:rPr>
          <w:rFonts w:eastAsia="Symbol"/>
        </w:rPr>
        <w:tab/>
      </w:r>
      <w:r w:rsidR="009B4B8E" w:rsidRPr="00330234">
        <w:t>Als een dosis is gemist en u komt hier binnen 7 dagen van de geplande dosis achter, injecteer dan een dosis zodra u eraan denkt en geef de volgende dosis op de volgende geplande dag.</w:t>
      </w:r>
    </w:p>
    <w:p w14:paraId="4799C514" w14:textId="6EE08158" w:rsidR="00436DAA" w:rsidRPr="00330234" w:rsidRDefault="005328BF" w:rsidP="00C0064D">
      <w:pPr>
        <w:pStyle w:val="bullet"/>
      </w:pPr>
      <w:r w:rsidRPr="00330234">
        <w:rPr>
          <w:rFonts w:eastAsia="Symbol"/>
        </w:rPr>
        <w:tab/>
      </w:r>
      <w:r w:rsidR="009B4B8E" w:rsidRPr="00330234">
        <w:t xml:space="preserve">Als een dosis is gemist en u komt hier na meer dan 7 dagen na de geplande dosis achter, of wanneer u niet zeker bent wanneer u </w:t>
      </w:r>
      <w:r w:rsidR="00ED2966" w:rsidRPr="00330234">
        <w:t>Avtozma</w:t>
      </w:r>
      <w:r w:rsidR="009B4B8E" w:rsidRPr="00330234">
        <w:t xml:space="preserve"> moet injecteren, neem dan contact op met uw arts of apotheker.</w:t>
      </w:r>
    </w:p>
    <w:p w14:paraId="712A683B" w14:textId="77777777" w:rsidR="00436DAA" w:rsidRPr="00330234" w:rsidRDefault="00436DAA" w:rsidP="00BD109B">
      <w:pPr>
        <w:pStyle w:val="a3"/>
        <w:widowControl/>
        <w:ind w:left="0"/>
      </w:pPr>
    </w:p>
    <w:p w14:paraId="02ED82B8" w14:textId="77777777" w:rsidR="00436DAA" w:rsidRPr="00B6214F" w:rsidRDefault="009B4B8E" w:rsidP="00B6214F">
      <w:pPr>
        <w:rPr>
          <w:b/>
          <w:bCs/>
        </w:rPr>
      </w:pPr>
      <w:r w:rsidRPr="00B6214F">
        <w:rPr>
          <w:b/>
          <w:bCs/>
        </w:rPr>
        <w:t>Als u stopt met het gebruik van dit middel</w:t>
      </w:r>
    </w:p>
    <w:p w14:paraId="6CBC73E1" w14:textId="35CF0E4C" w:rsidR="00436DAA" w:rsidRPr="00330234" w:rsidRDefault="009B4B8E" w:rsidP="00BD109B">
      <w:pPr>
        <w:pStyle w:val="a3"/>
        <w:widowControl/>
        <w:ind w:left="0"/>
      </w:pPr>
      <w:r w:rsidRPr="00330234">
        <w:t xml:space="preserve">U mag niet stoppen met </w:t>
      </w:r>
      <w:r w:rsidR="00ED2966" w:rsidRPr="00330234">
        <w:t>Avtozma</w:t>
      </w:r>
      <w:r w:rsidRPr="00330234">
        <w:t xml:space="preserve"> zonder dat u dat eerst met uw arts heeft besproken.</w:t>
      </w:r>
    </w:p>
    <w:p w14:paraId="2B74011C" w14:textId="77777777" w:rsidR="00C0064D" w:rsidRPr="00330234" w:rsidRDefault="00C0064D" w:rsidP="00BD109B">
      <w:pPr>
        <w:pStyle w:val="a3"/>
        <w:widowControl/>
        <w:ind w:left="0"/>
      </w:pPr>
    </w:p>
    <w:p w14:paraId="14B670EF" w14:textId="256EEC82" w:rsidR="00436DAA" w:rsidRPr="00330234" w:rsidRDefault="009B4B8E" w:rsidP="00BD109B">
      <w:pPr>
        <w:pStyle w:val="a3"/>
        <w:widowControl/>
        <w:ind w:left="0"/>
      </w:pPr>
      <w:r w:rsidRPr="00330234">
        <w:t>Heeft u nog andere vragen over het gebruik van dit geneesmiddel? Neem dan contact op met uw arts, apotheker of verpleegkundige.</w:t>
      </w:r>
    </w:p>
    <w:p w14:paraId="3617447C" w14:textId="77777777" w:rsidR="00436DAA" w:rsidRPr="00330234" w:rsidRDefault="00436DAA" w:rsidP="00BD109B">
      <w:pPr>
        <w:pStyle w:val="a3"/>
        <w:widowControl/>
        <w:ind w:left="0"/>
      </w:pPr>
    </w:p>
    <w:p w14:paraId="35AB23B6" w14:textId="77777777" w:rsidR="00436DAA" w:rsidRPr="00330234" w:rsidRDefault="00436DAA" w:rsidP="00BD109B">
      <w:pPr>
        <w:pStyle w:val="a3"/>
        <w:widowControl/>
        <w:ind w:left="0"/>
      </w:pPr>
    </w:p>
    <w:p w14:paraId="0185CEB8" w14:textId="7306020F" w:rsidR="00436DAA" w:rsidRPr="00330234" w:rsidRDefault="005328BF" w:rsidP="00BD109B">
      <w:pPr>
        <w:pStyle w:val="2"/>
      </w:pPr>
      <w:r w:rsidRPr="00330234">
        <w:t>4.</w:t>
      </w:r>
      <w:r w:rsidRPr="00330234">
        <w:tab/>
      </w:r>
      <w:r w:rsidR="009B4B8E" w:rsidRPr="00330234">
        <w:t>Mogelijke bijwerkingen</w:t>
      </w:r>
    </w:p>
    <w:p w14:paraId="74A86582" w14:textId="77777777" w:rsidR="00C0064D" w:rsidRPr="00330234" w:rsidRDefault="00C0064D" w:rsidP="00BD109B">
      <w:pPr>
        <w:pStyle w:val="a3"/>
        <w:widowControl/>
        <w:ind w:left="0"/>
      </w:pPr>
    </w:p>
    <w:p w14:paraId="055814E8" w14:textId="636440DD" w:rsidR="00436DAA" w:rsidRPr="00330234" w:rsidRDefault="009B4B8E" w:rsidP="00BD109B">
      <w:pPr>
        <w:pStyle w:val="a3"/>
        <w:widowControl/>
        <w:ind w:left="0"/>
      </w:pPr>
      <w:r w:rsidRPr="00330234">
        <w:t xml:space="preserve">Zoals elk geneesmiddel kan ook dit geneesmiddel bijwerkingen hebben, al krijgt niet iedereen daarmee te maken. Bijwerkingen kunnen nog voorkomen tot 3 maanden of langer na de laatste toediening van </w:t>
      </w:r>
      <w:r w:rsidR="00ED2966" w:rsidRPr="00330234">
        <w:t>Avtozma</w:t>
      </w:r>
      <w:r w:rsidRPr="00330234">
        <w:t>.</w:t>
      </w:r>
    </w:p>
    <w:p w14:paraId="1F26B445" w14:textId="77777777" w:rsidR="00436DAA" w:rsidRPr="00330234" w:rsidRDefault="00436DAA" w:rsidP="00BD109B">
      <w:pPr>
        <w:pStyle w:val="a3"/>
        <w:widowControl/>
        <w:ind w:left="0"/>
      </w:pPr>
    </w:p>
    <w:p w14:paraId="2ADE6B94" w14:textId="77777777" w:rsidR="00436DAA" w:rsidRPr="00B6214F" w:rsidRDefault="009B4B8E" w:rsidP="00B6214F">
      <w:pPr>
        <w:rPr>
          <w:b/>
          <w:bCs/>
        </w:rPr>
      </w:pPr>
      <w:r w:rsidRPr="00B6214F">
        <w:rPr>
          <w:b/>
          <w:bCs/>
        </w:rPr>
        <w:t>Mogelijke ernstige bijwerkingen: meld dit direct aan een arts.</w:t>
      </w:r>
    </w:p>
    <w:p w14:paraId="31D1E346" w14:textId="77777777" w:rsidR="00436DAA" w:rsidRPr="00330234" w:rsidRDefault="009B4B8E" w:rsidP="00BD109B">
      <w:pPr>
        <w:widowControl/>
        <w:rPr>
          <w:i/>
        </w:rPr>
      </w:pPr>
      <w:r w:rsidRPr="00330234">
        <w:rPr>
          <w:i/>
        </w:rPr>
        <w:t>Deze komen vaak voor: kunnen voorkomen bij minder dan 1 op de 10 gebruikers</w:t>
      </w:r>
    </w:p>
    <w:p w14:paraId="5C08AFBC" w14:textId="77777777" w:rsidR="00436DAA" w:rsidRPr="00330234" w:rsidRDefault="00436DAA" w:rsidP="00BD109B">
      <w:pPr>
        <w:pStyle w:val="a3"/>
        <w:widowControl/>
        <w:ind w:left="0"/>
        <w:rPr>
          <w:i/>
        </w:rPr>
      </w:pPr>
    </w:p>
    <w:p w14:paraId="544AA370" w14:textId="77777777" w:rsidR="00436DAA" w:rsidRPr="00330234" w:rsidRDefault="009B4B8E" w:rsidP="00BD109B">
      <w:pPr>
        <w:widowControl/>
      </w:pPr>
      <w:r w:rsidRPr="00330234">
        <w:rPr>
          <w:b/>
        </w:rPr>
        <w:t xml:space="preserve">Allergische reacties </w:t>
      </w:r>
      <w:r w:rsidRPr="00330234">
        <w:t>tijdens of na injectie:</w:t>
      </w:r>
    </w:p>
    <w:p w14:paraId="4E6CE3A4" w14:textId="5848545A" w:rsidR="00436DAA" w:rsidRPr="00330234" w:rsidRDefault="005328BF" w:rsidP="00C0064D">
      <w:pPr>
        <w:pStyle w:val="bullet"/>
      </w:pPr>
      <w:r w:rsidRPr="00330234">
        <w:rPr>
          <w:rFonts w:eastAsia="Symbol"/>
        </w:rPr>
        <w:tab/>
      </w:r>
      <w:r w:rsidR="009B4B8E" w:rsidRPr="00330234">
        <w:t>moeite met ademhalen, beklemmend gevoel op de borst of een licht gevoel in het hoofd</w:t>
      </w:r>
    </w:p>
    <w:p w14:paraId="27C79438" w14:textId="77777777" w:rsidR="00C0064D" w:rsidRPr="00330234" w:rsidRDefault="005328BF" w:rsidP="00C0064D">
      <w:pPr>
        <w:pStyle w:val="bullet"/>
      </w:pPr>
      <w:r w:rsidRPr="00330234">
        <w:rPr>
          <w:rFonts w:eastAsia="Symbol"/>
        </w:rPr>
        <w:tab/>
      </w:r>
      <w:r w:rsidR="009B4B8E" w:rsidRPr="00330234">
        <w:t>huiduitslag, jeuk, netelroos, zwelling van de lippen, tong of gezicht</w:t>
      </w:r>
    </w:p>
    <w:p w14:paraId="17AC059F" w14:textId="77777777" w:rsidR="00C0064D" w:rsidRPr="00330234" w:rsidRDefault="00C0064D" w:rsidP="00C0064D"/>
    <w:p w14:paraId="4265F042" w14:textId="2E8DF991" w:rsidR="00436DAA" w:rsidRPr="00330234" w:rsidRDefault="009B4B8E" w:rsidP="00C0064D">
      <w:r w:rsidRPr="00330234">
        <w:t xml:space="preserve">Als u een van deze reacties opmerkt, vertel dit dan </w:t>
      </w:r>
      <w:r w:rsidRPr="00330234">
        <w:rPr>
          <w:b/>
        </w:rPr>
        <w:t xml:space="preserve">direct </w:t>
      </w:r>
      <w:r w:rsidRPr="00330234">
        <w:t>aan uw arts.</w:t>
      </w:r>
    </w:p>
    <w:p w14:paraId="0BC0E30F" w14:textId="77777777" w:rsidR="00C0064D" w:rsidRPr="00330234" w:rsidRDefault="00C0064D" w:rsidP="00BD109B">
      <w:pPr>
        <w:widowControl/>
      </w:pPr>
    </w:p>
    <w:p w14:paraId="5BBEDA1C" w14:textId="77777777" w:rsidR="00436DAA" w:rsidRPr="00B6214F" w:rsidRDefault="009B4B8E" w:rsidP="00B6214F">
      <w:pPr>
        <w:rPr>
          <w:b/>
          <w:bCs/>
        </w:rPr>
      </w:pPr>
      <w:r w:rsidRPr="00B6214F">
        <w:rPr>
          <w:b/>
          <w:bCs/>
        </w:rPr>
        <w:t>Tekenen van ernstige infecties:</w:t>
      </w:r>
    </w:p>
    <w:p w14:paraId="43C23E9C" w14:textId="4318FCAC" w:rsidR="00436DAA" w:rsidRPr="00330234" w:rsidRDefault="005328BF" w:rsidP="00C0064D">
      <w:pPr>
        <w:pStyle w:val="bullet"/>
      </w:pPr>
      <w:r w:rsidRPr="00330234">
        <w:rPr>
          <w:rFonts w:eastAsia="Symbol"/>
        </w:rPr>
        <w:tab/>
      </w:r>
      <w:r w:rsidR="009B4B8E" w:rsidRPr="00330234">
        <w:t>koorts en rillingen</w:t>
      </w:r>
    </w:p>
    <w:p w14:paraId="0DE8C9BB" w14:textId="30A228A7" w:rsidR="00436DAA" w:rsidRPr="00330234" w:rsidRDefault="005328BF" w:rsidP="00C0064D">
      <w:pPr>
        <w:pStyle w:val="bullet"/>
      </w:pPr>
      <w:r w:rsidRPr="00330234">
        <w:rPr>
          <w:rFonts w:eastAsia="Symbol"/>
        </w:rPr>
        <w:tab/>
      </w:r>
      <w:r w:rsidR="009B4B8E" w:rsidRPr="00330234">
        <w:t>blaren in de mond of op de huid</w:t>
      </w:r>
    </w:p>
    <w:p w14:paraId="368FC35B" w14:textId="57FE6429" w:rsidR="00436DAA" w:rsidRPr="00330234" w:rsidRDefault="005328BF" w:rsidP="00C0064D">
      <w:pPr>
        <w:pStyle w:val="bullet"/>
      </w:pPr>
      <w:r w:rsidRPr="00330234">
        <w:rPr>
          <w:rFonts w:eastAsia="Symbol"/>
        </w:rPr>
        <w:tab/>
      </w:r>
      <w:r w:rsidR="009B4B8E" w:rsidRPr="00330234">
        <w:t>buikpijn</w:t>
      </w:r>
    </w:p>
    <w:p w14:paraId="769AAB86" w14:textId="77777777" w:rsidR="00436DAA" w:rsidRPr="00330234" w:rsidRDefault="00436DAA" w:rsidP="00BD109B">
      <w:pPr>
        <w:widowControl/>
      </w:pPr>
    </w:p>
    <w:p w14:paraId="57C2DF19" w14:textId="77777777" w:rsidR="00436DAA" w:rsidRPr="00B6214F" w:rsidRDefault="009B4B8E" w:rsidP="00B6214F">
      <w:pPr>
        <w:rPr>
          <w:b/>
          <w:bCs/>
        </w:rPr>
      </w:pPr>
      <w:r w:rsidRPr="00B6214F">
        <w:rPr>
          <w:b/>
          <w:bCs/>
        </w:rPr>
        <w:t>Tekenen van levertoxiciteit:</w:t>
      </w:r>
    </w:p>
    <w:p w14:paraId="69F5A908" w14:textId="77777777" w:rsidR="00436DAA" w:rsidRPr="00330234" w:rsidRDefault="009B4B8E" w:rsidP="00C0064D">
      <w:pPr>
        <w:keepNext/>
        <w:keepLines/>
        <w:widowControl/>
        <w:rPr>
          <w:i/>
        </w:rPr>
      </w:pPr>
      <w:r w:rsidRPr="00330234">
        <w:rPr>
          <w:i/>
        </w:rPr>
        <w:t>Deze kunnen voorkomen bij minder dan 1 op de 1000 gebruikers</w:t>
      </w:r>
    </w:p>
    <w:p w14:paraId="106287C7" w14:textId="33969FD4" w:rsidR="00436DAA" w:rsidRPr="00330234" w:rsidRDefault="005328BF" w:rsidP="00C0064D">
      <w:pPr>
        <w:pStyle w:val="bullet"/>
        <w:keepNext/>
        <w:keepLines/>
      </w:pPr>
      <w:r w:rsidRPr="00330234">
        <w:rPr>
          <w:rFonts w:eastAsia="Symbol"/>
        </w:rPr>
        <w:tab/>
      </w:r>
      <w:r w:rsidR="009B4B8E" w:rsidRPr="00330234">
        <w:t>vermoeidheid</w:t>
      </w:r>
    </w:p>
    <w:p w14:paraId="2EFF980A" w14:textId="347E6334" w:rsidR="00436DAA" w:rsidRPr="00330234" w:rsidRDefault="005328BF" w:rsidP="00C0064D">
      <w:pPr>
        <w:pStyle w:val="bullet"/>
      </w:pPr>
      <w:r w:rsidRPr="00330234">
        <w:rPr>
          <w:rFonts w:eastAsia="Symbol"/>
        </w:rPr>
        <w:tab/>
      </w:r>
      <w:r w:rsidR="009B4B8E" w:rsidRPr="00330234">
        <w:t>buikpijn</w:t>
      </w:r>
    </w:p>
    <w:p w14:paraId="1E787AB2" w14:textId="6FB09DE6" w:rsidR="00436DAA" w:rsidRPr="00330234" w:rsidRDefault="005328BF" w:rsidP="00C0064D">
      <w:pPr>
        <w:pStyle w:val="bullet"/>
      </w:pPr>
      <w:r w:rsidRPr="00330234">
        <w:rPr>
          <w:rFonts w:eastAsia="Symbol"/>
        </w:rPr>
        <w:tab/>
      </w:r>
      <w:r w:rsidR="009B4B8E" w:rsidRPr="00330234">
        <w:t>geelzucht (gele verkleuring van de huid of ogen)</w:t>
      </w:r>
    </w:p>
    <w:p w14:paraId="5DEF1A58" w14:textId="77777777" w:rsidR="00C0064D" w:rsidRPr="00330234" w:rsidRDefault="00C0064D" w:rsidP="00BD109B">
      <w:pPr>
        <w:widowControl/>
      </w:pPr>
    </w:p>
    <w:p w14:paraId="0F07C7F2" w14:textId="22E59E1A" w:rsidR="00436DAA" w:rsidRPr="00330234" w:rsidRDefault="009B4B8E" w:rsidP="00BD109B">
      <w:pPr>
        <w:widowControl/>
      </w:pPr>
      <w:r w:rsidRPr="00330234">
        <w:t xml:space="preserve">Als u een van deze reacties opmerkt, vertel dit dan </w:t>
      </w:r>
      <w:r w:rsidRPr="00330234">
        <w:rPr>
          <w:b/>
        </w:rPr>
        <w:t xml:space="preserve">zo snel mogelijk </w:t>
      </w:r>
      <w:r w:rsidRPr="00330234">
        <w:t>aan uw arts.</w:t>
      </w:r>
    </w:p>
    <w:p w14:paraId="388E5B1E" w14:textId="77777777" w:rsidR="00436DAA" w:rsidRPr="00330234" w:rsidRDefault="00436DAA" w:rsidP="00BD109B">
      <w:pPr>
        <w:pStyle w:val="a3"/>
        <w:widowControl/>
        <w:ind w:left="0"/>
      </w:pPr>
    </w:p>
    <w:p w14:paraId="484A5D52" w14:textId="77777777" w:rsidR="00436DAA" w:rsidRPr="00B6214F" w:rsidRDefault="009B4B8E" w:rsidP="00B6214F">
      <w:pPr>
        <w:rPr>
          <w:b/>
          <w:bCs/>
        </w:rPr>
      </w:pPr>
      <w:r w:rsidRPr="00B6214F">
        <w:rPr>
          <w:b/>
          <w:bCs/>
        </w:rPr>
        <w:t>Zeer vaak voorkomende bijwerkingen:</w:t>
      </w:r>
    </w:p>
    <w:p w14:paraId="67EB014E" w14:textId="77777777" w:rsidR="00436DAA" w:rsidRPr="00330234" w:rsidRDefault="009B4B8E" w:rsidP="00BD109B">
      <w:pPr>
        <w:widowControl/>
        <w:rPr>
          <w:i/>
        </w:rPr>
      </w:pPr>
      <w:r w:rsidRPr="00330234">
        <w:rPr>
          <w:i/>
        </w:rPr>
        <w:t>Deze kunnen voorkomen bij meer dan 1 op de 10 gebruikers</w:t>
      </w:r>
    </w:p>
    <w:p w14:paraId="3D9E0A77" w14:textId="5769BDCF" w:rsidR="00436DAA" w:rsidRPr="00330234" w:rsidRDefault="005328BF" w:rsidP="00C0064D">
      <w:pPr>
        <w:pStyle w:val="bullet"/>
      </w:pPr>
      <w:r w:rsidRPr="00330234">
        <w:rPr>
          <w:rFonts w:eastAsia="Symbol"/>
        </w:rPr>
        <w:tab/>
      </w:r>
      <w:r w:rsidR="009B4B8E" w:rsidRPr="00330234">
        <w:t>infecties van de bovenste luchtwegen, met typische symptomen zoals hoesten, verstopte neus, loopneus, keelpijn en hoofdpijn</w:t>
      </w:r>
    </w:p>
    <w:p w14:paraId="73045E1B" w14:textId="0EA3A5F1" w:rsidR="00436DAA" w:rsidRPr="00330234" w:rsidRDefault="005328BF" w:rsidP="00C0064D">
      <w:pPr>
        <w:pStyle w:val="bullet"/>
      </w:pPr>
      <w:r w:rsidRPr="00330234">
        <w:rPr>
          <w:rFonts w:eastAsia="Symbol"/>
        </w:rPr>
        <w:tab/>
      </w:r>
      <w:r w:rsidR="009B4B8E" w:rsidRPr="00330234">
        <w:t>hoog vetgehalte (cholesterol) in het bloed</w:t>
      </w:r>
    </w:p>
    <w:p w14:paraId="099B1AB6" w14:textId="3721BCB5" w:rsidR="00436DAA" w:rsidRPr="00330234" w:rsidRDefault="005328BF" w:rsidP="00C0064D">
      <w:pPr>
        <w:pStyle w:val="bullet"/>
      </w:pPr>
      <w:r w:rsidRPr="00330234">
        <w:rPr>
          <w:rFonts w:eastAsia="Symbol"/>
        </w:rPr>
        <w:tab/>
      </w:r>
      <w:r w:rsidR="009B4B8E" w:rsidRPr="00330234">
        <w:t>reacties op de injectieplaats</w:t>
      </w:r>
    </w:p>
    <w:p w14:paraId="7F6E5426" w14:textId="77777777" w:rsidR="00C0064D" w:rsidRPr="00330234" w:rsidRDefault="00C0064D" w:rsidP="00BD109B">
      <w:pPr>
        <w:widowControl/>
      </w:pPr>
    </w:p>
    <w:p w14:paraId="1E5C76FC" w14:textId="77777777" w:rsidR="00436DAA" w:rsidRPr="00B6214F" w:rsidRDefault="009B4B8E" w:rsidP="00B6214F">
      <w:pPr>
        <w:rPr>
          <w:b/>
          <w:bCs/>
        </w:rPr>
      </w:pPr>
      <w:r w:rsidRPr="00B6214F">
        <w:rPr>
          <w:b/>
          <w:bCs/>
        </w:rPr>
        <w:t>Vaak voorkomende bijwerkingen:</w:t>
      </w:r>
    </w:p>
    <w:p w14:paraId="5C4D643B" w14:textId="77777777" w:rsidR="00436DAA" w:rsidRPr="00330234" w:rsidRDefault="009B4B8E" w:rsidP="00BD109B">
      <w:pPr>
        <w:widowControl/>
        <w:rPr>
          <w:i/>
        </w:rPr>
      </w:pPr>
      <w:r w:rsidRPr="00330234">
        <w:rPr>
          <w:i/>
        </w:rPr>
        <w:t>Deze kunnen voorkomen bij minder dan 1 op de 10 gebruikers</w:t>
      </w:r>
    </w:p>
    <w:p w14:paraId="200B1E9A" w14:textId="23306A9B" w:rsidR="00436DAA" w:rsidRPr="00330234" w:rsidRDefault="005328BF" w:rsidP="00C0064D">
      <w:pPr>
        <w:pStyle w:val="bullet"/>
      </w:pPr>
      <w:r w:rsidRPr="00330234">
        <w:rPr>
          <w:rFonts w:eastAsia="Symbol"/>
        </w:rPr>
        <w:tab/>
      </w:r>
      <w:r w:rsidR="009B4B8E" w:rsidRPr="00330234">
        <w:t>longinfectie (pneumonie)</w:t>
      </w:r>
    </w:p>
    <w:p w14:paraId="65A1B463" w14:textId="42F2F4F3" w:rsidR="00436DAA" w:rsidRPr="00330234" w:rsidRDefault="009B4B8E" w:rsidP="00C0064D">
      <w:pPr>
        <w:pStyle w:val="bullet"/>
      </w:pPr>
      <w:r w:rsidRPr="00330234">
        <w:t>gordelroos (herpes zoster)</w:t>
      </w:r>
    </w:p>
    <w:p w14:paraId="07922DE2" w14:textId="7DABDE39" w:rsidR="00436DAA" w:rsidRPr="00330234" w:rsidRDefault="005328BF" w:rsidP="00C0064D">
      <w:pPr>
        <w:pStyle w:val="bullet"/>
      </w:pPr>
      <w:r w:rsidRPr="00330234">
        <w:rPr>
          <w:rFonts w:eastAsia="Symbol"/>
        </w:rPr>
        <w:tab/>
      </w:r>
      <w:r w:rsidR="009B4B8E" w:rsidRPr="00330234">
        <w:t>koortsblaasjes (orale herpes simplex), blaren</w:t>
      </w:r>
    </w:p>
    <w:p w14:paraId="0DF6EA81" w14:textId="457929A4" w:rsidR="00436DAA" w:rsidRPr="00330234" w:rsidRDefault="005328BF" w:rsidP="00C0064D">
      <w:pPr>
        <w:pStyle w:val="bullet"/>
      </w:pPr>
      <w:r w:rsidRPr="00330234">
        <w:rPr>
          <w:rFonts w:eastAsia="Symbol"/>
        </w:rPr>
        <w:tab/>
      </w:r>
      <w:r w:rsidR="009B4B8E" w:rsidRPr="00330234">
        <w:t>huidinfectie (cellulitis), soms met koorts en rillingen</w:t>
      </w:r>
    </w:p>
    <w:p w14:paraId="548F2191" w14:textId="543F5903" w:rsidR="00436DAA" w:rsidRPr="00330234" w:rsidRDefault="005328BF" w:rsidP="00C0064D">
      <w:pPr>
        <w:pStyle w:val="bullet"/>
      </w:pPr>
      <w:r w:rsidRPr="00330234">
        <w:rPr>
          <w:rFonts w:eastAsia="Symbol"/>
        </w:rPr>
        <w:tab/>
      </w:r>
      <w:r w:rsidR="009B4B8E" w:rsidRPr="00330234">
        <w:t>huiduitslag en jeuk, netelroos</w:t>
      </w:r>
    </w:p>
    <w:p w14:paraId="12079530" w14:textId="1D46992A" w:rsidR="00436DAA" w:rsidRPr="00330234" w:rsidRDefault="005328BF" w:rsidP="00C0064D">
      <w:pPr>
        <w:pStyle w:val="bullet"/>
      </w:pPr>
      <w:r w:rsidRPr="00330234">
        <w:rPr>
          <w:rFonts w:eastAsia="Symbol"/>
        </w:rPr>
        <w:tab/>
      </w:r>
      <w:r w:rsidR="009B4B8E" w:rsidRPr="00330234">
        <w:t>allergische (overgevoeligheids)reacties</w:t>
      </w:r>
    </w:p>
    <w:p w14:paraId="47F3204A" w14:textId="386EA844" w:rsidR="00436DAA" w:rsidRPr="00330234" w:rsidRDefault="005328BF" w:rsidP="00C0064D">
      <w:pPr>
        <w:pStyle w:val="bullet"/>
      </w:pPr>
      <w:r w:rsidRPr="00330234">
        <w:rPr>
          <w:rFonts w:eastAsia="Symbol"/>
        </w:rPr>
        <w:tab/>
      </w:r>
      <w:r w:rsidR="009B4B8E" w:rsidRPr="00330234">
        <w:t>ooginfectie (conjunctivitis)</w:t>
      </w:r>
    </w:p>
    <w:p w14:paraId="552A8628" w14:textId="083A018A" w:rsidR="00436DAA" w:rsidRPr="00330234" w:rsidRDefault="005328BF" w:rsidP="00C0064D">
      <w:pPr>
        <w:pStyle w:val="bullet"/>
      </w:pPr>
      <w:r w:rsidRPr="00330234">
        <w:rPr>
          <w:rFonts w:eastAsia="Symbol"/>
        </w:rPr>
        <w:tab/>
      </w:r>
      <w:r w:rsidR="009B4B8E" w:rsidRPr="00330234">
        <w:t>hoofdpijn, duizeligheid, hoge bloeddruk</w:t>
      </w:r>
    </w:p>
    <w:p w14:paraId="5B698D1D" w14:textId="3459AD87" w:rsidR="00436DAA" w:rsidRPr="00330234" w:rsidRDefault="005328BF" w:rsidP="00C0064D">
      <w:pPr>
        <w:pStyle w:val="bullet"/>
      </w:pPr>
      <w:r w:rsidRPr="00330234">
        <w:rPr>
          <w:rFonts w:eastAsia="Symbol"/>
        </w:rPr>
        <w:tab/>
      </w:r>
      <w:r w:rsidR="009B4B8E" w:rsidRPr="00330234">
        <w:t>zweren in de mond, maagpijn</w:t>
      </w:r>
    </w:p>
    <w:p w14:paraId="7B57708A" w14:textId="6F62D5D4" w:rsidR="00436DAA" w:rsidRPr="00330234" w:rsidRDefault="005328BF" w:rsidP="00C0064D">
      <w:pPr>
        <w:pStyle w:val="bullet"/>
      </w:pPr>
      <w:r w:rsidRPr="00330234">
        <w:rPr>
          <w:rFonts w:eastAsia="Symbol"/>
        </w:rPr>
        <w:tab/>
      </w:r>
      <w:r w:rsidR="009B4B8E" w:rsidRPr="00330234">
        <w:t>het vasthouden van vocht (oedeem) in de onderbenen, gewichtstoename</w:t>
      </w:r>
    </w:p>
    <w:p w14:paraId="64856A9F" w14:textId="3DB2124A" w:rsidR="00436DAA" w:rsidRPr="00330234" w:rsidRDefault="005328BF" w:rsidP="00C0064D">
      <w:pPr>
        <w:pStyle w:val="bullet"/>
      </w:pPr>
      <w:r w:rsidRPr="00330234">
        <w:rPr>
          <w:rFonts w:eastAsia="Symbol"/>
        </w:rPr>
        <w:tab/>
      </w:r>
      <w:r w:rsidR="009B4B8E" w:rsidRPr="00330234">
        <w:t>hoesten, kortademigheid</w:t>
      </w:r>
    </w:p>
    <w:p w14:paraId="6D5845C7" w14:textId="7374667D" w:rsidR="00436DAA" w:rsidRPr="00330234" w:rsidRDefault="005328BF" w:rsidP="00C0064D">
      <w:pPr>
        <w:pStyle w:val="bullet"/>
      </w:pPr>
      <w:r w:rsidRPr="00330234">
        <w:rPr>
          <w:rFonts w:eastAsia="Symbol"/>
        </w:rPr>
        <w:tab/>
      </w:r>
      <w:r w:rsidR="009B4B8E" w:rsidRPr="00330234">
        <w:t>verlaagd aantal witte bloedcellen, vastgesteld bij bloedonderzoek (neutropenie, leukopenie)</w:t>
      </w:r>
    </w:p>
    <w:p w14:paraId="6E79D256" w14:textId="538CBFCC" w:rsidR="00436DAA" w:rsidRPr="00330234" w:rsidRDefault="005328BF" w:rsidP="00C0064D">
      <w:pPr>
        <w:pStyle w:val="bullet"/>
      </w:pPr>
      <w:r w:rsidRPr="00330234">
        <w:rPr>
          <w:rFonts w:eastAsia="Symbol"/>
        </w:rPr>
        <w:tab/>
      </w:r>
      <w:r w:rsidR="009B4B8E" w:rsidRPr="00330234">
        <w:t>afwijkende leverfunctietesten (verhoogde transaminasen)</w:t>
      </w:r>
    </w:p>
    <w:p w14:paraId="52870E93" w14:textId="59A6CEA6" w:rsidR="00436DAA" w:rsidRPr="00330234" w:rsidRDefault="005328BF" w:rsidP="00C0064D">
      <w:pPr>
        <w:pStyle w:val="bullet"/>
      </w:pPr>
      <w:r w:rsidRPr="00330234">
        <w:rPr>
          <w:rFonts w:eastAsia="Symbol"/>
        </w:rPr>
        <w:tab/>
      </w:r>
      <w:r w:rsidR="009B4B8E" w:rsidRPr="00330234">
        <w:t>verhoogd bilirubine, vastgesteld bij bloedonderzoek</w:t>
      </w:r>
    </w:p>
    <w:p w14:paraId="2246F572" w14:textId="6F529277" w:rsidR="00436DAA" w:rsidRPr="00330234" w:rsidRDefault="005328BF" w:rsidP="00C0064D">
      <w:pPr>
        <w:pStyle w:val="bullet"/>
      </w:pPr>
      <w:r w:rsidRPr="00330234">
        <w:rPr>
          <w:rFonts w:eastAsia="Symbol"/>
        </w:rPr>
        <w:tab/>
      </w:r>
      <w:r w:rsidR="009B4B8E" w:rsidRPr="00330234">
        <w:t>verlaagde hoeveelheid fibrinogeen (een eiwit dat bij de bloedstolling betrokken is) in het bloed</w:t>
      </w:r>
    </w:p>
    <w:p w14:paraId="66774A92" w14:textId="77777777" w:rsidR="00C0064D" w:rsidRPr="00330234" w:rsidRDefault="00C0064D" w:rsidP="00BD109B">
      <w:pPr>
        <w:widowControl/>
      </w:pPr>
    </w:p>
    <w:p w14:paraId="1742DA4D" w14:textId="77777777" w:rsidR="00436DAA" w:rsidRPr="00B6214F" w:rsidRDefault="009B4B8E" w:rsidP="00B6214F">
      <w:pPr>
        <w:rPr>
          <w:b/>
          <w:bCs/>
        </w:rPr>
      </w:pPr>
      <w:r w:rsidRPr="00B6214F">
        <w:rPr>
          <w:b/>
          <w:bCs/>
        </w:rPr>
        <w:t>Soms voorkomende bijwerkingen:</w:t>
      </w:r>
    </w:p>
    <w:p w14:paraId="7ABD852D" w14:textId="77777777" w:rsidR="00436DAA" w:rsidRPr="00330234" w:rsidRDefault="009B4B8E" w:rsidP="00BD109B">
      <w:pPr>
        <w:widowControl/>
        <w:rPr>
          <w:i/>
        </w:rPr>
      </w:pPr>
      <w:r w:rsidRPr="00330234">
        <w:rPr>
          <w:i/>
        </w:rPr>
        <w:t>Deze kunnen voorkomen bij minder dan 1 op de 100 gebruikers</w:t>
      </w:r>
    </w:p>
    <w:p w14:paraId="53AAFAF2" w14:textId="151864FF" w:rsidR="00436DAA" w:rsidRPr="00330234" w:rsidRDefault="005328BF" w:rsidP="00C0064D">
      <w:pPr>
        <w:pStyle w:val="bullet"/>
      </w:pPr>
      <w:r w:rsidRPr="00330234">
        <w:rPr>
          <w:rFonts w:eastAsia="Symbol"/>
        </w:rPr>
        <w:tab/>
      </w:r>
      <w:r w:rsidR="009B4B8E" w:rsidRPr="00330234">
        <w:t>infectie van de darmuitstulpingen (diverticulitis; koorts, misselijkheid, diarree, verstopping (obstipatie), buikpijn)</w:t>
      </w:r>
    </w:p>
    <w:p w14:paraId="6169E975" w14:textId="63E75244" w:rsidR="00436DAA" w:rsidRPr="00330234" w:rsidRDefault="005328BF" w:rsidP="00C0064D">
      <w:pPr>
        <w:pStyle w:val="bullet"/>
      </w:pPr>
      <w:r w:rsidRPr="00330234">
        <w:rPr>
          <w:rFonts w:eastAsia="Symbol"/>
        </w:rPr>
        <w:tab/>
      </w:r>
      <w:r w:rsidR="009B4B8E" w:rsidRPr="00330234">
        <w:t>rode opgezwollen plekken in de mond</w:t>
      </w:r>
    </w:p>
    <w:p w14:paraId="372E1BA6" w14:textId="3C4BED6B" w:rsidR="00436DAA" w:rsidRPr="00330234" w:rsidRDefault="005328BF" w:rsidP="00C0064D">
      <w:pPr>
        <w:pStyle w:val="bullet"/>
      </w:pPr>
      <w:r w:rsidRPr="00330234">
        <w:rPr>
          <w:rFonts w:eastAsia="Symbol"/>
        </w:rPr>
        <w:tab/>
      </w:r>
      <w:r w:rsidR="009B4B8E" w:rsidRPr="00330234">
        <w:t>hoog vetgehalte in het bloed (triglyceridespiegels)</w:t>
      </w:r>
    </w:p>
    <w:p w14:paraId="7EE78997" w14:textId="47DFFF3B" w:rsidR="00436DAA" w:rsidRPr="00330234" w:rsidRDefault="005328BF" w:rsidP="00C0064D">
      <w:pPr>
        <w:pStyle w:val="bullet"/>
      </w:pPr>
      <w:r w:rsidRPr="00330234">
        <w:rPr>
          <w:rFonts w:eastAsia="Symbol"/>
        </w:rPr>
        <w:tab/>
      </w:r>
      <w:r w:rsidR="009B4B8E" w:rsidRPr="00330234">
        <w:t>maagzweer</w:t>
      </w:r>
    </w:p>
    <w:p w14:paraId="13966157" w14:textId="774F60B5" w:rsidR="00436DAA" w:rsidRPr="00330234" w:rsidRDefault="005328BF" w:rsidP="00C0064D">
      <w:pPr>
        <w:pStyle w:val="bullet"/>
      </w:pPr>
      <w:r w:rsidRPr="00330234">
        <w:rPr>
          <w:rFonts w:eastAsia="Symbol"/>
        </w:rPr>
        <w:tab/>
      </w:r>
      <w:r w:rsidR="009B4B8E" w:rsidRPr="00330234">
        <w:t>nierstenen</w:t>
      </w:r>
    </w:p>
    <w:p w14:paraId="0B210746" w14:textId="3B3DFDA2" w:rsidR="00436DAA" w:rsidRPr="00330234" w:rsidRDefault="005328BF" w:rsidP="00C0064D">
      <w:pPr>
        <w:pStyle w:val="bullet"/>
      </w:pPr>
      <w:r w:rsidRPr="00330234">
        <w:rPr>
          <w:rFonts w:eastAsia="Symbol"/>
        </w:rPr>
        <w:tab/>
      </w:r>
      <w:r w:rsidR="009B4B8E" w:rsidRPr="00330234">
        <w:t>traagwerkende schildklier</w:t>
      </w:r>
    </w:p>
    <w:p w14:paraId="0D20B28B" w14:textId="77777777" w:rsidR="00436DAA" w:rsidRPr="00330234" w:rsidRDefault="00436DAA" w:rsidP="00BD109B">
      <w:pPr>
        <w:pStyle w:val="a3"/>
        <w:widowControl/>
        <w:ind w:left="0"/>
      </w:pPr>
    </w:p>
    <w:p w14:paraId="3A6E351F" w14:textId="77777777" w:rsidR="00436DAA" w:rsidRPr="00330234" w:rsidRDefault="009B4B8E" w:rsidP="00B6214F">
      <w:r w:rsidRPr="00B6214F">
        <w:rPr>
          <w:b/>
          <w:bCs/>
        </w:rPr>
        <w:t>Zelden voorkomende bijwerkingen:</w:t>
      </w:r>
    </w:p>
    <w:p w14:paraId="30F8A9B3" w14:textId="77777777" w:rsidR="00436DAA" w:rsidRPr="00330234" w:rsidRDefault="009B4B8E" w:rsidP="00BD109B">
      <w:pPr>
        <w:widowControl/>
        <w:rPr>
          <w:i/>
        </w:rPr>
      </w:pPr>
      <w:r w:rsidRPr="00330234">
        <w:rPr>
          <w:i/>
        </w:rPr>
        <w:t>Deze kunnen voorkomen bij minder dan 1 op de 1.000 gebruikers</w:t>
      </w:r>
    </w:p>
    <w:p w14:paraId="4E92FDC9" w14:textId="22F6048B" w:rsidR="00436DAA" w:rsidRPr="00330234" w:rsidRDefault="005328BF" w:rsidP="00C0064D">
      <w:pPr>
        <w:pStyle w:val="bullet"/>
      </w:pPr>
      <w:r w:rsidRPr="00330234">
        <w:rPr>
          <w:rFonts w:eastAsia="Symbol"/>
        </w:rPr>
        <w:tab/>
      </w:r>
      <w:r w:rsidR="009B4B8E" w:rsidRPr="00330234">
        <w:t>stevens-johnsonsyndroom (huiduitslag, wat kan leiden tot ernstige blaarvorming en vervelling van de huid)</w:t>
      </w:r>
    </w:p>
    <w:p w14:paraId="781EE5FA" w14:textId="531914C6" w:rsidR="00436DAA" w:rsidRPr="00330234" w:rsidRDefault="005328BF" w:rsidP="00C0064D">
      <w:pPr>
        <w:pStyle w:val="bullet"/>
      </w:pPr>
      <w:r w:rsidRPr="00330234">
        <w:rPr>
          <w:rFonts w:eastAsia="Symbol"/>
        </w:rPr>
        <w:tab/>
      </w:r>
      <w:r w:rsidR="009B4B8E" w:rsidRPr="00330234">
        <w:t>fatale anafylaxie (fatale heftige reactie door uw lichaam door een erge allergie)</w:t>
      </w:r>
    </w:p>
    <w:p w14:paraId="54699F7B" w14:textId="043EC653" w:rsidR="00436DAA" w:rsidRPr="00330234" w:rsidRDefault="005328BF" w:rsidP="00C0064D">
      <w:pPr>
        <w:pStyle w:val="bullet"/>
      </w:pPr>
      <w:r w:rsidRPr="00330234">
        <w:rPr>
          <w:rFonts w:eastAsia="Symbol"/>
        </w:rPr>
        <w:tab/>
      </w:r>
      <w:r w:rsidR="009B4B8E" w:rsidRPr="00330234">
        <w:t>leverontsteking (hepatitis), geelzucht</w:t>
      </w:r>
    </w:p>
    <w:p w14:paraId="73180EAB" w14:textId="77777777" w:rsidR="00436DAA" w:rsidRPr="00330234" w:rsidRDefault="00436DAA" w:rsidP="00BD109B">
      <w:pPr>
        <w:pStyle w:val="a3"/>
        <w:widowControl/>
        <w:ind w:left="0"/>
      </w:pPr>
    </w:p>
    <w:p w14:paraId="7CF79FEB" w14:textId="77777777" w:rsidR="00436DAA" w:rsidRPr="00B6214F" w:rsidRDefault="009B4B8E" w:rsidP="00B6214F">
      <w:pPr>
        <w:rPr>
          <w:b/>
          <w:bCs/>
        </w:rPr>
      </w:pPr>
      <w:r w:rsidRPr="00B6214F">
        <w:rPr>
          <w:b/>
          <w:bCs/>
        </w:rPr>
        <w:t>Zeer zelden voorkomende bijwerkingen:</w:t>
      </w:r>
    </w:p>
    <w:p w14:paraId="42BEE67E" w14:textId="77777777" w:rsidR="00436DAA" w:rsidRPr="00330234" w:rsidRDefault="009B4B8E" w:rsidP="00BD109B">
      <w:pPr>
        <w:widowControl/>
        <w:rPr>
          <w:i/>
        </w:rPr>
      </w:pPr>
      <w:r w:rsidRPr="00330234">
        <w:rPr>
          <w:i/>
        </w:rPr>
        <w:t>Deze kunnen voorkomen bij minder dan 1 op de 10.000 gebruikers</w:t>
      </w:r>
    </w:p>
    <w:p w14:paraId="309D4DCF" w14:textId="1A56EFCE" w:rsidR="00436DAA" w:rsidRPr="00330234" w:rsidRDefault="005328BF" w:rsidP="00C0064D">
      <w:pPr>
        <w:pStyle w:val="bullet"/>
      </w:pPr>
      <w:r w:rsidRPr="00330234">
        <w:rPr>
          <w:rFonts w:eastAsia="Symbol"/>
        </w:rPr>
        <w:tab/>
      </w:r>
      <w:r w:rsidR="009B4B8E" w:rsidRPr="00330234">
        <w:t>verlaagde waarden van witte bloedcellen, rode bloedcellen en bloedplaatjes bij bloedonderzoek</w:t>
      </w:r>
    </w:p>
    <w:p w14:paraId="3D366C05" w14:textId="143A7247" w:rsidR="00436DAA" w:rsidRPr="00330234" w:rsidRDefault="005328BF" w:rsidP="00C0064D">
      <w:pPr>
        <w:pStyle w:val="bullet"/>
      </w:pPr>
      <w:r w:rsidRPr="00330234">
        <w:rPr>
          <w:rFonts w:eastAsia="Symbol"/>
        </w:rPr>
        <w:tab/>
      </w:r>
      <w:r w:rsidR="009B4B8E" w:rsidRPr="00330234">
        <w:t>leverfalen</w:t>
      </w:r>
    </w:p>
    <w:p w14:paraId="6BDADF05" w14:textId="77777777" w:rsidR="00436DAA" w:rsidRPr="00330234" w:rsidRDefault="00436DAA" w:rsidP="00BD109B">
      <w:pPr>
        <w:pStyle w:val="a3"/>
        <w:widowControl/>
        <w:ind w:left="0"/>
      </w:pPr>
    </w:p>
    <w:p w14:paraId="46AAAF8A" w14:textId="77777777" w:rsidR="00436DAA" w:rsidRPr="00B6214F" w:rsidRDefault="009B4B8E" w:rsidP="00B6214F">
      <w:pPr>
        <w:rPr>
          <w:b/>
          <w:bCs/>
        </w:rPr>
      </w:pPr>
      <w:r w:rsidRPr="00B6214F">
        <w:rPr>
          <w:b/>
          <w:bCs/>
        </w:rPr>
        <w:t>Bijwerkingen bij kinderen en jongeren met sJIA of pJIA</w:t>
      </w:r>
    </w:p>
    <w:p w14:paraId="1D1D0A31" w14:textId="77777777" w:rsidR="00436DAA" w:rsidRPr="00330234" w:rsidRDefault="009B4B8E" w:rsidP="00BD109B">
      <w:pPr>
        <w:pStyle w:val="a3"/>
        <w:widowControl/>
        <w:ind w:left="0"/>
      </w:pPr>
      <w:r w:rsidRPr="00330234">
        <w:t>Over het algemeen zijn de bijwerkingen bij kinderen en jongeren met sJIA of pJIA vergelijkbaar met de bijwerkingen bij volwassenen. Sommige bijwerkingen worden vaker gezien bij kinderen en jongeren: ontsteking van de neus en keel, hoofdpijn, misselijkheid en een lager aantal witte bloedcellen.</w:t>
      </w:r>
    </w:p>
    <w:p w14:paraId="7E1CB118" w14:textId="77777777" w:rsidR="00436DAA" w:rsidRPr="00330234" w:rsidRDefault="00436DAA" w:rsidP="00BD109B">
      <w:pPr>
        <w:pStyle w:val="a3"/>
        <w:widowControl/>
        <w:ind w:left="0"/>
      </w:pPr>
    </w:p>
    <w:p w14:paraId="2DC2E7DF" w14:textId="77777777" w:rsidR="00436DAA" w:rsidRPr="00B6214F" w:rsidRDefault="009B4B8E" w:rsidP="00B6214F">
      <w:pPr>
        <w:rPr>
          <w:b/>
          <w:bCs/>
        </w:rPr>
      </w:pPr>
      <w:r w:rsidRPr="00B6214F">
        <w:rPr>
          <w:b/>
          <w:bCs/>
        </w:rPr>
        <w:t>Het melden van bijwerkingen</w:t>
      </w:r>
    </w:p>
    <w:p w14:paraId="29461D1F" w14:textId="1CDBCF02" w:rsidR="00436DAA" w:rsidRPr="00330234" w:rsidRDefault="009B4B8E" w:rsidP="00BD109B">
      <w:pPr>
        <w:pStyle w:val="a3"/>
        <w:widowControl/>
        <w:ind w:left="0"/>
      </w:pPr>
      <w:r w:rsidRPr="00330234">
        <w:t xml:space="preserve">Krijgt u last van bijwerkingen, neem dan contact op met uw arts, apotheker of verpleegkundige. Dit geldt ook voor mogelijke bijwerkingen die niet in deze bijsluiter staan. U kunt bijwerkingen ook rechtstreeks melden via </w:t>
      </w:r>
      <w:r w:rsidRPr="00330234">
        <w:rPr>
          <w:color w:val="000000"/>
          <w:shd w:val="pct35" w:color="auto" w:fill="auto"/>
        </w:rPr>
        <w:t xml:space="preserve">het nationale meldsysteem zoals vermeld in </w:t>
      </w:r>
      <w:hyperlink r:id="rId41">
        <w:r w:rsidRPr="00330234">
          <w:rPr>
            <w:color w:val="0000FF"/>
            <w:u w:val="single" w:color="0000FF"/>
            <w:shd w:val="pct35" w:color="auto" w:fill="auto"/>
          </w:rPr>
          <w:t>aanhangsel V</w:t>
        </w:r>
        <w:r w:rsidR="005B3219" w:rsidRPr="00330234">
          <w:rPr>
            <w:color w:val="000000"/>
          </w:rPr>
          <w:t>.</w:t>
        </w:r>
      </w:hyperlink>
      <w:r w:rsidR="00C0064D" w:rsidRPr="00330234">
        <w:t xml:space="preserve"> </w:t>
      </w:r>
      <w:r w:rsidRPr="00330234">
        <w:rPr>
          <w:color w:val="000000"/>
        </w:rPr>
        <w:t>Door bijwerkingen te melden, kunt u ons helpen meer informatie te verkrijgen over de veiligheid van dit geneesmiddel.</w:t>
      </w:r>
    </w:p>
    <w:p w14:paraId="01D7F034" w14:textId="77777777" w:rsidR="00436DAA" w:rsidRPr="00330234" w:rsidRDefault="00436DAA" w:rsidP="00BD109B">
      <w:pPr>
        <w:pStyle w:val="a3"/>
        <w:widowControl/>
        <w:ind w:left="0"/>
      </w:pPr>
    </w:p>
    <w:p w14:paraId="5426A85F" w14:textId="77777777" w:rsidR="00436DAA" w:rsidRPr="00330234" w:rsidRDefault="00436DAA" w:rsidP="00BD109B">
      <w:pPr>
        <w:pStyle w:val="a3"/>
        <w:widowControl/>
        <w:ind w:left="0"/>
      </w:pPr>
    </w:p>
    <w:p w14:paraId="6A16282B" w14:textId="6A6BB79E" w:rsidR="00436DAA" w:rsidRPr="00330234" w:rsidRDefault="005328BF" w:rsidP="00BD109B">
      <w:pPr>
        <w:pStyle w:val="2"/>
      </w:pPr>
      <w:r w:rsidRPr="00330234">
        <w:t>5.</w:t>
      </w:r>
      <w:r w:rsidRPr="00330234">
        <w:tab/>
      </w:r>
      <w:r w:rsidR="009B4B8E" w:rsidRPr="00330234">
        <w:t>Hoe bewaart u dit middel?</w:t>
      </w:r>
    </w:p>
    <w:p w14:paraId="12E33272" w14:textId="77777777" w:rsidR="00C0064D" w:rsidRPr="00330234" w:rsidRDefault="00C0064D" w:rsidP="00BD109B">
      <w:pPr>
        <w:pStyle w:val="a3"/>
        <w:widowControl/>
        <w:ind w:left="0"/>
      </w:pPr>
    </w:p>
    <w:p w14:paraId="6F0FDA6D" w14:textId="447335C9" w:rsidR="00436DAA" w:rsidRPr="00330234" w:rsidRDefault="009B4B8E" w:rsidP="00BD109B">
      <w:pPr>
        <w:pStyle w:val="a3"/>
        <w:widowControl/>
        <w:ind w:left="0"/>
      </w:pPr>
      <w:r w:rsidRPr="00330234">
        <w:t>Buiten het zicht en bereik van kinderen houden.</w:t>
      </w:r>
    </w:p>
    <w:p w14:paraId="4E3B7B83" w14:textId="77777777" w:rsidR="00436DAA" w:rsidRPr="00330234" w:rsidRDefault="00436DAA" w:rsidP="00BD109B">
      <w:pPr>
        <w:pStyle w:val="a3"/>
        <w:widowControl/>
        <w:ind w:left="0"/>
      </w:pPr>
    </w:p>
    <w:p w14:paraId="5AFE2A6D" w14:textId="77777777" w:rsidR="00436DAA" w:rsidRPr="00330234" w:rsidRDefault="009B4B8E" w:rsidP="00BD109B">
      <w:pPr>
        <w:pStyle w:val="a3"/>
        <w:widowControl/>
        <w:ind w:left="0"/>
      </w:pPr>
      <w:r w:rsidRPr="00330234">
        <w:t>Gebruik dit geneesmiddel niet meer na de uiterste houdbaarheidsdatum. Die vindt u op het etiket van de voorgevulde pen en de verpakking na EXP. Daar staat een maand en een jaar. De laatste dag van die maand is de uiterste houdbaarheidsdatum.</w:t>
      </w:r>
    </w:p>
    <w:p w14:paraId="63AE8FA2" w14:textId="77777777" w:rsidR="00436DAA" w:rsidRPr="00330234" w:rsidRDefault="00436DAA" w:rsidP="00BD109B">
      <w:pPr>
        <w:pStyle w:val="a3"/>
        <w:widowControl/>
        <w:ind w:left="0"/>
      </w:pPr>
    </w:p>
    <w:p w14:paraId="3AC9133E" w14:textId="18195486" w:rsidR="00436DAA" w:rsidRPr="00330234" w:rsidRDefault="009B4B8E" w:rsidP="00BD109B">
      <w:pPr>
        <w:pStyle w:val="a3"/>
        <w:widowControl/>
        <w:ind w:left="0"/>
      </w:pPr>
      <w:r w:rsidRPr="00330234">
        <w:t xml:space="preserve">Bewaren in de koelkast (2°C–8°C). Niet invriezen. Eenmaal uit de koelkast gehaald, kan de voorgevulde pen tot </w:t>
      </w:r>
      <w:r w:rsidR="00ED2966" w:rsidRPr="00330234">
        <w:t>3 </w:t>
      </w:r>
      <w:r w:rsidRPr="00330234">
        <w:t>weken beneden 30°C worden bewaard.</w:t>
      </w:r>
    </w:p>
    <w:p w14:paraId="3DDD736F" w14:textId="77777777" w:rsidR="00C0064D" w:rsidRPr="00330234" w:rsidRDefault="00C0064D" w:rsidP="00BD109B">
      <w:pPr>
        <w:pStyle w:val="a3"/>
        <w:widowControl/>
        <w:ind w:left="0"/>
      </w:pPr>
    </w:p>
    <w:p w14:paraId="4EF3FFBF" w14:textId="3112EB66" w:rsidR="00436DAA" w:rsidRPr="00330234" w:rsidRDefault="009B4B8E" w:rsidP="00BD109B">
      <w:pPr>
        <w:pStyle w:val="a3"/>
        <w:widowControl/>
        <w:ind w:left="0"/>
      </w:pPr>
      <w:r w:rsidRPr="00330234">
        <w:t>De voorgevulde pennen in de buitenverpakking bewaren ter bescherming tegen licht en vocht.</w:t>
      </w:r>
    </w:p>
    <w:p w14:paraId="01A73482" w14:textId="77777777" w:rsidR="00436DAA" w:rsidRPr="00330234" w:rsidRDefault="00436DAA" w:rsidP="00BD109B">
      <w:pPr>
        <w:pStyle w:val="a3"/>
        <w:widowControl/>
        <w:ind w:left="0"/>
      </w:pPr>
    </w:p>
    <w:p w14:paraId="069604D8" w14:textId="1ECC6449" w:rsidR="00436DAA" w:rsidRPr="00330234" w:rsidRDefault="009B4B8E" w:rsidP="00BD109B">
      <w:pPr>
        <w:pStyle w:val="a3"/>
        <w:widowControl/>
        <w:ind w:left="0"/>
      </w:pPr>
      <w:r w:rsidRPr="00330234">
        <w:t>Gebruik dit geneesmiddel niet als deze troebel is of deeltjes bevat, als deze een andere kleur heeft dan kleurloos tot geel, of als enig onderdeel van de voorgevulde pen beschadigd lijkt te zijn.</w:t>
      </w:r>
    </w:p>
    <w:p w14:paraId="316AC5C7" w14:textId="77777777" w:rsidR="00C0064D" w:rsidRPr="00330234" w:rsidRDefault="00C0064D" w:rsidP="00BD109B">
      <w:pPr>
        <w:pStyle w:val="a3"/>
        <w:widowControl/>
        <w:ind w:left="0"/>
      </w:pPr>
    </w:p>
    <w:p w14:paraId="14E1A5EE" w14:textId="5D52E9CC" w:rsidR="00436DAA" w:rsidRPr="00330234" w:rsidRDefault="009B4B8E" w:rsidP="00C0064D">
      <w:pPr>
        <w:pStyle w:val="a3"/>
        <w:widowControl/>
        <w:ind w:left="0"/>
      </w:pPr>
      <w:r w:rsidRPr="00330234">
        <w:t>De voorgevulde pen mag niet geschud worden. Na het verwijderen van de dop moet de injectie binnen 3 minuten gegeven worden om te voorkomen dat het middel uitdroogt waardoor de naald blokkeert.</w:t>
      </w:r>
      <w:r w:rsidR="00C0064D" w:rsidRPr="00330234">
        <w:t xml:space="preserve"> </w:t>
      </w:r>
      <w:r w:rsidRPr="00330234">
        <w:t>Als de voorgevulde pen niet binnen 3 minuten na het verwijderen van de dop wordt gebruikt, dan moet u deze weggooien in een niet-doorprikbare bak en moet u een nieuwe voorgevulde pen gebruiken.</w:t>
      </w:r>
    </w:p>
    <w:p w14:paraId="694C1F70" w14:textId="77777777" w:rsidR="00C0064D" w:rsidRPr="00330234" w:rsidRDefault="00C0064D" w:rsidP="00BD109B">
      <w:pPr>
        <w:pStyle w:val="a3"/>
        <w:widowControl/>
        <w:ind w:left="0"/>
      </w:pPr>
    </w:p>
    <w:p w14:paraId="2FA751C9" w14:textId="26DF1113" w:rsidR="00436DAA" w:rsidRPr="00330234" w:rsidRDefault="009B4B8E" w:rsidP="00BD109B">
      <w:pPr>
        <w:pStyle w:val="a3"/>
        <w:widowControl/>
        <w:ind w:left="0"/>
      </w:pPr>
      <w:r w:rsidRPr="00330234">
        <w:t xml:space="preserve">Als de </w:t>
      </w:r>
      <w:r w:rsidR="00A700A3" w:rsidRPr="00330234">
        <w:t xml:space="preserve">oranje </w:t>
      </w:r>
      <w:r w:rsidRPr="00330234">
        <w:t xml:space="preserve">indicator niet beweegt nadat de </w:t>
      </w:r>
      <w:r w:rsidR="00A700A3" w:rsidRPr="00330234">
        <w:t xml:space="preserve">naalddop </w:t>
      </w:r>
      <w:r w:rsidRPr="00330234">
        <w:t xml:space="preserve">is ingedrukt, dan moet de voorgevulde pen weggegooid worden in een niet-doorprikbare bak. </w:t>
      </w:r>
      <w:r w:rsidR="00A700A3" w:rsidRPr="00330234">
        <w:t xml:space="preserve">De voorgevulde pen wordt vergrendeld </w:t>
      </w:r>
      <w:r w:rsidR="00706606" w:rsidRPr="00330234">
        <w:t>en de naald wordt bedekt in de naal</w:t>
      </w:r>
      <w:r w:rsidR="00DC2762" w:rsidRPr="00330234">
        <w:t>d</w:t>
      </w:r>
      <w:r w:rsidR="00706606" w:rsidRPr="00330234">
        <w:t>dop wanneer er wordt geprobeerd hem opnieuw te gebruiken</w:t>
      </w:r>
      <w:r w:rsidR="00A700A3" w:rsidRPr="00330234">
        <w:t xml:space="preserve">. </w:t>
      </w:r>
      <w:r w:rsidRPr="00330234">
        <w:t xml:space="preserve">Probeer de voorgevulde pen </w:t>
      </w:r>
      <w:r w:rsidRPr="00330234">
        <w:rPr>
          <w:b/>
        </w:rPr>
        <w:t xml:space="preserve">niet </w:t>
      </w:r>
      <w:r w:rsidRPr="00330234">
        <w:t>nogmaals te gebruiken. Injecteer niet opnieuw met een andere voorgevulde pen. Neem contact op met uw zorgverlener voor hulp.</w:t>
      </w:r>
    </w:p>
    <w:p w14:paraId="40F959F2" w14:textId="77777777" w:rsidR="00436DAA" w:rsidRPr="00330234" w:rsidRDefault="00436DAA" w:rsidP="00BD109B">
      <w:pPr>
        <w:pStyle w:val="a3"/>
        <w:widowControl/>
        <w:ind w:left="0"/>
      </w:pPr>
    </w:p>
    <w:p w14:paraId="41866E77" w14:textId="77777777" w:rsidR="00C0064D" w:rsidRPr="00330234" w:rsidRDefault="00C0064D" w:rsidP="00BD109B">
      <w:pPr>
        <w:pStyle w:val="a3"/>
        <w:widowControl/>
        <w:ind w:left="0"/>
      </w:pPr>
    </w:p>
    <w:p w14:paraId="30344332" w14:textId="77777777" w:rsidR="00C0064D" w:rsidRPr="00330234" w:rsidRDefault="005328BF" w:rsidP="00BD109B">
      <w:pPr>
        <w:pStyle w:val="2"/>
      </w:pPr>
      <w:r w:rsidRPr="00330234">
        <w:t>6.</w:t>
      </w:r>
      <w:r w:rsidRPr="00330234">
        <w:tab/>
      </w:r>
      <w:r w:rsidR="009B4B8E" w:rsidRPr="00330234">
        <w:t>Inhoud van de verpakking en overige informatie</w:t>
      </w:r>
    </w:p>
    <w:p w14:paraId="5D7CFF06" w14:textId="77777777" w:rsidR="00C0064D" w:rsidRPr="00330234" w:rsidRDefault="00C0064D" w:rsidP="000571FE"/>
    <w:p w14:paraId="38FC6F28" w14:textId="600290E1" w:rsidR="00436DAA" w:rsidRPr="00330234" w:rsidRDefault="009B4B8E" w:rsidP="00B6214F">
      <w:r w:rsidRPr="00B6214F">
        <w:rPr>
          <w:b/>
          <w:bCs/>
        </w:rPr>
        <w:t>Welke stoffen zitten er in dit middel?</w:t>
      </w:r>
    </w:p>
    <w:p w14:paraId="47412DFE" w14:textId="45A88A89" w:rsidR="00436DAA" w:rsidRPr="00330234" w:rsidRDefault="005328BF" w:rsidP="00C0064D">
      <w:pPr>
        <w:pStyle w:val="bullet"/>
      </w:pPr>
      <w:r w:rsidRPr="00330234">
        <w:rPr>
          <w:rFonts w:eastAsia="Symbol"/>
        </w:rPr>
        <w:tab/>
      </w:r>
      <w:r w:rsidR="009B4B8E" w:rsidRPr="00330234">
        <w:t>De werkzame stof in dit middel is tocilizumab.</w:t>
      </w:r>
    </w:p>
    <w:p w14:paraId="2A8E48A9" w14:textId="77777777" w:rsidR="00436DAA" w:rsidRPr="00330234" w:rsidRDefault="009B4B8E" w:rsidP="00C0064D">
      <w:pPr>
        <w:pStyle w:val="a3"/>
        <w:widowControl/>
        <w:ind w:left="567"/>
      </w:pPr>
      <w:r w:rsidRPr="00330234">
        <w:t>Elke voorgevulde pen bevat 162 mg tocilizumab in 0,9 ml.</w:t>
      </w:r>
    </w:p>
    <w:p w14:paraId="2F8637A3" w14:textId="77777777" w:rsidR="00436DAA" w:rsidRPr="00330234" w:rsidRDefault="00436DAA" w:rsidP="00BD109B">
      <w:pPr>
        <w:pStyle w:val="a3"/>
        <w:widowControl/>
        <w:ind w:left="0"/>
      </w:pPr>
    </w:p>
    <w:p w14:paraId="4B11438D" w14:textId="246D1004" w:rsidR="00436DAA" w:rsidRPr="00330234" w:rsidRDefault="005328BF" w:rsidP="00C0064D">
      <w:pPr>
        <w:pStyle w:val="bullet"/>
      </w:pPr>
      <w:r w:rsidRPr="00330234">
        <w:rPr>
          <w:rFonts w:eastAsia="Symbol"/>
        </w:rPr>
        <w:tab/>
      </w:r>
      <w:r w:rsidR="009B4B8E" w:rsidRPr="00330234">
        <w:t>De andere stoffen (hulpstoffen) in dit middel zijn L-histidine,</w:t>
      </w:r>
      <w:r w:rsidR="0065408F">
        <w:rPr>
          <w:rFonts w:eastAsia="맑은 고딕" w:hint="eastAsia"/>
          <w:lang w:eastAsia="ko-KR"/>
        </w:rPr>
        <w:t xml:space="preserve"> </w:t>
      </w:r>
      <w:r w:rsidR="0065408F" w:rsidRPr="0065408F">
        <w:rPr>
          <w:rFonts w:eastAsia="맑은 고딕" w:hint="eastAsia"/>
          <w:lang w:eastAsia="ko-KR"/>
        </w:rPr>
        <w:t>L-histidine monohydrochloride monohydraat</w:t>
      </w:r>
      <w:r w:rsidR="0065408F">
        <w:rPr>
          <w:rFonts w:eastAsia="맑은 고딕" w:hint="eastAsia"/>
          <w:lang w:eastAsia="ko-KR"/>
        </w:rPr>
        <w:t>,</w:t>
      </w:r>
      <w:r w:rsidR="009B4B8E" w:rsidRPr="00330234">
        <w:t xml:space="preserve"> </w:t>
      </w:r>
      <w:r w:rsidR="00A700A3" w:rsidRPr="00330234">
        <w:t>L</w:t>
      </w:r>
      <w:r w:rsidR="00A700A3" w:rsidRPr="00330234">
        <w:rPr>
          <w:rFonts w:hint="eastAsia"/>
          <w:lang w:eastAsia="ko-KR"/>
        </w:rPr>
        <w:t>-</w:t>
      </w:r>
      <w:r w:rsidR="00A700A3" w:rsidRPr="00330234">
        <w:rPr>
          <w:lang w:eastAsia="ko-KR"/>
        </w:rPr>
        <w:t>t</w:t>
      </w:r>
      <w:r w:rsidR="00A700A3" w:rsidRPr="00330234">
        <w:rPr>
          <w:rFonts w:hint="eastAsia"/>
          <w:lang w:eastAsia="ko-KR"/>
        </w:rPr>
        <w:t>hreonine</w:t>
      </w:r>
      <w:r w:rsidR="009B4B8E" w:rsidRPr="00330234">
        <w:t xml:space="preserve">, </w:t>
      </w:r>
      <w:r w:rsidR="00964D89" w:rsidRPr="00330234">
        <w:t xml:space="preserve">L-methionine, </w:t>
      </w:r>
      <w:r w:rsidR="009B4B8E" w:rsidRPr="00330234">
        <w:t>polysorbaat 80 en water voor injecties.</w:t>
      </w:r>
    </w:p>
    <w:p w14:paraId="7059622B" w14:textId="77777777" w:rsidR="00436DAA" w:rsidRPr="00330234" w:rsidRDefault="00436DAA" w:rsidP="00BD109B">
      <w:pPr>
        <w:pStyle w:val="a3"/>
        <w:widowControl/>
        <w:ind w:left="0"/>
      </w:pPr>
    </w:p>
    <w:p w14:paraId="301805AE" w14:textId="2711782C" w:rsidR="00436DAA" w:rsidRPr="00612829" w:rsidRDefault="009B4B8E" w:rsidP="00612829">
      <w:pPr>
        <w:rPr>
          <w:b/>
          <w:bCs/>
        </w:rPr>
      </w:pPr>
      <w:r w:rsidRPr="00612829">
        <w:rPr>
          <w:b/>
          <w:bCs/>
        </w:rPr>
        <w:lastRenderedPageBreak/>
        <w:t xml:space="preserve">Hoe ziet </w:t>
      </w:r>
      <w:r w:rsidR="00ED2966" w:rsidRPr="00612829">
        <w:rPr>
          <w:b/>
          <w:bCs/>
        </w:rPr>
        <w:t>Avtozma</w:t>
      </w:r>
      <w:r w:rsidRPr="00612829">
        <w:rPr>
          <w:b/>
          <w:bCs/>
        </w:rPr>
        <w:t xml:space="preserve"> eruit en hoeveel zit er in een verpakking?</w:t>
      </w:r>
    </w:p>
    <w:p w14:paraId="249EBA01" w14:textId="49519282" w:rsidR="00436DAA" w:rsidRPr="00330234" w:rsidRDefault="00ED2966" w:rsidP="00BD109B">
      <w:pPr>
        <w:pStyle w:val="a3"/>
        <w:widowControl/>
        <w:ind w:left="0"/>
      </w:pPr>
      <w:r w:rsidRPr="00330234">
        <w:t>Avtozma</w:t>
      </w:r>
      <w:r w:rsidR="009B4B8E" w:rsidRPr="00330234">
        <w:t xml:space="preserve"> is een oplossing voor injectie. De oplossing is kleurloos tot geel.</w:t>
      </w:r>
    </w:p>
    <w:p w14:paraId="78529160" w14:textId="77777777" w:rsidR="00436DAA" w:rsidRPr="00330234" w:rsidRDefault="00436DAA" w:rsidP="00BD109B">
      <w:pPr>
        <w:pStyle w:val="a3"/>
        <w:widowControl/>
        <w:ind w:left="0"/>
      </w:pPr>
    </w:p>
    <w:p w14:paraId="12A007FD" w14:textId="6C88A9E2" w:rsidR="00436DAA" w:rsidRPr="00330234" w:rsidRDefault="00ED2966" w:rsidP="00BD109B">
      <w:pPr>
        <w:pStyle w:val="a3"/>
        <w:widowControl/>
        <w:ind w:left="0"/>
      </w:pPr>
      <w:r w:rsidRPr="00330234">
        <w:t>Avtozma</w:t>
      </w:r>
      <w:r w:rsidR="009B4B8E" w:rsidRPr="00330234">
        <w:t xml:space="preserve"> wordt geleverd in een voorgevulde pen van 0,9 ml met daarin 162 mg tocilizumab- oplossing voor injectie.</w:t>
      </w:r>
    </w:p>
    <w:p w14:paraId="5F356F6B" w14:textId="77777777" w:rsidR="00436DAA" w:rsidRPr="00330234" w:rsidRDefault="00436DAA" w:rsidP="00BD109B">
      <w:pPr>
        <w:widowControl/>
      </w:pPr>
    </w:p>
    <w:p w14:paraId="30A9D883" w14:textId="7C5E7FFF" w:rsidR="00A700A3" w:rsidRPr="00330234" w:rsidRDefault="00A700A3" w:rsidP="001B3E1E">
      <w:pPr>
        <w:pStyle w:val="a3"/>
        <w:keepNext/>
        <w:keepLines/>
        <w:widowControl/>
        <w:ind w:left="0"/>
      </w:pPr>
      <w:r w:rsidRPr="00330234">
        <w:t xml:space="preserve">De Avtozma voorgevulde pen voor gebruik door </w:t>
      </w:r>
      <w:r w:rsidR="00DC2762" w:rsidRPr="00330234">
        <w:t>patiënten</w:t>
      </w:r>
      <w:r w:rsidRPr="00330234">
        <w:t xml:space="preserve"> is beschikbaar in verpakkingen met:</w:t>
      </w:r>
      <w:r w:rsidRPr="00330234">
        <w:tab/>
      </w:r>
      <w:r w:rsidRPr="00330234">
        <w:tab/>
      </w:r>
    </w:p>
    <w:p w14:paraId="7EE3D767" w14:textId="77777777" w:rsidR="00A700A3" w:rsidRPr="00330234" w:rsidRDefault="00A700A3" w:rsidP="00A700A3">
      <w:pPr>
        <w:pStyle w:val="a3"/>
        <w:widowControl/>
        <w:numPr>
          <w:ilvl w:val="0"/>
          <w:numId w:val="34"/>
        </w:numPr>
        <w:tabs>
          <w:tab w:val="left" w:pos="567"/>
        </w:tabs>
        <w:ind w:left="567" w:hanging="567"/>
      </w:pPr>
      <w:r w:rsidRPr="00330234">
        <w:t>1 voorgevulde pen</w:t>
      </w:r>
    </w:p>
    <w:p w14:paraId="011922D2" w14:textId="1DB4ADF4" w:rsidR="002C41D8" w:rsidRPr="00330234" w:rsidRDefault="002C41D8" w:rsidP="002C41D8">
      <w:pPr>
        <w:pStyle w:val="a3"/>
        <w:widowControl/>
        <w:numPr>
          <w:ilvl w:val="0"/>
          <w:numId w:val="34"/>
        </w:numPr>
        <w:tabs>
          <w:tab w:val="left" w:pos="567"/>
        </w:tabs>
        <w:ind w:left="567" w:hanging="567"/>
        <w:rPr>
          <w:ins w:id="58" w:author="만든 이"/>
        </w:rPr>
      </w:pPr>
      <w:ins w:id="59" w:author="만든 이">
        <w:r>
          <w:rPr>
            <w:rFonts w:eastAsia="맑은 고딕" w:hint="eastAsia"/>
            <w:lang w:eastAsia="ko-KR"/>
          </w:rPr>
          <w:t>2</w:t>
        </w:r>
        <w:r w:rsidRPr="00330234">
          <w:t> voorgevulde pennen</w:t>
        </w:r>
      </w:ins>
    </w:p>
    <w:p w14:paraId="05CB8501" w14:textId="77777777" w:rsidR="00A700A3" w:rsidRPr="00330234" w:rsidRDefault="00A700A3" w:rsidP="00A700A3">
      <w:pPr>
        <w:pStyle w:val="a3"/>
        <w:widowControl/>
        <w:numPr>
          <w:ilvl w:val="0"/>
          <w:numId w:val="34"/>
        </w:numPr>
        <w:tabs>
          <w:tab w:val="left" w:pos="567"/>
        </w:tabs>
        <w:ind w:left="567" w:hanging="567"/>
      </w:pPr>
      <w:r w:rsidRPr="00330234">
        <w:t>4 voorgevulde pennen</w:t>
      </w:r>
    </w:p>
    <w:p w14:paraId="6BBA3121" w14:textId="77777777" w:rsidR="00A700A3" w:rsidRPr="00330234" w:rsidRDefault="00A700A3" w:rsidP="00A700A3">
      <w:pPr>
        <w:pStyle w:val="a3"/>
        <w:widowControl/>
        <w:numPr>
          <w:ilvl w:val="0"/>
          <w:numId w:val="34"/>
        </w:numPr>
        <w:tabs>
          <w:tab w:val="left" w:pos="567"/>
        </w:tabs>
        <w:ind w:left="567" w:hanging="567"/>
      </w:pPr>
      <w:r w:rsidRPr="00330234">
        <w:t>12 (3 verpakkingen van 4) voorgevulde pennen (multi-packs)</w:t>
      </w:r>
    </w:p>
    <w:p w14:paraId="79BDD9A2" w14:textId="51EA45ED" w:rsidR="00A700A3" w:rsidRPr="00330234" w:rsidRDefault="00A700A3" w:rsidP="00BD109B">
      <w:pPr>
        <w:pStyle w:val="a3"/>
        <w:widowControl/>
        <w:ind w:left="0"/>
      </w:pPr>
    </w:p>
    <w:p w14:paraId="7E9A2441" w14:textId="4A780753" w:rsidR="00436DAA" w:rsidRPr="001B3E1E" w:rsidRDefault="009B4B8E" w:rsidP="00BD109B">
      <w:pPr>
        <w:pStyle w:val="a3"/>
        <w:widowControl/>
        <w:ind w:left="0"/>
        <w:rPr>
          <w:b/>
          <w:bCs/>
        </w:rPr>
      </w:pPr>
      <w:r w:rsidRPr="001B3E1E">
        <w:rPr>
          <w:b/>
          <w:bCs/>
        </w:rPr>
        <w:t>Niet alle genoemde verpakkingsgrootten worden in de handel gebracht.</w:t>
      </w:r>
    </w:p>
    <w:p w14:paraId="7A6DBFFB" w14:textId="77777777" w:rsidR="00436DAA" w:rsidRPr="00330234" w:rsidRDefault="00436DAA" w:rsidP="00BD109B">
      <w:pPr>
        <w:pStyle w:val="a3"/>
        <w:widowControl/>
        <w:ind w:left="0"/>
      </w:pPr>
    </w:p>
    <w:p w14:paraId="5F6AEF73" w14:textId="77777777" w:rsidR="00436DAA" w:rsidRPr="00612829" w:rsidRDefault="009B4B8E" w:rsidP="00612829">
      <w:pPr>
        <w:rPr>
          <w:b/>
          <w:bCs/>
        </w:rPr>
      </w:pPr>
      <w:r w:rsidRPr="00612829">
        <w:rPr>
          <w:b/>
          <w:bCs/>
        </w:rPr>
        <w:t>Houder van de vergunning voor het in de handel brengen</w:t>
      </w:r>
    </w:p>
    <w:p w14:paraId="11C0122B" w14:textId="77777777" w:rsidR="00A700A3" w:rsidRPr="00330234" w:rsidRDefault="00A700A3" w:rsidP="00A700A3">
      <w:pPr>
        <w:keepNext/>
      </w:pPr>
      <w:r w:rsidRPr="00330234">
        <w:t>Celltrion Healthcare Hungary Kft.</w:t>
      </w:r>
    </w:p>
    <w:p w14:paraId="1085BD43" w14:textId="77777777" w:rsidR="00A700A3" w:rsidRPr="00330234" w:rsidRDefault="00A700A3" w:rsidP="00A700A3">
      <w:pPr>
        <w:keepNext/>
      </w:pPr>
      <w:r w:rsidRPr="00330234">
        <w:t>1062 Budapest</w:t>
      </w:r>
    </w:p>
    <w:p w14:paraId="75BA6B4F" w14:textId="77777777" w:rsidR="00A700A3" w:rsidRPr="00330234" w:rsidRDefault="00A700A3" w:rsidP="00A700A3">
      <w:pPr>
        <w:keepNext/>
      </w:pPr>
      <w:r w:rsidRPr="00330234">
        <w:t>Váci út 1-3. WestEnd Office Building B torony</w:t>
      </w:r>
    </w:p>
    <w:p w14:paraId="0BB3A9D7" w14:textId="7EC2EF60" w:rsidR="00A700A3" w:rsidRPr="00330234" w:rsidRDefault="00A700A3" w:rsidP="00A700A3">
      <w:r w:rsidRPr="00330234">
        <w:t>Hongarije</w:t>
      </w:r>
    </w:p>
    <w:p w14:paraId="44C5A585" w14:textId="77777777" w:rsidR="00C0064D" w:rsidRPr="00330234" w:rsidRDefault="00C0064D" w:rsidP="00BD109B">
      <w:pPr>
        <w:pStyle w:val="a3"/>
        <w:widowControl/>
        <w:ind w:left="0"/>
      </w:pPr>
    </w:p>
    <w:p w14:paraId="46123199" w14:textId="77777777" w:rsidR="00436DAA" w:rsidRPr="00612829" w:rsidRDefault="009B4B8E" w:rsidP="00612829">
      <w:pPr>
        <w:rPr>
          <w:b/>
          <w:bCs/>
        </w:rPr>
      </w:pPr>
      <w:r w:rsidRPr="00612829">
        <w:rPr>
          <w:b/>
          <w:bCs/>
        </w:rPr>
        <w:t>Fabrikant</w:t>
      </w:r>
    </w:p>
    <w:p w14:paraId="7D76E900" w14:textId="77777777" w:rsidR="00A700A3" w:rsidRPr="00330234" w:rsidRDefault="00A700A3" w:rsidP="00A700A3">
      <w:pPr>
        <w:keepNext/>
      </w:pPr>
      <w:r w:rsidRPr="00330234">
        <w:t>Nuvisan France SARL</w:t>
      </w:r>
    </w:p>
    <w:p w14:paraId="55D5A547" w14:textId="186F1026" w:rsidR="00A700A3" w:rsidRPr="00330234" w:rsidRDefault="00A700A3" w:rsidP="00A700A3">
      <w:pPr>
        <w:keepNext/>
      </w:pPr>
      <w:r w:rsidRPr="00330234">
        <w:t>2400</w:t>
      </w:r>
      <w:del w:id="60" w:author="만든 이">
        <w:r w:rsidRPr="00330234" w:rsidDel="00D1666A">
          <w:delText>,</w:delText>
        </w:r>
      </w:del>
      <w:r w:rsidRPr="00330234">
        <w:t xml:space="preserve"> Route des Colles,</w:t>
      </w:r>
    </w:p>
    <w:p w14:paraId="00326D70" w14:textId="3D5B3000" w:rsidR="00A700A3" w:rsidRPr="00330234" w:rsidRDefault="00A700A3" w:rsidP="00A700A3">
      <w:pPr>
        <w:keepNext/>
      </w:pPr>
      <w:r w:rsidRPr="00330234">
        <w:t>06410</w:t>
      </w:r>
      <w:del w:id="61" w:author="만든 이">
        <w:r w:rsidRPr="00330234" w:rsidDel="00D1666A">
          <w:delText>,</w:delText>
        </w:r>
      </w:del>
      <w:r w:rsidRPr="00330234">
        <w:t xml:space="preserve"> Biot, </w:t>
      </w:r>
    </w:p>
    <w:p w14:paraId="299D1098" w14:textId="76007476" w:rsidR="00A700A3" w:rsidRPr="00330234" w:rsidRDefault="00A700A3" w:rsidP="00A700A3">
      <w:r w:rsidRPr="00330234">
        <w:t>Frankrijk</w:t>
      </w:r>
    </w:p>
    <w:p w14:paraId="099265D3" w14:textId="77777777" w:rsidR="00A700A3" w:rsidRPr="00330234" w:rsidRDefault="00A700A3" w:rsidP="00A700A3"/>
    <w:p w14:paraId="5058FFE8" w14:textId="77777777" w:rsidR="00A700A3" w:rsidRPr="00330234" w:rsidRDefault="00A700A3" w:rsidP="00A700A3">
      <w:pPr>
        <w:keepNext/>
      </w:pPr>
      <w:r w:rsidRPr="00330234">
        <w:t>Midas Pharma GmbH</w:t>
      </w:r>
    </w:p>
    <w:p w14:paraId="015E403A" w14:textId="3CF4A222" w:rsidR="00A700A3" w:rsidRPr="00330234" w:rsidRDefault="00A700A3" w:rsidP="00A700A3">
      <w:pPr>
        <w:keepNext/>
      </w:pPr>
      <w:r w:rsidRPr="00330234">
        <w:t>Rheinstr. 49,</w:t>
      </w:r>
    </w:p>
    <w:p w14:paraId="17D2957D" w14:textId="77777777" w:rsidR="00A700A3" w:rsidRPr="00330234" w:rsidRDefault="00A700A3" w:rsidP="00A700A3">
      <w:pPr>
        <w:keepNext/>
      </w:pPr>
      <w:r w:rsidRPr="00330234">
        <w:t>55218 Ingelheim,</w:t>
      </w:r>
    </w:p>
    <w:p w14:paraId="04BD9A88" w14:textId="6C24CCD4" w:rsidR="00A700A3" w:rsidRPr="00330234" w:rsidRDefault="00A700A3" w:rsidP="00A700A3">
      <w:r w:rsidRPr="00330234">
        <w:t>Duitsland</w:t>
      </w:r>
    </w:p>
    <w:p w14:paraId="78DE0245" w14:textId="77777777" w:rsidR="00A700A3" w:rsidRPr="00330234" w:rsidRDefault="00A700A3" w:rsidP="00A700A3"/>
    <w:p w14:paraId="780A15B9" w14:textId="00D4B10B" w:rsidR="00A700A3" w:rsidRPr="00330234" w:rsidRDefault="00A700A3" w:rsidP="00A700A3">
      <w:pPr>
        <w:keepNext/>
      </w:pPr>
      <w:r w:rsidRPr="00330234">
        <w:t>KYMOS S.L.</w:t>
      </w:r>
    </w:p>
    <w:p w14:paraId="35F05E28" w14:textId="6AC917DC" w:rsidR="00A700A3" w:rsidRPr="00330234" w:rsidRDefault="00A700A3" w:rsidP="00A700A3">
      <w:pPr>
        <w:keepNext/>
      </w:pPr>
      <w:r w:rsidRPr="00330234">
        <w:t>Ronda Can Fatjó, 7B.</w:t>
      </w:r>
    </w:p>
    <w:p w14:paraId="6158F96C" w14:textId="434958EF" w:rsidR="00A700A3" w:rsidRPr="00330234" w:rsidRDefault="00A700A3" w:rsidP="00A700A3">
      <w:pPr>
        <w:keepNext/>
      </w:pPr>
      <w:r w:rsidRPr="00330234">
        <w:t>08290 Cerdanyola del Vallès,</w:t>
      </w:r>
    </w:p>
    <w:p w14:paraId="2D659CB8" w14:textId="77777777" w:rsidR="00A700A3" w:rsidRPr="00330234" w:rsidRDefault="00A700A3" w:rsidP="00A700A3">
      <w:pPr>
        <w:keepNext/>
      </w:pPr>
      <w:r w:rsidRPr="00330234">
        <w:t xml:space="preserve">Barcelona, </w:t>
      </w:r>
    </w:p>
    <w:p w14:paraId="2E3A1BAE" w14:textId="258CF09C" w:rsidR="00A700A3" w:rsidRPr="00330234" w:rsidRDefault="00A700A3" w:rsidP="00A700A3">
      <w:r w:rsidRPr="00330234">
        <w:t>Spanje</w:t>
      </w:r>
    </w:p>
    <w:p w14:paraId="35EE7440" w14:textId="77777777" w:rsidR="00C0064D" w:rsidRPr="00330234" w:rsidRDefault="00C0064D" w:rsidP="00BD109B">
      <w:pPr>
        <w:pStyle w:val="a3"/>
        <w:widowControl/>
        <w:ind w:left="0"/>
      </w:pPr>
    </w:p>
    <w:p w14:paraId="251A21EA" w14:textId="77777777" w:rsidR="00436DAA" w:rsidRPr="00330234" w:rsidRDefault="009B4B8E" w:rsidP="001B3E1E">
      <w:pPr>
        <w:pStyle w:val="a3"/>
        <w:keepNext/>
        <w:widowControl/>
        <w:ind w:left="0"/>
      </w:pPr>
      <w:r w:rsidRPr="00330234">
        <w:t>Neem voor alle informatie over dit geneesmiddel contact op met de lokale vertegenwoordiger van de houder van de vergunning voor het in de handel brengen:</w:t>
      </w:r>
    </w:p>
    <w:p w14:paraId="1CE4F0B2" w14:textId="77777777" w:rsidR="00A700A3" w:rsidRPr="00330234" w:rsidRDefault="00A700A3" w:rsidP="0066504E">
      <w:pPr>
        <w:keepNext/>
      </w:pPr>
    </w:p>
    <w:tbl>
      <w:tblPr>
        <w:tblW w:w="5000" w:type="pct"/>
        <w:tblLayout w:type="fixed"/>
        <w:tblCellMar>
          <w:top w:w="28" w:type="dxa"/>
          <w:bottom w:w="28" w:type="dxa"/>
        </w:tblCellMar>
        <w:tblLook w:val="04A0" w:firstRow="1" w:lastRow="0" w:firstColumn="1" w:lastColumn="0" w:noHBand="0" w:noVBand="1"/>
      </w:tblPr>
      <w:tblGrid>
        <w:gridCol w:w="4537"/>
        <w:gridCol w:w="4537"/>
      </w:tblGrid>
      <w:tr w:rsidR="000030F7" w:rsidRPr="00330234" w14:paraId="38A3F0A9" w14:textId="77777777">
        <w:trPr>
          <w:cantSplit/>
        </w:trPr>
        <w:tc>
          <w:tcPr>
            <w:tcW w:w="2500" w:type="pct"/>
            <w:hideMark/>
          </w:tcPr>
          <w:p w14:paraId="15F29C2B" w14:textId="77777777" w:rsidR="00A700A3" w:rsidRPr="00330234" w:rsidRDefault="00A700A3">
            <w:pPr>
              <w:suppressAutoHyphens/>
              <w:rPr>
                <w:b/>
                <w:lang w:eastAsia="fr-FR"/>
              </w:rPr>
            </w:pPr>
            <w:r w:rsidRPr="00330234">
              <w:rPr>
                <w:rFonts w:eastAsia="맑은 고딕"/>
                <w:b/>
                <w:lang w:eastAsia="fr-FR"/>
              </w:rPr>
              <w:t>België/Belgique/Belgien</w:t>
            </w:r>
          </w:p>
          <w:p w14:paraId="175DE1FF" w14:textId="77777777" w:rsidR="00A700A3" w:rsidRPr="00330234" w:rsidRDefault="00A700A3">
            <w:pPr>
              <w:suppressAutoHyphens/>
              <w:rPr>
                <w:rFonts w:eastAsia="맑은 고딕"/>
                <w:lang w:eastAsia="fr-FR"/>
              </w:rPr>
            </w:pPr>
            <w:r w:rsidRPr="00330234">
              <w:rPr>
                <w:rFonts w:eastAsia="맑은 고딕"/>
                <w:lang w:eastAsia="fr-FR"/>
              </w:rPr>
              <w:t>Celltrion Healthcare Belgium BVBA</w:t>
            </w:r>
          </w:p>
          <w:p w14:paraId="07B3B098" w14:textId="77777777" w:rsidR="00A700A3" w:rsidRPr="00330234" w:rsidRDefault="00A700A3">
            <w:pPr>
              <w:suppressAutoHyphens/>
              <w:rPr>
                <w:rFonts w:eastAsia="맑은 고딕"/>
                <w:lang w:eastAsia="fr-FR"/>
              </w:rPr>
            </w:pPr>
            <w:r w:rsidRPr="00330234">
              <w:rPr>
                <w:rFonts w:eastAsia="맑은 고딕"/>
                <w:lang w:eastAsia="fr-FR"/>
              </w:rPr>
              <w:t>Tél/Tel: +32 2 643 71 81</w:t>
            </w:r>
          </w:p>
          <w:p w14:paraId="138A74DA" w14:textId="77777777" w:rsidR="00A700A3" w:rsidRPr="00330234" w:rsidRDefault="00A700A3">
            <w:pPr>
              <w:suppressAutoHyphens/>
              <w:rPr>
                <w:rFonts w:eastAsia="맑은 고딕"/>
                <w:lang w:eastAsia="fr-FR"/>
              </w:rPr>
            </w:pPr>
            <w:hyperlink r:id="rId42" w:history="1">
              <w:r w:rsidRPr="00330234">
                <w:rPr>
                  <w:rStyle w:val="ab"/>
                  <w:rFonts w:eastAsia="맑은 고딕"/>
                  <w:lang w:eastAsia="fr-FR"/>
                </w:rPr>
                <w:t>BEinfo@celltrionhc.com</w:t>
              </w:r>
            </w:hyperlink>
          </w:p>
          <w:p w14:paraId="41B17ED0" w14:textId="77777777" w:rsidR="00A700A3" w:rsidRPr="00330234" w:rsidRDefault="00A700A3">
            <w:pPr>
              <w:suppressAutoHyphens/>
              <w:rPr>
                <w:rFonts w:eastAsia="맑은 고딕"/>
                <w:lang w:eastAsia="ko-KR"/>
              </w:rPr>
            </w:pPr>
          </w:p>
        </w:tc>
        <w:tc>
          <w:tcPr>
            <w:tcW w:w="2500" w:type="pct"/>
          </w:tcPr>
          <w:p w14:paraId="515AC8D1" w14:textId="77777777" w:rsidR="00A700A3" w:rsidRPr="00330234" w:rsidRDefault="00A700A3">
            <w:pPr>
              <w:tabs>
                <w:tab w:val="left" w:pos="-720"/>
              </w:tabs>
              <w:suppressAutoHyphens/>
              <w:rPr>
                <w:b/>
                <w:lang w:eastAsia="fr-FR"/>
              </w:rPr>
            </w:pPr>
            <w:r w:rsidRPr="00330234">
              <w:rPr>
                <w:b/>
                <w:lang w:eastAsia="fr-FR"/>
              </w:rPr>
              <w:t>Lietuva</w:t>
            </w:r>
          </w:p>
          <w:p w14:paraId="22D6D497" w14:textId="77777777" w:rsidR="00A700A3" w:rsidRPr="00330234" w:rsidRDefault="00A700A3">
            <w:pPr>
              <w:tabs>
                <w:tab w:val="left" w:pos="-720"/>
              </w:tabs>
              <w:suppressAutoHyphens/>
              <w:rPr>
                <w:rFonts w:eastAsia="맑은 고딕"/>
                <w:lang w:eastAsia="fr-FR"/>
              </w:rPr>
            </w:pPr>
            <w:r w:rsidRPr="00330234">
              <w:rPr>
                <w:rFonts w:eastAsia="맑은 고딕"/>
                <w:lang w:eastAsia="fr-FR"/>
              </w:rPr>
              <w:t>Celltrion Healthcare Hungary Kft.</w:t>
            </w:r>
          </w:p>
          <w:p w14:paraId="26A67674" w14:textId="77777777" w:rsidR="00A700A3" w:rsidRPr="00330234" w:rsidRDefault="00A700A3">
            <w:pPr>
              <w:suppressAutoHyphens/>
              <w:adjustRightInd w:val="0"/>
              <w:rPr>
                <w:lang w:eastAsia="fr-FR"/>
              </w:rPr>
            </w:pPr>
            <w:r w:rsidRPr="00330234">
              <w:rPr>
                <w:rFonts w:eastAsia="맑은 고딕"/>
                <w:lang w:eastAsia="fr-FR"/>
              </w:rPr>
              <w:t>Tel.: +36 1 231 0493</w:t>
            </w:r>
          </w:p>
          <w:p w14:paraId="5B1B128F" w14:textId="77777777" w:rsidR="00A700A3" w:rsidRPr="00330234" w:rsidRDefault="00A700A3">
            <w:pPr>
              <w:suppressAutoHyphens/>
              <w:adjustRightInd w:val="0"/>
              <w:rPr>
                <w:lang w:eastAsia="fr-FR"/>
              </w:rPr>
            </w:pPr>
          </w:p>
        </w:tc>
      </w:tr>
      <w:tr w:rsidR="000030F7" w:rsidRPr="00330234" w14:paraId="577EA2DB" w14:textId="77777777">
        <w:trPr>
          <w:cantSplit/>
        </w:trPr>
        <w:tc>
          <w:tcPr>
            <w:tcW w:w="2500" w:type="pct"/>
          </w:tcPr>
          <w:p w14:paraId="04544EC7" w14:textId="77777777" w:rsidR="00A700A3" w:rsidRPr="00330234" w:rsidRDefault="00A700A3">
            <w:pPr>
              <w:suppressAutoHyphens/>
              <w:rPr>
                <w:rFonts w:eastAsia="맑은 고딕"/>
                <w:b/>
                <w:lang w:eastAsia="fr-FR"/>
              </w:rPr>
            </w:pPr>
            <w:r w:rsidRPr="00330234">
              <w:rPr>
                <w:b/>
                <w:bCs/>
              </w:rPr>
              <w:t>България</w:t>
            </w:r>
          </w:p>
          <w:p w14:paraId="315ED16E" w14:textId="77777777" w:rsidR="00A700A3" w:rsidRPr="00330234" w:rsidRDefault="00A700A3">
            <w:pPr>
              <w:tabs>
                <w:tab w:val="left" w:pos="-720"/>
              </w:tabs>
              <w:suppressAutoHyphens/>
              <w:rPr>
                <w:rFonts w:eastAsia="맑은 고딕"/>
                <w:lang w:eastAsia="fr-FR"/>
              </w:rPr>
            </w:pPr>
            <w:r w:rsidRPr="00330234">
              <w:rPr>
                <w:rFonts w:eastAsia="맑은 고딕"/>
                <w:lang w:eastAsia="fr-FR"/>
              </w:rPr>
              <w:t>Celltrion Healthcare Hungary Kft.</w:t>
            </w:r>
          </w:p>
          <w:p w14:paraId="1D953816" w14:textId="77777777" w:rsidR="00A700A3" w:rsidRPr="00330234" w:rsidRDefault="00A700A3">
            <w:pPr>
              <w:suppressAutoHyphens/>
              <w:rPr>
                <w:rFonts w:eastAsia="맑은 고딕"/>
                <w:lang w:eastAsia="fr-FR"/>
              </w:rPr>
            </w:pPr>
            <w:r w:rsidRPr="00330234">
              <w:rPr>
                <w:rFonts w:eastAsia="맑은 고딕"/>
                <w:lang w:eastAsia="fr-FR"/>
              </w:rPr>
              <w:t>Teл.: +36 1 231 0493</w:t>
            </w:r>
          </w:p>
          <w:p w14:paraId="009576A4" w14:textId="77777777" w:rsidR="00A700A3" w:rsidRPr="00330234" w:rsidRDefault="00A700A3">
            <w:pPr>
              <w:suppressAutoHyphens/>
              <w:rPr>
                <w:lang w:eastAsia="fr-FR"/>
              </w:rPr>
            </w:pPr>
          </w:p>
        </w:tc>
        <w:tc>
          <w:tcPr>
            <w:tcW w:w="2500" w:type="pct"/>
            <w:hideMark/>
          </w:tcPr>
          <w:p w14:paraId="00F53278" w14:textId="77777777" w:rsidR="00A700A3" w:rsidRPr="00330234" w:rsidRDefault="00A700A3">
            <w:pPr>
              <w:tabs>
                <w:tab w:val="left" w:pos="-720"/>
              </w:tabs>
              <w:suppressAutoHyphens/>
              <w:rPr>
                <w:lang w:eastAsia="fr-FR"/>
              </w:rPr>
            </w:pPr>
            <w:r w:rsidRPr="00330234">
              <w:rPr>
                <w:rFonts w:eastAsia="맑은 고딕"/>
                <w:b/>
                <w:lang w:eastAsia="fr-FR"/>
              </w:rPr>
              <w:t>Luxembourg/Luxemburg</w:t>
            </w:r>
          </w:p>
          <w:p w14:paraId="599DE49C" w14:textId="77777777" w:rsidR="00A700A3" w:rsidRPr="00330234" w:rsidRDefault="00A700A3">
            <w:pPr>
              <w:suppressAutoHyphens/>
              <w:rPr>
                <w:rFonts w:eastAsia="맑은 고딕"/>
                <w:lang w:eastAsia="fr-FR"/>
              </w:rPr>
            </w:pPr>
            <w:r w:rsidRPr="00330234">
              <w:rPr>
                <w:rFonts w:eastAsia="맑은 고딕"/>
                <w:lang w:eastAsia="fr-FR"/>
              </w:rPr>
              <w:t>Celltrion Healthcare Belgium BVBA</w:t>
            </w:r>
          </w:p>
          <w:p w14:paraId="195810CC" w14:textId="77777777" w:rsidR="00A700A3" w:rsidRPr="00330234" w:rsidRDefault="00A700A3">
            <w:pPr>
              <w:tabs>
                <w:tab w:val="left" w:pos="-720"/>
              </w:tabs>
              <w:suppressAutoHyphens/>
              <w:rPr>
                <w:rFonts w:eastAsia="맑은 고딕"/>
                <w:lang w:eastAsia="ko-KR"/>
              </w:rPr>
            </w:pPr>
            <w:r w:rsidRPr="00330234">
              <w:rPr>
                <w:rFonts w:eastAsia="맑은 고딕"/>
                <w:lang w:eastAsia="fr-FR"/>
              </w:rPr>
              <w:t>Tél/Tel: +32 2 643 71 81</w:t>
            </w:r>
          </w:p>
          <w:p w14:paraId="62891E5A" w14:textId="77777777" w:rsidR="00A700A3" w:rsidRPr="00330234" w:rsidRDefault="00A700A3">
            <w:pPr>
              <w:suppressAutoHyphens/>
              <w:rPr>
                <w:rFonts w:eastAsia="맑은 고딕"/>
                <w:lang w:eastAsia="fr-FR"/>
              </w:rPr>
            </w:pPr>
            <w:hyperlink r:id="rId43" w:history="1">
              <w:r w:rsidRPr="00330234">
                <w:rPr>
                  <w:rStyle w:val="ab"/>
                  <w:rFonts w:eastAsia="맑은 고딕"/>
                  <w:lang w:eastAsia="fr-FR"/>
                </w:rPr>
                <w:t>BEinfo@celltrionhc.com</w:t>
              </w:r>
            </w:hyperlink>
          </w:p>
          <w:p w14:paraId="415E3E08" w14:textId="77777777" w:rsidR="00A700A3" w:rsidRPr="00330234" w:rsidRDefault="00A700A3">
            <w:pPr>
              <w:tabs>
                <w:tab w:val="left" w:pos="-720"/>
              </w:tabs>
              <w:suppressAutoHyphens/>
              <w:rPr>
                <w:rFonts w:eastAsia="맑은 고딕"/>
                <w:lang w:eastAsia="ko-KR"/>
              </w:rPr>
            </w:pPr>
          </w:p>
        </w:tc>
      </w:tr>
      <w:tr w:rsidR="000030F7" w:rsidRPr="00330234" w14:paraId="101B1E27" w14:textId="77777777">
        <w:trPr>
          <w:cantSplit/>
        </w:trPr>
        <w:tc>
          <w:tcPr>
            <w:tcW w:w="2500" w:type="pct"/>
            <w:hideMark/>
          </w:tcPr>
          <w:p w14:paraId="303A7F41" w14:textId="77777777" w:rsidR="00A700A3" w:rsidRPr="00330234" w:rsidRDefault="00A700A3">
            <w:pPr>
              <w:tabs>
                <w:tab w:val="left" w:pos="-720"/>
              </w:tabs>
              <w:suppressAutoHyphens/>
              <w:rPr>
                <w:rFonts w:eastAsia="맑은 고딕"/>
                <w:b/>
                <w:lang w:eastAsia="fr-FR"/>
              </w:rPr>
            </w:pPr>
            <w:r w:rsidRPr="00330234">
              <w:rPr>
                <w:rFonts w:eastAsia="맑은 고딕"/>
                <w:b/>
                <w:lang w:eastAsia="fr-FR"/>
              </w:rPr>
              <w:t>Česká republika</w:t>
            </w:r>
          </w:p>
          <w:p w14:paraId="4F30B655" w14:textId="77777777" w:rsidR="00A700A3" w:rsidRPr="00330234" w:rsidRDefault="00A700A3">
            <w:pPr>
              <w:tabs>
                <w:tab w:val="left" w:pos="-720"/>
              </w:tabs>
              <w:suppressAutoHyphens/>
              <w:rPr>
                <w:rFonts w:eastAsia="맑은 고딕"/>
                <w:lang w:eastAsia="fr-FR"/>
              </w:rPr>
            </w:pPr>
            <w:r w:rsidRPr="00330234">
              <w:rPr>
                <w:rFonts w:eastAsia="맑은 고딕"/>
                <w:lang w:eastAsia="fr-FR"/>
              </w:rPr>
              <w:t>Celltrion Healthcare Hungary Kft.</w:t>
            </w:r>
          </w:p>
          <w:p w14:paraId="1ACFACEE" w14:textId="77777777" w:rsidR="00A700A3" w:rsidRPr="00330234" w:rsidRDefault="00A700A3">
            <w:pPr>
              <w:tabs>
                <w:tab w:val="left" w:pos="-720"/>
              </w:tabs>
              <w:suppressAutoHyphens/>
              <w:rPr>
                <w:rFonts w:eastAsia="맑은 고딕"/>
                <w:lang w:eastAsia="fr-FR"/>
              </w:rPr>
            </w:pPr>
            <w:r w:rsidRPr="00330234">
              <w:rPr>
                <w:rFonts w:eastAsia="맑은 고딕"/>
                <w:lang w:eastAsia="fr-FR"/>
              </w:rPr>
              <w:t>Tel: +36 1 231 0493</w:t>
            </w:r>
          </w:p>
          <w:p w14:paraId="2C29D5F8" w14:textId="77777777" w:rsidR="00A700A3" w:rsidRPr="00330234" w:rsidRDefault="00A700A3">
            <w:pPr>
              <w:tabs>
                <w:tab w:val="left" w:pos="-720"/>
              </w:tabs>
              <w:suppressAutoHyphens/>
              <w:rPr>
                <w:lang w:eastAsia="fr-FR"/>
              </w:rPr>
            </w:pPr>
          </w:p>
        </w:tc>
        <w:tc>
          <w:tcPr>
            <w:tcW w:w="2500" w:type="pct"/>
          </w:tcPr>
          <w:p w14:paraId="5C0244B6" w14:textId="77777777" w:rsidR="00A700A3" w:rsidRPr="00330234" w:rsidRDefault="00A700A3">
            <w:pPr>
              <w:suppressAutoHyphens/>
              <w:rPr>
                <w:rFonts w:eastAsia="맑은 고딕"/>
                <w:b/>
                <w:lang w:eastAsia="fr-FR"/>
              </w:rPr>
            </w:pPr>
            <w:r w:rsidRPr="00330234">
              <w:rPr>
                <w:b/>
              </w:rPr>
              <w:t>Magyarország</w:t>
            </w:r>
          </w:p>
          <w:p w14:paraId="5E12EE1B" w14:textId="77777777" w:rsidR="00A700A3" w:rsidRPr="00330234" w:rsidRDefault="00A700A3">
            <w:pPr>
              <w:tabs>
                <w:tab w:val="left" w:pos="-720"/>
              </w:tabs>
              <w:suppressAutoHyphens/>
              <w:rPr>
                <w:rFonts w:eastAsia="맑은 고딕"/>
                <w:lang w:eastAsia="fr-FR"/>
              </w:rPr>
            </w:pPr>
            <w:r w:rsidRPr="00330234">
              <w:rPr>
                <w:rFonts w:eastAsia="맑은 고딕"/>
                <w:lang w:eastAsia="fr-FR"/>
              </w:rPr>
              <w:t>Celltrion Healthcare Hungary Kft.</w:t>
            </w:r>
          </w:p>
          <w:p w14:paraId="1745628B" w14:textId="77777777" w:rsidR="00A700A3" w:rsidRPr="00330234" w:rsidRDefault="00A700A3">
            <w:pPr>
              <w:suppressAutoHyphens/>
              <w:rPr>
                <w:rFonts w:eastAsia="맑은 고딕"/>
                <w:lang w:eastAsia="fr-FR"/>
              </w:rPr>
            </w:pPr>
            <w:r w:rsidRPr="00330234">
              <w:rPr>
                <w:rFonts w:eastAsia="맑은 고딕"/>
                <w:lang w:eastAsia="fr-FR"/>
              </w:rPr>
              <w:t>Tel:. +36 1 231 0493</w:t>
            </w:r>
          </w:p>
          <w:p w14:paraId="5BE23514" w14:textId="77777777" w:rsidR="00A700A3" w:rsidRPr="00330234" w:rsidRDefault="00A700A3">
            <w:pPr>
              <w:suppressAutoHyphens/>
              <w:rPr>
                <w:rFonts w:eastAsia="맑은 고딕"/>
                <w:lang w:eastAsia="ko-KR"/>
              </w:rPr>
            </w:pPr>
          </w:p>
        </w:tc>
      </w:tr>
      <w:tr w:rsidR="000030F7" w:rsidRPr="00330234" w14:paraId="5647B7C7" w14:textId="77777777">
        <w:trPr>
          <w:cantSplit/>
        </w:trPr>
        <w:tc>
          <w:tcPr>
            <w:tcW w:w="2500" w:type="pct"/>
            <w:hideMark/>
          </w:tcPr>
          <w:p w14:paraId="7B60887E" w14:textId="00D9088B" w:rsidR="00A700A3" w:rsidRPr="00330234" w:rsidRDefault="00A700A3">
            <w:pPr>
              <w:tabs>
                <w:tab w:val="left" w:pos="-720"/>
              </w:tabs>
              <w:suppressAutoHyphens/>
              <w:rPr>
                <w:b/>
                <w:bCs/>
                <w:i/>
                <w:iCs/>
                <w:lang w:eastAsia="fr-FR"/>
              </w:rPr>
            </w:pPr>
            <w:r w:rsidRPr="00330234">
              <w:rPr>
                <w:b/>
              </w:rPr>
              <w:lastRenderedPageBreak/>
              <w:t>D</w:t>
            </w:r>
            <w:r w:rsidR="00A14D1E">
              <w:rPr>
                <w:b/>
              </w:rPr>
              <w:t>e</w:t>
            </w:r>
            <w:r w:rsidRPr="00330234">
              <w:rPr>
                <w:b/>
              </w:rPr>
              <w:t>nmark</w:t>
            </w:r>
          </w:p>
          <w:p w14:paraId="4161512B" w14:textId="21296D94" w:rsidR="00A700A3" w:rsidRPr="00330234" w:rsidRDefault="00A700A3">
            <w:pPr>
              <w:tabs>
                <w:tab w:val="left" w:pos="-720"/>
              </w:tabs>
              <w:suppressAutoHyphens/>
              <w:rPr>
                <w:rFonts w:eastAsia="맑은 고딕"/>
                <w:lang w:eastAsia="fr-FR"/>
              </w:rPr>
            </w:pPr>
            <w:r w:rsidRPr="00330234">
              <w:rPr>
                <w:rFonts w:eastAsia="맑은 고딕"/>
                <w:lang w:eastAsia="fr-FR"/>
              </w:rPr>
              <w:t xml:space="preserve">Celltrion Healthcare </w:t>
            </w:r>
            <w:r w:rsidR="00A14D1E">
              <w:rPr>
                <w:rFonts w:eastAsia="맑은 고딕" w:hint="eastAsia"/>
                <w:noProof/>
                <w:lang w:eastAsia="ko-KR"/>
              </w:rPr>
              <w:t>Denmark ApS</w:t>
            </w:r>
          </w:p>
          <w:p w14:paraId="4C4B310D" w14:textId="77777777" w:rsidR="00A14D1E" w:rsidRPr="006F04E0" w:rsidRDefault="00A14D1E" w:rsidP="00A14D1E">
            <w:pPr>
              <w:tabs>
                <w:tab w:val="left" w:pos="-720"/>
              </w:tabs>
              <w:suppressAutoHyphens/>
              <w:rPr>
                <w:rFonts w:eastAsia="맑은 고딕"/>
                <w:noProof/>
                <w:lang w:eastAsia="fr-FR"/>
              </w:rPr>
            </w:pPr>
            <w:r w:rsidRPr="006F04E0">
              <w:rPr>
                <w:rFonts w:eastAsia="맑은 고딕"/>
                <w:noProof/>
                <w:lang w:eastAsia="fr-FR"/>
              </w:rPr>
              <w:t>Tel: + 45 3535 2989</w:t>
            </w:r>
          </w:p>
          <w:p w14:paraId="4D73C127" w14:textId="4D5D7945" w:rsidR="00A700A3" w:rsidRPr="00330234" w:rsidRDefault="00A14D1E">
            <w:pPr>
              <w:tabs>
                <w:tab w:val="left" w:pos="-720"/>
              </w:tabs>
              <w:suppressAutoHyphens/>
              <w:rPr>
                <w:rFonts w:eastAsia="맑은 고딕"/>
                <w:lang w:eastAsia="fr-FR"/>
              </w:rPr>
            </w:pPr>
            <w:r w:rsidRPr="006F04E0">
              <w:rPr>
                <w:rFonts w:eastAsia="맑은 고딕"/>
                <w:noProof/>
                <w:lang w:eastAsia="fr-FR"/>
              </w:rPr>
              <w:t>Contact_dk@celltrionhc.com</w:t>
            </w:r>
          </w:p>
          <w:p w14:paraId="6CC5C989" w14:textId="77777777" w:rsidR="00A700A3" w:rsidRPr="00330234" w:rsidRDefault="00A700A3">
            <w:pPr>
              <w:tabs>
                <w:tab w:val="left" w:pos="-720"/>
              </w:tabs>
              <w:suppressAutoHyphens/>
              <w:rPr>
                <w:rFonts w:eastAsia="맑은 고딕"/>
                <w:lang w:eastAsia="fr-FR"/>
              </w:rPr>
            </w:pPr>
          </w:p>
        </w:tc>
        <w:tc>
          <w:tcPr>
            <w:tcW w:w="2500" w:type="pct"/>
          </w:tcPr>
          <w:p w14:paraId="7AD17AD6" w14:textId="77777777" w:rsidR="00A700A3" w:rsidRPr="00330234" w:rsidRDefault="00A700A3">
            <w:pPr>
              <w:suppressAutoHyphens/>
              <w:rPr>
                <w:lang w:eastAsia="fr-FR"/>
              </w:rPr>
            </w:pPr>
            <w:r w:rsidRPr="00330234">
              <w:rPr>
                <w:rFonts w:eastAsia="맑은 고딕"/>
                <w:b/>
                <w:lang w:eastAsia="fr-FR"/>
              </w:rPr>
              <w:t>Malta</w:t>
            </w:r>
          </w:p>
          <w:p w14:paraId="51625D80" w14:textId="77777777" w:rsidR="00A700A3" w:rsidRPr="00330234" w:rsidRDefault="00A700A3">
            <w:pPr>
              <w:tabs>
                <w:tab w:val="left" w:pos="-720"/>
              </w:tabs>
              <w:suppressAutoHyphens/>
              <w:rPr>
                <w:rFonts w:eastAsia="맑은 고딕"/>
                <w:lang w:eastAsia="fr-FR"/>
              </w:rPr>
            </w:pPr>
            <w:r w:rsidRPr="00330234">
              <w:rPr>
                <w:rFonts w:eastAsia="맑은 고딕"/>
                <w:lang w:eastAsia="fr-FR"/>
              </w:rPr>
              <w:t>Mint Health Ltd.</w:t>
            </w:r>
          </w:p>
          <w:p w14:paraId="45A9D7C8" w14:textId="77777777" w:rsidR="00A700A3" w:rsidRPr="00330234" w:rsidRDefault="00A700A3">
            <w:pPr>
              <w:suppressAutoHyphens/>
              <w:rPr>
                <w:rFonts w:eastAsia="맑은 고딕"/>
                <w:lang w:eastAsia="ko-KR"/>
              </w:rPr>
            </w:pPr>
            <w:r w:rsidRPr="00330234">
              <w:rPr>
                <w:rFonts w:eastAsia="맑은 고딕"/>
                <w:lang w:eastAsia="fr-FR"/>
              </w:rPr>
              <w:t>Tel: +356 2093 9800</w:t>
            </w:r>
          </w:p>
          <w:p w14:paraId="1FC7FD28" w14:textId="77777777" w:rsidR="00A700A3" w:rsidRPr="00330234" w:rsidRDefault="00A700A3">
            <w:pPr>
              <w:suppressAutoHyphens/>
              <w:rPr>
                <w:rFonts w:eastAsia="맑은 고딕"/>
                <w:lang w:eastAsia="ko-KR"/>
              </w:rPr>
            </w:pPr>
          </w:p>
        </w:tc>
      </w:tr>
      <w:tr w:rsidR="000030F7" w:rsidRPr="00330234" w14:paraId="1CA9A484" w14:textId="77777777">
        <w:trPr>
          <w:cantSplit/>
        </w:trPr>
        <w:tc>
          <w:tcPr>
            <w:tcW w:w="2500" w:type="pct"/>
            <w:hideMark/>
          </w:tcPr>
          <w:p w14:paraId="18623BBD" w14:textId="77777777" w:rsidR="00A700A3" w:rsidRPr="00330234" w:rsidRDefault="00A700A3">
            <w:pPr>
              <w:suppressAutoHyphens/>
              <w:rPr>
                <w:b/>
              </w:rPr>
            </w:pPr>
            <w:r w:rsidRPr="00330234">
              <w:rPr>
                <w:b/>
              </w:rPr>
              <w:t>Deutschland</w:t>
            </w:r>
          </w:p>
          <w:p w14:paraId="0B9A9176" w14:textId="77777777" w:rsidR="00A700A3" w:rsidRPr="00330234" w:rsidRDefault="00A700A3">
            <w:pPr>
              <w:tabs>
                <w:tab w:val="left" w:pos="-720"/>
              </w:tabs>
              <w:suppressAutoHyphens/>
            </w:pPr>
            <w:r w:rsidRPr="00330234">
              <w:t xml:space="preserve">Celltrion Healthcare Deutschland </w:t>
            </w:r>
            <w:r w:rsidRPr="00330234">
              <w:rPr>
                <w:rFonts w:eastAsia="맑은 고딕"/>
                <w:lang w:eastAsia="fr-FR"/>
              </w:rPr>
              <w:t>GmbH</w:t>
            </w:r>
          </w:p>
          <w:p w14:paraId="43CB2080" w14:textId="77777777" w:rsidR="00A700A3" w:rsidRPr="00330234" w:rsidRDefault="00A700A3">
            <w:pPr>
              <w:tabs>
                <w:tab w:val="left" w:pos="-720"/>
              </w:tabs>
              <w:suppressAutoHyphens/>
              <w:rPr>
                <w:rFonts w:eastAsia="맑은 고딕"/>
                <w:lang w:eastAsia="fr-FR"/>
              </w:rPr>
            </w:pPr>
            <w:r w:rsidRPr="00330234">
              <w:t xml:space="preserve">Tel: </w:t>
            </w:r>
            <w:r w:rsidRPr="00330234">
              <w:rPr>
                <w:rFonts w:eastAsia="맑은 고딕"/>
                <w:lang w:eastAsia="fr-FR"/>
              </w:rPr>
              <w:t>+49 (0)30 346494150</w:t>
            </w:r>
          </w:p>
          <w:p w14:paraId="62AAB706" w14:textId="77777777" w:rsidR="00A700A3" w:rsidRPr="00330234" w:rsidRDefault="00A700A3">
            <w:pPr>
              <w:tabs>
                <w:tab w:val="left" w:pos="-720"/>
              </w:tabs>
              <w:suppressAutoHyphens/>
              <w:rPr>
                <w:rFonts w:eastAsia="맑은 고딕"/>
                <w:lang w:eastAsia="fr-FR"/>
              </w:rPr>
            </w:pPr>
            <w:hyperlink r:id="rId44" w:history="1">
              <w:r w:rsidRPr="00330234">
                <w:rPr>
                  <w:rStyle w:val="ab"/>
                  <w:rFonts w:eastAsia="맑은 고딕"/>
                  <w:lang w:eastAsia="fr-FR"/>
                </w:rPr>
                <w:t>infoDE@celltrionhc.com</w:t>
              </w:r>
            </w:hyperlink>
          </w:p>
          <w:p w14:paraId="4A3C49EE" w14:textId="77777777" w:rsidR="00A700A3" w:rsidRPr="00330234" w:rsidRDefault="00A700A3">
            <w:pPr>
              <w:tabs>
                <w:tab w:val="left" w:pos="-720"/>
              </w:tabs>
              <w:suppressAutoHyphens/>
              <w:rPr>
                <w:rFonts w:eastAsia="맑은 고딕"/>
                <w:lang w:eastAsia="fr-FR"/>
              </w:rPr>
            </w:pPr>
          </w:p>
        </w:tc>
        <w:tc>
          <w:tcPr>
            <w:tcW w:w="2500" w:type="pct"/>
          </w:tcPr>
          <w:p w14:paraId="05ED06C2" w14:textId="77777777" w:rsidR="00A700A3" w:rsidRPr="00330234" w:rsidRDefault="00A700A3">
            <w:pPr>
              <w:suppressAutoHyphens/>
              <w:rPr>
                <w:lang w:eastAsia="fr-FR"/>
              </w:rPr>
            </w:pPr>
            <w:r w:rsidRPr="00330234">
              <w:rPr>
                <w:rFonts w:eastAsia="맑은 고딕"/>
                <w:b/>
                <w:lang w:eastAsia="fr-FR"/>
              </w:rPr>
              <w:t>Nederland</w:t>
            </w:r>
          </w:p>
          <w:p w14:paraId="7128E50A" w14:textId="77777777" w:rsidR="00A700A3" w:rsidRPr="00330234" w:rsidRDefault="00A700A3">
            <w:pPr>
              <w:suppressAutoHyphens/>
              <w:rPr>
                <w:rFonts w:eastAsia="맑은 고딕"/>
                <w:lang w:eastAsia="fr-FR"/>
              </w:rPr>
            </w:pPr>
            <w:r w:rsidRPr="00330234">
              <w:rPr>
                <w:rFonts w:eastAsia="맑은 고딕"/>
                <w:lang w:eastAsia="fr-FR"/>
              </w:rPr>
              <w:t>Celltrion Healthcare Netherlands B.V.</w:t>
            </w:r>
          </w:p>
          <w:p w14:paraId="48E7A30C" w14:textId="77777777" w:rsidR="00A700A3" w:rsidRPr="00330234" w:rsidRDefault="00A700A3">
            <w:pPr>
              <w:suppressAutoHyphens/>
              <w:rPr>
                <w:rFonts w:eastAsia="맑은 고딕"/>
                <w:lang w:eastAsia="fr-FR"/>
              </w:rPr>
            </w:pPr>
            <w:r w:rsidRPr="00330234">
              <w:rPr>
                <w:rFonts w:eastAsia="맑은 고딕"/>
                <w:lang w:eastAsia="fr-FR"/>
              </w:rPr>
              <w:t>Tel: + 31 20 888 7300</w:t>
            </w:r>
          </w:p>
          <w:p w14:paraId="7966EB48" w14:textId="77777777" w:rsidR="00A700A3" w:rsidRPr="00330234" w:rsidRDefault="00A700A3">
            <w:pPr>
              <w:suppressAutoHyphens/>
              <w:rPr>
                <w:rFonts w:eastAsia="맑은 고딕"/>
                <w:lang w:eastAsia="fr-FR"/>
              </w:rPr>
            </w:pPr>
            <w:hyperlink r:id="rId45" w:history="1">
              <w:r w:rsidRPr="00330234">
                <w:rPr>
                  <w:rStyle w:val="ab"/>
                  <w:rFonts w:eastAsia="맑은 고딕"/>
                  <w:lang w:eastAsia="fr-FR"/>
                </w:rPr>
                <w:t>NLinfo@celltrionh</w:t>
              </w:r>
              <w:r w:rsidRPr="00330234">
                <w:rPr>
                  <w:rStyle w:val="ab"/>
                </w:rPr>
                <w:t>c</w:t>
              </w:r>
              <w:r w:rsidRPr="00330234">
                <w:rPr>
                  <w:rStyle w:val="ab"/>
                  <w:rFonts w:eastAsia="맑은 고딕"/>
                  <w:lang w:eastAsia="fr-FR"/>
                </w:rPr>
                <w:t>.com</w:t>
              </w:r>
            </w:hyperlink>
          </w:p>
          <w:p w14:paraId="7C5D26E2" w14:textId="77777777" w:rsidR="00A700A3" w:rsidRPr="00330234" w:rsidRDefault="00A700A3">
            <w:pPr>
              <w:suppressAutoHyphens/>
              <w:rPr>
                <w:rFonts w:eastAsia="맑은 고딕"/>
                <w:lang w:eastAsia="fr-FR"/>
              </w:rPr>
            </w:pPr>
          </w:p>
        </w:tc>
      </w:tr>
      <w:tr w:rsidR="000030F7" w:rsidRPr="00330234" w14:paraId="72319B1D" w14:textId="77777777">
        <w:trPr>
          <w:cantSplit/>
        </w:trPr>
        <w:tc>
          <w:tcPr>
            <w:tcW w:w="2500" w:type="pct"/>
            <w:hideMark/>
          </w:tcPr>
          <w:p w14:paraId="33190B89" w14:textId="77777777" w:rsidR="00A700A3" w:rsidRPr="00330234" w:rsidRDefault="00A700A3">
            <w:pPr>
              <w:tabs>
                <w:tab w:val="left" w:pos="-720"/>
                <w:tab w:val="left" w:pos="4536"/>
              </w:tabs>
              <w:suppressAutoHyphens/>
              <w:rPr>
                <w:b/>
                <w:lang w:eastAsia="fr-FR"/>
              </w:rPr>
            </w:pPr>
            <w:r w:rsidRPr="00330234">
              <w:rPr>
                <w:rFonts w:eastAsia="맑은 고딕"/>
                <w:b/>
                <w:lang w:eastAsia="fr-FR"/>
              </w:rPr>
              <w:t>Eesti</w:t>
            </w:r>
          </w:p>
          <w:p w14:paraId="62DC475B" w14:textId="77777777" w:rsidR="00A700A3" w:rsidRPr="00330234" w:rsidRDefault="00A700A3">
            <w:pPr>
              <w:tabs>
                <w:tab w:val="left" w:pos="-720"/>
              </w:tabs>
              <w:suppressAutoHyphens/>
              <w:rPr>
                <w:rFonts w:eastAsia="맑은 고딕"/>
                <w:lang w:eastAsia="fr-FR"/>
              </w:rPr>
            </w:pPr>
            <w:r w:rsidRPr="00330234">
              <w:rPr>
                <w:rFonts w:eastAsia="맑은 고딕"/>
                <w:lang w:eastAsia="fr-FR"/>
              </w:rPr>
              <w:t>Celltrion Healthcare Hungary Kft.</w:t>
            </w:r>
          </w:p>
          <w:p w14:paraId="37AA5DED" w14:textId="77777777" w:rsidR="00A700A3" w:rsidRPr="00330234" w:rsidRDefault="00A700A3">
            <w:pPr>
              <w:tabs>
                <w:tab w:val="left" w:pos="-720"/>
              </w:tabs>
              <w:suppressAutoHyphens/>
              <w:rPr>
                <w:rFonts w:eastAsia="맑은 고딕"/>
                <w:lang w:eastAsia="fr-FR"/>
              </w:rPr>
            </w:pPr>
            <w:r w:rsidRPr="00330234">
              <w:rPr>
                <w:rFonts w:eastAsia="맑은 고딕"/>
                <w:lang w:eastAsia="fr-FR"/>
              </w:rPr>
              <w:t>Tel: +36 1 231 0493</w:t>
            </w:r>
          </w:p>
          <w:p w14:paraId="1DE22E35" w14:textId="77777777" w:rsidR="00A700A3" w:rsidRPr="00330234" w:rsidRDefault="00A700A3">
            <w:pPr>
              <w:tabs>
                <w:tab w:val="left" w:pos="-720"/>
              </w:tabs>
              <w:suppressAutoHyphens/>
              <w:rPr>
                <w:rFonts w:eastAsia="맑은 고딕"/>
                <w:lang w:eastAsia="ko-KR"/>
              </w:rPr>
            </w:pPr>
          </w:p>
        </w:tc>
        <w:tc>
          <w:tcPr>
            <w:tcW w:w="2500" w:type="pct"/>
          </w:tcPr>
          <w:p w14:paraId="09136A52" w14:textId="77777777" w:rsidR="00A700A3" w:rsidRPr="00330234" w:rsidRDefault="00A700A3">
            <w:pPr>
              <w:tabs>
                <w:tab w:val="left" w:pos="-720"/>
              </w:tabs>
              <w:suppressAutoHyphens/>
              <w:rPr>
                <w:lang w:eastAsia="fr-FR"/>
              </w:rPr>
            </w:pPr>
            <w:r w:rsidRPr="00330234">
              <w:rPr>
                <w:rFonts w:eastAsia="맑은 고딕"/>
                <w:b/>
                <w:lang w:eastAsia="fr-FR"/>
              </w:rPr>
              <w:t>Norge</w:t>
            </w:r>
          </w:p>
          <w:p w14:paraId="48E26EB5" w14:textId="16021B62" w:rsidR="00A700A3" w:rsidRPr="00330234" w:rsidRDefault="00A700A3">
            <w:pPr>
              <w:tabs>
                <w:tab w:val="left" w:pos="-720"/>
              </w:tabs>
              <w:suppressAutoHyphens/>
              <w:rPr>
                <w:rFonts w:eastAsia="맑은 고딕"/>
                <w:lang w:eastAsia="fr-FR"/>
              </w:rPr>
            </w:pPr>
            <w:r w:rsidRPr="00330234">
              <w:rPr>
                <w:rFonts w:eastAsia="맑은 고딕"/>
                <w:lang w:eastAsia="fr-FR"/>
              </w:rPr>
              <w:t xml:space="preserve">Celltrion Healthcare </w:t>
            </w:r>
            <w:r w:rsidR="00A14D1E" w:rsidRPr="006F04E0">
              <w:rPr>
                <w:rFonts w:eastAsia="맑은 고딕"/>
                <w:noProof/>
                <w:lang w:eastAsia="fr-FR"/>
              </w:rPr>
              <w:t>Norway AS</w:t>
            </w:r>
          </w:p>
          <w:p w14:paraId="31BDE1F5" w14:textId="69E12929" w:rsidR="00A700A3" w:rsidRPr="00330234" w:rsidRDefault="00A14D1E">
            <w:pPr>
              <w:tabs>
                <w:tab w:val="left" w:pos="-720"/>
              </w:tabs>
              <w:suppressAutoHyphens/>
              <w:rPr>
                <w:rFonts w:eastAsia="맑은 고딕"/>
                <w:lang w:eastAsia="ko-KR"/>
              </w:rPr>
            </w:pPr>
            <w:r w:rsidRPr="006F04E0">
              <w:rPr>
                <w:rFonts w:eastAsia="맑은 고딕"/>
                <w:noProof/>
                <w:lang w:eastAsia="fr-FR"/>
              </w:rPr>
              <w:t>Contact_no@celltrionhc.com</w:t>
            </w:r>
          </w:p>
          <w:p w14:paraId="5C92436D" w14:textId="77777777" w:rsidR="00A700A3" w:rsidRPr="00330234" w:rsidRDefault="00A700A3">
            <w:pPr>
              <w:tabs>
                <w:tab w:val="left" w:pos="-720"/>
              </w:tabs>
              <w:suppressAutoHyphens/>
              <w:rPr>
                <w:rFonts w:eastAsia="맑은 고딕"/>
                <w:lang w:eastAsia="ko-KR"/>
              </w:rPr>
            </w:pPr>
          </w:p>
        </w:tc>
      </w:tr>
      <w:tr w:rsidR="000030F7" w:rsidRPr="00330234" w14:paraId="6582497B" w14:textId="77777777">
        <w:trPr>
          <w:cantSplit/>
        </w:trPr>
        <w:tc>
          <w:tcPr>
            <w:tcW w:w="2500" w:type="pct"/>
            <w:hideMark/>
          </w:tcPr>
          <w:p w14:paraId="7418A4AA" w14:textId="77777777" w:rsidR="00A700A3" w:rsidRPr="00330234" w:rsidRDefault="00A700A3">
            <w:pPr>
              <w:suppressAutoHyphens/>
              <w:rPr>
                <w:lang w:eastAsia="fr-FR"/>
              </w:rPr>
            </w:pPr>
            <w:r w:rsidRPr="00330234">
              <w:rPr>
                <w:b/>
              </w:rPr>
              <w:t>España</w:t>
            </w:r>
          </w:p>
          <w:p w14:paraId="7071F4C8" w14:textId="017D7040" w:rsidR="00A700A3" w:rsidRPr="00330234" w:rsidRDefault="00A700A3">
            <w:pPr>
              <w:suppressAutoHyphens/>
              <w:rPr>
                <w:rFonts w:eastAsia="맑은 고딕"/>
                <w:lang w:eastAsia="fr-FR"/>
              </w:rPr>
            </w:pPr>
            <w:r w:rsidRPr="00330234">
              <w:rPr>
                <w:rFonts w:eastAsia="맑은 고딕"/>
                <w:lang w:eastAsia="fr-FR"/>
              </w:rPr>
              <w:t>CELLTRION FARMACEUTICA (ESPAÑA) S.L.</w:t>
            </w:r>
          </w:p>
          <w:p w14:paraId="5EC89391" w14:textId="20F1014F" w:rsidR="00A700A3" w:rsidRPr="00330234" w:rsidRDefault="00A700A3">
            <w:pPr>
              <w:suppressAutoHyphens/>
              <w:rPr>
                <w:rFonts w:eastAsia="맑은 고딕"/>
                <w:lang w:eastAsia="fr-FR"/>
              </w:rPr>
            </w:pPr>
            <w:r w:rsidRPr="00330234">
              <w:rPr>
                <w:rFonts w:eastAsia="맑은 고딕"/>
                <w:lang w:eastAsia="fr-FR"/>
              </w:rPr>
              <w:t xml:space="preserve">Tel: +34 </w:t>
            </w:r>
            <w:r w:rsidR="00474CDA">
              <w:rPr>
                <w:rFonts w:eastAsia="맑은 고딕"/>
                <w:lang w:eastAsia="fr-FR"/>
              </w:rPr>
              <w:t>910 498 478</w:t>
            </w:r>
          </w:p>
          <w:p w14:paraId="4FD205B4" w14:textId="77777777" w:rsidR="00A700A3" w:rsidRPr="00330234" w:rsidRDefault="00A700A3">
            <w:pPr>
              <w:suppressAutoHyphens/>
              <w:rPr>
                <w:b/>
                <w:lang w:eastAsia="fr-FR"/>
              </w:rPr>
            </w:pPr>
          </w:p>
        </w:tc>
        <w:tc>
          <w:tcPr>
            <w:tcW w:w="2500" w:type="pct"/>
          </w:tcPr>
          <w:p w14:paraId="4731B709" w14:textId="77777777" w:rsidR="00A700A3" w:rsidRPr="00330234" w:rsidRDefault="00A700A3">
            <w:pPr>
              <w:suppressAutoHyphens/>
              <w:rPr>
                <w:lang w:eastAsia="fr-FR"/>
              </w:rPr>
            </w:pPr>
            <w:r w:rsidRPr="00330234">
              <w:rPr>
                <w:b/>
              </w:rPr>
              <w:t>Österreich</w:t>
            </w:r>
          </w:p>
          <w:p w14:paraId="5947BCA5" w14:textId="77777777" w:rsidR="00A700A3" w:rsidRPr="00330234" w:rsidRDefault="00A700A3">
            <w:pPr>
              <w:suppressAutoHyphens/>
              <w:rPr>
                <w:rFonts w:eastAsia="맑은 고딕"/>
                <w:lang w:eastAsia="ko-KR"/>
              </w:rPr>
            </w:pPr>
            <w:r w:rsidRPr="00330234">
              <w:rPr>
                <w:rFonts w:eastAsia="맑은 고딕"/>
                <w:lang w:eastAsia="fr-FR"/>
              </w:rPr>
              <w:t>Astro-Pharma GmbH</w:t>
            </w:r>
          </w:p>
          <w:p w14:paraId="301CE0C1" w14:textId="77777777" w:rsidR="00A700A3" w:rsidRPr="00330234" w:rsidRDefault="00A700A3">
            <w:pPr>
              <w:tabs>
                <w:tab w:val="left" w:pos="-720"/>
              </w:tabs>
              <w:suppressAutoHyphens/>
              <w:rPr>
                <w:rFonts w:eastAsia="맑은 고딕"/>
                <w:lang w:eastAsia="fr-FR"/>
              </w:rPr>
            </w:pPr>
            <w:r w:rsidRPr="00330234">
              <w:rPr>
                <w:rFonts w:eastAsia="맑은 고딕"/>
                <w:lang w:eastAsia="fr-FR"/>
              </w:rPr>
              <w:t>Tel: +43 1 97 99 860</w:t>
            </w:r>
          </w:p>
          <w:p w14:paraId="5EE72BA5" w14:textId="77777777" w:rsidR="00A700A3" w:rsidRPr="00330234" w:rsidRDefault="00A700A3">
            <w:pPr>
              <w:tabs>
                <w:tab w:val="left" w:pos="-720"/>
              </w:tabs>
              <w:suppressAutoHyphens/>
              <w:rPr>
                <w:lang w:eastAsia="fr-FR"/>
              </w:rPr>
            </w:pPr>
          </w:p>
        </w:tc>
      </w:tr>
      <w:tr w:rsidR="000030F7" w:rsidRPr="00330234" w14:paraId="0143912F" w14:textId="77777777">
        <w:trPr>
          <w:cantSplit/>
        </w:trPr>
        <w:tc>
          <w:tcPr>
            <w:tcW w:w="2500" w:type="pct"/>
          </w:tcPr>
          <w:p w14:paraId="5249ED24" w14:textId="77777777" w:rsidR="00A700A3" w:rsidRPr="00330234" w:rsidRDefault="00A700A3">
            <w:pPr>
              <w:suppressAutoHyphens/>
              <w:rPr>
                <w:b/>
                <w:lang w:eastAsia="fr-FR"/>
              </w:rPr>
            </w:pPr>
            <w:r w:rsidRPr="00330234">
              <w:rPr>
                <w:b/>
                <w:lang w:eastAsia="fr-FR"/>
              </w:rPr>
              <w:t>Ελλάδα</w:t>
            </w:r>
          </w:p>
          <w:p w14:paraId="791B68C6" w14:textId="77777777" w:rsidR="00A700A3" w:rsidRPr="00330234" w:rsidRDefault="00A700A3">
            <w:pPr>
              <w:suppressAutoHyphens/>
              <w:rPr>
                <w:lang w:eastAsia="fr-FR"/>
              </w:rPr>
            </w:pPr>
            <w:r w:rsidRPr="00330234">
              <w:rPr>
                <w:lang w:eastAsia="fr-FR"/>
              </w:rPr>
              <w:t>ΒΙΑΝΕΞ Α.Ε.</w:t>
            </w:r>
          </w:p>
          <w:p w14:paraId="2B8F66F2" w14:textId="77777777" w:rsidR="00A700A3" w:rsidRPr="00330234" w:rsidRDefault="00A700A3">
            <w:pPr>
              <w:suppressAutoHyphens/>
              <w:rPr>
                <w:lang w:eastAsia="fr-FR"/>
              </w:rPr>
            </w:pPr>
            <w:r w:rsidRPr="00330234">
              <w:rPr>
                <w:lang w:eastAsia="fr-FR"/>
              </w:rPr>
              <w:t xml:space="preserve">Τηλ: +30 210 8009111 </w:t>
            </w:r>
          </w:p>
          <w:p w14:paraId="376D24DC" w14:textId="77777777" w:rsidR="00A700A3" w:rsidRPr="00330234" w:rsidRDefault="00A700A3">
            <w:pPr>
              <w:suppressAutoHyphens/>
              <w:rPr>
                <w:rFonts w:eastAsia="맑은 고딕"/>
                <w:lang w:eastAsia="fr-FR"/>
              </w:rPr>
            </w:pPr>
          </w:p>
        </w:tc>
        <w:tc>
          <w:tcPr>
            <w:tcW w:w="2500" w:type="pct"/>
          </w:tcPr>
          <w:p w14:paraId="712BE8AE" w14:textId="77777777" w:rsidR="00A700A3" w:rsidRPr="00330234" w:rsidRDefault="00A700A3">
            <w:pPr>
              <w:suppressAutoHyphens/>
              <w:rPr>
                <w:rFonts w:eastAsia="맑은 고딕"/>
                <w:b/>
                <w:lang w:eastAsia="fr-FR"/>
              </w:rPr>
            </w:pPr>
            <w:r w:rsidRPr="00330234">
              <w:rPr>
                <w:rFonts w:eastAsia="맑은 고딕"/>
                <w:b/>
                <w:lang w:eastAsia="fr-FR"/>
              </w:rPr>
              <w:t>Polska</w:t>
            </w:r>
          </w:p>
          <w:p w14:paraId="3C8A5678" w14:textId="77777777" w:rsidR="00A700A3" w:rsidRPr="00330234" w:rsidRDefault="00A700A3">
            <w:pPr>
              <w:tabs>
                <w:tab w:val="left" w:pos="-720"/>
              </w:tabs>
              <w:suppressAutoHyphens/>
              <w:rPr>
                <w:rFonts w:eastAsia="맑은 고딕"/>
                <w:lang w:eastAsia="fr-FR"/>
              </w:rPr>
            </w:pPr>
            <w:r w:rsidRPr="00330234">
              <w:rPr>
                <w:rFonts w:eastAsia="맑은 고딕"/>
                <w:lang w:eastAsia="fr-FR"/>
              </w:rPr>
              <w:t>Celltrion Healthcare Hungary Kft.</w:t>
            </w:r>
          </w:p>
          <w:p w14:paraId="22240BCB" w14:textId="77777777" w:rsidR="00A700A3" w:rsidRPr="00330234" w:rsidRDefault="00A700A3">
            <w:pPr>
              <w:suppressAutoHyphens/>
              <w:rPr>
                <w:rFonts w:eastAsia="맑은 고딕"/>
                <w:lang w:eastAsia="fr-FR"/>
              </w:rPr>
            </w:pPr>
            <w:r w:rsidRPr="00330234">
              <w:rPr>
                <w:rFonts w:eastAsia="맑은 고딕"/>
                <w:lang w:eastAsia="fr-FR"/>
              </w:rPr>
              <w:t>Tel.: +36 1 231 0493</w:t>
            </w:r>
          </w:p>
          <w:p w14:paraId="5BE52830" w14:textId="77777777" w:rsidR="00A700A3" w:rsidRPr="00330234" w:rsidRDefault="00A700A3">
            <w:pPr>
              <w:suppressAutoHyphens/>
              <w:rPr>
                <w:b/>
              </w:rPr>
            </w:pPr>
          </w:p>
        </w:tc>
      </w:tr>
      <w:tr w:rsidR="000030F7" w:rsidRPr="00330234" w14:paraId="7D7A9071" w14:textId="77777777">
        <w:trPr>
          <w:cantSplit/>
        </w:trPr>
        <w:tc>
          <w:tcPr>
            <w:tcW w:w="2500" w:type="pct"/>
          </w:tcPr>
          <w:p w14:paraId="18256017" w14:textId="77777777" w:rsidR="00A700A3" w:rsidRPr="00330234" w:rsidRDefault="00A700A3">
            <w:pPr>
              <w:suppressAutoHyphens/>
              <w:rPr>
                <w:b/>
                <w:lang w:eastAsia="ko-KR"/>
              </w:rPr>
            </w:pPr>
            <w:r w:rsidRPr="00330234">
              <w:rPr>
                <w:b/>
                <w:lang w:eastAsia="ko-KR"/>
              </w:rPr>
              <w:t>France</w:t>
            </w:r>
          </w:p>
          <w:p w14:paraId="6CE405AE" w14:textId="77777777" w:rsidR="00A700A3" w:rsidRPr="00330234" w:rsidRDefault="00A700A3">
            <w:pPr>
              <w:suppressAutoHyphens/>
              <w:rPr>
                <w:lang w:eastAsia="ko-KR"/>
              </w:rPr>
            </w:pPr>
            <w:r w:rsidRPr="00330234">
              <w:rPr>
                <w:lang w:eastAsia="ko-KR"/>
              </w:rPr>
              <w:t>Celltrion Healthcare France SAS</w:t>
            </w:r>
          </w:p>
          <w:p w14:paraId="02BAD9D1" w14:textId="77777777" w:rsidR="00A700A3" w:rsidRPr="00330234" w:rsidRDefault="00A700A3">
            <w:pPr>
              <w:suppressAutoHyphens/>
              <w:rPr>
                <w:rFonts w:eastAsia="맑은 고딕"/>
                <w:lang w:eastAsia="ko-KR"/>
              </w:rPr>
            </w:pPr>
            <w:r w:rsidRPr="00330234">
              <w:rPr>
                <w:lang w:eastAsia="ko-KR"/>
              </w:rPr>
              <w:t>T</w:t>
            </w:r>
            <w:r w:rsidRPr="00330234">
              <w:t>é</w:t>
            </w:r>
            <w:r w:rsidRPr="00330234">
              <w:rPr>
                <w:lang w:eastAsia="ko-KR"/>
              </w:rPr>
              <w:t>l.: +33 (0)1 71 25 27 00</w:t>
            </w:r>
          </w:p>
          <w:p w14:paraId="5542CA84" w14:textId="77777777" w:rsidR="00A700A3" w:rsidRPr="00330234" w:rsidRDefault="00A700A3">
            <w:pPr>
              <w:suppressAutoHyphens/>
              <w:rPr>
                <w:rFonts w:eastAsia="맑은 고딕"/>
                <w:lang w:eastAsia="fr-FR"/>
              </w:rPr>
            </w:pPr>
          </w:p>
        </w:tc>
        <w:tc>
          <w:tcPr>
            <w:tcW w:w="2500" w:type="pct"/>
          </w:tcPr>
          <w:p w14:paraId="7E600E81" w14:textId="77777777" w:rsidR="00A700A3" w:rsidRPr="00330234" w:rsidRDefault="00A700A3">
            <w:pPr>
              <w:suppressAutoHyphens/>
              <w:adjustRightInd w:val="0"/>
              <w:rPr>
                <w:lang w:eastAsia="fr-FR"/>
              </w:rPr>
            </w:pPr>
            <w:r w:rsidRPr="00330234">
              <w:rPr>
                <w:rFonts w:eastAsia="맑은 고딕"/>
                <w:b/>
                <w:lang w:eastAsia="fr-FR"/>
              </w:rPr>
              <w:t>Portugal</w:t>
            </w:r>
          </w:p>
          <w:p w14:paraId="461978ED" w14:textId="77777777" w:rsidR="00A700A3" w:rsidRPr="00330234" w:rsidRDefault="00A700A3">
            <w:pPr>
              <w:suppressAutoHyphens/>
              <w:adjustRightInd w:val="0"/>
              <w:rPr>
                <w:rFonts w:eastAsia="맑은 고딕"/>
                <w:lang w:eastAsia="ko-KR"/>
              </w:rPr>
            </w:pPr>
            <w:r w:rsidRPr="00330234">
              <w:rPr>
                <w:rFonts w:eastAsia="맑은 고딕"/>
                <w:lang w:eastAsia="fr-FR"/>
              </w:rPr>
              <w:t>CELLTRION PORTUGAL, UNIPESSOAL LDA.</w:t>
            </w:r>
          </w:p>
          <w:p w14:paraId="5A4104EC" w14:textId="77777777" w:rsidR="00A700A3" w:rsidRPr="00330234" w:rsidRDefault="00A700A3">
            <w:pPr>
              <w:suppressAutoHyphens/>
              <w:rPr>
                <w:b/>
              </w:rPr>
            </w:pPr>
            <w:r w:rsidRPr="00330234">
              <w:t xml:space="preserve">Tel: </w:t>
            </w:r>
            <w:r w:rsidRPr="00330234">
              <w:rPr>
                <w:rFonts w:eastAsia="맑은 고딕"/>
                <w:lang w:eastAsia="fr-FR"/>
              </w:rPr>
              <w:t>+351 21 936 8542</w:t>
            </w:r>
          </w:p>
          <w:p w14:paraId="0B66AFFF" w14:textId="77777777" w:rsidR="00A700A3" w:rsidRPr="00330234" w:rsidRDefault="00A700A3">
            <w:pPr>
              <w:suppressAutoHyphens/>
              <w:rPr>
                <w:b/>
              </w:rPr>
            </w:pPr>
          </w:p>
        </w:tc>
      </w:tr>
      <w:tr w:rsidR="000030F7" w:rsidRPr="00330234" w14:paraId="7BB9B67D" w14:textId="77777777">
        <w:trPr>
          <w:cantSplit/>
        </w:trPr>
        <w:tc>
          <w:tcPr>
            <w:tcW w:w="2500" w:type="pct"/>
          </w:tcPr>
          <w:p w14:paraId="620431D7" w14:textId="77777777" w:rsidR="00A700A3" w:rsidRPr="00330234" w:rsidRDefault="00A700A3">
            <w:pPr>
              <w:suppressAutoHyphens/>
              <w:rPr>
                <w:b/>
                <w:lang w:eastAsia="ko-KR"/>
              </w:rPr>
            </w:pPr>
            <w:r w:rsidRPr="00330234">
              <w:rPr>
                <w:b/>
                <w:lang w:eastAsia="ko-KR"/>
              </w:rPr>
              <w:t>Hrvatska</w:t>
            </w:r>
          </w:p>
          <w:p w14:paraId="55F8E96F" w14:textId="77777777" w:rsidR="00A700A3" w:rsidRPr="00330234" w:rsidRDefault="00A700A3">
            <w:pPr>
              <w:suppressAutoHyphens/>
              <w:rPr>
                <w:lang w:eastAsia="ko-KR"/>
              </w:rPr>
            </w:pPr>
            <w:r w:rsidRPr="00330234">
              <w:rPr>
                <w:lang w:eastAsia="ko-KR"/>
              </w:rPr>
              <w:t>Oktal Pharma d.o.o.</w:t>
            </w:r>
          </w:p>
          <w:p w14:paraId="4920297B" w14:textId="77777777" w:rsidR="00A700A3" w:rsidRPr="00330234" w:rsidRDefault="00A700A3">
            <w:pPr>
              <w:suppressAutoHyphens/>
              <w:rPr>
                <w:lang w:eastAsia="ko-KR"/>
              </w:rPr>
            </w:pPr>
            <w:r w:rsidRPr="00330234">
              <w:rPr>
                <w:lang w:eastAsia="ko-KR"/>
              </w:rPr>
              <w:t>Tel: +385 1 6595 777</w:t>
            </w:r>
          </w:p>
          <w:p w14:paraId="71E42B92" w14:textId="77777777" w:rsidR="00A700A3" w:rsidRPr="00330234" w:rsidRDefault="00A700A3">
            <w:pPr>
              <w:suppressAutoHyphens/>
              <w:rPr>
                <w:rFonts w:eastAsia="맑은 고딕"/>
                <w:lang w:eastAsia="fr-FR"/>
              </w:rPr>
            </w:pPr>
          </w:p>
        </w:tc>
        <w:tc>
          <w:tcPr>
            <w:tcW w:w="2500" w:type="pct"/>
          </w:tcPr>
          <w:p w14:paraId="596882B6" w14:textId="77777777" w:rsidR="00A700A3" w:rsidRPr="00330234" w:rsidRDefault="00A700A3">
            <w:pPr>
              <w:tabs>
                <w:tab w:val="left" w:pos="-720"/>
              </w:tabs>
              <w:suppressAutoHyphens/>
              <w:rPr>
                <w:rFonts w:eastAsia="맑은 고딕"/>
                <w:b/>
                <w:lang w:eastAsia="fr-FR"/>
              </w:rPr>
            </w:pPr>
            <w:r w:rsidRPr="00330234">
              <w:rPr>
                <w:b/>
              </w:rPr>
              <w:t>România</w:t>
            </w:r>
          </w:p>
          <w:p w14:paraId="196B77EE" w14:textId="77777777" w:rsidR="00A700A3" w:rsidRPr="00330234" w:rsidRDefault="00A700A3">
            <w:pPr>
              <w:tabs>
                <w:tab w:val="left" w:pos="-720"/>
              </w:tabs>
              <w:suppressAutoHyphens/>
              <w:rPr>
                <w:rFonts w:eastAsia="맑은 고딕"/>
                <w:lang w:eastAsia="fr-FR"/>
              </w:rPr>
            </w:pPr>
            <w:r w:rsidRPr="00330234">
              <w:rPr>
                <w:rFonts w:eastAsia="맑은 고딕"/>
                <w:lang w:eastAsia="fr-FR"/>
              </w:rPr>
              <w:t>Celltrion Healthcare Hungary Kft.</w:t>
            </w:r>
          </w:p>
          <w:p w14:paraId="4AE4A9F2" w14:textId="77777777" w:rsidR="00A700A3" w:rsidRPr="00330234" w:rsidRDefault="00A700A3">
            <w:pPr>
              <w:suppressAutoHyphens/>
              <w:rPr>
                <w:rFonts w:eastAsia="맑은 고딕"/>
                <w:lang w:eastAsia="fr-FR"/>
              </w:rPr>
            </w:pPr>
            <w:r w:rsidRPr="00330234">
              <w:rPr>
                <w:rFonts w:eastAsia="맑은 고딕"/>
                <w:lang w:eastAsia="fr-FR"/>
              </w:rPr>
              <w:t>Tel: +36 1 231 0493</w:t>
            </w:r>
          </w:p>
          <w:p w14:paraId="41588381" w14:textId="77777777" w:rsidR="00A700A3" w:rsidRPr="00330234" w:rsidRDefault="00A700A3">
            <w:pPr>
              <w:suppressAutoHyphens/>
              <w:rPr>
                <w:b/>
              </w:rPr>
            </w:pPr>
          </w:p>
        </w:tc>
      </w:tr>
      <w:tr w:rsidR="000030F7" w:rsidRPr="00330234" w14:paraId="1AB745FC" w14:textId="77777777">
        <w:trPr>
          <w:cantSplit/>
        </w:trPr>
        <w:tc>
          <w:tcPr>
            <w:tcW w:w="2500" w:type="pct"/>
          </w:tcPr>
          <w:p w14:paraId="1E9AD651" w14:textId="77777777" w:rsidR="00A700A3" w:rsidRPr="00330234" w:rsidRDefault="00A700A3">
            <w:pPr>
              <w:tabs>
                <w:tab w:val="left" w:pos="-720"/>
              </w:tabs>
              <w:suppressAutoHyphens/>
              <w:rPr>
                <w:lang w:eastAsia="fr-FR"/>
              </w:rPr>
            </w:pPr>
            <w:r w:rsidRPr="00330234">
              <w:rPr>
                <w:rFonts w:eastAsia="맑은 고딕"/>
                <w:b/>
                <w:lang w:eastAsia="fr-FR"/>
              </w:rPr>
              <w:t>Ireland</w:t>
            </w:r>
          </w:p>
          <w:p w14:paraId="351CB379" w14:textId="77777777" w:rsidR="00A700A3" w:rsidRPr="00330234" w:rsidRDefault="00A700A3">
            <w:pPr>
              <w:suppressAutoHyphens/>
              <w:rPr>
                <w:rFonts w:eastAsia="맑은 고딕"/>
                <w:lang w:eastAsia="fr-FR"/>
              </w:rPr>
            </w:pPr>
            <w:r w:rsidRPr="00330234">
              <w:rPr>
                <w:rFonts w:eastAsia="맑은 고딕"/>
                <w:lang w:eastAsia="fr-FR"/>
              </w:rPr>
              <w:t>Celltrion Healthcare Ireland Limited</w:t>
            </w:r>
          </w:p>
          <w:p w14:paraId="291DFED4" w14:textId="77777777" w:rsidR="00A700A3" w:rsidRPr="00330234" w:rsidRDefault="00A700A3">
            <w:pPr>
              <w:suppressAutoHyphens/>
              <w:rPr>
                <w:rFonts w:eastAsia="맑은 고딕"/>
                <w:lang w:eastAsia="fr-FR"/>
              </w:rPr>
            </w:pPr>
            <w:r w:rsidRPr="00330234">
              <w:rPr>
                <w:rFonts w:eastAsia="맑은 고딕"/>
                <w:lang w:eastAsia="fr-FR"/>
              </w:rPr>
              <w:t>Tel: +353 1 223 4026</w:t>
            </w:r>
          </w:p>
          <w:p w14:paraId="7EC5C4A2" w14:textId="77777777" w:rsidR="00A700A3" w:rsidRPr="00330234" w:rsidRDefault="00A700A3">
            <w:pPr>
              <w:suppressAutoHyphens/>
              <w:rPr>
                <w:rFonts w:eastAsia="맑은 고딕"/>
                <w:lang w:eastAsia="fr-FR"/>
              </w:rPr>
            </w:pPr>
          </w:p>
        </w:tc>
        <w:tc>
          <w:tcPr>
            <w:tcW w:w="2500" w:type="pct"/>
          </w:tcPr>
          <w:p w14:paraId="04156ED8" w14:textId="77777777" w:rsidR="00A700A3" w:rsidRPr="00330234" w:rsidRDefault="00A700A3">
            <w:pPr>
              <w:suppressAutoHyphens/>
              <w:rPr>
                <w:rFonts w:eastAsia="맑은 고딕"/>
                <w:b/>
                <w:lang w:eastAsia="fr-FR"/>
              </w:rPr>
            </w:pPr>
            <w:r w:rsidRPr="00330234">
              <w:rPr>
                <w:rFonts w:eastAsia="맑은 고딕"/>
                <w:b/>
                <w:lang w:eastAsia="fr-FR"/>
              </w:rPr>
              <w:t>Slovenija</w:t>
            </w:r>
          </w:p>
          <w:p w14:paraId="454A0ED7" w14:textId="77777777" w:rsidR="00A700A3" w:rsidRPr="00330234" w:rsidRDefault="00A700A3">
            <w:pPr>
              <w:suppressAutoHyphens/>
              <w:rPr>
                <w:rFonts w:eastAsia="맑은 고딕"/>
                <w:lang w:eastAsia="fr-FR"/>
              </w:rPr>
            </w:pPr>
            <w:r w:rsidRPr="00330234">
              <w:rPr>
                <w:rFonts w:eastAsia="맑은 고딕"/>
                <w:lang w:eastAsia="fr-FR"/>
              </w:rPr>
              <w:t>OPH Oktal Pharma d.o.o.</w:t>
            </w:r>
          </w:p>
          <w:p w14:paraId="452814B0" w14:textId="77777777" w:rsidR="00A700A3" w:rsidRPr="00330234" w:rsidRDefault="00A700A3">
            <w:pPr>
              <w:suppressAutoHyphens/>
              <w:rPr>
                <w:rFonts w:eastAsia="맑은 고딕"/>
                <w:lang w:eastAsia="fr-FR"/>
              </w:rPr>
            </w:pPr>
            <w:r w:rsidRPr="00330234">
              <w:rPr>
                <w:rFonts w:eastAsia="맑은 고딕"/>
                <w:lang w:eastAsia="fr-FR"/>
              </w:rPr>
              <w:t>Tel.: +386 1 519 29 22</w:t>
            </w:r>
          </w:p>
          <w:p w14:paraId="2DAE81D3" w14:textId="77777777" w:rsidR="00A700A3" w:rsidRPr="00330234" w:rsidRDefault="00A700A3">
            <w:pPr>
              <w:suppressAutoHyphens/>
              <w:rPr>
                <w:b/>
              </w:rPr>
            </w:pPr>
          </w:p>
        </w:tc>
      </w:tr>
      <w:tr w:rsidR="000030F7" w:rsidRPr="00330234" w14:paraId="6E958CC9" w14:textId="77777777">
        <w:trPr>
          <w:cantSplit/>
        </w:trPr>
        <w:tc>
          <w:tcPr>
            <w:tcW w:w="2500" w:type="pct"/>
          </w:tcPr>
          <w:p w14:paraId="04048F38" w14:textId="77777777" w:rsidR="00A700A3" w:rsidRPr="00330234" w:rsidRDefault="00A700A3">
            <w:pPr>
              <w:suppressAutoHyphens/>
              <w:rPr>
                <w:rFonts w:eastAsia="맑은 고딕"/>
                <w:lang w:eastAsia="fr-FR"/>
              </w:rPr>
            </w:pPr>
            <w:r w:rsidRPr="00330234">
              <w:rPr>
                <w:rFonts w:eastAsia="맑은 고딕"/>
                <w:b/>
                <w:lang w:eastAsia="fr-FR"/>
              </w:rPr>
              <w:t>Ísland</w:t>
            </w:r>
          </w:p>
          <w:p w14:paraId="3DF71370" w14:textId="77777777" w:rsidR="00A700A3" w:rsidRPr="00330234" w:rsidRDefault="00A700A3">
            <w:pPr>
              <w:tabs>
                <w:tab w:val="left" w:pos="-720"/>
              </w:tabs>
              <w:suppressAutoHyphens/>
              <w:rPr>
                <w:rFonts w:eastAsia="맑은 고딕"/>
                <w:lang w:eastAsia="fr-FR"/>
              </w:rPr>
            </w:pPr>
            <w:r w:rsidRPr="00330234">
              <w:rPr>
                <w:rFonts w:eastAsia="맑은 고딕"/>
                <w:lang w:eastAsia="fr-FR"/>
              </w:rPr>
              <w:t>Celltrion Healthcare Hungary Kft.</w:t>
            </w:r>
          </w:p>
          <w:p w14:paraId="4AB17D17" w14:textId="77777777" w:rsidR="00A700A3" w:rsidRPr="00330234" w:rsidRDefault="00A700A3">
            <w:pPr>
              <w:suppressAutoHyphens/>
              <w:rPr>
                <w:rFonts w:eastAsia="맑은 고딕"/>
                <w:lang w:eastAsia="fr-FR"/>
              </w:rPr>
            </w:pPr>
            <w:r w:rsidRPr="00330234">
              <w:rPr>
                <w:rFonts w:eastAsia="맑은 고딕"/>
                <w:lang w:eastAsia="fr-FR"/>
              </w:rPr>
              <w:t>Sími: +36 1 231 0493</w:t>
            </w:r>
          </w:p>
          <w:p w14:paraId="1618A730" w14:textId="77777777" w:rsidR="00A700A3" w:rsidRPr="00330234" w:rsidRDefault="00A700A3">
            <w:pPr>
              <w:suppressAutoHyphens/>
              <w:rPr>
                <w:rFonts w:eastAsia="맑은 고딕"/>
                <w:lang w:eastAsia="fr-FR"/>
              </w:rPr>
            </w:pPr>
          </w:p>
        </w:tc>
        <w:tc>
          <w:tcPr>
            <w:tcW w:w="2500" w:type="pct"/>
          </w:tcPr>
          <w:p w14:paraId="4AD28905" w14:textId="77777777" w:rsidR="00A700A3" w:rsidRPr="00330234" w:rsidRDefault="00A700A3">
            <w:pPr>
              <w:suppressAutoHyphens/>
              <w:rPr>
                <w:rFonts w:eastAsia="맑은 고딕"/>
                <w:b/>
                <w:lang w:eastAsia="fr-FR"/>
              </w:rPr>
            </w:pPr>
            <w:r w:rsidRPr="00330234">
              <w:rPr>
                <w:b/>
              </w:rPr>
              <w:t>Slovenská republika</w:t>
            </w:r>
          </w:p>
          <w:p w14:paraId="09DF6195" w14:textId="77777777" w:rsidR="00A700A3" w:rsidRPr="00330234" w:rsidRDefault="00A700A3">
            <w:pPr>
              <w:tabs>
                <w:tab w:val="left" w:pos="-720"/>
              </w:tabs>
              <w:suppressAutoHyphens/>
              <w:rPr>
                <w:rFonts w:eastAsia="맑은 고딕"/>
                <w:lang w:eastAsia="fr-FR"/>
              </w:rPr>
            </w:pPr>
            <w:r w:rsidRPr="00330234">
              <w:rPr>
                <w:rFonts w:eastAsia="맑은 고딕"/>
                <w:lang w:eastAsia="fr-FR"/>
              </w:rPr>
              <w:t>Celltrion Healthcare Hungary Kft.</w:t>
            </w:r>
          </w:p>
          <w:p w14:paraId="59AF3FA8" w14:textId="77777777" w:rsidR="00A700A3" w:rsidRPr="00330234" w:rsidRDefault="00A700A3">
            <w:pPr>
              <w:suppressAutoHyphens/>
              <w:rPr>
                <w:rFonts w:eastAsia="맑은 고딕"/>
                <w:lang w:eastAsia="fr-FR"/>
              </w:rPr>
            </w:pPr>
            <w:r w:rsidRPr="00330234">
              <w:rPr>
                <w:rFonts w:eastAsia="맑은 고딕"/>
                <w:lang w:eastAsia="fr-FR"/>
              </w:rPr>
              <w:t>Tel: +36 1 231 0493</w:t>
            </w:r>
          </w:p>
          <w:p w14:paraId="332A0884" w14:textId="77777777" w:rsidR="00A700A3" w:rsidRPr="00330234" w:rsidRDefault="00A700A3">
            <w:pPr>
              <w:suppressAutoHyphens/>
              <w:rPr>
                <w:rFonts w:eastAsia="맑은 고딕"/>
                <w:b/>
                <w:lang w:eastAsia="fr-FR"/>
              </w:rPr>
            </w:pPr>
          </w:p>
        </w:tc>
      </w:tr>
      <w:tr w:rsidR="000030F7" w:rsidRPr="00330234" w14:paraId="26B9E08E" w14:textId="77777777">
        <w:trPr>
          <w:cantSplit/>
        </w:trPr>
        <w:tc>
          <w:tcPr>
            <w:tcW w:w="2500" w:type="pct"/>
          </w:tcPr>
          <w:p w14:paraId="7A46FD3E" w14:textId="77777777" w:rsidR="00A700A3" w:rsidRPr="00330234" w:rsidRDefault="00A700A3">
            <w:pPr>
              <w:suppressAutoHyphens/>
              <w:rPr>
                <w:lang w:eastAsia="fr-FR"/>
              </w:rPr>
            </w:pPr>
            <w:r w:rsidRPr="00330234">
              <w:rPr>
                <w:rFonts w:eastAsia="맑은 고딕"/>
                <w:b/>
                <w:lang w:eastAsia="fr-FR"/>
              </w:rPr>
              <w:t>Italia</w:t>
            </w:r>
          </w:p>
          <w:p w14:paraId="106E280A" w14:textId="77777777" w:rsidR="00A700A3" w:rsidRPr="00330234" w:rsidRDefault="00A700A3">
            <w:pPr>
              <w:suppressAutoHyphens/>
              <w:rPr>
                <w:rFonts w:eastAsia="맑은 고딕"/>
                <w:lang w:eastAsia="fr-FR"/>
              </w:rPr>
            </w:pPr>
            <w:r w:rsidRPr="00330234">
              <w:rPr>
                <w:rFonts w:eastAsia="맑은 고딕"/>
                <w:lang w:eastAsia="fr-FR"/>
              </w:rPr>
              <w:t>Celltrion Healthcare Italy S.r.l.</w:t>
            </w:r>
          </w:p>
          <w:p w14:paraId="6D02CC7D" w14:textId="77777777" w:rsidR="00A700A3" w:rsidRPr="00330234" w:rsidRDefault="00A700A3">
            <w:pPr>
              <w:suppressAutoHyphens/>
              <w:rPr>
                <w:rFonts w:eastAsia="맑은 고딕"/>
                <w:lang w:eastAsia="fr-FR"/>
              </w:rPr>
            </w:pPr>
            <w:r w:rsidRPr="00330234">
              <w:rPr>
                <w:rFonts w:eastAsia="맑은 고딕"/>
                <w:lang w:eastAsia="fr-FR"/>
              </w:rPr>
              <w:t>Tel: +39 02 47927040</w:t>
            </w:r>
          </w:p>
          <w:p w14:paraId="1F6BD4D8" w14:textId="77777777" w:rsidR="00A700A3" w:rsidRPr="00330234" w:rsidRDefault="00A700A3">
            <w:pPr>
              <w:suppressAutoHyphens/>
              <w:rPr>
                <w:rFonts w:eastAsia="맑은 고딕"/>
                <w:lang w:eastAsia="fr-FR"/>
              </w:rPr>
            </w:pPr>
          </w:p>
        </w:tc>
        <w:tc>
          <w:tcPr>
            <w:tcW w:w="2500" w:type="pct"/>
          </w:tcPr>
          <w:p w14:paraId="06D118A5" w14:textId="77777777" w:rsidR="00A700A3" w:rsidRPr="00330234" w:rsidRDefault="00A700A3">
            <w:pPr>
              <w:suppressAutoHyphens/>
              <w:rPr>
                <w:lang w:eastAsia="fr-FR"/>
              </w:rPr>
            </w:pPr>
            <w:r w:rsidRPr="00330234">
              <w:rPr>
                <w:rFonts w:eastAsia="맑은 고딕"/>
                <w:b/>
                <w:lang w:eastAsia="fr-FR"/>
              </w:rPr>
              <w:t>Suomi/Finland</w:t>
            </w:r>
          </w:p>
          <w:p w14:paraId="1EAB31EF" w14:textId="77777777" w:rsidR="00A700A3" w:rsidRPr="00330234" w:rsidRDefault="00A700A3">
            <w:pPr>
              <w:tabs>
                <w:tab w:val="left" w:pos="-720"/>
              </w:tabs>
              <w:suppressAutoHyphens/>
              <w:rPr>
                <w:rFonts w:eastAsia="맑은 고딕"/>
                <w:lang w:eastAsia="fr-FR"/>
              </w:rPr>
            </w:pPr>
            <w:r w:rsidRPr="00330234">
              <w:rPr>
                <w:rFonts w:eastAsia="맑은 고딕"/>
                <w:lang w:eastAsia="fr-FR"/>
              </w:rPr>
              <w:t xml:space="preserve">Celltrion Healthcare Finland Oy. </w:t>
            </w:r>
          </w:p>
          <w:p w14:paraId="28A755F2" w14:textId="7DF4EA53" w:rsidR="00A700A3" w:rsidRDefault="00A700A3">
            <w:pPr>
              <w:suppressAutoHyphens/>
              <w:adjustRightInd w:val="0"/>
              <w:rPr>
                <w:rFonts w:eastAsia="맑은 고딕"/>
                <w:lang w:eastAsia="fr-FR"/>
              </w:rPr>
            </w:pPr>
            <w:r w:rsidRPr="00330234">
              <w:rPr>
                <w:rFonts w:eastAsia="맑은 고딕"/>
                <w:lang w:eastAsia="fr-FR"/>
              </w:rPr>
              <w:t>Tel: +358 29 170 7755</w:t>
            </w:r>
          </w:p>
          <w:p w14:paraId="46D9C4E0" w14:textId="73439CBD" w:rsidR="00A14D1E" w:rsidRPr="00144E79" w:rsidRDefault="00A14D1E" w:rsidP="00144E79">
            <w:pPr>
              <w:adjustRightInd w:val="0"/>
              <w:rPr>
                <w:rFonts w:eastAsia="맑은 고딕"/>
                <w:noProof/>
                <w:lang w:eastAsia="ko-KR"/>
              </w:rPr>
            </w:pPr>
            <w:r w:rsidRPr="00144E79">
              <w:rPr>
                <w:rFonts w:eastAsia="맑은 고딕"/>
                <w:noProof/>
                <w:lang w:eastAsia="ko-KR"/>
              </w:rPr>
              <w:t>contact_fi@celltrionhc.com</w:t>
            </w:r>
          </w:p>
          <w:p w14:paraId="369900A1" w14:textId="77777777" w:rsidR="00A700A3" w:rsidRPr="00330234" w:rsidRDefault="00A700A3">
            <w:pPr>
              <w:suppressAutoHyphens/>
              <w:adjustRightInd w:val="0"/>
              <w:rPr>
                <w:rFonts w:eastAsia="맑은 고딕"/>
                <w:lang w:eastAsia="ko-KR"/>
              </w:rPr>
            </w:pPr>
          </w:p>
        </w:tc>
      </w:tr>
      <w:tr w:rsidR="000030F7" w:rsidRPr="00330234" w14:paraId="7DAFB671" w14:textId="77777777">
        <w:trPr>
          <w:cantSplit/>
        </w:trPr>
        <w:tc>
          <w:tcPr>
            <w:tcW w:w="2500" w:type="pct"/>
          </w:tcPr>
          <w:p w14:paraId="43E866AD" w14:textId="77777777" w:rsidR="00A700A3" w:rsidRPr="00330234" w:rsidRDefault="00A700A3">
            <w:pPr>
              <w:tabs>
                <w:tab w:val="left" w:pos="-720"/>
              </w:tabs>
              <w:suppressAutoHyphens/>
              <w:rPr>
                <w:b/>
                <w:bCs/>
                <w:lang w:eastAsia="fr-FR"/>
              </w:rPr>
            </w:pPr>
            <w:r w:rsidRPr="00330234">
              <w:rPr>
                <w:b/>
              </w:rPr>
              <w:t>Κύπρος</w:t>
            </w:r>
          </w:p>
          <w:p w14:paraId="45B7D270" w14:textId="77777777" w:rsidR="00A700A3" w:rsidRPr="00330234" w:rsidRDefault="00A700A3">
            <w:pPr>
              <w:tabs>
                <w:tab w:val="left" w:pos="-720"/>
              </w:tabs>
              <w:suppressAutoHyphens/>
              <w:rPr>
                <w:rFonts w:eastAsia="맑은 고딕"/>
                <w:lang w:eastAsia="ko-KR"/>
              </w:rPr>
            </w:pPr>
            <w:r w:rsidRPr="00330234">
              <w:rPr>
                <w:rFonts w:eastAsia="맑은 고딕"/>
                <w:lang w:eastAsia="fr-FR"/>
              </w:rPr>
              <w:t>C.A. Papaellinas Ltd</w:t>
            </w:r>
          </w:p>
          <w:p w14:paraId="3810F97D" w14:textId="77777777" w:rsidR="00A700A3" w:rsidRPr="00330234" w:rsidRDefault="00A700A3">
            <w:pPr>
              <w:suppressAutoHyphens/>
              <w:adjustRightInd w:val="0"/>
              <w:rPr>
                <w:rFonts w:eastAsia="맑은 고딕"/>
                <w:b/>
                <w:bCs/>
                <w:lang w:eastAsia="fr-FR"/>
              </w:rPr>
            </w:pPr>
            <w:r w:rsidRPr="00330234">
              <w:t xml:space="preserve">Τηλ: </w:t>
            </w:r>
            <w:r w:rsidRPr="00330234">
              <w:rPr>
                <w:rFonts w:eastAsia="맑은 고딕"/>
                <w:lang w:eastAsia="fr-FR"/>
              </w:rPr>
              <w:t>+357 22741741</w:t>
            </w:r>
          </w:p>
          <w:p w14:paraId="7E401257" w14:textId="77777777" w:rsidR="00A700A3" w:rsidRPr="00330234" w:rsidRDefault="00A700A3">
            <w:pPr>
              <w:suppressAutoHyphens/>
              <w:adjustRightInd w:val="0"/>
              <w:rPr>
                <w:rFonts w:eastAsia="맑은 고딕"/>
                <w:b/>
                <w:lang w:eastAsia="fr-FR"/>
              </w:rPr>
            </w:pPr>
          </w:p>
        </w:tc>
        <w:tc>
          <w:tcPr>
            <w:tcW w:w="2500" w:type="pct"/>
          </w:tcPr>
          <w:p w14:paraId="7B0C7CF4" w14:textId="77777777" w:rsidR="00A700A3" w:rsidRPr="00330234" w:rsidRDefault="00A700A3">
            <w:pPr>
              <w:tabs>
                <w:tab w:val="left" w:pos="-720"/>
              </w:tabs>
              <w:suppressAutoHyphens/>
              <w:rPr>
                <w:b/>
                <w:lang w:eastAsia="fr-FR"/>
              </w:rPr>
            </w:pPr>
            <w:r w:rsidRPr="00330234">
              <w:rPr>
                <w:b/>
              </w:rPr>
              <w:t>Sverige</w:t>
            </w:r>
          </w:p>
          <w:p w14:paraId="6CDCB5CF" w14:textId="4EA454EC" w:rsidR="000E5726" w:rsidRDefault="000E5726" w:rsidP="000E5726">
            <w:pPr>
              <w:tabs>
                <w:tab w:val="left" w:pos="-720"/>
              </w:tabs>
              <w:suppressAutoHyphens/>
              <w:rPr>
                <w:rFonts w:eastAsia="맑은 고딕"/>
                <w:lang w:eastAsia="ko-KR"/>
              </w:rPr>
            </w:pPr>
            <w:r w:rsidRPr="00330234">
              <w:rPr>
                <w:rFonts w:eastAsia="맑은 고딕"/>
                <w:lang w:eastAsia="fr-FR"/>
              </w:rPr>
              <w:t xml:space="preserve">Celltrion </w:t>
            </w:r>
            <w:r>
              <w:rPr>
                <w:rFonts w:eastAsia="맑은 고딕" w:hint="eastAsia"/>
                <w:lang w:eastAsia="ko-KR"/>
              </w:rPr>
              <w:t>Sweden AB</w:t>
            </w:r>
          </w:p>
          <w:p w14:paraId="35D2F2BD" w14:textId="77777777" w:rsidR="00A14D1E" w:rsidRPr="00AA5D35" w:rsidRDefault="00A14D1E" w:rsidP="00A14D1E">
            <w:pPr>
              <w:tabs>
                <w:tab w:val="left" w:pos="-720"/>
              </w:tabs>
              <w:suppressAutoHyphens/>
              <w:rPr>
                <w:rFonts w:eastAsia="맑은 고딕"/>
                <w:noProof/>
                <w:lang w:eastAsia="fr-FR"/>
              </w:rPr>
            </w:pPr>
            <w:r w:rsidRPr="002738BB">
              <w:rPr>
                <w:rFonts w:eastAsia="맑은 고딕"/>
                <w:noProof/>
                <w:lang w:eastAsia="fr-FR"/>
              </w:rPr>
              <w:t>Tel: +46 8 80 11 77</w:t>
            </w:r>
          </w:p>
          <w:p w14:paraId="6A37B16B" w14:textId="37CE6997" w:rsidR="000E5726" w:rsidRPr="00330234" w:rsidRDefault="00A14D1E" w:rsidP="000E5726">
            <w:pPr>
              <w:tabs>
                <w:tab w:val="left" w:pos="-720"/>
              </w:tabs>
              <w:suppressAutoHyphens/>
              <w:rPr>
                <w:rFonts w:eastAsia="맑은 고딕"/>
                <w:b/>
                <w:lang w:eastAsia="fr-FR"/>
              </w:rPr>
            </w:pPr>
            <w:r>
              <w:rPr>
                <w:rFonts w:eastAsia="맑은 고딕"/>
                <w:lang w:eastAsia="fr-FR"/>
              </w:rPr>
              <w:t>C</w:t>
            </w:r>
            <w:r w:rsidR="000E5726" w:rsidRPr="000E5726">
              <w:rPr>
                <w:rFonts w:eastAsia="맑은 고딕"/>
                <w:lang w:eastAsia="fr-FR"/>
              </w:rPr>
              <w:t>ontact_se@celltrionhc.com</w:t>
            </w:r>
          </w:p>
          <w:p w14:paraId="0726FC75" w14:textId="77777777" w:rsidR="00A700A3" w:rsidRPr="000E5726" w:rsidRDefault="00A700A3">
            <w:pPr>
              <w:tabs>
                <w:tab w:val="left" w:pos="-720"/>
              </w:tabs>
              <w:suppressAutoHyphens/>
              <w:rPr>
                <w:rFonts w:eastAsia="맑은 고딕"/>
                <w:b/>
                <w:lang w:eastAsia="fr-FR"/>
              </w:rPr>
            </w:pPr>
          </w:p>
        </w:tc>
      </w:tr>
      <w:tr w:rsidR="000030F7" w:rsidRPr="00330234" w14:paraId="2CE8DB9E" w14:textId="77777777">
        <w:trPr>
          <w:cantSplit/>
        </w:trPr>
        <w:tc>
          <w:tcPr>
            <w:tcW w:w="2500" w:type="pct"/>
          </w:tcPr>
          <w:p w14:paraId="58F7181E" w14:textId="77777777" w:rsidR="00A700A3" w:rsidRPr="00330234" w:rsidRDefault="00A700A3">
            <w:pPr>
              <w:suppressAutoHyphens/>
              <w:rPr>
                <w:rFonts w:eastAsia="맑은 고딕"/>
                <w:b/>
                <w:lang w:eastAsia="fr-FR"/>
              </w:rPr>
            </w:pPr>
            <w:r w:rsidRPr="00330234">
              <w:rPr>
                <w:rFonts w:eastAsia="맑은 고딕"/>
                <w:b/>
                <w:lang w:eastAsia="fr-FR"/>
              </w:rPr>
              <w:t>Latvija</w:t>
            </w:r>
          </w:p>
          <w:p w14:paraId="1A651589" w14:textId="77777777" w:rsidR="00A700A3" w:rsidRPr="00330234" w:rsidRDefault="00A700A3">
            <w:pPr>
              <w:tabs>
                <w:tab w:val="left" w:pos="-720"/>
              </w:tabs>
              <w:suppressAutoHyphens/>
              <w:rPr>
                <w:rFonts w:eastAsia="맑은 고딕"/>
                <w:lang w:eastAsia="fr-FR"/>
              </w:rPr>
            </w:pPr>
            <w:r w:rsidRPr="00330234">
              <w:rPr>
                <w:rFonts w:eastAsia="맑은 고딕"/>
                <w:lang w:eastAsia="fr-FR"/>
              </w:rPr>
              <w:t>Celltrion Healthcare Hungary Kft.</w:t>
            </w:r>
          </w:p>
          <w:p w14:paraId="32F7EC0E" w14:textId="77777777" w:rsidR="00A700A3" w:rsidRPr="00330234" w:rsidRDefault="00A700A3">
            <w:pPr>
              <w:suppressAutoHyphens/>
              <w:adjustRightInd w:val="0"/>
              <w:rPr>
                <w:rFonts w:eastAsia="맑은 고딕"/>
                <w:lang w:eastAsia="fr-FR"/>
              </w:rPr>
            </w:pPr>
            <w:r w:rsidRPr="00330234">
              <w:rPr>
                <w:rFonts w:eastAsia="맑은 고딕"/>
                <w:lang w:eastAsia="fr-FR"/>
              </w:rPr>
              <w:t>Tālr.: +36 1 231 0493</w:t>
            </w:r>
          </w:p>
          <w:p w14:paraId="6C27B345" w14:textId="77777777" w:rsidR="00A700A3" w:rsidRPr="00330234" w:rsidRDefault="00A700A3">
            <w:pPr>
              <w:suppressAutoHyphens/>
              <w:adjustRightInd w:val="0"/>
              <w:rPr>
                <w:rFonts w:eastAsia="맑은 고딕"/>
                <w:b/>
                <w:bCs/>
                <w:lang w:eastAsia="fr-FR"/>
              </w:rPr>
            </w:pPr>
          </w:p>
        </w:tc>
        <w:tc>
          <w:tcPr>
            <w:tcW w:w="2500" w:type="pct"/>
          </w:tcPr>
          <w:p w14:paraId="4A154445" w14:textId="77777777" w:rsidR="00A700A3" w:rsidRPr="00330234" w:rsidRDefault="00A700A3">
            <w:pPr>
              <w:tabs>
                <w:tab w:val="left" w:pos="-720"/>
              </w:tabs>
              <w:suppressAutoHyphens/>
              <w:rPr>
                <w:rFonts w:eastAsia="맑은 고딕"/>
                <w:b/>
                <w:lang w:eastAsia="fr-FR"/>
              </w:rPr>
            </w:pPr>
          </w:p>
        </w:tc>
      </w:tr>
    </w:tbl>
    <w:p w14:paraId="0BA72ADF" w14:textId="77777777" w:rsidR="00436DAA" w:rsidRPr="00330234" w:rsidRDefault="00436DAA" w:rsidP="00BD109B">
      <w:pPr>
        <w:pStyle w:val="a3"/>
        <w:widowControl/>
        <w:ind w:left="0"/>
      </w:pPr>
    </w:p>
    <w:p w14:paraId="0DE44AD6" w14:textId="77777777" w:rsidR="00A700A3" w:rsidRPr="00612829" w:rsidRDefault="009B4B8E" w:rsidP="00612829">
      <w:pPr>
        <w:rPr>
          <w:b/>
          <w:bCs/>
        </w:rPr>
      </w:pPr>
      <w:r w:rsidRPr="00612829">
        <w:rPr>
          <w:b/>
          <w:bCs/>
        </w:rPr>
        <w:t xml:space="preserve">Deze bijsluiter is voor het laatst goedgekeurd in </w:t>
      </w:r>
    </w:p>
    <w:p w14:paraId="4762ED6E" w14:textId="77777777" w:rsidR="00A700A3" w:rsidRPr="00330234" w:rsidRDefault="00A700A3" w:rsidP="000571FE"/>
    <w:p w14:paraId="27246044" w14:textId="0A17A007" w:rsidR="00436DAA" w:rsidRPr="00612829" w:rsidRDefault="009B4B8E" w:rsidP="00612829">
      <w:pPr>
        <w:rPr>
          <w:b/>
          <w:bCs/>
        </w:rPr>
      </w:pPr>
      <w:r w:rsidRPr="00612829">
        <w:rPr>
          <w:b/>
          <w:bCs/>
        </w:rPr>
        <w:t>Andere informatiebronnen</w:t>
      </w:r>
    </w:p>
    <w:p w14:paraId="398DCD78" w14:textId="338C5077" w:rsidR="00436DAA" w:rsidRPr="00330234" w:rsidRDefault="009B4B8E" w:rsidP="00BD109B">
      <w:pPr>
        <w:pStyle w:val="a3"/>
        <w:widowControl/>
        <w:ind w:left="0"/>
      </w:pPr>
      <w:r w:rsidRPr="00330234">
        <w:t xml:space="preserve">Meer informatie over dit geneesmiddel is beschikbaar op de website van het Europees Geneesmiddelenbureau </w:t>
      </w:r>
      <w:hyperlink r:id="rId46" w:history="1">
        <w:r w:rsidR="007A114F" w:rsidRPr="007A114F">
          <w:rPr>
            <w:rStyle w:val="ab"/>
          </w:rPr>
          <w:t>http</w:t>
        </w:r>
        <w:r w:rsidR="00E672B0">
          <w:rPr>
            <w:rStyle w:val="ab"/>
            <w:rFonts w:eastAsia="맑은 고딕" w:hint="eastAsia"/>
            <w:lang w:eastAsia="ko-KR"/>
          </w:rPr>
          <w:t>s</w:t>
        </w:r>
        <w:r w:rsidR="007A114F" w:rsidRPr="007A114F">
          <w:rPr>
            <w:rStyle w:val="ab"/>
          </w:rPr>
          <w:t>://www.ema.europa.eu.</w:t>
        </w:r>
      </w:hyperlink>
    </w:p>
    <w:p w14:paraId="33D527D1" w14:textId="77777777" w:rsidR="00436DAA" w:rsidRPr="00330234" w:rsidRDefault="00436DAA" w:rsidP="00BD109B">
      <w:pPr>
        <w:widowControl/>
      </w:pPr>
    </w:p>
    <w:p w14:paraId="658B542E" w14:textId="4F1D7650" w:rsidR="00C70A99" w:rsidRPr="00330234" w:rsidRDefault="00C0064D" w:rsidP="001B3E1E">
      <w:pPr>
        <w:pStyle w:val="a3"/>
        <w:widowControl/>
        <w:ind w:left="567" w:hanging="567"/>
        <w:rPr>
          <w:b/>
          <w:bCs/>
        </w:rPr>
      </w:pPr>
      <w:r w:rsidRPr="00330234">
        <w:rPr>
          <w:b/>
        </w:rPr>
        <w:br w:type="page"/>
      </w:r>
      <w:r w:rsidR="00C70A99" w:rsidRPr="00330234">
        <w:rPr>
          <w:b/>
        </w:rPr>
        <w:lastRenderedPageBreak/>
        <w:t>7.</w:t>
      </w:r>
      <w:r w:rsidR="00C70A99" w:rsidRPr="00330234">
        <w:rPr>
          <w:b/>
        </w:rPr>
        <w:tab/>
        <w:t>Instructies voor gebruik</w:t>
      </w:r>
    </w:p>
    <w:p w14:paraId="372AEA61" w14:textId="77777777" w:rsidR="0079783A" w:rsidRPr="00330234" w:rsidRDefault="0079783A" w:rsidP="0079783A">
      <w:pPr>
        <w:keepNext/>
      </w:pPr>
    </w:p>
    <w:p w14:paraId="046E6694" w14:textId="618DE398" w:rsidR="0079783A" w:rsidRPr="00330234" w:rsidRDefault="0079783A" w:rsidP="0079783A">
      <w:r w:rsidRPr="00330234">
        <w:t xml:space="preserve">Lees en volg de instructies voor gebruik die bij uw Avtozma voorgevulde pen zijn geleverd voordat u deze gaat gebruiken en elke keer </w:t>
      </w:r>
      <w:r w:rsidR="00292BF5" w:rsidRPr="00330234">
        <w:t>als u een nieuwe voorraad krijgt</w:t>
      </w:r>
      <w:r w:rsidRPr="00330234">
        <w:t>. Er kan nieuwe informatie in staan. Voordat u Avtozma gebruikt, moet uw zorgverlener u de juiste manier van gebruik laten zien.</w:t>
      </w:r>
    </w:p>
    <w:p w14:paraId="1A61FF5B" w14:textId="77777777" w:rsidR="0079783A" w:rsidRPr="00330234" w:rsidRDefault="0079783A" w:rsidP="0079783A"/>
    <w:p w14:paraId="3C8DF364" w14:textId="77777777" w:rsidR="0079783A" w:rsidRPr="00330234" w:rsidRDefault="0079783A" w:rsidP="00612829">
      <w:pPr>
        <w:rPr>
          <w:b/>
          <w:bCs/>
        </w:rPr>
      </w:pPr>
      <w:r w:rsidRPr="00612829">
        <w:rPr>
          <w:b/>
          <w:bCs/>
        </w:rPr>
        <w:t>Belangrijke informatie</w:t>
      </w:r>
    </w:p>
    <w:p w14:paraId="2CBF190C" w14:textId="77777777" w:rsidR="0079783A" w:rsidRPr="00330234" w:rsidRDefault="0079783A" w:rsidP="00612829">
      <w:pPr>
        <w:rPr>
          <w:b/>
          <w:bCs/>
        </w:rPr>
      </w:pPr>
    </w:p>
    <w:p w14:paraId="3A30B368" w14:textId="77777777" w:rsidR="0079783A" w:rsidRPr="00330234" w:rsidRDefault="0079783A" w:rsidP="003D4DD5">
      <w:pPr>
        <w:pStyle w:val="a4"/>
        <w:widowControl/>
        <w:numPr>
          <w:ilvl w:val="0"/>
          <w:numId w:val="73"/>
        </w:numPr>
        <w:tabs>
          <w:tab w:val="left" w:pos="567"/>
        </w:tabs>
        <w:autoSpaceDE/>
        <w:autoSpaceDN/>
        <w:ind w:left="567" w:hanging="567"/>
        <w:contextualSpacing/>
      </w:pPr>
      <w:r w:rsidRPr="00330234">
        <w:t xml:space="preserve">Haal de dop </w:t>
      </w:r>
      <w:r w:rsidRPr="00330234">
        <w:rPr>
          <w:b/>
          <w:bCs/>
        </w:rPr>
        <w:t>niet</w:t>
      </w:r>
      <w:r w:rsidRPr="00330234">
        <w:t xml:space="preserve"> van de voorgevulde pen voordat u klaar bent om Avtozma te injecteren.</w:t>
      </w:r>
    </w:p>
    <w:p w14:paraId="795F72A5" w14:textId="77777777" w:rsidR="0079783A" w:rsidRPr="00330234" w:rsidRDefault="0079783A" w:rsidP="003D4DD5">
      <w:pPr>
        <w:pStyle w:val="a4"/>
        <w:widowControl/>
        <w:numPr>
          <w:ilvl w:val="0"/>
          <w:numId w:val="73"/>
        </w:numPr>
        <w:tabs>
          <w:tab w:val="left" w:pos="567"/>
        </w:tabs>
        <w:autoSpaceDE/>
        <w:autoSpaceDN/>
        <w:ind w:left="567" w:hanging="567"/>
        <w:contextualSpacing/>
      </w:pPr>
      <w:r w:rsidRPr="00330234">
        <w:t xml:space="preserve">Probeer </w:t>
      </w:r>
      <w:r w:rsidRPr="00330234">
        <w:rPr>
          <w:b/>
          <w:bCs/>
        </w:rPr>
        <w:t>nooit</w:t>
      </w:r>
      <w:r w:rsidRPr="00330234">
        <w:t xml:space="preserve"> om de voorgevulde pen uit elkaar te halen.</w:t>
      </w:r>
    </w:p>
    <w:p w14:paraId="5DBE2A49" w14:textId="77777777" w:rsidR="0079783A" w:rsidRPr="00330234" w:rsidRDefault="0079783A" w:rsidP="003D4DD5">
      <w:pPr>
        <w:pStyle w:val="a4"/>
        <w:widowControl/>
        <w:numPr>
          <w:ilvl w:val="0"/>
          <w:numId w:val="73"/>
        </w:numPr>
        <w:tabs>
          <w:tab w:val="left" w:pos="567"/>
        </w:tabs>
        <w:autoSpaceDE/>
        <w:autoSpaceDN/>
        <w:ind w:left="567" w:hanging="567"/>
        <w:contextualSpacing/>
      </w:pPr>
      <w:r w:rsidRPr="00330234">
        <w:t xml:space="preserve">Gebruik dezelfde voorgevulde pen </w:t>
      </w:r>
      <w:r w:rsidRPr="00330234">
        <w:rPr>
          <w:b/>
        </w:rPr>
        <w:t>niet</w:t>
      </w:r>
      <w:r w:rsidRPr="00330234">
        <w:t xml:space="preserve"> opnieuw.</w:t>
      </w:r>
    </w:p>
    <w:p w14:paraId="63692695" w14:textId="77777777" w:rsidR="0079783A" w:rsidRPr="00330234" w:rsidRDefault="0079783A" w:rsidP="003D4DD5">
      <w:pPr>
        <w:pStyle w:val="a4"/>
        <w:widowControl/>
        <w:numPr>
          <w:ilvl w:val="0"/>
          <w:numId w:val="73"/>
        </w:numPr>
        <w:tabs>
          <w:tab w:val="left" w:pos="567"/>
        </w:tabs>
        <w:autoSpaceDE/>
        <w:autoSpaceDN/>
        <w:ind w:left="567" w:hanging="567"/>
        <w:contextualSpacing/>
      </w:pPr>
      <w:r w:rsidRPr="00330234">
        <w:t xml:space="preserve">Schud de voorgevulde pen </w:t>
      </w:r>
      <w:r w:rsidRPr="00330234">
        <w:rPr>
          <w:b/>
        </w:rPr>
        <w:t>niet</w:t>
      </w:r>
      <w:r w:rsidRPr="00330234">
        <w:t>.</w:t>
      </w:r>
    </w:p>
    <w:p w14:paraId="53FA09D4" w14:textId="77777777" w:rsidR="0079783A" w:rsidRPr="00330234" w:rsidRDefault="0079783A" w:rsidP="003D4DD5">
      <w:pPr>
        <w:pStyle w:val="a4"/>
        <w:widowControl/>
        <w:numPr>
          <w:ilvl w:val="0"/>
          <w:numId w:val="73"/>
        </w:numPr>
        <w:tabs>
          <w:tab w:val="left" w:pos="567"/>
        </w:tabs>
        <w:autoSpaceDE/>
        <w:autoSpaceDN/>
        <w:ind w:left="567" w:hanging="567"/>
        <w:contextualSpacing/>
      </w:pPr>
      <w:r w:rsidRPr="00330234">
        <w:t xml:space="preserve">Gebruik de voorgevulde pen </w:t>
      </w:r>
      <w:r w:rsidRPr="00330234">
        <w:rPr>
          <w:b/>
        </w:rPr>
        <w:t>niet</w:t>
      </w:r>
      <w:r w:rsidRPr="00330234">
        <w:t xml:space="preserve"> als deze is gevallen of beschadigd is.</w:t>
      </w:r>
    </w:p>
    <w:p w14:paraId="3A57F2D7" w14:textId="28A1B40E" w:rsidR="0079783A" w:rsidRPr="00330234" w:rsidRDefault="0079783A" w:rsidP="003D4DD5">
      <w:pPr>
        <w:pStyle w:val="a4"/>
        <w:widowControl/>
        <w:numPr>
          <w:ilvl w:val="0"/>
          <w:numId w:val="73"/>
        </w:numPr>
        <w:tabs>
          <w:tab w:val="left" w:pos="567"/>
        </w:tabs>
        <w:autoSpaceDE/>
        <w:autoSpaceDN/>
        <w:ind w:left="567" w:hanging="567"/>
        <w:contextualSpacing/>
      </w:pPr>
      <w:r w:rsidRPr="00330234">
        <w:rPr>
          <w:b/>
        </w:rPr>
        <w:t>Advies voor de patiënt met betrekking tot overgevoeligheidsreacties (of anafylaxie):</w:t>
      </w:r>
      <w:r w:rsidRPr="00330234">
        <w:t xml:space="preserve"> </w:t>
      </w:r>
      <w:r w:rsidR="009512DC" w:rsidRPr="00330234">
        <w:t>a</w:t>
      </w:r>
      <w:r w:rsidRPr="00330234">
        <w:t>ls u op enig moment</w:t>
      </w:r>
      <w:r w:rsidR="00976350" w:rsidRPr="00330234">
        <w:t xml:space="preserve"> tijdens of</w:t>
      </w:r>
      <w:r w:rsidRPr="00330234">
        <w:t xml:space="preserve"> na een injectie klachten krijgt, zoals huiduitslag, jeuk, rillingen, zwelling van gezicht, lippen, tong of keel, pijn op de borst, piepende ademhaling, problemen met ademhalen of slikken, of als u zich duizelig of flauw voelt, moet u direct naar de spoedeisende hulp, indien u op dat moment niet in het ziekenhuis bent voor de injectie.</w:t>
      </w:r>
    </w:p>
    <w:p w14:paraId="5B0C005D" w14:textId="77777777" w:rsidR="0079783A" w:rsidRPr="00330234" w:rsidRDefault="0079783A" w:rsidP="0079783A"/>
    <w:p w14:paraId="7676DCF4" w14:textId="77777777" w:rsidR="0079783A" w:rsidRPr="00330234" w:rsidRDefault="0079783A" w:rsidP="0079783A">
      <w:pPr>
        <w:keepNext/>
        <w:rPr>
          <w:b/>
          <w:bCs/>
        </w:rPr>
      </w:pPr>
      <w:r w:rsidRPr="00330234">
        <w:rPr>
          <w:b/>
        </w:rPr>
        <w:t>Bewaren van Avtozma</w:t>
      </w:r>
    </w:p>
    <w:p w14:paraId="49076F6E" w14:textId="4F6DC531" w:rsidR="0079783A" w:rsidRPr="00330234" w:rsidRDefault="0079783A" w:rsidP="003D4DD5">
      <w:pPr>
        <w:pStyle w:val="a4"/>
        <w:widowControl/>
        <w:numPr>
          <w:ilvl w:val="0"/>
          <w:numId w:val="74"/>
        </w:numPr>
        <w:tabs>
          <w:tab w:val="left" w:pos="567"/>
        </w:tabs>
        <w:autoSpaceDE/>
        <w:autoSpaceDN/>
        <w:ind w:left="567" w:hanging="567"/>
        <w:contextualSpacing/>
      </w:pPr>
      <w:r w:rsidRPr="00330234">
        <w:t>Bewaar de ongebruikte voorgevulde pen in de oorspronkelijke doos in de koelkast tussen 2°C</w:t>
      </w:r>
      <w:r w:rsidR="00CE6919" w:rsidRPr="00330234">
        <w:t> </w:t>
      </w:r>
      <w:r w:rsidRPr="00330234">
        <w:t>en</w:t>
      </w:r>
      <w:r w:rsidR="00CE6919" w:rsidRPr="00330234">
        <w:t> </w:t>
      </w:r>
      <w:r w:rsidRPr="00330234">
        <w:t xml:space="preserve">8°C. </w:t>
      </w:r>
      <w:r w:rsidRPr="00330234">
        <w:rPr>
          <w:b/>
          <w:bCs/>
        </w:rPr>
        <w:t>Niet</w:t>
      </w:r>
      <w:r w:rsidRPr="00330234">
        <w:t xml:space="preserve"> in de vriezer bewaren.</w:t>
      </w:r>
    </w:p>
    <w:p w14:paraId="3D4AB34A" w14:textId="2145988B" w:rsidR="0079783A" w:rsidRPr="00330234" w:rsidRDefault="0079783A" w:rsidP="003D4DD5">
      <w:pPr>
        <w:pStyle w:val="a4"/>
        <w:widowControl/>
        <w:numPr>
          <w:ilvl w:val="0"/>
          <w:numId w:val="74"/>
        </w:numPr>
        <w:tabs>
          <w:tab w:val="left" w:pos="567"/>
        </w:tabs>
        <w:autoSpaceDE/>
        <w:autoSpaceDN/>
        <w:ind w:left="567" w:hanging="567"/>
        <w:contextualSpacing/>
      </w:pPr>
      <w:r w:rsidRPr="00330234">
        <w:t>Eenmaal uit de koelkast gehaald, kan Avtozma tot 3 weken beneden 30°C worden bewaard. Als het niet binnen 3 weken wordt gebruikt, moet Avtozma worden weggegooid.</w:t>
      </w:r>
    </w:p>
    <w:p w14:paraId="75CD0009" w14:textId="77777777" w:rsidR="0079783A" w:rsidRPr="00330234" w:rsidRDefault="0079783A" w:rsidP="003D4DD5">
      <w:pPr>
        <w:pStyle w:val="a4"/>
        <w:widowControl/>
        <w:numPr>
          <w:ilvl w:val="0"/>
          <w:numId w:val="74"/>
        </w:numPr>
        <w:tabs>
          <w:tab w:val="left" w:pos="567"/>
        </w:tabs>
        <w:autoSpaceDE/>
        <w:autoSpaceDN/>
        <w:ind w:left="567" w:hanging="567"/>
        <w:contextualSpacing/>
      </w:pPr>
      <w:r w:rsidRPr="00330234">
        <w:t>Houd de voorgevulde pen uit direct zonlicht.</w:t>
      </w:r>
    </w:p>
    <w:p w14:paraId="54875786" w14:textId="2B1DE363" w:rsidR="0079783A" w:rsidRPr="00330234" w:rsidRDefault="0079783A" w:rsidP="003D4DD5">
      <w:pPr>
        <w:pStyle w:val="a4"/>
        <w:widowControl/>
        <w:numPr>
          <w:ilvl w:val="0"/>
          <w:numId w:val="74"/>
        </w:numPr>
        <w:tabs>
          <w:tab w:val="left" w:pos="567"/>
        </w:tabs>
        <w:autoSpaceDE/>
        <w:autoSpaceDN/>
        <w:ind w:left="567" w:hanging="567"/>
        <w:contextualSpacing/>
      </w:pPr>
      <w:r w:rsidRPr="00330234">
        <w:t xml:space="preserve">Haal de voorgevulde pen </w:t>
      </w:r>
      <w:r w:rsidRPr="00330234">
        <w:rPr>
          <w:b/>
          <w:bCs/>
        </w:rPr>
        <w:t>niet</w:t>
      </w:r>
      <w:r w:rsidRPr="00330234">
        <w:t xml:space="preserve"> uit de oorspronkelijke doos tijdens </w:t>
      </w:r>
      <w:r w:rsidR="00CE6919" w:rsidRPr="00330234">
        <w:t>de bewaring</w:t>
      </w:r>
      <w:r w:rsidRPr="00330234">
        <w:t>.</w:t>
      </w:r>
    </w:p>
    <w:p w14:paraId="67358C10" w14:textId="77777777" w:rsidR="0079783A" w:rsidRPr="00330234" w:rsidRDefault="0079783A" w:rsidP="003D4DD5">
      <w:pPr>
        <w:pStyle w:val="a4"/>
        <w:widowControl/>
        <w:numPr>
          <w:ilvl w:val="0"/>
          <w:numId w:val="74"/>
        </w:numPr>
        <w:tabs>
          <w:tab w:val="left" w:pos="567"/>
        </w:tabs>
        <w:autoSpaceDE/>
        <w:autoSpaceDN/>
        <w:ind w:left="567" w:hanging="567"/>
        <w:contextualSpacing/>
      </w:pPr>
      <w:r w:rsidRPr="00330234">
        <w:t xml:space="preserve">Laat de voorgevulde pen </w:t>
      </w:r>
      <w:r w:rsidRPr="00330234">
        <w:rPr>
          <w:b/>
          <w:bCs/>
        </w:rPr>
        <w:t>niet</w:t>
      </w:r>
      <w:r w:rsidRPr="00330234">
        <w:t xml:space="preserve"> onbewaakt achter.</w:t>
      </w:r>
    </w:p>
    <w:p w14:paraId="0C4B4098" w14:textId="77777777" w:rsidR="0079783A" w:rsidRPr="00330234" w:rsidRDefault="0079783A" w:rsidP="003D4DD5">
      <w:pPr>
        <w:pStyle w:val="a4"/>
        <w:widowControl/>
        <w:numPr>
          <w:ilvl w:val="0"/>
          <w:numId w:val="74"/>
        </w:numPr>
        <w:tabs>
          <w:tab w:val="left" w:pos="567"/>
        </w:tabs>
        <w:autoSpaceDE/>
        <w:autoSpaceDN/>
        <w:ind w:left="567" w:hanging="567"/>
        <w:contextualSpacing/>
      </w:pPr>
      <w:r w:rsidRPr="00330234">
        <w:t>Houd de voorgevulde pen buiten het bereik van kinderen. Bevat kleine onderdelen.</w:t>
      </w:r>
    </w:p>
    <w:p w14:paraId="326A7A18" w14:textId="7FA94B64" w:rsidR="0079783A" w:rsidRPr="00330234" w:rsidRDefault="0079783A" w:rsidP="001B3E1E">
      <w:pPr>
        <w:rPr>
          <w:b/>
          <w:bCs/>
        </w:rPr>
      </w:pPr>
      <w:r w:rsidRPr="00330234">
        <w:br w:type="page"/>
      </w:r>
      <w:r w:rsidRPr="00330234">
        <w:rPr>
          <w:b/>
        </w:rPr>
        <w:lastRenderedPageBreak/>
        <w:t>Onderdelen van uw voorgevulde pen met Avtozma (zie figuur A).</w:t>
      </w:r>
    </w:p>
    <w:p w14:paraId="39DAB1D4" w14:textId="588F454F" w:rsidR="0079783A" w:rsidRPr="00330234" w:rsidRDefault="00315255" w:rsidP="0079783A">
      <w:pPr>
        <w:keepNext/>
      </w:pPr>
      <w:r>
        <w:rPr>
          <w:noProof/>
          <w:lang w:val="en-US" w:eastAsia="ko-KR"/>
        </w:rPr>
        <mc:AlternateContent>
          <mc:Choice Requires="wps">
            <w:drawing>
              <wp:anchor distT="45720" distB="45720" distL="114300" distR="114300" simplePos="0" relativeHeight="251658268" behindDoc="0" locked="1" layoutInCell="1" allowOverlap="1" wp14:anchorId="06108E59" wp14:editId="751F9B21">
                <wp:simplePos x="0" y="0"/>
                <wp:positionH relativeFrom="column">
                  <wp:posOffset>434975</wp:posOffset>
                </wp:positionH>
                <wp:positionV relativeFrom="paragraph">
                  <wp:posOffset>288925</wp:posOffset>
                </wp:positionV>
                <wp:extent cx="2294255" cy="422275"/>
                <wp:effectExtent l="0" t="0" r="0" b="0"/>
                <wp:wrapNone/>
                <wp:docPr id="142799813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422275"/>
                        </a:xfrm>
                        <a:prstGeom prst="rect">
                          <a:avLst/>
                        </a:prstGeom>
                        <a:noFill/>
                        <a:ln w="9525">
                          <a:noFill/>
                          <a:miter lim="800000"/>
                          <a:headEnd/>
                          <a:tailEnd/>
                        </a:ln>
                      </wps:spPr>
                      <wps:txbx>
                        <w:txbxContent>
                          <w:p w14:paraId="2FE4832A" w14:textId="77777777" w:rsidR="0079783A" w:rsidRPr="001B3E1E" w:rsidRDefault="0079783A" w:rsidP="0079783A">
                            <w:pPr>
                              <w:jc w:val="center"/>
                              <w:rPr>
                                <w:rFonts w:cs="Arial"/>
                                <w:b/>
                                <w:bCs/>
                                <w:sz w:val="36"/>
                                <w:szCs w:val="36"/>
                              </w:rPr>
                            </w:pPr>
                            <w:r w:rsidRPr="001B3E1E">
                              <w:rPr>
                                <w:b/>
                                <w:bCs/>
                                <w:sz w:val="36"/>
                              </w:rPr>
                              <w:t>Vóór gebruik</w:t>
                            </w:r>
                          </w:p>
                          <w:p w14:paraId="6C88A94A" w14:textId="77777777" w:rsidR="0079783A" w:rsidRPr="001B3E1E" w:rsidRDefault="0079783A" w:rsidP="0079783A">
                            <w:pPr>
                              <w:jc w:val="center"/>
                              <w:rPr>
                                <w:rFonts w:cs="Arial"/>
                                <w:b/>
                                <w:bCs/>
                                <w:sz w:val="36"/>
                                <w:szCs w:val="3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08E59" id="Text Box 57" o:spid="_x0000_s1054" type="#_x0000_t202" style="position:absolute;margin-left:34.25pt;margin-top:22.75pt;width:180.65pt;height:33.2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ZNr8wEAAMUDAAAOAAAAZHJzL2Uyb0RvYy54bWysU1Fv0zAQfkfiP1h+p2mjFbqo6TQ2hpDG&#10;QBr7AVfHaSxsn7HdJuXXc3aaboK3iTxYZzv33X3ffV5fDUazg/RBoa35YjbnTFqBjbK7mj/9uHu3&#10;4ixEsA1otLLmRxn41ebtm3XvKllih7qRnhGIDVXvat7F6KqiCKKTBsIMnbR02aI3EGnrd0XjoSd0&#10;o4tyPn9f9Ogb51HIEOj0drzkm4zftlLEb20bZGS65tRbzKvP6zatxWYN1c6D65Q4tQGv6MKAslT0&#10;DHULEdjeq3+gjBIeA7ZxJtAU2LZKyMyB2Czmf7F57MDJzIXECe4sU/h/sOLh8Oi+exaHjzjQADOJ&#10;4O5R/AzM4k0Hdievvce+k9BQ4UWSrOhdqE6pSepQhQSy7b9iQ0OGfcQMNLTeJFWIJyN0GsDxLLoc&#10;IhN0WJaXF+VyyZmgu4uyLD8scwmopmznQ/ws0bAU1NzTUDM6HO5DTN1ANf2Silm8U1rnwWrL+ppf&#10;LstlTnhxY1Qk32llar6ap290QiL5yTY5OYLSY0wFtD2xTkRHynHYDkw1xGCVkpMKW2yOpIPH0Wf0&#10;Lijo0P/mrCeP1Tz82oOXnOkvlrRMhpwCPwXbKQArKLXmkbMxvInZuCPHa9K4VZn+c+VTj+SVrMrJ&#10;18mML/f5r+fXt/kDAAD//wMAUEsDBBQABgAIAAAAIQClnsxZ3wAAAAkBAAAPAAAAZHJzL2Rvd25y&#10;ZXYueG1sTI/BTsMwEETvSPyDtUjcqNOojdoQp6oQnJAQaThwdOJtYjVeh9htw9+znOC0Gs3T7Eyx&#10;m90gLjgF60nBcpGAQGq9sdQp+KhfHjYgQtRk9OAJFXxjgF15e1Po3PgrVXg5xE5wCIVcK+hjHHMp&#10;Q9uj02HhRyT2jn5yOrKcOmkmfeVwN8g0STLptCX+0OsRn3psT4ezU7D/pOrZfr0179WxsnW9Teg1&#10;Oyl1fzfvH0FEnOMfDL/1uTqU3KnxZzJBDAqyzZpJBas1X/ZX6ZanNAwu0wRkWcj/C8ofAAAA//8D&#10;AFBLAQItABQABgAIAAAAIQC2gziS/gAAAOEBAAATAAAAAAAAAAAAAAAAAAAAAABbQ29udGVudF9U&#10;eXBlc10ueG1sUEsBAi0AFAAGAAgAAAAhADj9If/WAAAAlAEAAAsAAAAAAAAAAAAAAAAALwEAAF9y&#10;ZWxzLy5yZWxzUEsBAi0AFAAGAAgAAAAhAGelk2vzAQAAxQMAAA4AAAAAAAAAAAAAAAAALgIAAGRy&#10;cy9lMm9Eb2MueG1sUEsBAi0AFAAGAAgAAAAhAKWezFnfAAAACQEAAA8AAAAAAAAAAAAAAAAATQQA&#10;AGRycy9kb3ducmV2LnhtbFBLBQYAAAAABAAEAPMAAABZBQAAAAA=&#10;" filled="f" stroked="f">
                <v:textbox inset="0,0,0,0">
                  <w:txbxContent>
                    <w:p w14:paraId="2FE4832A" w14:textId="77777777" w:rsidR="0079783A" w:rsidRPr="001B3E1E" w:rsidRDefault="0079783A" w:rsidP="0079783A">
                      <w:pPr>
                        <w:jc w:val="center"/>
                        <w:rPr>
                          <w:rFonts w:cs="Arial"/>
                          <w:b/>
                          <w:bCs/>
                          <w:sz w:val="36"/>
                          <w:szCs w:val="36"/>
                        </w:rPr>
                      </w:pPr>
                      <w:r w:rsidRPr="001B3E1E">
                        <w:rPr>
                          <w:b/>
                          <w:bCs/>
                          <w:sz w:val="36"/>
                        </w:rPr>
                        <w:t>Vóór gebruik</w:t>
                      </w:r>
                    </w:p>
                    <w:p w14:paraId="6C88A94A" w14:textId="77777777" w:rsidR="0079783A" w:rsidRPr="001B3E1E" w:rsidRDefault="0079783A" w:rsidP="0079783A">
                      <w:pPr>
                        <w:jc w:val="center"/>
                        <w:rPr>
                          <w:rFonts w:cs="Arial"/>
                          <w:b/>
                          <w:bCs/>
                          <w:sz w:val="36"/>
                          <w:szCs w:val="36"/>
                        </w:rPr>
                      </w:pPr>
                    </w:p>
                  </w:txbxContent>
                </v:textbox>
                <w10:anchorlock/>
              </v:shape>
            </w:pict>
          </mc:Fallback>
        </mc:AlternateContent>
      </w:r>
      <w:r>
        <w:rPr>
          <w:noProof/>
          <w:lang w:val="en-US" w:eastAsia="ko-KR"/>
        </w:rPr>
        <mc:AlternateContent>
          <mc:Choice Requires="wps">
            <w:drawing>
              <wp:anchor distT="45720" distB="45720" distL="114300" distR="114300" simplePos="0" relativeHeight="251658269" behindDoc="0" locked="1" layoutInCell="1" allowOverlap="1" wp14:anchorId="6CA95661" wp14:editId="68EB1EA2">
                <wp:simplePos x="0" y="0"/>
                <wp:positionH relativeFrom="margin">
                  <wp:posOffset>3952875</wp:posOffset>
                </wp:positionH>
                <wp:positionV relativeFrom="paragraph">
                  <wp:posOffset>301625</wp:posOffset>
                </wp:positionV>
                <wp:extent cx="2044065" cy="422275"/>
                <wp:effectExtent l="0" t="0" r="0" b="0"/>
                <wp:wrapNone/>
                <wp:docPr id="42320570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422275"/>
                        </a:xfrm>
                        <a:prstGeom prst="rect">
                          <a:avLst/>
                        </a:prstGeom>
                        <a:noFill/>
                        <a:ln w="9525">
                          <a:noFill/>
                          <a:miter lim="800000"/>
                          <a:headEnd/>
                          <a:tailEnd/>
                        </a:ln>
                      </wps:spPr>
                      <wps:txbx>
                        <w:txbxContent>
                          <w:p w14:paraId="51D35D37" w14:textId="77777777" w:rsidR="0079783A" w:rsidRPr="001B3E1E" w:rsidRDefault="0079783A" w:rsidP="0079783A">
                            <w:pPr>
                              <w:jc w:val="center"/>
                              <w:rPr>
                                <w:rFonts w:cs="Arial"/>
                                <w:b/>
                                <w:bCs/>
                                <w:sz w:val="36"/>
                                <w:szCs w:val="36"/>
                              </w:rPr>
                            </w:pPr>
                            <w:r w:rsidRPr="001B3E1E">
                              <w:rPr>
                                <w:b/>
                                <w:bCs/>
                                <w:sz w:val="36"/>
                              </w:rPr>
                              <w:t>Na gebruik</w:t>
                            </w:r>
                          </w:p>
                          <w:p w14:paraId="34ABDF06" w14:textId="77777777" w:rsidR="0079783A" w:rsidRPr="001B3E1E" w:rsidRDefault="0079783A" w:rsidP="0079783A">
                            <w:pPr>
                              <w:jc w:val="center"/>
                              <w:rPr>
                                <w:rFonts w:cs="Arial"/>
                                <w:b/>
                                <w:bCs/>
                                <w:sz w:val="36"/>
                                <w:szCs w:val="3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95661" id="Text Box 55" o:spid="_x0000_s1055" type="#_x0000_t202" style="position:absolute;margin-left:311.25pt;margin-top:23.75pt;width:160.95pt;height:33.25pt;z-index:2516582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y9AEAAMUDAAAOAAAAZHJzL2Uyb0RvYy54bWysU8tu2zAQvBfoPxC815IFO00Ey0GaNEWB&#10;9AGk/QCaoiyiJJdd0pbcr++Ssp2guQXVgViS2tmd2eHqerSG7RUGDa7h81nJmXISWu22Df/54/7d&#10;JWchCtcKA041/KACv16/fbMafK0q6MG0ChmBuFAPvuF9jL4uiiB7ZUWYgVeOLjtAKyJtcVu0KAZC&#10;t6aoyvKiGABbjyBVCHR6N13ydcbvOiXjt64LKjLTcOot5hXzuklrsV6JeovC91oe2xCv6MIK7ajo&#10;GepORMF2qF9AWS0RAnRxJsEW0HVaqsyB2MzLf9g89sKrzIXECf4sU/h/sPLr/tF/RxbHDzDSADOJ&#10;4B9A/grMwW0v3FbdIMLQK9FS4XmSrBh8qI+pSepQhwSyGb5AS0MWuwgZaOzQJlWIJyN0GsDhLLoa&#10;I5N0WJWLRXmx5EzS3aKqqvfLXELUp2yPIX5SYFkKGo401Iwu9g8hpm5EffolFXNwr43JgzWODQ2/&#10;WlbLnPDsxupIvjPaNvyyTN/khETyo2tzchTaTDEVMO7IOhGdKMdxMzLdEoOrlJxU2EB7IB0QJp/R&#10;u6CgB/zD2UAea3j4vROoODOfHWmZDHkK8BRsToFwklIbHjmbwtuYjTtxvCGNO53pP1U+9kheyaoc&#10;fZ3M+Hyf/3p6feu/AAAA//8DAFBLAwQUAAYACAAAACEAf9kSf+AAAAAKAQAADwAAAGRycy9kb3du&#10;cmV2LnhtbEyPwU7DMAyG70i8Q+RJ3FiyqhTWNZ0mBCckRFcOHNMma6M1Tmmyrbw95sROluVPv7+/&#10;2M5uYGczBetRwmopgBlsvbbYSfisX++fgIWoUKvBo5HwYwJsy9ubQuXaX7Ay533sGIVgyJWEPsYx&#10;5zy0vXEqLP1okG4HPzkVaZ06rid1oXA38ESIjDtlkT70ajTPvWmP+5OTsPvC6sV+vzcf1aGydb0W&#10;+JYdpbxbzLsNsGjm+A/Dnz6pQ0lOjT+hDmyQkCXJA6ES0keaBKzTNAXWELlKBfCy4NcVyl8AAAD/&#10;/wMAUEsBAi0AFAAGAAgAAAAhALaDOJL+AAAA4QEAABMAAAAAAAAAAAAAAAAAAAAAAFtDb250ZW50&#10;X1R5cGVzXS54bWxQSwECLQAUAAYACAAAACEAOP0h/9YAAACUAQAACwAAAAAAAAAAAAAAAAAvAQAA&#10;X3JlbHMvLnJlbHNQSwECLQAUAAYACAAAACEA1vpV8vQBAADFAwAADgAAAAAAAAAAAAAAAAAuAgAA&#10;ZHJzL2Uyb0RvYy54bWxQSwECLQAUAAYACAAAACEAf9kSf+AAAAAKAQAADwAAAAAAAAAAAAAAAABO&#10;BAAAZHJzL2Rvd25yZXYueG1sUEsFBgAAAAAEAAQA8wAAAFsFAAAAAA==&#10;" filled="f" stroked="f">
                <v:textbox inset="0,0,0,0">
                  <w:txbxContent>
                    <w:p w14:paraId="51D35D37" w14:textId="77777777" w:rsidR="0079783A" w:rsidRPr="001B3E1E" w:rsidRDefault="0079783A" w:rsidP="0079783A">
                      <w:pPr>
                        <w:jc w:val="center"/>
                        <w:rPr>
                          <w:rFonts w:cs="Arial"/>
                          <w:b/>
                          <w:bCs/>
                          <w:sz w:val="36"/>
                          <w:szCs w:val="36"/>
                        </w:rPr>
                      </w:pPr>
                      <w:r w:rsidRPr="001B3E1E">
                        <w:rPr>
                          <w:b/>
                          <w:bCs/>
                          <w:sz w:val="36"/>
                        </w:rPr>
                        <w:t>Na gebruik</w:t>
                      </w:r>
                    </w:p>
                    <w:p w14:paraId="34ABDF06" w14:textId="77777777" w:rsidR="0079783A" w:rsidRPr="001B3E1E" w:rsidRDefault="0079783A" w:rsidP="0079783A">
                      <w:pPr>
                        <w:jc w:val="center"/>
                        <w:rPr>
                          <w:rFonts w:cs="Arial"/>
                          <w:b/>
                          <w:bCs/>
                          <w:sz w:val="36"/>
                          <w:szCs w:val="36"/>
                        </w:rPr>
                      </w:pPr>
                    </w:p>
                  </w:txbxContent>
                </v:textbox>
                <w10:wrap anchorx="margin"/>
                <w10:anchorlock/>
              </v:shape>
            </w:pict>
          </mc:Fallback>
        </mc:AlternateContent>
      </w:r>
      <w:r>
        <w:rPr>
          <w:noProof/>
          <w:lang w:val="en-US" w:eastAsia="ko-KR"/>
        </w:rPr>
        <mc:AlternateContent>
          <mc:Choice Requires="wps">
            <w:drawing>
              <wp:anchor distT="45720" distB="45720" distL="114300" distR="114300" simplePos="0" relativeHeight="251658270" behindDoc="0" locked="1" layoutInCell="1" allowOverlap="1" wp14:anchorId="3240E114" wp14:editId="39065339">
                <wp:simplePos x="0" y="0"/>
                <wp:positionH relativeFrom="column">
                  <wp:posOffset>1310005</wp:posOffset>
                </wp:positionH>
                <wp:positionV relativeFrom="paragraph">
                  <wp:posOffset>1923415</wp:posOffset>
                </wp:positionV>
                <wp:extent cx="659130" cy="271145"/>
                <wp:effectExtent l="635" t="3810" r="0" b="1270"/>
                <wp:wrapNone/>
                <wp:docPr id="134518223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D72E62" w14:textId="7107C4FA" w:rsidR="0079783A" w:rsidRPr="001B3E1E" w:rsidRDefault="0079783A" w:rsidP="0079783A">
                            <w:pPr>
                              <w:jc w:val="center"/>
                              <w:rPr>
                                <w:rFonts w:cs="Arial"/>
                                <w:sz w:val="28"/>
                                <w:szCs w:val="28"/>
                              </w:rPr>
                            </w:pPr>
                            <w:r w:rsidRPr="001B3E1E">
                              <w:rPr>
                                <w:sz w:val="28"/>
                                <w:szCs w:val="28"/>
                              </w:rPr>
                              <w:t>Cilinder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40E114" id="Text Box 88" o:spid="_x0000_s1056" type="#_x0000_t202" style="position:absolute;margin-left:103.15pt;margin-top:151.45pt;width:51.9pt;height:21.35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pzT7gEAAMEDAAAOAAAAZHJzL2Uyb0RvYy54bWysU9uO0zAQfUfiHyy/0zSFXSBqulq6KkJa&#10;FqSFD3AcJ7FwPGbsNilfz9hJulzeEHmwxp6ZM3POTLY3Y2/YSaHXYEuer9acKSuh1rYt+dcvhxdv&#10;OPNB2FoYsKrkZ+X5ze75s+3gCrWBDkytkBGI9cXgSt6F4Ios87JTvfArcMqSswHsRaArtlmNYiD0&#10;3mSb9fo6GwBrhyCV9/R6Nzn5LuE3jZLhU9N4FZgpOfUW0onprOKZ7baiaFG4Tsu5DfEPXfRCWyp6&#10;gboTQbAj6r+gei0RPDRhJaHPoGm0VIkDscnXf7B57IRTiQuJ491FJv//YOXD6dF9RhbGdzDSABMJ&#10;7+5BfvPMwr4TtlW3iDB0StRUOI+SZYPzxZwapfaFjyDV8BFqGrI4BkhAY4N9VIV4MkKnAZwvoqsx&#10;MEmP11dv85fkkeTavM7zV1epgiiWZIc+vFfQs2iUHGmmCVyc7n2IzYhiCYm1PBhdH7Qx6YJttTfI&#10;ToLmf0jfjP5bmLEx2EJMmxDjS2IZiU0Uw1iNTNclp24pKLKuoD4Tb4Rpr+g/IKMD/MHZQDtVcv/9&#10;KFBxZj5Y0i4u4GLgYlSLIayk1JIHziZzH6ZFPTrUbUfI03Qs3JK+jU7cn7qY+6U9SZLMOx0X8dd7&#10;inr683Y/AQAA//8DAFBLAwQUAAYACAAAACEAVDBc6OEAAAALAQAADwAAAGRycy9kb3ducmV2Lnht&#10;bEyPwU7DMAyG70i8Q2QkLoglbaFiXdMJNrjBYWPa2WtCW9E4VZKu3dsTTnCz5U+/v79cz6ZnZ+18&#10;Z0lCshDANNVWddRIOHy+3T8B8wFJYW9JS7hoD+vq+qrEQtmJdvq8Dw2LIeQLlNCGMBSc+7rVBv3C&#10;Dpri7cs6gyGuruHK4RTDTc9TIXJusKP4ocVBb1pdf+9HIyHfunHa0eZue3h9x4+hSY8vl6OUtzfz&#10;8wpY0HP4g+FXP6pDFZ1OdiTlWS8hFXkWUQmZSJfAIpElIgF2isPDYw68Kvn/DtUPAAAA//8DAFBL&#10;AQItABQABgAIAAAAIQC2gziS/gAAAOEBAAATAAAAAAAAAAAAAAAAAAAAAABbQ29udGVudF9UeXBl&#10;c10ueG1sUEsBAi0AFAAGAAgAAAAhADj9If/WAAAAlAEAAAsAAAAAAAAAAAAAAAAALwEAAF9yZWxz&#10;Ly5yZWxzUEsBAi0AFAAGAAgAAAAhAFj2nNPuAQAAwQMAAA4AAAAAAAAAAAAAAAAALgIAAGRycy9l&#10;Mm9Eb2MueG1sUEsBAi0AFAAGAAgAAAAhAFQwXOjhAAAACwEAAA8AAAAAAAAAAAAAAAAASAQAAGRy&#10;cy9kb3ducmV2LnhtbFBLBQYAAAAABAAEAPMAAABWBQAAAAA=&#10;" stroked="f">
                <v:textbox inset="0,0,0,0">
                  <w:txbxContent>
                    <w:p w14:paraId="15D72E62" w14:textId="7107C4FA" w:rsidR="0079783A" w:rsidRPr="001B3E1E" w:rsidRDefault="0079783A" w:rsidP="0079783A">
                      <w:pPr>
                        <w:jc w:val="center"/>
                        <w:rPr>
                          <w:rFonts w:cs="Arial"/>
                          <w:sz w:val="28"/>
                          <w:szCs w:val="28"/>
                        </w:rPr>
                      </w:pPr>
                      <w:r w:rsidRPr="001B3E1E">
                        <w:rPr>
                          <w:sz w:val="28"/>
                          <w:szCs w:val="28"/>
                        </w:rPr>
                        <w:t>Cilinder</w:t>
                      </w:r>
                    </w:p>
                  </w:txbxContent>
                </v:textbox>
                <w10:anchorlock/>
              </v:shape>
            </w:pict>
          </mc:Fallback>
        </mc:AlternateContent>
      </w:r>
      <w:r>
        <w:rPr>
          <w:noProof/>
          <w:lang w:val="en-US" w:eastAsia="ko-KR"/>
        </w:rPr>
        <mc:AlternateContent>
          <mc:Choice Requires="wps">
            <w:drawing>
              <wp:anchor distT="45720" distB="45720" distL="114300" distR="114300" simplePos="0" relativeHeight="251658271" behindDoc="0" locked="1" layoutInCell="1" allowOverlap="1" wp14:anchorId="1F8FA656" wp14:editId="63DF98BB">
                <wp:simplePos x="0" y="0"/>
                <wp:positionH relativeFrom="column">
                  <wp:posOffset>1116965</wp:posOffset>
                </wp:positionH>
                <wp:positionV relativeFrom="paragraph">
                  <wp:posOffset>2873375</wp:posOffset>
                </wp:positionV>
                <wp:extent cx="940435" cy="233680"/>
                <wp:effectExtent l="0" t="0" r="0" b="0"/>
                <wp:wrapNone/>
                <wp:docPr id="121208444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435" cy="233680"/>
                        </a:xfrm>
                        <a:prstGeom prst="rect">
                          <a:avLst/>
                        </a:prstGeom>
                        <a:noFill/>
                        <a:ln w="9525">
                          <a:noFill/>
                          <a:miter lim="800000"/>
                          <a:headEnd/>
                          <a:tailEnd/>
                        </a:ln>
                      </wps:spPr>
                      <wps:txbx>
                        <w:txbxContent>
                          <w:p w14:paraId="5C472749" w14:textId="708677C1" w:rsidR="0079783A" w:rsidRPr="001B3E1E" w:rsidRDefault="0079783A" w:rsidP="0079783A">
                            <w:pPr>
                              <w:spacing w:line="264" w:lineRule="auto"/>
                              <w:jc w:val="center"/>
                              <w:rPr>
                                <w:rFonts w:cs="Arial"/>
                                <w:sz w:val="28"/>
                                <w:szCs w:val="28"/>
                              </w:rPr>
                            </w:pPr>
                            <w:r w:rsidRPr="001B3E1E">
                              <w:rPr>
                                <w:sz w:val="28"/>
                                <w:szCs w:val="28"/>
                              </w:rPr>
                              <w:t>Kijkvenster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FA656" id="Text Box 53" o:spid="_x0000_s1057" type="#_x0000_t202" style="position:absolute;margin-left:87.95pt;margin-top:226.25pt;width:74.05pt;height:18.4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PSw8wEAAMQDAAAOAAAAZHJzL2Uyb0RvYy54bWysU8tu2zAQvBfoPxC815LtOHAFy0GaNEWB&#10;9AGk/YA1RVlESS5L0pbcr++Skp2gvRXVgViS2tmd2eHmZjCaHaUPCm3N57OSM2kFNsrua/7928Ob&#10;NWchgm1Ao5U1P8nAb7avX216V8kFdqgb6RmB2FD1ruZdjK4qiiA6aSDM0ElLly16A5G2fl80HnpC&#10;N7pYlOV10aNvnEchQ6DT+/GSbzN+20oRv7RtkJHpmlNvMa8+r7u0FtsNVHsPrlNiagP+oQsDylLR&#10;C9Q9RGAHr/6CMkp4DNjGmUBTYNsqITMHYjMv/2Dz1IGTmQuJE9xFpvD/YMXn45P76lkc3uFAA8wk&#10;gntE8SMwi3cd2L289R77TkJDhedJsqJ3oZpSk9ShCglk13/ChoYMh4gZaGi9SaoQT0boNIDTRXQ5&#10;RCbo8O1VebVccSboarFcXq/zUAqozsnOh/hBomEpqLmnmWZwOD6GmJqB6vxLqmXxQWmd56ot66nA&#10;arHKCS9ujIpkO61Mzddl+kYjJI7vbZOTIyg9xlRA24l04jkyjsNuYKqp+TJLkkTYYXMiGTyONqNn&#10;QUGH/hdnPVms5uHnAbzkTH+0JGXy4znw52B3DsAKSq155GwM72L27cjxliRuVab/XHnqkaySVZls&#10;nbz4cp//en58298AAAD//wMAUEsDBBQABgAIAAAAIQB9gqaP4AAAAAsBAAAPAAAAZHJzL2Rvd25y&#10;ZXYueG1sTI9BT4NAEIXvJv6HzZh4s4u01IIsTWP0ZGKkePC4sFMgZWeR3bb47x1Penxvvrx5L9/O&#10;dhBnnHzvSMH9IgKB1DjTU6vgo3q524DwQZPRgyNU8I0etsX1Va4z4y5U4nkfWsEh5DOtoAthzKT0&#10;TYdW+4Ubkfh2cJPVgeXUSjPpC4fbQcZRtJZW98QfOj3iU4fNcX+yCnafVD73X2/1e3ko+6pKI3pd&#10;H5W6vZl3jyACzuEPht/6XB0K7lS7ExkvBtYPScqoglUSJyCYWMYrXlezs0mXIItc/t9Q/AAAAP//&#10;AwBQSwECLQAUAAYACAAAACEAtoM4kv4AAADhAQAAEwAAAAAAAAAAAAAAAAAAAAAAW0NvbnRlbnRf&#10;VHlwZXNdLnhtbFBLAQItABQABgAIAAAAIQA4/SH/1gAAAJQBAAALAAAAAAAAAAAAAAAAAC8BAABf&#10;cmVscy8ucmVsc1BLAQItABQABgAIAAAAIQCIEPSw8wEAAMQDAAAOAAAAAAAAAAAAAAAAAC4CAABk&#10;cnMvZTJvRG9jLnhtbFBLAQItABQABgAIAAAAIQB9gqaP4AAAAAsBAAAPAAAAAAAAAAAAAAAAAE0E&#10;AABkcnMvZG93bnJldi54bWxQSwUGAAAAAAQABADzAAAAWgUAAAAA&#10;" filled="f" stroked="f">
                <v:textbox inset="0,0,0,0">
                  <w:txbxContent>
                    <w:p w14:paraId="5C472749" w14:textId="708677C1" w:rsidR="0079783A" w:rsidRPr="001B3E1E" w:rsidRDefault="0079783A" w:rsidP="0079783A">
                      <w:pPr>
                        <w:spacing w:line="264" w:lineRule="auto"/>
                        <w:jc w:val="center"/>
                        <w:rPr>
                          <w:rFonts w:cs="Arial"/>
                          <w:sz w:val="28"/>
                          <w:szCs w:val="28"/>
                        </w:rPr>
                      </w:pPr>
                      <w:r w:rsidRPr="001B3E1E">
                        <w:rPr>
                          <w:sz w:val="28"/>
                          <w:szCs w:val="28"/>
                        </w:rPr>
                        <w:t>Kijkvenster</w:t>
                      </w:r>
                    </w:p>
                  </w:txbxContent>
                </v:textbox>
                <w10:anchorlock/>
              </v:shape>
            </w:pict>
          </mc:Fallback>
        </mc:AlternateContent>
      </w:r>
      <w:r>
        <w:rPr>
          <w:noProof/>
          <w:lang w:val="en-US" w:eastAsia="ko-KR"/>
        </w:rPr>
        <mc:AlternateContent>
          <mc:Choice Requires="wps">
            <w:drawing>
              <wp:anchor distT="45720" distB="45720" distL="114300" distR="114300" simplePos="0" relativeHeight="251658272" behindDoc="0" locked="1" layoutInCell="1" allowOverlap="1" wp14:anchorId="779881B4" wp14:editId="76730718">
                <wp:simplePos x="0" y="0"/>
                <wp:positionH relativeFrom="column">
                  <wp:posOffset>1202055</wp:posOffset>
                </wp:positionH>
                <wp:positionV relativeFrom="paragraph">
                  <wp:posOffset>3883660</wp:posOffset>
                </wp:positionV>
                <wp:extent cx="948690" cy="937895"/>
                <wp:effectExtent l="0" t="0" r="0" b="0"/>
                <wp:wrapNone/>
                <wp:docPr id="48582324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937895"/>
                        </a:xfrm>
                        <a:prstGeom prst="rect">
                          <a:avLst/>
                        </a:prstGeom>
                        <a:noFill/>
                        <a:ln w="9525">
                          <a:noFill/>
                          <a:miter lim="800000"/>
                          <a:headEnd/>
                          <a:tailEnd/>
                        </a:ln>
                      </wps:spPr>
                      <wps:txbx>
                        <w:txbxContent>
                          <w:p w14:paraId="127178EC" w14:textId="55A1BEC9" w:rsidR="0079783A" w:rsidRPr="001B3E1E" w:rsidRDefault="0079783A" w:rsidP="0079783A">
                            <w:pPr>
                              <w:spacing w:line="252" w:lineRule="auto"/>
                              <w:jc w:val="center"/>
                              <w:rPr>
                                <w:rFonts w:cs="Arial"/>
                                <w:sz w:val="28"/>
                                <w:szCs w:val="28"/>
                              </w:rPr>
                            </w:pPr>
                            <w:r w:rsidRPr="001B3E1E">
                              <w:rPr>
                                <w:sz w:val="28"/>
                                <w:szCs w:val="28"/>
                              </w:rPr>
                              <w:t xml:space="preserve">Blauwe naalddop (naald </w:t>
                            </w:r>
                            <w:r w:rsidR="006D0892" w:rsidRPr="001B3E1E">
                              <w:rPr>
                                <w:sz w:val="28"/>
                                <w:szCs w:val="28"/>
                              </w:rPr>
                              <w:t>er</w:t>
                            </w:r>
                            <w:r w:rsidRPr="001B3E1E">
                              <w:rPr>
                                <w:sz w:val="28"/>
                                <w:szCs w:val="28"/>
                              </w:rPr>
                              <w:t>in)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881B4" id="Text Box 51" o:spid="_x0000_s1058" type="#_x0000_t202" style="position:absolute;margin-left:94.65pt;margin-top:305.8pt;width:74.7pt;height:73.85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EQ8wEAAMQDAAAOAAAAZHJzL2Uyb0RvYy54bWysU9tu2zAMfR+wfxD0vjhJly4x4hRduw4D&#10;ugvQ7gMUWY6FSaJGKbGzry8lO2mxvg3zg0Cb5iHP4dH6qreGHRQGDa7is8mUM+Uk1NrtKv7z8e7d&#10;krMQhauFAacqflSBX23evll3vlRzaMHUChmBuFB2vuJtjL4siiBbZUWYgFeOkg2gFZFecVfUKDpC&#10;t6aYT6eXRQdYewSpQqCvt0OSbzJ+0ygZvzdNUJGZitNsMZ+Yz206i81alDsUvtVyHEP8wxRWaEdN&#10;z1C3Igq2R/0KymqJEKCJEwm2gKbRUmUOxGY2/YvNQyu8ylxInODPMoX/Byu/HR78D2Sx/wg9LTCT&#10;CP4e5K/AHNy0wu3UNSJ0rRI1NZ4lyYrOh3IsTVKHMiSQbfcValqy2EfIQH2DNqlCPBmh0wKOZ9FV&#10;H5mkj6v3y8sVZSSlVhcflqtF7iDKU7HHED8rsCwFFUfaaQYXh/sQ0zCiPP2Sejm408bkvRrHOgJd&#10;zBe54EXG6ki2M9pWfDlNz2CExPGTq3NxFNoMMTUwbiSdeA6MY7/tma4rfjFPxUmELdRHkgFhsBld&#10;CwpawD+cdWSxioffe4GKM/PFkZTJj6cAT8H2FAgnqbTikbMhvInZtwPHa5K40Zn+c+dxRrJKVmW0&#10;dfLiy/f81/Pl2zwBAAD//wMAUEsDBBQABgAIAAAAIQCdXpke3wAAAAsBAAAPAAAAZHJzL2Rvd25y&#10;ZXYueG1sTI9BT4NAEIXvJv6HzZh4swsSKUWWpjF6MjFSPHhcYAqbsrPIblv8944nPb68L2++KbaL&#10;HcUZZ28cKYhXEQik1nWGegUf9ctdBsIHTZ0eHaGCb/SwLa+vCp137kIVnvehFzxCPtcKhhCmXErf&#10;Dmi1X7kJibuDm60OHOdedrO+8Lgd5X0UpdJqQ3xh0BM+Ddge9yerYPdJ1bP5emveq0Nl6noT0Wt6&#10;VOr2Ztk9ggi4hD8YfvVZHUp2atyJOi9GztkmYVRBGscpCCaSJFuDaBSsH7iSZSH//1D+AAAA//8D&#10;AFBLAQItABQABgAIAAAAIQC2gziS/gAAAOEBAAATAAAAAAAAAAAAAAAAAAAAAABbQ29udGVudF9U&#10;eXBlc10ueG1sUEsBAi0AFAAGAAgAAAAhADj9If/WAAAAlAEAAAsAAAAAAAAAAAAAAAAALwEAAF9y&#10;ZWxzLy5yZWxzUEsBAi0AFAAGAAgAAAAhAMWH0RDzAQAAxAMAAA4AAAAAAAAAAAAAAAAALgIAAGRy&#10;cy9lMm9Eb2MueG1sUEsBAi0AFAAGAAgAAAAhAJ1emR7fAAAACwEAAA8AAAAAAAAAAAAAAAAATQQA&#10;AGRycy9kb3ducmV2LnhtbFBLBQYAAAAABAAEAPMAAABZBQAAAAA=&#10;" filled="f" stroked="f">
                <v:textbox inset="0,0,0,0">
                  <w:txbxContent>
                    <w:p w14:paraId="127178EC" w14:textId="55A1BEC9" w:rsidR="0079783A" w:rsidRPr="001B3E1E" w:rsidRDefault="0079783A" w:rsidP="0079783A">
                      <w:pPr>
                        <w:spacing w:line="252" w:lineRule="auto"/>
                        <w:jc w:val="center"/>
                        <w:rPr>
                          <w:rFonts w:cs="Arial"/>
                          <w:sz w:val="28"/>
                          <w:szCs w:val="28"/>
                        </w:rPr>
                      </w:pPr>
                      <w:r w:rsidRPr="001B3E1E">
                        <w:rPr>
                          <w:sz w:val="28"/>
                          <w:szCs w:val="28"/>
                        </w:rPr>
                        <w:t xml:space="preserve">Blauwe naalddop (naald </w:t>
                      </w:r>
                      <w:r w:rsidR="006D0892" w:rsidRPr="001B3E1E">
                        <w:rPr>
                          <w:sz w:val="28"/>
                          <w:szCs w:val="28"/>
                        </w:rPr>
                        <w:t>er</w:t>
                      </w:r>
                      <w:r w:rsidRPr="001B3E1E">
                        <w:rPr>
                          <w:sz w:val="28"/>
                          <w:szCs w:val="28"/>
                        </w:rPr>
                        <w:t>in)</w:t>
                      </w:r>
                    </w:p>
                  </w:txbxContent>
                </v:textbox>
                <w10:anchorlock/>
              </v:shape>
            </w:pict>
          </mc:Fallback>
        </mc:AlternateContent>
      </w:r>
      <w:r>
        <w:rPr>
          <w:noProof/>
          <w:lang w:val="en-US" w:eastAsia="ko-KR"/>
        </w:rPr>
        <mc:AlternateContent>
          <mc:Choice Requires="wps">
            <w:drawing>
              <wp:anchor distT="45720" distB="45720" distL="114300" distR="114300" simplePos="0" relativeHeight="251658273" behindDoc="0" locked="1" layoutInCell="1" allowOverlap="1" wp14:anchorId="0FC91CB5" wp14:editId="71F5D1FD">
                <wp:simplePos x="0" y="0"/>
                <wp:positionH relativeFrom="column">
                  <wp:posOffset>1339850</wp:posOffset>
                </wp:positionH>
                <wp:positionV relativeFrom="paragraph">
                  <wp:posOffset>5133975</wp:posOffset>
                </wp:positionV>
                <wp:extent cx="630555" cy="492760"/>
                <wp:effectExtent l="0" t="0" r="0" b="0"/>
                <wp:wrapNone/>
                <wp:docPr id="132875366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 cy="492760"/>
                        </a:xfrm>
                        <a:prstGeom prst="rect">
                          <a:avLst/>
                        </a:prstGeom>
                        <a:noFill/>
                        <a:ln>
                          <a:noFill/>
                        </a:ln>
                      </wps:spPr>
                      <wps:txbx>
                        <w:txbxContent>
                          <w:p w14:paraId="656D1D8C" w14:textId="6A763A4E" w:rsidR="0079783A" w:rsidRPr="001B3E1E" w:rsidRDefault="0079783A" w:rsidP="0079783A">
                            <w:pPr>
                              <w:spacing w:line="252" w:lineRule="auto"/>
                              <w:jc w:val="center"/>
                              <w:rPr>
                                <w:rFonts w:cs="Arial"/>
                                <w:sz w:val="28"/>
                                <w:szCs w:val="28"/>
                              </w:rPr>
                            </w:pPr>
                            <w:r w:rsidRPr="001B3E1E">
                              <w:rPr>
                                <w:sz w:val="28"/>
                                <w:szCs w:val="28"/>
                              </w:rPr>
                              <w:t>Oranje dop</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C91CB5" id="Text Box 49" o:spid="_x0000_s1059" type="#_x0000_t202" style="position:absolute;margin-left:105.5pt;margin-top:404.25pt;width:49.65pt;height:38.8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Xxz2wEAAJgDAAAOAAAAZHJzL2Uyb0RvYy54bWysU9uO0zAQfUfiHyy/06QtLRA1XS27WoS0&#10;XKRlP8Bx7MQi8Zix26R8PWOn6QL7hnixJmP7+Fwmu6ux79hRoTdgS75c5JwpK6E2tin547e7V285&#10;80HYWnRgVclPyvOr/csXu8EVagUtdLVCRiDWF4MreRuCK7LMy1b1wi/AKUubGrAXgT6xyWoUA6H3&#10;XbbK8202ANYOQSrvqXs7bfJ9wtdayfBFa68C60pO3EJaMa1VXLP9ThQNCtcaeaYh/oFFL4ylRy9Q&#10;tyIIdkDzDKo3EsGDDgsJfQZaG6mSBlKzzP9S89AKp5IWMse7i03+/8HKz8cH9xVZGN/DSAEmEd7d&#10;g/zumYWbVthGXSPC0CpR08PLaFk2OF+cr0arfeEjSDV8gppCFocACWjU2EdXSCcjdArgdDFdjYFJ&#10;am7X+Waz4UzS1ut3qzfbFEomivmyQx8+KOhZLEqOlGkCF8d7HyIZUcxH4lsW7kzXpVw7+0eDDsZO&#10;Ih/5TszDWI3M1CVfr6O0KKaC+kRyEKZxofGmogX8ydlAo1Jy/+MgUHHWfbRkSZyrucC5qOZCWElX&#10;Sx44m8qbMM3fwaFpWkKeTLdwTbZpkyQ9sTjzpfiT0vOoxvn6/Tudevqh9r8AAAD//wMAUEsDBBQA&#10;BgAIAAAAIQDcmp6P4AAAAAsBAAAPAAAAZHJzL2Rvd25yZXYueG1sTI/BTsMwEETvSPyDtUjcqO1W&#10;RCHEqSoEJyREGg4cnXibWI3XIXbb8PeYExxnZzT7ptwubmRnnIP1pECuBDCkzhtLvYKP5uUuBxai&#10;JqNHT6jgGwNsq+urUhfGX6jG8z72LJVQKLSCIcap4Dx0AzodVn5CSt7Bz07HJOeem1lfUrkb+VqI&#10;jDttKX0Y9IRPA3bH/ckp2H1S/Wy/3tr3+lDbpnkQ9Jodlbq9WXaPwCIu8S8Mv/gJHarE1PoTmcBG&#10;BWsp05aoIBf5PbCU2EixAdamS55J4FXJ/2+ofgAAAP//AwBQSwECLQAUAAYACAAAACEAtoM4kv4A&#10;AADhAQAAEwAAAAAAAAAAAAAAAAAAAAAAW0NvbnRlbnRfVHlwZXNdLnhtbFBLAQItABQABgAIAAAA&#10;IQA4/SH/1gAAAJQBAAALAAAAAAAAAAAAAAAAAC8BAABfcmVscy8ucmVsc1BLAQItABQABgAIAAAA&#10;IQAs8Xxz2wEAAJgDAAAOAAAAAAAAAAAAAAAAAC4CAABkcnMvZTJvRG9jLnhtbFBLAQItABQABgAI&#10;AAAAIQDcmp6P4AAAAAsBAAAPAAAAAAAAAAAAAAAAADUEAABkcnMvZG93bnJldi54bWxQSwUGAAAA&#10;AAQABADzAAAAQgUAAAAA&#10;" filled="f" stroked="f">
                <v:textbox inset="0,0,0,0">
                  <w:txbxContent>
                    <w:p w14:paraId="656D1D8C" w14:textId="6A763A4E" w:rsidR="0079783A" w:rsidRPr="001B3E1E" w:rsidRDefault="0079783A" w:rsidP="0079783A">
                      <w:pPr>
                        <w:spacing w:line="252" w:lineRule="auto"/>
                        <w:jc w:val="center"/>
                        <w:rPr>
                          <w:rFonts w:cs="Arial"/>
                          <w:sz w:val="28"/>
                          <w:szCs w:val="28"/>
                        </w:rPr>
                      </w:pPr>
                      <w:r w:rsidRPr="001B3E1E">
                        <w:rPr>
                          <w:sz w:val="28"/>
                          <w:szCs w:val="28"/>
                        </w:rPr>
                        <w:t>Oranje dop</w:t>
                      </w:r>
                    </w:p>
                  </w:txbxContent>
                </v:textbox>
                <w10:anchorlock/>
              </v:shape>
            </w:pict>
          </mc:Fallback>
        </mc:AlternateContent>
      </w:r>
      <w:r>
        <w:rPr>
          <w:noProof/>
          <w:lang w:val="en-US" w:eastAsia="ko-KR"/>
        </w:rPr>
        <mc:AlternateContent>
          <mc:Choice Requires="wps">
            <w:drawing>
              <wp:anchor distT="45720" distB="45720" distL="114300" distR="114300" simplePos="0" relativeHeight="251658274" behindDoc="0" locked="1" layoutInCell="1" allowOverlap="1" wp14:anchorId="28C1FBC6" wp14:editId="20D104B7">
                <wp:simplePos x="0" y="0"/>
                <wp:positionH relativeFrom="column">
                  <wp:posOffset>2949575</wp:posOffset>
                </wp:positionH>
                <wp:positionV relativeFrom="paragraph">
                  <wp:posOffset>1544955</wp:posOffset>
                </wp:positionV>
                <wp:extent cx="1592580" cy="727075"/>
                <wp:effectExtent l="0" t="0" r="0" b="0"/>
                <wp:wrapNone/>
                <wp:docPr id="56829797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727075"/>
                        </a:xfrm>
                        <a:prstGeom prst="rect">
                          <a:avLst/>
                        </a:prstGeom>
                        <a:noFill/>
                        <a:ln w="9525">
                          <a:noFill/>
                          <a:miter lim="800000"/>
                          <a:headEnd/>
                          <a:tailEnd/>
                        </a:ln>
                      </wps:spPr>
                      <wps:txbx>
                        <w:txbxContent>
                          <w:p w14:paraId="53CFC1BA" w14:textId="240C2776" w:rsidR="0079783A" w:rsidRPr="001B3E1E" w:rsidRDefault="00A43117" w:rsidP="0079783A">
                            <w:pPr>
                              <w:spacing w:line="264" w:lineRule="auto"/>
                              <w:jc w:val="center"/>
                              <w:rPr>
                                <w:rFonts w:cs="Arial"/>
                                <w:sz w:val="28"/>
                                <w:szCs w:val="28"/>
                              </w:rPr>
                            </w:pPr>
                            <w:r w:rsidRPr="00330234">
                              <w:rPr>
                                <w:sz w:val="28"/>
                                <w:szCs w:val="28"/>
                              </w:rPr>
                              <w:t>Uiterste houdbaarheidsdatum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1FBC6" id="Text Box 47" o:spid="_x0000_s1060" type="#_x0000_t202" style="position:absolute;margin-left:232.25pt;margin-top:121.65pt;width:125.4pt;height:57.25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8Ba8wEAAMUDAAAOAAAAZHJzL2Uyb0RvYy54bWysU9uO0zAQfUfiHyy/06SF0m5Ud7Xssghp&#10;uUgLH+A4TmNhe4ztNilfz9hJuit4Q+TBmmQyZ+acOd5dD0aTk/RBgWV0uSgpkVZAo+yB0e/f7l9t&#10;KQmR24ZrsJLRswz0ev/yxa53lVxBB7qRniCIDVXvGO1idFVRBNFJw8MCnLSYbMEbHvHVH4rG8x7R&#10;jS5WZfm26ME3zoOQIeDXuzFJ9xm/baWIX9o2yEg0ozhbzKfPZ53OYr/j1cFz1ykxjcH/YQrDlcWm&#10;F6g7Hjk5evUXlFHCQ4A2LgSYAtpWCZk5IJtl+Qebx447mbmgOMFdZAr/D1Z8Pj26r57E4R0MuMBM&#10;IrgHED8CsXDbcXuQN95D30neYONlkqzoXaim0iR1qEICqftP0OCS+TFCBhpab5IqyJMgOi7gfBFd&#10;DpGI1HJ9tVpvMSUwt1ltys06t+DVXO18iB8kGJICRj0uNaPz00OIaRpezb+kZhbuldZ5sdqSntGr&#10;9WqdC55ljIroO60Mo9syPaMTEsn3tsnFkSs9xthA24l1IjpSjkM9ENUw+vpNKk4q1NCcUQcPo8/w&#10;XmDQgf9FSY8eYzT8PHIvKdEfLWqZDDkHfg7qOeBWYCmjkZIxvI3ZuCPHG9S4VZn+U+dpRvRKVmXy&#10;dTLj8/f819Pt2/8GAAD//wMAUEsDBBQABgAIAAAAIQDTlWYq4gAAAAsBAAAPAAAAZHJzL2Rvd25y&#10;ZXYueG1sTI/LTsMwEEX3SPyDNUjsqNPm0RLiVBWCFRIiDQuWTuwmVuNxiN02/D3DquxmNEd3zi22&#10;sx3YWU/eOBSwXETANLZOGewEfNavDxtgPkhUcnCoBfxoD9vy9qaQuXIXrPR5HzpGIehzKaAPYcw5&#10;922vrfQLN2qk28FNVgZap46rSV4o3A58FUUZt9IgfejlqJ973R73Jytg94XVi/l+bz6qQ2Xq+jHC&#10;t+woxP3dvHsCFvQcrjD86ZM6lOTUuBMqzwYBSZakhApYJXEMjIj1MqWhERCn6w3wsuD/O5S/AAAA&#10;//8DAFBLAQItABQABgAIAAAAIQC2gziS/gAAAOEBAAATAAAAAAAAAAAAAAAAAAAAAABbQ29udGVu&#10;dF9UeXBlc10ueG1sUEsBAi0AFAAGAAgAAAAhADj9If/WAAAAlAEAAAsAAAAAAAAAAAAAAAAALwEA&#10;AF9yZWxzLy5yZWxzUEsBAi0AFAAGAAgAAAAhAEjjwFrzAQAAxQMAAA4AAAAAAAAAAAAAAAAALgIA&#10;AGRycy9lMm9Eb2MueG1sUEsBAi0AFAAGAAgAAAAhANOVZiriAAAACwEAAA8AAAAAAAAAAAAAAAAA&#10;TQQAAGRycy9kb3ducmV2LnhtbFBLBQYAAAAABAAEAPMAAABcBQAAAAA=&#10;" filled="f" stroked="f">
                <v:textbox inset="0,0,0,0">
                  <w:txbxContent>
                    <w:p w14:paraId="53CFC1BA" w14:textId="240C2776" w:rsidR="0079783A" w:rsidRPr="001B3E1E" w:rsidRDefault="00A43117" w:rsidP="0079783A">
                      <w:pPr>
                        <w:spacing w:line="264" w:lineRule="auto"/>
                        <w:jc w:val="center"/>
                        <w:rPr>
                          <w:rFonts w:cs="Arial"/>
                          <w:sz w:val="28"/>
                          <w:szCs w:val="28"/>
                        </w:rPr>
                      </w:pPr>
                      <w:r w:rsidRPr="00330234">
                        <w:rPr>
                          <w:sz w:val="28"/>
                          <w:szCs w:val="28"/>
                        </w:rPr>
                        <w:t>Uiterste houdbaarheidsdatum</w:t>
                      </w:r>
                    </w:p>
                  </w:txbxContent>
                </v:textbox>
                <w10:anchorlock/>
              </v:shape>
            </w:pict>
          </mc:Fallback>
        </mc:AlternateContent>
      </w:r>
      <w:r>
        <w:rPr>
          <w:noProof/>
          <w:lang w:val="en-US" w:eastAsia="ko-KR"/>
        </w:rPr>
        <mc:AlternateContent>
          <mc:Choice Requires="wps">
            <w:drawing>
              <wp:anchor distT="45720" distB="45720" distL="114300" distR="114300" simplePos="0" relativeHeight="251658275" behindDoc="0" locked="1" layoutInCell="1" allowOverlap="1" wp14:anchorId="0390EB3C" wp14:editId="78E64939">
                <wp:simplePos x="0" y="0"/>
                <wp:positionH relativeFrom="column">
                  <wp:posOffset>3201035</wp:posOffset>
                </wp:positionH>
                <wp:positionV relativeFrom="paragraph">
                  <wp:posOffset>2693670</wp:posOffset>
                </wp:positionV>
                <wp:extent cx="1499235" cy="508635"/>
                <wp:effectExtent l="0" t="0" r="0" b="0"/>
                <wp:wrapNone/>
                <wp:docPr id="156275970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508635"/>
                        </a:xfrm>
                        <a:prstGeom prst="rect">
                          <a:avLst/>
                        </a:prstGeom>
                        <a:noFill/>
                        <a:ln w="9525">
                          <a:noFill/>
                          <a:miter lim="800000"/>
                          <a:headEnd/>
                          <a:tailEnd/>
                        </a:ln>
                      </wps:spPr>
                      <wps:txbx>
                        <w:txbxContent>
                          <w:p w14:paraId="35A56D0A" w14:textId="6340B3B0" w:rsidR="0079783A" w:rsidRPr="001B3E1E" w:rsidRDefault="0079783A" w:rsidP="0079783A">
                            <w:pPr>
                              <w:spacing w:line="252" w:lineRule="auto"/>
                              <w:jc w:val="center"/>
                              <w:rPr>
                                <w:rFonts w:cs="Arial"/>
                                <w:b/>
                                <w:bCs/>
                                <w:sz w:val="28"/>
                                <w:szCs w:val="28"/>
                              </w:rPr>
                            </w:pPr>
                            <w:r w:rsidRPr="001B3E1E">
                              <w:rPr>
                                <w:sz w:val="28"/>
                                <w:szCs w:val="28"/>
                              </w:rPr>
                              <w:t xml:space="preserve">Oranje indicator </w:t>
                            </w:r>
                            <w:r w:rsidRPr="001B3E1E">
                              <w:rPr>
                                <w:b/>
                                <w:bCs/>
                                <w:sz w:val="28"/>
                                <w:szCs w:val="28"/>
                              </w:rPr>
                              <w:t>“injectie voltooid”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0EB3C" id="Text Box 45" o:spid="_x0000_s1061" type="#_x0000_t202" style="position:absolute;margin-left:252.05pt;margin-top:212.1pt;width:118.05pt;height:40.05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KPk8AEAAMUDAAAOAAAAZHJzL2Uyb0RvYy54bWysU8GO0zAQvSPxD5bvNGmhqzaqu1p2WYS0&#10;LEgLH+A4TmNhe4ztNilfz9hJuiu4IXKwxrHnzbw3z7vrwWhykj4osIwuFyUl0gpolD0w+v3b/ZsN&#10;JSFy23ANVjJ6loFe71+/2vWukivoQDfSEwSxoeodo12MriqKIDppeFiAkxYPW/CGR9z6Q9F43iO6&#10;0cWqLK+KHnzjPAgZAv69Gw/pPuO3rRTxS9sGGYlmFHuLefV5rdNa7He8OnjuOiWmNvg/dGG4slj0&#10;AnXHIydHr/6CMkp4CNDGhQBTQNsqITMHZLMs/2Dz1HEnMxcUJ7iLTOH/wYrH05P76kkc3sOAA8wk&#10;gnsA8SMQC7cdtwd54z30neQNFl4myYrehWpKTVKHKiSQuv8MDQ6ZHyNkoKH1JqmCPAmi4wDOF9Hl&#10;EIlIJd9tt6u3a0oEnq3LzRXGqQSv5mznQ/wowZAUMOpxqBmdnx5CHK/OV1IxC/dK6zxYbUnP6Ha9&#10;WueEFydGRfSdVobRTZm+0QmJ5Afb5OTIlR5j7EXbiXUiOlKOQz0Q1TA6NpxUqKE5ow4eRp/hu8Cg&#10;A/+Lkh49xmj4eeReUqI/WdQyGXIO/BzUc8CtwFRGIyVjeBuzcUeON6hxqzL958pTj+iVLODk62TG&#10;l/t86/n17X8DAAD//wMAUEsDBBQABgAIAAAAIQASLuix3wAAAAsBAAAPAAAAZHJzL2Rvd25yZXYu&#10;eG1sTI/BTsMwDIbvSLxDZCRuLFkpA0rTaUJwQkJ05cAxbby2WuOUJtvK22O4wM3W/+n353w9u0Ec&#10;cQq9Jw3LhQKB1HjbU6vhvXq+ugMRoiFrBk+o4QsDrIvzs9xk1p+oxOM2toJLKGRGQxfjmEkZmg6d&#10;CQs/InG285MzkdeplXYyJy53g0yUWklneuILnRnxscNmvz04DZsPKp/6z9f6rdyVfVXdK3pZ7bW+&#10;vJg3DyAizvEPhh99VoeCnWp/IBvEoOFGpUtGNaRJmoBg4jZVPNS/0TXIIpf/fyi+AQAA//8DAFBL&#10;AQItABQABgAIAAAAIQC2gziS/gAAAOEBAAATAAAAAAAAAAAAAAAAAAAAAABbQ29udGVudF9UeXBl&#10;c10ueG1sUEsBAi0AFAAGAAgAAAAhADj9If/WAAAAlAEAAAsAAAAAAAAAAAAAAAAALwEAAF9yZWxz&#10;Ly5yZWxzUEsBAi0AFAAGAAgAAAAhAN20o+TwAQAAxQMAAA4AAAAAAAAAAAAAAAAALgIAAGRycy9l&#10;Mm9Eb2MueG1sUEsBAi0AFAAGAAgAAAAhABIu6LHfAAAACwEAAA8AAAAAAAAAAAAAAAAASgQAAGRy&#10;cy9kb3ducmV2LnhtbFBLBQYAAAAABAAEAPMAAABWBQAAAAA=&#10;" filled="f" stroked="f">
                <v:textbox inset="0,0,0,0">
                  <w:txbxContent>
                    <w:p w14:paraId="35A56D0A" w14:textId="6340B3B0" w:rsidR="0079783A" w:rsidRPr="001B3E1E" w:rsidRDefault="0079783A" w:rsidP="0079783A">
                      <w:pPr>
                        <w:spacing w:line="252" w:lineRule="auto"/>
                        <w:jc w:val="center"/>
                        <w:rPr>
                          <w:rFonts w:cs="Arial"/>
                          <w:b/>
                          <w:bCs/>
                          <w:sz w:val="28"/>
                          <w:szCs w:val="28"/>
                        </w:rPr>
                      </w:pPr>
                      <w:r w:rsidRPr="001B3E1E">
                        <w:rPr>
                          <w:sz w:val="28"/>
                          <w:szCs w:val="28"/>
                        </w:rPr>
                        <w:t xml:space="preserve">Oranje indicator </w:t>
                      </w:r>
                      <w:r w:rsidRPr="001B3E1E">
                        <w:rPr>
                          <w:b/>
                          <w:bCs/>
                          <w:sz w:val="28"/>
                          <w:szCs w:val="28"/>
                        </w:rPr>
                        <w:t>“injectie voltooid”</w:t>
                      </w:r>
                    </w:p>
                  </w:txbxContent>
                </v:textbox>
                <w10:anchorlock/>
              </v:shape>
            </w:pict>
          </mc:Fallback>
        </mc:AlternateContent>
      </w:r>
      <w:r>
        <w:rPr>
          <w:noProof/>
          <w:lang w:val="en-US" w:eastAsia="ko-KR"/>
        </w:rPr>
        <mc:AlternateContent>
          <mc:Choice Requires="wps">
            <w:drawing>
              <wp:anchor distT="45720" distB="45720" distL="114300" distR="114300" simplePos="0" relativeHeight="251658276" behindDoc="0" locked="1" layoutInCell="1" allowOverlap="1" wp14:anchorId="41E34291" wp14:editId="5C41EC4F">
                <wp:simplePos x="0" y="0"/>
                <wp:positionH relativeFrom="column">
                  <wp:posOffset>3087370</wp:posOffset>
                </wp:positionH>
                <wp:positionV relativeFrom="paragraph">
                  <wp:posOffset>3870960</wp:posOffset>
                </wp:positionV>
                <wp:extent cx="1344930" cy="1233170"/>
                <wp:effectExtent l="0" t="0" r="0" b="0"/>
                <wp:wrapNone/>
                <wp:docPr id="69274983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1233170"/>
                        </a:xfrm>
                        <a:prstGeom prst="rect">
                          <a:avLst/>
                        </a:prstGeom>
                        <a:noFill/>
                        <a:ln w="9525">
                          <a:noFill/>
                          <a:miter lim="800000"/>
                          <a:headEnd/>
                          <a:tailEnd/>
                        </a:ln>
                      </wps:spPr>
                      <wps:txbx>
                        <w:txbxContent>
                          <w:p w14:paraId="209403E9" w14:textId="7076F7C2" w:rsidR="0079783A" w:rsidRPr="001B3E1E" w:rsidRDefault="00A43117" w:rsidP="00CE6919">
                            <w:pPr>
                              <w:spacing w:line="252" w:lineRule="auto"/>
                              <w:jc w:val="center"/>
                              <w:rPr>
                                <w:rFonts w:cs="Arial"/>
                                <w:sz w:val="28"/>
                                <w:szCs w:val="28"/>
                              </w:rPr>
                            </w:pPr>
                            <w:r w:rsidRPr="00330234">
                              <w:rPr>
                                <w:sz w:val="28"/>
                                <w:szCs w:val="28"/>
                              </w:rPr>
                              <w:t>Blauwe naalddop (vergrendeld en naald erin)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E34291" id="Text Box 43" o:spid="_x0000_s1062" type="#_x0000_t202" style="position:absolute;margin-left:243.1pt;margin-top:304.8pt;width:105.9pt;height:97.1pt;z-index:251658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4o9QEAAMYDAAAOAAAAZHJzL2Uyb0RvYy54bWysU9tu2zAMfR+wfxD0vjiXtmuNKEXXrsOA&#10;7gK0+wBGlmNhkqhJSuzs60fJSVpsb8X8INCmechzeLS8HqxhOxWiRif4bDLlTDmJjXYbwX883b+7&#10;5CwmcA0YdErwvYr8evX2zbL3tZpjh6ZRgRGIi3XvBe9S8nVVRdkpC3GCXjlKthgsJHoNm6oJ0BO6&#10;NdV8Or2oegyNDyhVjPT1bkzyVcFvWyXTt7aNKjEjOM2WyhnKuc5ntVpCvQngOy0PY8ArprCgHTU9&#10;Qd1BArYN+h8oq2XAiG2aSLQVtq2WqnAgNrPpX2weO/CqcCFxoj/JFP8frPy6e/TfA0vDBxxogYVE&#10;9A8of0bm8LYDt1E3IWDfKWio8SxLVvU+1ofSLHWsYwZZ91+woSXDNmEBGtpgsyrEkxE6LWB/El0N&#10;icnccnF2drWglKTcbL5YzN6XtVRQH8t9iOmTQstyIHigrRZ42D3ElMeB+vhL7ubwXhtTNmsc6wW/&#10;Op+fl4IXGasTGc9oK/jlND+jFTLLj64pxQm0GWNqYNyBdmY6ck7DemC6EXxxkYuzDGts9iREwNFo&#10;dDEo6DD85qwnkwkef20hKM7MZ0diZkceg3AM1scAnKRSwRNnY3ibinNHjjckcqsL/efOhxnJLEWV&#10;g7GzG1++l7+er9/qDwAAAP//AwBQSwMEFAAGAAgAAAAhAN0IuqLgAAAACwEAAA8AAABkcnMvZG93&#10;bnJldi54bWxMj8FOwzAQRO9I/IO1SNyoTUFWErKpKgQnJEQaDhyd2E2sxusQu234e8yJHlf7NPOm&#10;3CxuZCczB+sJ4X4lgBnqvLbUI3w2r3cZsBAVaTV6Mgg/JsCmur4qVaH9mWpz2sWepRAKhUIYYpwK&#10;zkM3GKfCyk+G0m/vZ6diOuee61mdU7gb+VoIyZ2ylBoGNZnnwXSH3dEhbL+ofrHf7+1Hva9t0+SC&#10;3uQB8fZm2T4Bi2aJ/zD86Sd1qJJT64+kAxsRHjO5TiiCFLkElgiZZ2ldi5CJhwx4VfLLDdUvAAAA&#10;//8DAFBLAQItABQABgAIAAAAIQC2gziS/gAAAOEBAAATAAAAAAAAAAAAAAAAAAAAAABbQ29udGVu&#10;dF9UeXBlc10ueG1sUEsBAi0AFAAGAAgAAAAhADj9If/WAAAAlAEAAAsAAAAAAAAAAAAAAAAALwEA&#10;AF9yZWxzLy5yZWxzUEsBAi0AFAAGAAgAAAAhAAJ5Dij1AQAAxgMAAA4AAAAAAAAAAAAAAAAALgIA&#10;AGRycy9lMm9Eb2MueG1sUEsBAi0AFAAGAAgAAAAhAN0IuqLgAAAACwEAAA8AAAAAAAAAAAAAAAAA&#10;TwQAAGRycy9kb3ducmV2LnhtbFBLBQYAAAAABAAEAPMAAABcBQAAAAA=&#10;" filled="f" stroked="f">
                <v:textbox inset="0,0,0,0">
                  <w:txbxContent>
                    <w:p w14:paraId="209403E9" w14:textId="7076F7C2" w:rsidR="0079783A" w:rsidRPr="001B3E1E" w:rsidRDefault="00A43117" w:rsidP="00CE6919">
                      <w:pPr>
                        <w:spacing w:line="252" w:lineRule="auto"/>
                        <w:jc w:val="center"/>
                        <w:rPr>
                          <w:rFonts w:cs="Arial"/>
                          <w:sz w:val="28"/>
                          <w:szCs w:val="28"/>
                        </w:rPr>
                      </w:pPr>
                      <w:r w:rsidRPr="00330234">
                        <w:rPr>
                          <w:sz w:val="28"/>
                          <w:szCs w:val="28"/>
                        </w:rPr>
                        <w:t>Blauwe naalddop (vergrendeld en naald erin)</w:t>
                      </w:r>
                    </w:p>
                  </w:txbxContent>
                </v:textbox>
                <w10:anchorlock/>
              </v:shape>
            </w:pict>
          </mc:Fallback>
        </mc:AlternateContent>
      </w:r>
    </w:p>
    <w:p w14:paraId="15E4D3F5" w14:textId="555535C6" w:rsidR="0079783A" w:rsidRPr="00330234" w:rsidRDefault="00315255" w:rsidP="0079783A">
      <w:pPr>
        <w:spacing w:line="200" w:lineRule="atLeast"/>
        <w:ind w:left="316"/>
      </w:pPr>
      <w:r>
        <w:rPr>
          <w:noProof/>
          <w:lang w:val="en-US" w:eastAsia="ko-KR"/>
        </w:rPr>
        <w:drawing>
          <wp:inline distT="0" distB="0" distL="0" distR="0" wp14:anchorId="2F90690F" wp14:editId="070B3DF9">
            <wp:extent cx="5454650" cy="5475605"/>
            <wp:effectExtent l="0" t="0" r="0" b="0"/>
            <wp:docPr id="21" name="그림 996297903" descr="텍스트, 스크린샷, 도표,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96297903" descr="텍스트, 스크린샷, 도표, 디자인이(가) 표시된 사진&#10;&#10;자동 생성된 설명"/>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54650" cy="5475605"/>
                    </a:xfrm>
                    <a:prstGeom prst="rect">
                      <a:avLst/>
                    </a:prstGeom>
                    <a:noFill/>
                    <a:ln>
                      <a:noFill/>
                    </a:ln>
                  </pic:spPr>
                </pic:pic>
              </a:graphicData>
            </a:graphic>
          </wp:inline>
        </w:drawing>
      </w:r>
    </w:p>
    <w:p w14:paraId="06A40B7D" w14:textId="77777777" w:rsidR="0079783A" w:rsidRPr="00330234" w:rsidRDefault="0079783A" w:rsidP="0079783A">
      <w:pPr>
        <w:jc w:val="center"/>
        <w:rPr>
          <w:b/>
          <w:bCs/>
        </w:rPr>
      </w:pPr>
      <w:r w:rsidRPr="00330234">
        <w:rPr>
          <w:b/>
        </w:rPr>
        <w:t>Figuur A</w:t>
      </w:r>
    </w:p>
    <w:p w14:paraId="2951FE32" w14:textId="5CABB2F0" w:rsidR="0079783A" w:rsidRPr="00330234" w:rsidRDefault="0079783A" w:rsidP="001B3E1E">
      <w:pPr>
        <w:rPr>
          <w:b/>
          <w:bCs/>
        </w:rPr>
      </w:pPr>
      <w:r w:rsidRPr="00330234">
        <w:br w:type="page"/>
      </w:r>
      <w:r w:rsidRPr="00330234">
        <w:rPr>
          <w:b/>
        </w:rPr>
        <w:lastRenderedPageBreak/>
        <w:t xml:space="preserve">Voorbereiden voor de injectie </w:t>
      </w:r>
    </w:p>
    <w:p w14:paraId="49919AC8" w14:textId="77777777" w:rsidR="0079783A" w:rsidRPr="00330234" w:rsidRDefault="0079783A" w:rsidP="0079783A">
      <w:pPr>
        <w:keepNex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A358A8" w:rsidRPr="00330234" w14:paraId="039C6436" w14:textId="77777777">
        <w:trPr>
          <w:cantSplit/>
        </w:trPr>
        <w:tc>
          <w:tcPr>
            <w:tcW w:w="3539" w:type="dxa"/>
          </w:tcPr>
          <w:p w14:paraId="71EBC398" w14:textId="4415DFDB" w:rsidR="0079783A" w:rsidRPr="00330234" w:rsidRDefault="00A14D1E" w:rsidP="00144E79">
            <w:pPr>
              <w:pStyle w:val="af"/>
            </w:pPr>
            <w:bookmarkStart w:id="62" w:name="_Hlk197597625"/>
            <w:r>
              <w:rPr>
                <w:noProof/>
              </w:rPr>
              <w:drawing>
                <wp:inline distT="0" distB="0" distL="0" distR="0" wp14:anchorId="69959F87" wp14:editId="50782FC6">
                  <wp:extent cx="2127250" cy="2752725"/>
                  <wp:effectExtent l="0" t="0" r="6350" b="9525"/>
                  <wp:docPr id="36" name="그림 36" descr="C:\Users\2501570\Desktop\AI figure B 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501570\Desktop\AI figure B clean.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41171" cy="2770739"/>
                          </a:xfrm>
                          <a:prstGeom prst="rect">
                            <a:avLst/>
                          </a:prstGeom>
                          <a:noFill/>
                          <a:ln>
                            <a:noFill/>
                          </a:ln>
                        </pic:spPr>
                      </pic:pic>
                    </a:graphicData>
                  </a:graphic>
                </wp:inline>
              </w:drawing>
            </w:r>
          </w:p>
          <w:p w14:paraId="7CBB8F5B" w14:textId="5CEF4A90" w:rsidR="0079783A" w:rsidRPr="00330234" w:rsidRDefault="00315255">
            <w:pPr>
              <w:suppressAutoHyphens/>
              <w:jc w:val="right"/>
              <w:rPr>
                <w:b/>
                <w:bCs/>
              </w:rPr>
            </w:pPr>
            <w:r>
              <w:rPr>
                <w:noProof/>
                <w:lang w:val="en-US" w:eastAsia="ko-KR"/>
              </w:rPr>
              <mc:AlternateContent>
                <mc:Choice Requires="wps">
                  <w:drawing>
                    <wp:anchor distT="45720" distB="45720" distL="114300" distR="114300" simplePos="0" relativeHeight="251658277" behindDoc="0" locked="1" layoutInCell="1" allowOverlap="1" wp14:anchorId="53EE1851" wp14:editId="096AB004">
                      <wp:simplePos x="0" y="0"/>
                      <wp:positionH relativeFrom="column">
                        <wp:posOffset>1090295</wp:posOffset>
                      </wp:positionH>
                      <wp:positionV relativeFrom="page">
                        <wp:posOffset>699770</wp:posOffset>
                      </wp:positionV>
                      <wp:extent cx="1011555" cy="485140"/>
                      <wp:effectExtent l="0" t="0" r="0" b="0"/>
                      <wp:wrapNone/>
                      <wp:docPr id="41571443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485140"/>
                              </a:xfrm>
                              <a:prstGeom prst="rect">
                                <a:avLst/>
                              </a:prstGeom>
                              <a:noFill/>
                              <a:ln>
                                <a:noFill/>
                              </a:ln>
                            </wps:spPr>
                            <wps:txbx>
                              <w:txbxContent>
                                <w:p w14:paraId="28C2C3F2" w14:textId="1F54F45A" w:rsidR="0079783A" w:rsidRPr="001B3E1E" w:rsidRDefault="0079783A" w:rsidP="006D0892">
                                  <w:pPr>
                                    <w:spacing w:line="260" w:lineRule="exact"/>
                                    <w:jc w:val="center"/>
                                  </w:pPr>
                                  <w:r w:rsidRPr="001B3E1E">
                                    <w:t>Watje/gaasje</w:t>
                                  </w:r>
                                  <w:r w:rsidR="00A018B9" w:rsidRPr="00330234">
                                    <w:t xml:space="preserve"> </w:t>
                                  </w:r>
                                  <w:r w:rsidRPr="001B3E1E">
                                    <w:t>en alcoholdoekje</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3EE1851" id="Text Box 41" o:spid="_x0000_s1063" type="#_x0000_t202" style="position:absolute;left:0;text-align:left;margin-left:85.85pt;margin-top:55.1pt;width:79.65pt;height:38.2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UZq3AEAAJsDAAAOAAAAZHJzL2Uyb0RvYy54bWysU9tu1DAQfUfiHyy/s9mULlTRZqvSqgip&#10;UKTCBziOk1gkHjPj3WT5esbOZsvlDfFijW/H55w53l5PQy8OBsmCK2W+WkthnIbauraUX7/cv7qS&#10;goJyterBmVIeDcnr3csX29EX5gI66GuDgkEcFaMvZReCL7KMdGcGRSvwxvFmAziowFNssxrVyOhD&#10;n12s12+yEbD2CNoQ8erdvCl3Cb9pjA6PTUMmiL6UzC2kEdNYxTHbbVXRovKd1Sca6h9YDMo6fvQM&#10;daeCEnu0f0ENViMQNGGlYcigaaw2SQOrydd/qHnqlDdJC5tD/mwT/T9Y/enw5D+jCNM7mLiBSQT5&#10;B9DfSDi47ZRrzQ0ijJ1RNT+cR8uy0VNxuhqtpoIiSDV+hJqbrPYBEtDU4BBdYZ2C0bkBx7PpZgpC&#10;xyfXeb7ZbKTQvHd5tckvU1cyVSy3PVJ4b2AQsSglclMTujo8UIhsVLEciY85uLd9nxrbu98W+GBc&#10;Sewj4Zl6mKpJ2LqUr99GbVFNBfWR9SDMeeF8c9EB/pBi5KyUkr7vFRop+g+OPYnBWgpcimoplNN8&#10;tZQ6oBTz5DbMEdx7tG3H2LPvDm7YucYmUc88Tow5AUnrKa0xYr/O06nnP7X7CQAA//8DAFBLAwQU&#10;AAYACAAAACEAOOX2zN8AAAALAQAADwAAAGRycy9kb3ducmV2LnhtbEyPwU7DQAxE70j8w8pIXBDd&#10;pJXSKmRTlSLKiUMKH+Bm3SRq1htlt23g6zEnuHns0fhNsZ5cry40hs6zgXSWgCKuve24MfD58fq4&#10;AhUissXeMxn4ogDr8vamwNz6K1d02cdGSQiHHA20MQ651qFuyWGY+YFYbkc/Oowix0bbEa8S7no9&#10;T5JMO+xYPrQ40Lal+rQ/OwO0qfz3+ynsXPX8st0dO6YH/WbM/d20eQIVaYp/ZvjFF3Qohengz2yD&#10;6kUv06VYZUiTOShxLBaptDvIZpVloMtC/+9Q/gAAAP//AwBQSwECLQAUAAYACAAAACEAtoM4kv4A&#10;AADhAQAAEwAAAAAAAAAAAAAAAAAAAAAAW0NvbnRlbnRfVHlwZXNdLnhtbFBLAQItABQABgAIAAAA&#10;IQA4/SH/1gAAAJQBAAALAAAAAAAAAAAAAAAAAC8BAABfcmVscy8ucmVsc1BLAQItABQABgAIAAAA&#10;IQDzkUZq3AEAAJsDAAAOAAAAAAAAAAAAAAAAAC4CAABkcnMvZTJvRG9jLnhtbFBLAQItABQABgAI&#10;AAAAIQA45fbM3wAAAAsBAAAPAAAAAAAAAAAAAAAAADYEAABkcnMvZG93bnJldi54bWxQSwUGAAAA&#10;AAQABADzAAAAQgUAAAAA&#10;" filled="f" stroked="f">
                      <v:textbox inset="0,0,0,0">
                        <w:txbxContent>
                          <w:p w14:paraId="28C2C3F2" w14:textId="1F54F45A" w:rsidR="0079783A" w:rsidRPr="001B3E1E" w:rsidRDefault="0079783A" w:rsidP="006D0892">
                            <w:pPr>
                              <w:spacing w:line="260" w:lineRule="exact"/>
                              <w:jc w:val="center"/>
                            </w:pPr>
                            <w:r w:rsidRPr="001B3E1E">
                              <w:t>Watje/gaasje</w:t>
                            </w:r>
                            <w:r w:rsidR="00A018B9" w:rsidRPr="00330234">
                              <w:t xml:space="preserve"> </w:t>
                            </w:r>
                            <w:r w:rsidRPr="001B3E1E">
                              <w:t>en alcoholdoekje</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78" behindDoc="0" locked="1" layoutInCell="1" allowOverlap="1" wp14:anchorId="0166FDFC" wp14:editId="4F049F84">
                      <wp:simplePos x="0" y="0"/>
                      <wp:positionH relativeFrom="column">
                        <wp:posOffset>1001395</wp:posOffset>
                      </wp:positionH>
                      <wp:positionV relativeFrom="page">
                        <wp:posOffset>2025015</wp:posOffset>
                      </wp:positionV>
                      <wp:extent cx="1059180" cy="317500"/>
                      <wp:effectExtent l="0" t="0" r="0" b="0"/>
                      <wp:wrapNone/>
                      <wp:docPr id="2787871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317500"/>
                              </a:xfrm>
                              <a:prstGeom prst="rect">
                                <a:avLst/>
                              </a:prstGeom>
                              <a:noFill/>
                              <a:ln>
                                <a:noFill/>
                              </a:ln>
                            </wps:spPr>
                            <wps:txbx>
                              <w:txbxContent>
                                <w:p w14:paraId="52E3ED42" w14:textId="77777777" w:rsidR="0079783A" w:rsidRPr="001B3E1E" w:rsidRDefault="0079783A" w:rsidP="0079783A">
                                  <w:pPr>
                                    <w:spacing w:line="260" w:lineRule="exact"/>
                                    <w:jc w:val="center"/>
                                  </w:pPr>
                                  <w:r w:rsidRPr="001B3E1E">
                                    <w:t>Naaldencontainer</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166FDFC" id="_x0000_s1064" type="#_x0000_t202" style="position:absolute;left:0;text-align:left;margin-left:78.85pt;margin-top:159.45pt;width:83.4pt;height:25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F5r3AEAAJsDAAAOAAAAZHJzL2Uyb0RvYy54bWysU9tu1DAQfUfiHyy/s0mKCku02aq0KkIq&#10;F6nwARPH2VgkHjP2brJ8PWNnswX6VvFijT32mXPOjDdX09CLgyZv0FayWOVSaKuwMXZXye/f7l6t&#10;pfABbAM9Wl3Jo/byavvyxWZ0pb7ADvtGk2AQ68vRVbILwZVZ5lWnB/ArdNpyskUaIPCWdllDMDL6&#10;0GcXef4mG5EaR6i093x6OyflNuG3rVbhS9t6HURfSeYW0kppreOabTdQ7ghcZ9SJBjyDxQDGctEz&#10;1C0EEHsyT6AGowg9tmGlcMiwbY3SSQOrKfJ/1Dx04HTSwuZ4d7bJ/z9Y9fnw4L6SCNN7nLiBSYR3&#10;96h+eGHxpgO709dEOHYaGi5cRMuy0fny9DRa7UsfQerxEzbcZNgHTEBTS0N0hXUKRucGHM+m6ykI&#10;FUvml++KNacU514Xby/z1JUMyuW1Ix8+aBxEDCpJ3NSEDod7HyIbKJcrsZjFO9P3qbG9/euAL8aT&#10;xD4SnqmHqZ6Eabj4OmqLampsjqyHcJ4Xnm8OOqRfUow8K5X0P/dAWor+o2VP4mAtAS1BvQRgFT+t&#10;pAokxby5CfMI7h2ZXcfYs+8Wr9m51iRRjzxOjHkCktbTtMYR+3Ofbj3+qe1vAAAA//8DAFBLAwQU&#10;AAYACAAAACEA1QI/B+AAAAALAQAADwAAAGRycy9kb3ducmV2LnhtbEyPzU7DQAyE70i8w8pIXBDd&#10;tKU/hGyqUkQ5cUjhAdysm0TNeqPstg08PeYEN489Gn+TrQbXqjP1ofFsYDxKQBGX3jZcGfj8eL1f&#10;ggoR2WLrmQx8UYBVfn2VYWr9hQs672KlJIRDigbqGLtU61DW5DCMfEcst4PvHUaRfaVtjxcJd62e&#10;JMlcO2xYPtTY0aam8rg7OQO0Lvz3+zFsXfH8stkeGqY7/WbM7c2wfgIVaYh/ZvjFF3TIhWnvT2yD&#10;akXPFguxGpiOl4+gxDGdPMxA7WWYy0bnmf7fIf8BAAD//wMAUEsBAi0AFAAGAAgAAAAhALaDOJL+&#10;AAAA4QEAABMAAAAAAAAAAAAAAAAAAAAAAFtDb250ZW50X1R5cGVzXS54bWxQSwECLQAUAAYACAAA&#10;ACEAOP0h/9YAAACUAQAACwAAAAAAAAAAAAAAAAAvAQAAX3JlbHMvLnJlbHNQSwECLQAUAAYACAAA&#10;ACEA50hea9wBAACbAwAADgAAAAAAAAAAAAAAAAAuAgAAZHJzL2Uyb0RvYy54bWxQSwECLQAUAAYA&#10;CAAAACEA1QI/B+AAAAALAQAADwAAAAAAAAAAAAAAAAA2BAAAZHJzL2Rvd25yZXYueG1sUEsFBgAA&#10;AAAEAAQA8wAAAEMFAAAAAA==&#10;" filled="f" stroked="f">
                      <v:textbox inset="0,0,0,0">
                        <w:txbxContent>
                          <w:p w14:paraId="52E3ED42" w14:textId="77777777" w:rsidR="0079783A" w:rsidRPr="001B3E1E" w:rsidRDefault="0079783A" w:rsidP="0079783A">
                            <w:pPr>
                              <w:spacing w:line="260" w:lineRule="exact"/>
                              <w:jc w:val="center"/>
                            </w:pPr>
                            <w:r w:rsidRPr="001B3E1E">
                              <w:t>Naaldencontainer</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79" behindDoc="0" locked="1" layoutInCell="1" allowOverlap="1" wp14:anchorId="1FD2442D" wp14:editId="213F2E39">
                      <wp:simplePos x="0" y="0"/>
                      <wp:positionH relativeFrom="column">
                        <wp:posOffset>81280</wp:posOffset>
                      </wp:positionH>
                      <wp:positionV relativeFrom="page">
                        <wp:posOffset>704850</wp:posOffset>
                      </wp:positionV>
                      <wp:extent cx="1024890" cy="629920"/>
                      <wp:effectExtent l="0" t="0" r="0" b="0"/>
                      <wp:wrapNone/>
                      <wp:docPr id="29176509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629920"/>
                              </a:xfrm>
                              <a:prstGeom prst="rect">
                                <a:avLst/>
                              </a:prstGeom>
                              <a:noFill/>
                              <a:ln>
                                <a:noFill/>
                              </a:ln>
                            </wps:spPr>
                            <wps:txbx>
                              <w:txbxContent>
                                <w:p w14:paraId="03FFD859" w14:textId="46A4707F" w:rsidR="0079783A" w:rsidRPr="001B3E1E" w:rsidRDefault="0079783A" w:rsidP="006D0892">
                                  <w:pPr>
                                    <w:spacing w:line="260" w:lineRule="exact"/>
                                    <w:jc w:val="center"/>
                                    <w:rPr>
                                      <w:sz w:val="21"/>
                                      <w:szCs w:val="21"/>
                                    </w:rPr>
                                  </w:pPr>
                                  <w:r w:rsidRPr="001B3E1E">
                                    <w:rPr>
                                      <w:sz w:val="21"/>
                                      <w:szCs w:val="21"/>
                                    </w:rPr>
                                    <w:t>Doos met Avtozma voorgevulde pen</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FD2442D" id="Text Box 37" o:spid="_x0000_s1065" type="#_x0000_t202" style="position:absolute;left:0;text-align:left;margin-left:6.4pt;margin-top:55.5pt;width:80.7pt;height:49.6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wpz3AEAAJsDAAAOAAAAZHJzL2Uyb0RvYy54bWysU9tu2zAMfR+wfxD0vtjxhqIx4hRdiw4D&#10;ugvQ7QMUWbaF2aJGKrGzrx8lx+kub8NeBEqUDs85pLY309CLo0Gy4Cq5XuVSGKehtq6t5NcvD6+u&#10;paCgXK16cKaSJ0PyZvfyxXb0pSmgg742KBjEUTn6SnYh+DLLSHdmULQCbxwnG8BBBd5im9WoRkYf&#10;+qzI86tsBKw9gjZEfHo/J+Uu4TeN0eFT05AJoq8kcwtpxbTu45rttqpsUfnO6jMN9Q8sBmUdF71A&#10;3augxAHtX1CD1QgETVhpGDJoGqtN0sBq1vkfap465U3SwuaQv9hE/w9Wfzw++c8owvQWJm5gEkH+&#10;EfQ3Eg7uOuVac4sIY2dUzYXX0bJs9FSen0arqaQIsh8/QM1NVocACWhqcIiusE7B6NyA08V0MwWh&#10;Y8m8eHO94ZTm3FWx2RSpK5kql9ceKbwzMIgYVBK5qQldHR8pRDaqXK7EYg4ebN+nxvbutwO+GE8S&#10;+0h4ph6m/SRsXcnXm6gtqtlDfWI9CPO88Hxz0AH+kGLkWakkfT8oNFL07x17EgdrCXAJ9kugnOan&#10;ldQBpZg3d2EewYNH23aMPfvu4Jada2wS9czjzJgnIGk9T2scsV/36dbzn9r9BAAA//8DAFBLAwQU&#10;AAYACAAAACEAsNFAdN4AAAAKAQAADwAAAGRycy9kb3ducmV2LnhtbEyPwW7CMBBE75X6D9ZW6qUC&#10;J1ZVqhAHUarCqYdAP8DESxIRr6PYQNqv73KC02q0o5k3+WJ0nTjjEFpPGtJpAgKp8ralWsPP7mvy&#10;DiJEQ9Z0nlDDLwZYFI8Pucmsv1CJ522sBYdQyIyGJsY+kzJUDToTpr5H4t/BD85ElkMt7WAuHO46&#10;qZLkTTrTEjc0psdVg9Vxe3IacFn6v+9jWLvy43O1PrSEL3Kj9fPTuJyDiDjGmxmu+IwOBTPt/Yls&#10;EB1rxeSRb5rypqth9qpA7DWoNFEgi1zeTyj+AQAA//8DAFBLAQItABQABgAIAAAAIQC2gziS/gAA&#10;AOEBAAATAAAAAAAAAAAAAAAAAAAAAABbQ29udGVudF9UeXBlc10ueG1sUEsBAi0AFAAGAAgAAAAh&#10;ADj9If/WAAAAlAEAAAsAAAAAAAAAAAAAAAAALwEAAF9yZWxzLy5yZWxzUEsBAi0AFAAGAAgAAAAh&#10;ALijCnPcAQAAmwMAAA4AAAAAAAAAAAAAAAAALgIAAGRycy9lMm9Eb2MueG1sUEsBAi0AFAAGAAgA&#10;AAAhALDRQHTeAAAACgEAAA8AAAAAAAAAAAAAAAAANgQAAGRycy9kb3ducmV2LnhtbFBLBQYAAAAA&#10;BAAEAPMAAABBBQAAAAA=&#10;" filled="f" stroked="f">
                      <v:textbox inset="0,0,0,0">
                        <w:txbxContent>
                          <w:p w14:paraId="03FFD859" w14:textId="46A4707F" w:rsidR="0079783A" w:rsidRPr="001B3E1E" w:rsidRDefault="0079783A" w:rsidP="006D0892">
                            <w:pPr>
                              <w:spacing w:line="260" w:lineRule="exact"/>
                              <w:jc w:val="center"/>
                              <w:rPr>
                                <w:sz w:val="21"/>
                                <w:szCs w:val="21"/>
                              </w:rPr>
                            </w:pPr>
                            <w:r w:rsidRPr="001B3E1E">
                              <w:rPr>
                                <w:sz w:val="21"/>
                                <w:szCs w:val="21"/>
                              </w:rPr>
                              <w:t>Doos met Avtozma voorgevulde pen</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80" behindDoc="0" locked="1" layoutInCell="1" allowOverlap="1" wp14:anchorId="407888A2" wp14:editId="4808DE18">
                      <wp:simplePos x="0" y="0"/>
                      <wp:positionH relativeFrom="column">
                        <wp:posOffset>85725</wp:posOffset>
                      </wp:positionH>
                      <wp:positionV relativeFrom="page">
                        <wp:posOffset>2024380</wp:posOffset>
                      </wp:positionV>
                      <wp:extent cx="862965" cy="278130"/>
                      <wp:effectExtent l="0" t="0" r="0" b="0"/>
                      <wp:wrapNone/>
                      <wp:docPr id="116418520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278130"/>
                              </a:xfrm>
                              <a:prstGeom prst="rect">
                                <a:avLst/>
                              </a:prstGeom>
                              <a:noFill/>
                              <a:ln>
                                <a:noFill/>
                              </a:ln>
                            </wps:spPr>
                            <wps:txbx>
                              <w:txbxContent>
                                <w:p w14:paraId="091B7719" w14:textId="77777777" w:rsidR="0079783A" w:rsidRPr="001B3E1E" w:rsidRDefault="0079783A" w:rsidP="0079783A">
                                  <w:pPr>
                                    <w:spacing w:line="260" w:lineRule="exact"/>
                                    <w:jc w:val="center"/>
                                  </w:pPr>
                                  <w:r w:rsidRPr="001B3E1E">
                                    <w:t>Pleister</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07888A2" id="Text Box 35" o:spid="_x0000_s1066" type="#_x0000_t202" style="position:absolute;left:0;text-align:left;margin-left:6.75pt;margin-top:159.4pt;width:67.95pt;height:21.9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LKB3AEAAJoDAAAOAAAAZHJzL2Uyb0RvYy54bWysU9uO0zAQfUfiHyy/07QFSomarpZdLUJa&#10;FqSFD5g4TmKReMzYbVK+nrHTdLm8IV6s8dg+c86Z8e5q7Dtx1OQN2kKuFksptFVYGdsU8uuXuxdb&#10;KXwAW0GHVhfypL282j9/thtcrtfYYldpEgxifT64QrYhuDzLvGp1D36BTls+rJF6CLylJqsIBkbv&#10;u2y9XG6yAalyhEp7z9nb6VDuE35daxU+1bXXQXSFZG4hrZTWMq7Zfgd5Q+Bao8404B9Y9GAsF71A&#10;3UIAcSDzF1RvFKHHOiwU9hnWtVE6aWA1q+Ufah5bcDppYXO8u9jk/x+sejg+us8kwvgOR25gEuHd&#10;PapvXli8acE2+poIh1ZDxYVX0bJscD4/P41W+9xHkHL4iBU3GQ4BE9BYUx9dYZ2C0bkBp4vpegxC&#10;cXK7Wb/dvJZC8dH6zXb1MjUlg3x+7MiH9xp7EYNCEvc0gcPx3odIBvL5Sqxl8c50XeprZ39L8MWY&#10;SeQj34l5GMtRmKqQr1LhKKbE6sRyCKdx4fHmoEX6IcXAo1JI//0ApKXoPli2JM7VHNAclHMAVvHT&#10;QqpAUkybmzBN4MGRaVrGnmy3eM3G1SaJeuJxZswDkLSehzVO2K/7dOvpS+1/AgAA//8DAFBLAwQU&#10;AAYACAAAACEAY71/698AAAAKAQAADwAAAGRycy9kb3ducmV2LnhtbEyPzW7CMBCE75X6DtZW6gUV&#10;h59GkMZBlKpw6iGUBzDxkkTE6yg2EHj6Lid6nNlPszPporeNOGPna0cKRsMIBFLhTE2lgt3v99sM&#10;hA+ajG4coYIrelhkz0+pToy7UI7nbSgFh5BPtIIqhDaR0hcVWu2HrkXi28F1VgeWXSlNpy8cbhs5&#10;jqJYWl0Tf6h0i6sKi+P2ZBXgMne3n6Nf2/zza7U+1IQDuVHq9aVffoAI2IcHDPf6XB0y7rR3JzJe&#10;NKwn70wqmIxmPOEOTOdTEHt24nEMMkvl/wnZHwAAAP//AwBQSwECLQAUAAYACAAAACEAtoM4kv4A&#10;AADhAQAAEwAAAAAAAAAAAAAAAAAAAAAAW0NvbnRlbnRfVHlwZXNdLnhtbFBLAQItABQABgAIAAAA&#10;IQA4/SH/1gAAAJQBAAALAAAAAAAAAAAAAAAAAC8BAABfcmVscy8ucmVsc1BLAQItABQABgAIAAAA&#10;IQB6wLKB3AEAAJoDAAAOAAAAAAAAAAAAAAAAAC4CAABkcnMvZTJvRG9jLnhtbFBLAQItABQABgAI&#10;AAAAIQBjvX/r3wAAAAoBAAAPAAAAAAAAAAAAAAAAADYEAABkcnMvZG93bnJldi54bWxQSwUGAAAA&#10;AAQABADzAAAAQgUAAAAA&#10;" filled="f" stroked="f">
                      <v:textbox inset="0,0,0,0">
                        <w:txbxContent>
                          <w:p w14:paraId="091B7719" w14:textId="77777777" w:rsidR="0079783A" w:rsidRPr="001B3E1E" w:rsidRDefault="0079783A" w:rsidP="0079783A">
                            <w:pPr>
                              <w:spacing w:line="260" w:lineRule="exact"/>
                              <w:jc w:val="center"/>
                            </w:pPr>
                            <w:r w:rsidRPr="001B3E1E">
                              <w:t>Pleister</w:t>
                            </w:r>
                          </w:p>
                        </w:txbxContent>
                      </v:textbox>
                      <w10:wrap anchory="page"/>
                      <w10:anchorlock/>
                    </v:shape>
                  </w:pict>
                </mc:Fallback>
              </mc:AlternateContent>
            </w:r>
            <w:r w:rsidR="0079783A" w:rsidRPr="00330234">
              <w:rPr>
                <w:b/>
              </w:rPr>
              <w:t>Figuur B</w:t>
            </w:r>
          </w:p>
        </w:tc>
        <w:tc>
          <w:tcPr>
            <w:tcW w:w="5517" w:type="dxa"/>
          </w:tcPr>
          <w:p w14:paraId="4277A10D" w14:textId="77777777" w:rsidR="0079783A" w:rsidRPr="00330234" w:rsidRDefault="0079783A" w:rsidP="003D4DD5">
            <w:pPr>
              <w:pStyle w:val="a3"/>
              <w:numPr>
                <w:ilvl w:val="0"/>
                <w:numId w:val="56"/>
              </w:numPr>
              <w:tabs>
                <w:tab w:val="left" w:pos="567"/>
              </w:tabs>
              <w:autoSpaceDE/>
              <w:autoSpaceDN/>
              <w:ind w:left="567" w:hanging="567"/>
              <w:rPr>
                <w:b/>
              </w:rPr>
            </w:pPr>
            <w:r w:rsidRPr="00330234">
              <w:rPr>
                <w:b/>
              </w:rPr>
              <w:t>Verzamel de materialen voor de injectie.</w:t>
            </w:r>
          </w:p>
          <w:p w14:paraId="026A4778" w14:textId="77777777" w:rsidR="0079783A" w:rsidRPr="00330234" w:rsidRDefault="0079783A" w:rsidP="003D4DD5">
            <w:pPr>
              <w:pStyle w:val="a3"/>
              <w:tabs>
                <w:tab w:val="left" w:pos="567"/>
              </w:tabs>
              <w:ind w:left="567" w:hanging="567"/>
              <w:rPr>
                <w:b/>
              </w:rPr>
            </w:pPr>
          </w:p>
          <w:p w14:paraId="42446E9B" w14:textId="77777777" w:rsidR="0079783A" w:rsidRPr="00330234" w:rsidRDefault="0079783A" w:rsidP="003D4DD5">
            <w:pPr>
              <w:pStyle w:val="a3"/>
              <w:numPr>
                <w:ilvl w:val="0"/>
                <w:numId w:val="57"/>
              </w:numPr>
              <w:tabs>
                <w:tab w:val="left" w:pos="567"/>
              </w:tabs>
              <w:autoSpaceDE/>
              <w:autoSpaceDN/>
              <w:ind w:left="567" w:hanging="567"/>
              <w:rPr>
                <w:bCs/>
              </w:rPr>
            </w:pPr>
            <w:r w:rsidRPr="00330234">
              <w:t>Bereid een schoon, vlak oppervlak voor, zoals een tafel of een aanrecht, in een goed verlichte ruimte.</w:t>
            </w:r>
          </w:p>
          <w:p w14:paraId="56540A00" w14:textId="010A5BC6" w:rsidR="0079783A" w:rsidRPr="00330234" w:rsidRDefault="0079783A" w:rsidP="003D4DD5">
            <w:pPr>
              <w:pStyle w:val="a3"/>
              <w:numPr>
                <w:ilvl w:val="0"/>
                <w:numId w:val="57"/>
              </w:numPr>
              <w:tabs>
                <w:tab w:val="left" w:pos="567"/>
              </w:tabs>
              <w:autoSpaceDE/>
              <w:autoSpaceDN/>
              <w:ind w:left="567" w:hanging="567"/>
              <w:rPr>
                <w:bCs/>
              </w:rPr>
            </w:pPr>
            <w:r w:rsidRPr="00330234">
              <w:t>Neem de doos met daarin de voorgevulde pen uit de koelkast.</w:t>
            </w:r>
          </w:p>
          <w:p w14:paraId="71107CBC" w14:textId="77777777" w:rsidR="0079783A" w:rsidRPr="00330234" w:rsidRDefault="0079783A" w:rsidP="003D4DD5">
            <w:pPr>
              <w:pStyle w:val="a3"/>
              <w:numPr>
                <w:ilvl w:val="0"/>
                <w:numId w:val="57"/>
              </w:numPr>
              <w:tabs>
                <w:tab w:val="left" w:pos="567"/>
              </w:tabs>
              <w:autoSpaceDE/>
              <w:autoSpaceDN/>
              <w:ind w:left="567" w:hanging="567"/>
              <w:rPr>
                <w:bCs/>
              </w:rPr>
            </w:pPr>
            <w:r w:rsidRPr="00330234">
              <w:t xml:space="preserve">Zorg ervoor dat u de volgende benodigdheden heeft (zie </w:t>
            </w:r>
            <w:r w:rsidRPr="00330234">
              <w:rPr>
                <w:b/>
              </w:rPr>
              <w:t>figuur B</w:t>
            </w:r>
            <w:r w:rsidRPr="00330234">
              <w:t>):</w:t>
            </w:r>
          </w:p>
          <w:p w14:paraId="208E373A" w14:textId="0E3D292E" w:rsidR="0079783A" w:rsidRPr="00330234" w:rsidRDefault="0079783A">
            <w:pPr>
              <w:pStyle w:val="a3"/>
              <w:ind w:left="567" w:hanging="567"/>
            </w:pPr>
            <w:r w:rsidRPr="00330234">
              <w:t xml:space="preserve">- </w:t>
            </w:r>
            <w:r w:rsidR="003D4DD5" w:rsidRPr="00330234">
              <w:t>d</w:t>
            </w:r>
            <w:r w:rsidRPr="00330234">
              <w:t>oos met Avtozma voorgevulde pen</w:t>
            </w:r>
          </w:p>
          <w:p w14:paraId="0AE97A86" w14:textId="77777777" w:rsidR="0079783A" w:rsidRPr="00330234" w:rsidRDefault="0079783A">
            <w:pPr>
              <w:pStyle w:val="a3"/>
              <w:ind w:left="567" w:hanging="567"/>
              <w:rPr>
                <w:lang w:eastAsia="ko-KR"/>
              </w:rPr>
            </w:pPr>
          </w:p>
          <w:p w14:paraId="3A0E20F9" w14:textId="77777777" w:rsidR="0079783A" w:rsidRPr="00330234" w:rsidRDefault="0079783A">
            <w:pPr>
              <w:pStyle w:val="a3"/>
              <w:ind w:left="567" w:hanging="567"/>
              <w:rPr>
                <w:b/>
              </w:rPr>
            </w:pPr>
            <w:r w:rsidRPr="00330234">
              <w:rPr>
                <w:b/>
              </w:rPr>
              <w:t>Niet meegeleverd in de doos:</w:t>
            </w:r>
          </w:p>
          <w:p w14:paraId="4B13D66F" w14:textId="77777777" w:rsidR="0079783A" w:rsidRPr="00330234" w:rsidRDefault="0079783A">
            <w:pPr>
              <w:pStyle w:val="a3"/>
              <w:ind w:left="567" w:hanging="567"/>
            </w:pPr>
            <w:r w:rsidRPr="00330234">
              <w:t>- watje of gaasje</w:t>
            </w:r>
          </w:p>
          <w:p w14:paraId="53164254" w14:textId="77777777" w:rsidR="0079783A" w:rsidRPr="00330234" w:rsidRDefault="0079783A">
            <w:pPr>
              <w:pStyle w:val="a3"/>
              <w:ind w:left="567" w:hanging="567"/>
            </w:pPr>
            <w:r w:rsidRPr="00330234">
              <w:t>- pleister</w:t>
            </w:r>
          </w:p>
          <w:p w14:paraId="17FB80D6" w14:textId="77777777" w:rsidR="0079783A" w:rsidRPr="00330234" w:rsidRDefault="0079783A">
            <w:pPr>
              <w:pStyle w:val="a3"/>
              <w:ind w:left="567" w:hanging="567"/>
            </w:pPr>
            <w:r w:rsidRPr="00330234">
              <w:t>- naaldencontainer</w:t>
            </w:r>
          </w:p>
          <w:p w14:paraId="268A4FEF" w14:textId="77777777" w:rsidR="0079783A" w:rsidRPr="00330234" w:rsidRDefault="0079783A">
            <w:pPr>
              <w:pStyle w:val="a3"/>
              <w:ind w:left="567" w:hanging="567"/>
            </w:pPr>
            <w:r w:rsidRPr="00330234">
              <w:t>- alcoholdoekje</w:t>
            </w:r>
          </w:p>
          <w:p w14:paraId="23295486" w14:textId="77777777" w:rsidR="0079783A" w:rsidRPr="00330234" w:rsidRDefault="0079783A" w:rsidP="003E2554"/>
        </w:tc>
      </w:tr>
      <w:bookmarkEnd w:id="62"/>
      <w:tr w:rsidR="00A358A8" w:rsidRPr="00330234" w14:paraId="12247D56" w14:textId="77777777">
        <w:trPr>
          <w:cantSplit/>
        </w:trPr>
        <w:tc>
          <w:tcPr>
            <w:tcW w:w="3539" w:type="dxa"/>
          </w:tcPr>
          <w:p w14:paraId="21BD22B1" w14:textId="7C7EC6E7" w:rsidR="0079783A" w:rsidRPr="00330234" w:rsidRDefault="00315255">
            <w:pPr>
              <w:suppressAutoHyphens/>
              <w:jc w:val="right"/>
              <w:rPr>
                <w:b/>
              </w:rPr>
            </w:pPr>
            <w:r>
              <w:rPr>
                <w:b/>
                <w:noProof/>
                <w:lang w:val="en-US" w:eastAsia="ko-KR"/>
              </w:rPr>
              <w:drawing>
                <wp:inline distT="0" distB="0" distL="0" distR="0" wp14:anchorId="4E267084" wp14:editId="7666153A">
                  <wp:extent cx="2105025" cy="2594610"/>
                  <wp:effectExtent l="19050" t="19050" r="9525" b="0"/>
                  <wp:docPr id="23" name="그림 2033694681" descr="텍스트, 스케치, 도표, 원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33694681" descr="텍스트, 스케치, 도표, 원이(가) 표시된 사진&#10;&#10;자동 생성된 설명"/>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05025" cy="2594610"/>
                          </a:xfrm>
                          <a:prstGeom prst="rect">
                            <a:avLst/>
                          </a:prstGeom>
                          <a:noFill/>
                          <a:ln w="9525" cmpd="sng">
                            <a:solidFill>
                              <a:srgbClr val="000000"/>
                            </a:solidFill>
                            <a:miter lim="800000"/>
                            <a:headEnd/>
                            <a:tailEnd/>
                          </a:ln>
                          <a:effectLst/>
                        </pic:spPr>
                      </pic:pic>
                    </a:graphicData>
                  </a:graphic>
                </wp:inline>
              </w:drawing>
            </w:r>
          </w:p>
          <w:p w14:paraId="6FE8A72E" w14:textId="604D26DB" w:rsidR="0079783A" w:rsidRPr="00330234" w:rsidRDefault="00315255">
            <w:pPr>
              <w:suppressAutoHyphens/>
              <w:jc w:val="right"/>
              <w:rPr>
                <w:b/>
              </w:rPr>
            </w:pPr>
            <w:r>
              <w:rPr>
                <w:noProof/>
                <w:lang w:val="en-US" w:eastAsia="ko-KR"/>
              </w:rPr>
              <mc:AlternateContent>
                <mc:Choice Requires="wps">
                  <w:drawing>
                    <wp:anchor distT="45720" distB="45720" distL="114300" distR="114300" simplePos="0" relativeHeight="251658281" behindDoc="0" locked="1" layoutInCell="1" allowOverlap="1" wp14:anchorId="2F205F34" wp14:editId="2202CBB2">
                      <wp:simplePos x="0" y="0"/>
                      <wp:positionH relativeFrom="column">
                        <wp:posOffset>1019810</wp:posOffset>
                      </wp:positionH>
                      <wp:positionV relativeFrom="paragraph">
                        <wp:posOffset>-1694180</wp:posOffset>
                      </wp:positionV>
                      <wp:extent cx="795655" cy="233680"/>
                      <wp:effectExtent l="19050" t="38100" r="4445" b="33020"/>
                      <wp:wrapNone/>
                      <wp:docPr id="5106768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89538">
                                <a:off x="0" y="0"/>
                                <a:ext cx="795655" cy="233680"/>
                              </a:xfrm>
                              <a:prstGeom prst="rect">
                                <a:avLst/>
                              </a:prstGeom>
                              <a:noFill/>
                              <a:ln>
                                <a:noFill/>
                              </a:ln>
                            </wps:spPr>
                            <wps:txbx>
                              <w:txbxContent>
                                <w:p w14:paraId="7DB4A65C" w14:textId="77777777" w:rsidR="0079783A" w:rsidRPr="001B3E1E" w:rsidRDefault="0079783A" w:rsidP="0079783A">
                                  <w:pPr>
                                    <w:jc w:val="center"/>
                                    <w:rPr>
                                      <w:b/>
                                      <w:bCs/>
                                      <w:sz w:val="16"/>
                                      <w:szCs w:val="16"/>
                                    </w:rPr>
                                  </w:pPr>
                                  <w:r w:rsidRPr="001B3E1E">
                                    <w:rPr>
                                      <w:b/>
                                      <w:bCs/>
                                      <w:sz w:val="16"/>
                                    </w:rPr>
                                    <w:t>EXP: MM JJJJ</w:t>
                                  </w:r>
                                </w:p>
                                <w:p w14:paraId="165F250A" w14:textId="77777777" w:rsidR="0079783A" w:rsidRPr="001B3E1E" w:rsidRDefault="0079783A" w:rsidP="0079783A">
                                  <w:pPr>
                                    <w:jc w:val="center"/>
                                    <w:rPr>
                                      <w:b/>
                                      <w:bCs/>
                                      <w:sz w:val="16"/>
                                      <w:szCs w:val="16"/>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F205F34" id="Text Box 33" o:spid="_x0000_s1067" type="#_x0000_t202" style="position:absolute;left:0;text-align:left;margin-left:80.3pt;margin-top:-133.4pt;width:62.65pt;height:18.4pt;rotation:-448334fd;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vSx5QEAAKcDAAAOAAAAZHJzL2Uyb0RvYy54bWysU9tu2zAMfR+wfxD0vjhOliw14hRdiwwD&#10;ugvQ9QMUWY6F2aJGKrGzrx+l3Lb1bdiLQFPU4TmH9PJ26FqxN0gWXCnz0VgK4zRU1m1L+fxt/WYh&#10;BQXlKtWCM6U8GJK3q9evlr0vzAQaaCuDgkEcFb0vZROCL7KMdGM6RSPwxvFlDdipwJ+4zSpUPaN3&#10;bTYZj+dZD1h5BG2IOPtwvJSrhF/XRocvdU0miLaUzC2kE9O5iWe2Wqpii8o3Vp9oqH9g0SnruOkF&#10;6kEFJXZoX0B1ViMQ1GGkocugrq02SQOrycd/qXlqlDdJC5tD/mIT/T9Y/Xn/5L+iCMN7GHiASQT5&#10;R9DfSTi4b5TbmjtE6BujKm6cR8uy3lNxehqtpoIiyKb/BBUPWe0CJKChxk4gsOuTPF/czKaLlGbZ&#10;gpvxPA6XGZghCM3Jdzez+WwmhearyXQ6X6QZZaqIWNFhjxQ+GOhEDEqJPOIEqvaPFCK3a0ksd7C2&#10;bZvG3Lo/ElwYM0lLpH8UEobNIGxVyrdJadS2gerA6pIO5szbzn0bwJ9S9Lw5paQfO4VGivajY4fi&#10;mp0DPAebc6Cc5qelDFIcw/twXMedR7ttGPk8gzt2cW2TpCuLE1/ehqT0tLlx3X7/TlXX/2v1CwAA&#10;//8DAFBLAwQUAAYACAAAACEA7PrtRuIAAAANAQAADwAAAGRycy9kb3ducmV2LnhtbEyPzU7DMBCE&#10;70i8g7VI3Fq7Aaw0jVMhBBICCdTApTcnduMI/0Sx0waenu0JjjP7aXam3M7OkqMeYx+8gNWSAdG+&#10;Dar3nYDPj6dFDiQm6ZW0wWsB3zrCtrq8KGWhwsnv9LFOHcEQHwspwKQ0FJTG1mgn4zIM2uPtEEYn&#10;E8qxo2qUJwx3lmaMcepk7/GDkYN+MLr9qicn4K1u9i+798ef21cTmsP0vJr3uRXi+mq+3wBJek5/&#10;MJzrY3WosFMTJq8isag544gKWGSc4whEsvxuDaQ5WzeMAa1K+n9F9QsAAP//AwBQSwECLQAUAAYA&#10;CAAAACEAtoM4kv4AAADhAQAAEwAAAAAAAAAAAAAAAAAAAAAAW0NvbnRlbnRfVHlwZXNdLnhtbFBL&#10;AQItABQABgAIAAAAIQA4/SH/1gAAAJQBAAALAAAAAAAAAAAAAAAAAC8BAABfcmVscy8ucmVsc1BL&#10;AQItABQABgAIAAAAIQDPRvSx5QEAAKcDAAAOAAAAAAAAAAAAAAAAAC4CAABkcnMvZTJvRG9jLnht&#10;bFBLAQItABQABgAIAAAAIQDs+u1G4gAAAA0BAAAPAAAAAAAAAAAAAAAAAD8EAABkcnMvZG93bnJl&#10;di54bWxQSwUGAAAAAAQABADzAAAATgUAAAAA&#10;" filled="f" stroked="f">
                      <v:textbox style="mso-fit-shape-to-text:t" inset="0,0,0,0">
                        <w:txbxContent>
                          <w:p w14:paraId="7DB4A65C" w14:textId="77777777" w:rsidR="0079783A" w:rsidRPr="001B3E1E" w:rsidRDefault="0079783A" w:rsidP="0079783A">
                            <w:pPr>
                              <w:jc w:val="center"/>
                              <w:rPr>
                                <w:b/>
                                <w:bCs/>
                                <w:sz w:val="16"/>
                                <w:szCs w:val="16"/>
                              </w:rPr>
                            </w:pPr>
                            <w:r w:rsidRPr="001B3E1E">
                              <w:rPr>
                                <w:b/>
                                <w:bCs/>
                                <w:sz w:val="16"/>
                              </w:rPr>
                              <w:t>EXP: MM JJJJ</w:t>
                            </w:r>
                          </w:p>
                          <w:p w14:paraId="165F250A" w14:textId="77777777" w:rsidR="0079783A" w:rsidRPr="001B3E1E" w:rsidRDefault="0079783A" w:rsidP="0079783A">
                            <w:pPr>
                              <w:jc w:val="center"/>
                              <w:rPr>
                                <w:b/>
                                <w:bCs/>
                                <w:sz w:val="16"/>
                                <w:szCs w:val="16"/>
                              </w:rPr>
                            </w:pPr>
                          </w:p>
                        </w:txbxContent>
                      </v:textbox>
                      <w10:anchorlock/>
                    </v:shape>
                  </w:pict>
                </mc:Fallback>
              </mc:AlternateContent>
            </w:r>
            <w:r>
              <w:rPr>
                <w:noProof/>
                <w:lang w:val="en-US" w:eastAsia="ko-KR"/>
              </w:rPr>
              <mc:AlternateContent>
                <mc:Choice Requires="wps">
                  <w:drawing>
                    <wp:anchor distT="45720" distB="45720" distL="114300" distR="114300" simplePos="0" relativeHeight="251658282" behindDoc="0" locked="1" layoutInCell="1" allowOverlap="1" wp14:anchorId="337DD56B" wp14:editId="6209084B">
                      <wp:simplePos x="0" y="0"/>
                      <wp:positionH relativeFrom="column">
                        <wp:posOffset>1351915</wp:posOffset>
                      </wp:positionH>
                      <wp:positionV relativeFrom="paragraph">
                        <wp:posOffset>-640715</wp:posOffset>
                      </wp:positionV>
                      <wp:extent cx="673100" cy="175260"/>
                      <wp:effectExtent l="19050" t="38100" r="0" b="34290"/>
                      <wp:wrapNone/>
                      <wp:docPr id="202275974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10077">
                                <a:off x="0" y="0"/>
                                <a:ext cx="673100" cy="175260"/>
                              </a:xfrm>
                              <a:prstGeom prst="rect">
                                <a:avLst/>
                              </a:prstGeom>
                              <a:noFill/>
                              <a:ln>
                                <a:noFill/>
                              </a:ln>
                            </wps:spPr>
                            <wps:txbx>
                              <w:txbxContent>
                                <w:p w14:paraId="5B1CAFCC" w14:textId="77777777" w:rsidR="0079783A" w:rsidRPr="001B3E1E" w:rsidRDefault="0079783A" w:rsidP="0079783A">
                                  <w:pPr>
                                    <w:jc w:val="center"/>
                                    <w:rPr>
                                      <w:b/>
                                      <w:bCs/>
                                      <w:sz w:val="12"/>
                                      <w:szCs w:val="12"/>
                                    </w:rPr>
                                  </w:pPr>
                                  <w:r w:rsidRPr="001B3E1E">
                                    <w:rPr>
                                      <w:b/>
                                      <w:bCs/>
                                      <w:sz w:val="12"/>
                                    </w:rPr>
                                    <w:t>EXP: MM JJJJ</w:t>
                                  </w:r>
                                </w:p>
                                <w:p w14:paraId="769103AA" w14:textId="77777777" w:rsidR="0079783A" w:rsidRPr="001B3E1E" w:rsidRDefault="0079783A" w:rsidP="0079783A">
                                  <w:pPr>
                                    <w:rPr>
                                      <w:b/>
                                      <w:bCs/>
                                      <w:sz w:val="12"/>
                                      <w:szCs w:val="12"/>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37DD56B" id="Text Box 31" o:spid="_x0000_s1068" type="#_x0000_t202" style="position:absolute;left:0;text-align:left;margin-left:106.45pt;margin-top:-50.45pt;width:53pt;height:13.8pt;rotation:-535127fd;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mJq4wEAAKcDAAAOAAAAZHJzL2Uyb0RvYy54bWysU9uO0zAQfUfiHyy/0yQFWhQ1XS27KkJa&#10;LtLCBziO01gkHjPjNilfz9i9Afu24sWajMdnzpkzWd1MQy/2BsmCq2Qxy6UwTkNj3baS379tXr2T&#10;goJyjerBmUoeDMmb9csXq9GXZg4d9I1BwSCOytFXsgvBl1lGujODohl44/iyBRxU4E/cZg2qkdGH&#10;Ppvn+SIbARuPoA0RZ++Pl3Kd8NvW6PClbckE0VeSuYV0YjrreGbrlSq3qHxn9YmGegaLQVnHTS9Q&#10;9yoosUP7BGqwGoGgDTMNQwZta7VJGlhNkf+j5rFT3iQtPBzylzHR/4PVn/eP/iuKML2HiQ1MIsg/&#10;gP5BwsFdp9zW3CLC2BnVcOMijiwbPZWnp3HUVFIEqcdP0LDJahcgAU0tDgKBpz4viiLPl8uUZtmC&#10;m7Efh4sHZgpCc3KxfM2FUmi+KpZv54vkUabKiBUn7JHCBwODiEElkS1OoGr/QCFyu5bEcgcb2/fJ&#10;5t79leDCmElaIv2jkDDVk7BNJd/Mo9KorYbmwOqSDmbG2859O8BfUoy8OZWknzuFRor+o+MJxTU7&#10;B3gO6nOgnOanlQxSHMO7cFzHnUe77Rj57MEtT3Fjk6QrixNf3oak9LS5cd3+/E5V1/9r/RsAAP//&#10;AwBQSwMEFAAGAAgAAAAhAEwvhSjhAAAADAEAAA8AAABkcnMvZG93bnJldi54bWxMj81OwzAQhO9I&#10;vIO1SNxaO7FI2xCn4kccECdapF7d2DhR43UUu2l4e5YTvc3ujGa/rbaz79lkx9gFVJAtBTCLTTAd&#10;OgVf+7fFGlhMGo3uA1oFPzbCtr69qXRpwgU/7bRLjlEJxlIraFMaSs5j01qv4zIMFsn7DqPXicbR&#10;cTPqC5X7nudCFNzrDulCqwf70trmtDt7Ba/79+lhI518PrgPtzodWlkUs1L3d/PTI7Bk5/Qfhj98&#10;QoeamI7hjCayXkGe5RuKKlhkQpCiiMzWJI60WkkJvK749RP1LwAAAP//AwBQSwECLQAUAAYACAAA&#10;ACEAtoM4kv4AAADhAQAAEwAAAAAAAAAAAAAAAAAAAAAAW0NvbnRlbnRfVHlwZXNdLnhtbFBLAQIt&#10;ABQABgAIAAAAIQA4/SH/1gAAAJQBAAALAAAAAAAAAAAAAAAAAC8BAABfcmVscy8ucmVsc1BLAQIt&#10;ABQABgAIAAAAIQCvomJq4wEAAKcDAAAOAAAAAAAAAAAAAAAAAC4CAABkcnMvZTJvRG9jLnhtbFBL&#10;AQItABQABgAIAAAAIQBML4Uo4QAAAAwBAAAPAAAAAAAAAAAAAAAAAD0EAABkcnMvZG93bnJldi54&#10;bWxQSwUGAAAAAAQABADzAAAASwUAAAAA&#10;" filled="f" stroked="f">
                      <v:textbox style="mso-fit-shape-to-text:t" inset="0,0,0,0">
                        <w:txbxContent>
                          <w:p w14:paraId="5B1CAFCC" w14:textId="77777777" w:rsidR="0079783A" w:rsidRPr="001B3E1E" w:rsidRDefault="0079783A" w:rsidP="0079783A">
                            <w:pPr>
                              <w:jc w:val="center"/>
                              <w:rPr>
                                <w:b/>
                                <w:bCs/>
                                <w:sz w:val="12"/>
                                <w:szCs w:val="12"/>
                              </w:rPr>
                            </w:pPr>
                            <w:r w:rsidRPr="001B3E1E">
                              <w:rPr>
                                <w:b/>
                                <w:bCs/>
                                <w:sz w:val="12"/>
                              </w:rPr>
                              <w:t>EXP: MM JJJJ</w:t>
                            </w:r>
                          </w:p>
                          <w:p w14:paraId="769103AA" w14:textId="77777777" w:rsidR="0079783A" w:rsidRPr="001B3E1E" w:rsidRDefault="0079783A" w:rsidP="0079783A">
                            <w:pPr>
                              <w:rPr>
                                <w:b/>
                                <w:bCs/>
                                <w:sz w:val="12"/>
                                <w:szCs w:val="12"/>
                              </w:rPr>
                            </w:pPr>
                          </w:p>
                        </w:txbxContent>
                      </v:textbox>
                      <w10:anchorlock/>
                    </v:shape>
                  </w:pict>
                </mc:Fallback>
              </mc:AlternateContent>
            </w:r>
            <w:r w:rsidR="0079783A" w:rsidRPr="00330234">
              <w:rPr>
                <w:b/>
              </w:rPr>
              <w:t>Figuur C</w:t>
            </w:r>
          </w:p>
        </w:tc>
        <w:tc>
          <w:tcPr>
            <w:tcW w:w="5517" w:type="dxa"/>
          </w:tcPr>
          <w:p w14:paraId="4B628978" w14:textId="3B892B6F" w:rsidR="0079783A" w:rsidRPr="00330234" w:rsidRDefault="0079783A" w:rsidP="003D4DD5">
            <w:pPr>
              <w:pStyle w:val="a3"/>
              <w:numPr>
                <w:ilvl w:val="0"/>
                <w:numId w:val="56"/>
              </w:numPr>
              <w:tabs>
                <w:tab w:val="left" w:pos="567"/>
              </w:tabs>
              <w:autoSpaceDE/>
              <w:autoSpaceDN/>
              <w:ind w:left="567" w:hanging="567"/>
              <w:rPr>
                <w:b/>
              </w:rPr>
            </w:pPr>
            <w:r w:rsidRPr="00330234">
              <w:rPr>
                <w:b/>
              </w:rPr>
              <w:t>Inspecteer de doos</w:t>
            </w:r>
            <w:r w:rsidR="00F13595" w:rsidRPr="00330234">
              <w:rPr>
                <w:b/>
              </w:rPr>
              <w:t>.</w:t>
            </w:r>
          </w:p>
          <w:p w14:paraId="1E40A0E1" w14:textId="77777777" w:rsidR="0079783A" w:rsidRPr="00330234" w:rsidRDefault="0079783A" w:rsidP="003D4DD5">
            <w:pPr>
              <w:pStyle w:val="a3"/>
              <w:tabs>
                <w:tab w:val="left" w:pos="567"/>
              </w:tabs>
              <w:ind w:left="567" w:hanging="567"/>
              <w:rPr>
                <w:b/>
              </w:rPr>
            </w:pPr>
          </w:p>
          <w:p w14:paraId="30689AE0" w14:textId="1C95A1F5" w:rsidR="0079783A" w:rsidRPr="00330234" w:rsidRDefault="0079783A" w:rsidP="003D4DD5">
            <w:pPr>
              <w:pStyle w:val="a3"/>
              <w:numPr>
                <w:ilvl w:val="0"/>
                <w:numId w:val="58"/>
              </w:numPr>
              <w:tabs>
                <w:tab w:val="left" w:pos="567"/>
              </w:tabs>
              <w:autoSpaceDE/>
              <w:autoSpaceDN/>
              <w:ind w:left="567" w:hanging="567"/>
              <w:rPr>
                <w:bCs/>
              </w:rPr>
            </w:pPr>
            <w:r w:rsidRPr="00330234">
              <w:t xml:space="preserve">Controleer de doos en zorg ervoor dat u het juiste geneesmiddel en de juiste </w:t>
            </w:r>
            <w:r w:rsidR="00A404EE" w:rsidRPr="00330234">
              <w:t>sterkte</w:t>
            </w:r>
            <w:r w:rsidRPr="00330234">
              <w:t xml:space="preserve"> heeft. (Avtozma)</w:t>
            </w:r>
          </w:p>
          <w:p w14:paraId="380A53A0" w14:textId="77777777" w:rsidR="0079783A" w:rsidRPr="00330234" w:rsidRDefault="0079783A" w:rsidP="003D4DD5">
            <w:pPr>
              <w:pStyle w:val="a3"/>
              <w:numPr>
                <w:ilvl w:val="0"/>
                <w:numId w:val="58"/>
              </w:numPr>
              <w:tabs>
                <w:tab w:val="left" w:pos="567"/>
              </w:tabs>
              <w:autoSpaceDE/>
              <w:autoSpaceDN/>
              <w:ind w:left="567" w:hanging="567"/>
              <w:rPr>
                <w:bCs/>
              </w:rPr>
            </w:pPr>
            <w:r w:rsidRPr="00330234">
              <w:t>Controleer de uiterste houdbaarheidsdatum op de doos om te bevestigen dat deze niet is verstreken.</w:t>
            </w:r>
          </w:p>
          <w:p w14:paraId="7F36E934" w14:textId="77777777" w:rsidR="0079783A" w:rsidRPr="00330234" w:rsidRDefault="0079783A">
            <w:pPr>
              <w:pStyle w:val="a3"/>
              <w:ind w:left="567" w:hanging="567"/>
              <w:rPr>
                <w:lang w:eastAsia="ko-KR"/>
              </w:rPr>
            </w:pPr>
          </w:p>
          <w:p w14:paraId="789D660D" w14:textId="77777777" w:rsidR="0079783A" w:rsidRPr="00330234" w:rsidRDefault="0079783A">
            <w:pPr>
              <w:pStyle w:val="a3"/>
              <w:ind w:left="567" w:hanging="567"/>
              <w:rPr>
                <w:bCs/>
                <w:lang w:eastAsia="ko-KR"/>
              </w:rPr>
            </w:pPr>
          </w:p>
          <w:p w14:paraId="4960EBCC" w14:textId="49BD479E" w:rsidR="0079783A" w:rsidRPr="00330234" w:rsidRDefault="0079783A" w:rsidP="003D4DD5">
            <w:pPr>
              <w:pStyle w:val="a3"/>
              <w:numPr>
                <w:ilvl w:val="0"/>
                <w:numId w:val="37"/>
              </w:numPr>
              <w:tabs>
                <w:tab w:val="left" w:pos="1134"/>
              </w:tabs>
              <w:autoSpaceDE/>
              <w:autoSpaceDN/>
              <w:ind w:left="1134" w:hanging="567"/>
            </w:pPr>
            <w:r w:rsidRPr="00330234">
              <w:t xml:space="preserve">Gebruik de voorgevulde pen </w:t>
            </w:r>
            <w:r w:rsidRPr="00330234">
              <w:rPr>
                <w:b/>
                <w:bCs/>
              </w:rPr>
              <w:t>niet</w:t>
            </w:r>
            <w:r w:rsidRPr="00330234">
              <w:t xml:space="preserve"> als de </w:t>
            </w:r>
            <w:r w:rsidR="00F13595" w:rsidRPr="00330234">
              <w:t>uiterste houdbaarheidsdatum</w:t>
            </w:r>
            <w:r w:rsidRPr="00330234">
              <w:t xml:space="preserve"> </w:t>
            </w:r>
            <w:r w:rsidR="00F13595" w:rsidRPr="00330234">
              <w:t>is verstreken</w:t>
            </w:r>
            <w:r w:rsidRPr="00330234">
              <w:t>.</w:t>
            </w:r>
          </w:p>
          <w:p w14:paraId="2642BA51" w14:textId="2F9B1886" w:rsidR="0079783A" w:rsidRPr="00330234" w:rsidRDefault="0079783A" w:rsidP="003D4DD5">
            <w:pPr>
              <w:pStyle w:val="a3"/>
              <w:numPr>
                <w:ilvl w:val="0"/>
                <w:numId w:val="37"/>
              </w:numPr>
              <w:tabs>
                <w:tab w:val="left" w:pos="1134"/>
              </w:tabs>
              <w:autoSpaceDE/>
              <w:autoSpaceDN/>
              <w:ind w:left="1134" w:hanging="567"/>
            </w:pPr>
            <w:r w:rsidRPr="00330234">
              <w:t>Als u de doos voor de eerste keer opent, controleer of de doos goed gesloten was.</w:t>
            </w:r>
          </w:p>
          <w:p w14:paraId="68F27AA8" w14:textId="3E2D737C" w:rsidR="0079783A" w:rsidRPr="00330234" w:rsidRDefault="0079783A" w:rsidP="003D4DD5">
            <w:pPr>
              <w:pStyle w:val="a3"/>
              <w:numPr>
                <w:ilvl w:val="0"/>
                <w:numId w:val="37"/>
              </w:numPr>
              <w:tabs>
                <w:tab w:val="left" w:pos="1134"/>
              </w:tabs>
              <w:autoSpaceDE/>
              <w:autoSpaceDN/>
              <w:ind w:left="1134" w:hanging="567"/>
            </w:pPr>
            <w:r w:rsidRPr="00330234">
              <w:t xml:space="preserve">Gebruik de voorgevulde pen </w:t>
            </w:r>
            <w:r w:rsidRPr="00330234">
              <w:rPr>
                <w:b/>
              </w:rPr>
              <w:t>niet</w:t>
            </w:r>
            <w:r w:rsidRPr="00330234">
              <w:t xml:space="preserve"> als het erop </w:t>
            </w:r>
            <w:r w:rsidR="0066504E" w:rsidRPr="00330234">
              <w:t xml:space="preserve">lijkt dat </w:t>
            </w:r>
            <w:r w:rsidRPr="00330234">
              <w:t>de doos geopend of beschadigd is.</w:t>
            </w:r>
          </w:p>
          <w:p w14:paraId="395878F1" w14:textId="77777777" w:rsidR="0079783A" w:rsidRPr="00330234" w:rsidRDefault="0079783A" w:rsidP="003E2554"/>
        </w:tc>
      </w:tr>
      <w:tr w:rsidR="00A358A8" w:rsidRPr="00330234" w14:paraId="39EC1017" w14:textId="77777777">
        <w:trPr>
          <w:cantSplit/>
        </w:trPr>
        <w:tc>
          <w:tcPr>
            <w:tcW w:w="3539" w:type="dxa"/>
          </w:tcPr>
          <w:p w14:paraId="1CE9002C" w14:textId="5776CD88" w:rsidR="0079783A" w:rsidRPr="00330234" w:rsidRDefault="00315255">
            <w:pPr>
              <w:suppressAutoHyphens/>
              <w:jc w:val="right"/>
              <w:rPr>
                <w:b/>
              </w:rPr>
            </w:pPr>
            <w:r>
              <w:rPr>
                <w:noProof/>
                <w:lang w:val="en-US" w:eastAsia="ko-KR"/>
              </w:rPr>
              <w:lastRenderedPageBreak/>
              <w:drawing>
                <wp:inline distT="0" distB="0" distL="0" distR="0" wp14:anchorId="0FD38A7E" wp14:editId="641A13CF">
                  <wp:extent cx="2062480" cy="2552065"/>
                  <wp:effectExtent l="19050" t="19050" r="0" b="635"/>
                  <wp:docPr id="24" name="그림 1837928270" descr="휴대 전화, 스케치, 드라이브,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37928270" descr="휴대 전화, 스케치, 드라이브, 디자인이(가) 표시된 사진&#10;&#10;자동 생성된 설명"/>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62480" cy="2552065"/>
                          </a:xfrm>
                          <a:prstGeom prst="rect">
                            <a:avLst/>
                          </a:prstGeom>
                          <a:noFill/>
                          <a:ln w="9525" cmpd="sng">
                            <a:solidFill>
                              <a:srgbClr val="000000"/>
                            </a:solidFill>
                            <a:miter lim="800000"/>
                            <a:headEnd/>
                            <a:tailEnd/>
                          </a:ln>
                          <a:effectLst/>
                        </pic:spPr>
                      </pic:pic>
                    </a:graphicData>
                  </a:graphic>
                </wp:inline>
              </w:drawing>
            </w:r>
          </w:p>
          <w:p w14:paraId="31B846BE" w14:textId="7FD24742" w:rsidR="0079783A" w:rsidRPr="00330234" w:rsidRDefault="00315255">
            <w:pPr>
              <w:suppressAutoHyphens/>
              <w:jc w:val="right"/>
              <w:rPr>
                <w:b/>
              </w:rPr>
            </w:pPr>
            <w:r>
              <w:rPr>
                <w:noProof/>
                <w:lang w:val="en-US" w:eastAsia="ko-KR"/>
              </w:rPr>
              <mc:AlternateContent>
                <mc:Choice Requires="wps">
                  <w:drawing>
                    <wp:anchor distT="45720" distB="45720" distL="114300" distR="114300" simplePos="0" relativeHeight="251658283" behindDoc="0" locked="1" layoutInCell="1" allowOverlap="1" wp14:anchorId="08F0D224" wp14:editId="26901069">
                      <wp:simplePos x="0" y="0"/>
                      <wp:positionH relativeFrom="column">
                        <wp:posOffset>951230</wp:posOffset>
                      </wp:positionH>
                      <wp:positionV relativeFrom="paragraph">
                        <wp:posOffset>-1896110</wp:posOffset>
                      </wp:positionV>
                      <wp:extent cx="1007110" cy="214630"/>
                      <wp:effectExtent l="0" t="0" r="0" b="0"/>
                      <wp:wrapNone/>
                      <wp:docPr id="166108205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214630"/>
                              </a:xfrm>
                              <a:prstGeom prst="rect">
                                <a:avLst/>
                              </a:prstGeom>
                              <a:noFill/>
                              <a:ln>
                                <a:noFill/>
                              </a:ln>
                            </wps:spPr>
                            <wps:txbx>
                              <w:txbxContent>
                                <w:p w14:paraId="344699CD" w14:textId="77777777" w:rsidR="0079783A" w:rsidRPr="00330234" w:rsidRDefault="0079783A" w:rsidP="0079783A">
                                  <w:pPr>
                                    <w:spacing w:line="260" w:lineRule="exact"/>
                                    <w:jc w:val="center"/>
                                    <w:rPr>
                                      <w:rFonts w:cs="Calibri"/>
                                      <w:b/>
                                      <w:bCs/>
                                      <w:sz w:val="20"/>
                                      <w:szCs w:val="20"/>
                                    </w:rPr>
                                  </w:pPr>
                                  <w:r w:rsidRPr="00330234">
                                    <w:rPr>
                                      <w:b/>
                                      <w:sz w:val="20"/>
                                    </w:rPr>
                                    <w:t>EXP: MM JJJJ</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8F0D224" id="Text Box 29" o:spid="_x0000_s1069" type="#_x0000_t202" style="position:absolute;left:0;text-align:left;margin-left:74.9pt;margin-top:-149.3pt;width:79.3pt;height:16.9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9B3AEAAJsDAAAOAAAAZHJzL2Uyb0RvYy54bWysU9tu2zAMfR+wfxD0vthOi24w4hRdiw4D&#10;ugvQ9QNkWY6F2aJGKrGzrx8lx+nWvQ17EShROjznkNpcT0MvDgbJgqtkscqlME5DY92ukk/f7t+8&#10;k4KCco3qwZlKHg3J6+3rV5vRl2YNHfSNQcEgjsrRV7ILwZdZRrozg6IVeOM42QIOKvAWd1mDamT0&#10;oc/WeX6VjYCNR9CGiE/v5qTcJvy2NTp8aVsyQfSVZG4hrZjWOq7ZdqPKHSrfWX2iof6BxaCs46Jn&#10;qDsVlNij/QtqsBqBoA0rDUMGbWu1SRpYTZG/UPPYKW+SFjaH/Nkm+n+w+vPh0X9FEab3MHEDkwjy&#10;D6C/k3Bw2ym3MzeIMHZGNVy4iJZlo6fy9DRaTSVFkHr8BA03We0DJKCpxSG6wjoFo3MDjmfTzRSE&#10;jiXz/G1RcEpzbl1cXl2krmSqXF57pPDBwCBiUEnkpiZ0dXigENmocrkSizm4t32fGtu7Pw74YjxJ&#10;7CPhmXqY6knYppKXF1FbVFNDc2Q9CPO88Hxz0AH+lGLkWakk/dgrNFL0Hx17EgdrCXAJ6iVQTvPT&#10;SuqAUsyb2zCP4N6j3XWMPfvu4Iada20S9czjxJgnIGk9TWscsd/36dbzn9r+AgAA//8DAFBLAwQU&#10;AAYACAAAACEAU7kev+EAAAANAQAADwAAAGRycy9kb3ducmV2LnhtbEyPwW7CMBBE75X6D9ZW6qUC&#10;pzSKQhoHUVDpiUNoP8DESxIRr6PYQOjXdzmV4+yMZt7mi9F24oyDbx0peJ1GIJAqZ1qqFfx8f05S&#10;ED5oMrpzhAqu6GFRPD7kOjPuQiWed6EWXEI+0wqaEPpMSl81aLWfuh6JvYMbrA4sh1qaQV+43HZy&#10;FkWJtLolXmh0j6sGq+PuZBXgsnS/26Pf2PJjvdocWsIX+aXU89O4fAcRcAz/YbjhMzoUzLR3JzJe&#10;dKzjOaMHBZPZPE1AcOQtSmMQ+9spiVOQRS7vvyj+AAAA//8DAFBLAQItABQABgAIAAAAIQC2gziS&#10;/gAAAOEBAAATAAAAAAAAAAAAAAAAAAAAAABbQ29udGVudF9UeXBlc10ueG1sUEsBAi0AFAAGAAgA&#10;AAAhADj9If/WAAAAlAEAAAsAAAAAAAAAAAAAAAAALwEAAF9yZWxzLy5yZWxzUEsBAi0AFAAGAAgA&#10;AAAhAG4sH0HcAQAAmwMAAA4AAAAAAAAAAAAAAAAALgIAAGRycy9lMm9Eb2MueG1sUEsBAi0AFAAG&#10;AAgAAAAhAFO5Hr/hAAAADQEAAA8AAAAAAAAAAAAAAAAANgQAAGRycy9kb3ducmV2LnhtbFBLBQYA&#10;AAAABAAEAPMAAABEBQAAAAA=&#10;" filled="f" stroked="f">
                      <v:textbox inset="0,0,0,0">
                        <w:txbxContent>
                          <w:p w14:paraId="344699CD" w14:textId="77777777" w:rsidR="0079783A" w:rsidRPr="00330234" w:rsidRDefault="0079783A" w:rsidP="0079783A">
                            <w:pPr>
                              <w:spacing w:line="260" w:lineRule="exact"/>
                              <w:jc w:val="center"/>
                              <w:rPr>
                                <w:rFonts w:cs="Calibri"/>
                                <w:b/>
                                <w:bCs/>
                                <w:sz w:val="20"/>
                                <w:szCs w:val="20"/>
                              </w:rPr>
                            </w:pPr>
                            <w:r w:rsidRPr="00330234">
                              <w:rPr>
                                <w:b/>
                                <w:sz w:val="20"/>
                              </w:rPr>
                              <w:t>EXP: MM JJJJ</w:t>
                            </w:r>
                          </w:p>
                        </w:txbxContent>
                      </v:textbox>
                      <w10:anchorlock/>
                    </v:shape>
                  </w:pict>
                </mc:Fallback>
              </mc:AlternateContent>
            </w:r>
            <w:r w:rsidR="0079783A" w:rsidRPr="00330234">
              <w:rPr>
                <w:b/>
              </w:rPr>
              <w:t>Figuur D</w:t>
            </w:r>
          </w:p>
        </w:tc>
        <w:tc>
          <w:tcPr>
            <w:tcW w:w="5517" w:type="dxa"/>
          </w:tcPr>
          <w:p w14:paraId="057EA7B1" w14:textId="77777777" w:rsidR="0079783A" w:rsidRPr="00330234" w:rsidRDefault="0079783A" w:rsidP="003D4DD5">
            <w:pPr>
              <w:pStyle w:val="a3"/>
              <w:numPr>
                <w:ilvl w:val="0"/>
                <w:numId w:val="56"/>
              </w:numPr>
              <w:tabs>
                <w:tab w:val="left" w:pos="567"/>
              </w:tabs>
              <w:autoSpaceDE/>
              <w:autoSpaceDN/>
              <w:ind w:left="567" w:hanging="567"/>
              <w:rPr>
                <w:b/>
              </w:rPr>
            </w:pPr>
            <w:r w:rsidRPr="00330234">
              <w:rPr>
                <w:b/>
              </w:rPr>
              <w:t>Inspecteer de voorgevulde pen.</w:t>
            </w:r>
          </w:p>
          <w:p w14:paraId="66F3DB69" w14:textId="77777777" w:rsidR="0079783A" w:rsidRPr="00330234" w:rsidRDefault="0079783A" w:rsidP="003D4DD5">
            <w:pPr>
              <w:tabs>
                <w:tab w:val="left" w:pos="567"/>
              </w:tabs>
              <w:ind w:left="567" w:hanging="567"/>
              <w:rPr>
                <w:bCs/>
              </w:rPr>
            </w:pPr>
          </w:p>
          <w:p w14:paraId="34352822" w14:textId="77777777" w:rsidR="0079783A" w:rsidRPr="00330234" w:rsidRDefault="0079783A" w:rsidP="003D4DD5">
            <w:pPr>
              <w:pStyle w:val="a3"/>
              <w:numPr>
                <w:ilvl w:val="0"/>
                <w:numId w:val="59"/>
              </w:numPr>
              <w:tabs>
                <w:tab w:val="left" w:pos="567"/>
              </w:tabs>
              <w:autoSpaceDE/>
              <w:autoSpaceDN/>
              <w:ind w:left="567" w:hanging="567"/>
            </w:pPr>
            <w:r w:rsidRPr="00330234">
              <w:t>Open de doos en haal één voorgevulde pen met een enkelvoudige dosis uit de doos. Plaats de verpakking met overgebleven Avtozma voorgevulde pennen terug in de koelkast.</w:t>
            </w:r>
          </w:p>
          <w:p w14:paraId="765163C9" w14:textId="77777777" w:rsidR="0079783A" w:rsidRPr="00330234" w:rsidRDefault="0079783A" w:rsidP="003D4DD5">
            <w:pPr>
              <w:pStyle w:val="a3"/>
              <w:numPr>
                <w:ilvl w:val="0"/>
                <w:numId w:val="59"/>
              </w:numPr>
              <w:tabs>
                <w:tab w:val="left" w:pos="567"/>
              </w:tabs>
              <w:autoSpaceDE/>
              <w:autoSpaceDN/>
              <w:ind w:left="567" w:hanging="567"/>
              <w:rPr>
                <w:bCs/>
              </w:rPr>
            </w:pPr>
            <w:r w:rsidRPr="00330234">
              <w:t xml:space="preserve">Controleer de uiterste houdbaarheidsdatum op de Avtozma voorgevulde pen (zie </w:t>
            </w:r>
            <w:r w:rsidRPr="00330234">
              <w:rPr>
                <w:b/>
              </w:rPr>
              <w:t>figuur D</w:t>
            </w:r>
            <w:r w:rsidRPr="00330234">
              <w:t>).</w:t>
            </w:r>
          </w:p>
          <w:p w14:paraId="2B6E0225" w14:textId="3E9368BD" w:rsidR="0079783A" w:rsidRPr="00330234" w:rsidRDefault="0079783A" w:rsidP="003D4DD5">
            <w:pPr>
              <w:pStyle w:val="a3"/>
              <w:numPr>
                <w:ilvl w:val="0"/>
                <w:numId w:val="37"/>
              </w:numPr>
              <w:tabs>
                <w:tab w:val="left" w:pos="1134"/>
              </w:tabs>
              <w:autoSpaceDE/>
              <w:autoSpaceDN/>
              <w:ind w:left="1134" w:hanging="567"/>
            </w:pPr>
            <w:r w:rsidRPr="00330234">
              <w:t xml:space="preserve">Gebruik de voorgevulde pen </w:t>
            </w:r>
            <w:r w:rsidRPr="00330234">
              <w:rPr>
                <w:b/>
                <w:bCs/>
              </w:rPr>
              <w:t>niet</w:t>
            </w:r>
            <w:r w:rsidRPr="00330234">
              <w:t xml:space="preserve"> als de </w:t>
            </w:r>
            <w:r w:rsidR="00F13595" w:rsidRPr="00330234">
              <w:t>uiterste houdbaarheidsdatum</w:t>
            </w:r>
            <w:r w:rsidRPr="00330234">
              <w:t xml:space="preserve"> </w:t>
            </w:r>
            <w:r w:rsidR="00F13595" w:rsidRPr="00330234">
              <w:t>is verstreken</w:t>
            </w:r>
            <w:r w:rsidRPr="00330234">
              <w:t>. Als de uiterste houdbaarheidsdatum is verstreken</w:t>
            </w:r>
            <w:r w:rsidR="00A404EE" w:rsidRPr="00330234">
              <w:t>,</w:t>
            </w:r>
            <w:r w:rsidRPr="00330234">
              <w:t xml:space="preserve"> gooi de voorgevulde pen dan veilig weg in uw naaldencontainer, en neem een nieuwe voorgevulde </w:t>
            </w:r>
            <w:r w:rsidR="00DD3DC6" w:rsidRPr="00330234">
              <w:t>pen</w:t>
            </w:r>
            <w:r w:rsidRPr="00330234">
              <w:t>.</w:t>
            </w:r>
          </w:p>
          <w:p w14:paraId="3654FD1D" w14:textId="77777777" w:rsidR="0079783A" w:rsidRPr="00330234" w:rsidRDefault="0079783A" w:rsidP="003D4DD5">
            <w:pPr>
              <w:pStyle w:val="a3"/>
              <w:numPr>
                <w:ilvl w:val="0"/>
                <w:numId w:val="59"/>
              </w:numPr>
              <w:tabs>
                <w:tab w:val="left" w:pos="567"/>
              </w:tabs>
              <w:autoSpaceDE/>
              <w:autoSpaceDN/>
              <w:ind w:left="567" w:hanging="567"/>
              <w:rPr>
                <w:bCs/>
              </w:rPr>
            </w:pPr>
            <w:r w:rsidRPr="00330234">
              <w:t>Controleer de voorgevulde pen om er zeker van te zijn dat deze niet beschadigd is en geen tekenen van lekkage vertoont.</w:t>
            </w:r>
          </w:p>
          <w:p w14:paraId="757F19CC" w14:textId="77777777" w:rsidR="0079783A" w:rsidRPr="00330234" w:rsidRDefault="0079783A" w:rsidP="003D4DD5">
            <w:pPr>
              <w:pStyle w:val="a3"/>
              <w:numPr>
                <w:ilvl w:val="0"/>
                <w:numId w:val="37"/>
              </w:numPr>
              <w:tabs>
                <w:tab w:val="left" w:pos="1134"/>
              </w:tabs>
              <w:autoSpaceDE/>
              <w:autoSpaceDN/>
              <w:ind w:left="1134" w:hanging="567"/>
            </w:pPr>
            <w:r w:rsidRPr="00330234">
              <w:t xml:space="preserve">Gebruik de voorgevulde pen </w:t>
            </w:r>
            <w:r w:rsidRPr="00330234">
              <w:rPr>
                <w:b/>
              </w:rPr>
              <w:t>niet</w:t>
            </w:r>
            <w:r w:rsidRPr="00330234">
              <w:t xml:space="preserve"> als deze is gevallen, beschadigd is of heeft gelekt.</w:t>
            </w:r>
          </w:p>
          <w:p w14:paraId="280DA644" w14:textId="3554E0D0" w:rsidR="0079783A" w:rsidRPr="00330234" w:rsidRDefault="0079783A">
            <w:pPr>
              <w:pStyle w:val="a3"/>
              <w:ind w:left="567"/>
              <w:rPr>
                <w:bCs/>
              </w:rPr>
            </w:pPr>
            <w:r w:rsidRPr="00330234">
              <w:rPr>
                <w:i/>
                <w:iCs/>
              </w:rPr>
              <w:t>Opmerking</w:t>
            </w:r>
            <w:r w:rsidRPr="00330234">
              <w:t xml:space="preserve">: </w:t>
            </w:r>
            <w:r w:rsidR="00DD3DC6" w:rsidRPr="00330234">
              <w:t>e</w:t>
            </w:r>
            <w:r w:rsidRPr="00330234">
              <w:t>en kleine opening tussen de oranje dop en de cilinder is normaal.</w:t>
            </w:r>
          </w:p>
          <w:p w14:paraId="2EB03B9F" w14:textId="77777777" w:rsidR="0079783A" w:rsidRPr="00330234" w:rsidRDefault="0079783A" w:rsidP="003E2554"/>
        </w:tc>
      </w:tr>
      <w:tr w:rsidR="00A358A8" w:rsidRPr="00330234" w14:paraId="3F0DB1B8" w14:textId="77777777">
        <w:trPr>
          <w:cantSplit/>
        </w:trPr>
        <w:tc>
          <w:tcPr>
            <w:tcW w:w="3539" w:type="dxa"/>
          </w:tcPr>
          <w:p w14:paraId="30320737" w14:textId="429CEF0E" w:rsidR="0079783A" w:rsidRPr="00330234" w:rsidRDefault="00315255">
            <w:pPr>
              <w:suppressAutoHyphens/>
              <w:jc w:val="right"/>
            </w:pPr>
            <w:r>
              <w:rPr>
                <w:noProof/>
                <w:lang w:val="en-US" w:eastAsia="ko-KR"/>
              </w:rPr>
              <w:drawing>
                <wp:inline distT="0" distB="0" distL="0" distR="0" wp14:anchorId="129FEF57" wp14:editId="6DB48D48">
                  <wp:extent cx="2105025" cy="2573020"/>
                  <wp:effectExtent l="19050" t="19050" r="9525" b="0"/>
                  <wp:docPr id="25" name="그림 1806273390" descr="텍스트, 스크린샷, 원,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06273390" descr="텍스트, 스크린샷, 원, 디자인이(가) 표시된 사진&#10;&#10;자동 생성된 설명"/>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05025" cy="2573020"/>
                          </a:xfrm>
                          <a:prstGeom prst="rect">
                            <a:avLst/>
                          </a:prstGeom>
                          <a:noFill/>
                          <a:ln w="9525" cmpd="sng">
                            <a:solidFill>
                              <a:srgbClr val="000000"/>
                            </a:solidFill>
                            <a:miter lim="800000"/>
                            <a:headEnd/>
                            <a:tailEnd/>
                          </a:ln>
                          <a:effectLst/>
                        </pic:spPr>
                      </pic:pic>
                    </a:graphicData>
                  </a:graphic>
                </wp:inline>
              </w:drawing>
            </w:r>
          </w:p>
          <w:p w14:paraId="0A4BA00D" w14:textId="072399BC" w:rsidR="0079783A" w:rsidRPr="00330234" w:rsidRDefault="00315255">
            <w:pPr>
              <w:suppressAutoHyphens/>
              <w:jc w:val="right"/>
              <w:rPr>
                <w:b/>
                <w:bCs/>
              </w:rPr>
            </w:pPr>
            <w:r>
              <w:rPr>
                <w:noProof/>
                <w:lang w:val="en-US" w:eastAsia="ko-KR"/>
              </w:rPr>
              <mc:AlternateContent>
                <mc:Choice Requires="wps">
                  <w:drawing>
                    <wp:anchor distT="45720" distB="45720" distL="114300" distR="114300" simplePos="0" relativeHeight="251658284" behindDoc="0" locked="1" layoutInCell="1" allowOverlap="1" wp14:anchorId="4DB3262D" wp14:editId="69449561">
                      <wp:simplePos x="0" y="0"/>
                      <wp:positionH relativeFrom="column">
                        <wp:posOffset>379095</wp:posOffset>
                      </wp:positionH>
                      <wp:positionV relativeFrom="paragraph">
                        <wp:posOffset>-2153920</wp:posOffset>
                      </wp:positionV>
                      <wp:extent cx="767080" cy="489585"/>
                      <wp:effectExtent l="0" t="0" r="0" b="0"/>
                      <wp:wrapNone/>
                      <wp:docPr id="186774175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489585"/>
                              </a:xfrm>
                              <a:prstGeom prst="rect">
                                <a:avLst/>
                              </a:prstGeom>
                              <a:noFill/>
                              <a:ln>
                                <a:noFill/>
                              </a:ln>
                            </wps:spPr>
                            <wps:txbx>
                              <w:txbxContent>
                                <w:p w14:paraId="4443AAFE" w14:textId="72E7D5CC" w:rsidR="0079783A" w:rsidRPr="001B3E1E" w:rsidRDefault="00E35F27" w:rsidP="00592E0A">
                                  <w:pPr>
                                    <w:spacing w:line="216" w:lineRule="auto"/>
                                    <w:jc w:val="center"/>
                                    <w:rPr>
                                      <w:rFonts w:cs="Arial"/>
                                      <w:b/>
                                      <w:bCs/>
                                      <w:sz w:val="16"/>
                                      <w:szCs w:val="16"/>
                                    </w:rPr>
                                  </w:pPr>
                                  <w:r w:rsidRPr="00330234">
                                    <w:rPr>
                                      <w:b/>
                                      <w:bCs/>
                                      <w:sz w:val="36"/>
                                    </w:rPr>
                                    <w:t xml:space="preserve">45 </w:t>
                                  </w:r>
                                  <w:r w:rsidRPr="001B3E1E">
                                    <w:rPr>
                                      <w:b/>
                                      <w:bCs/>
                                      <w:sz w:val="24"/>
                                      <w:szCs w:val="24"/>
                                    </w:rPr>
                                    <w:t>minuten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B3262D" id="Text Box 27" o:spid="_x0000_s1070" type="#_x0000_t202" style="position:absolute;left:0;text-align:left;margin-left:29.85pt;margin-top:-169.6pt;width:60.4pt;height:38.55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mvB2wEAAJgDAAAOAAAAZHJzL2Uyb0RvYy54bWysU9tu2zAMfR+wfxD0vtgpesmMOEXXosOA&#10;bh3Q9QNoWY6F2aJGKbGzrx8lx+m2vg17EWhSOjznkF5fj30n9pq8QVvK5SKXQluFtbHbUj5/u3+3&#10;ksIHsDV0aHUpD9rL683bN+vBFfoMW+xqTYJBrC8GV8o2BFdkmVet7sEv0GnLxQaph8CftM1qgoHR&#10;+y47y/PLbECqHaHS3nP2birKTcJvGq3CY9N4HURXSuYW0knprOKZbdZQbAlca9SRBvwDix6M5aYn&#10;qDsIIHZkXkH1RhF6bMJCYZ9h0xilkwZWs8z/UvPUgtNJC5vj3ckm//9g1Zf9k/tKIowfcOQBJhHe&#10;PaD67oXF2xbsVt8Q4dBqqLnxMlqWDc4Xx6fRal/4CFINn7HmIcMuYAIaG+qjK6xTMDoP4HAyXY9B&#10;KE5eXV7lK64oLp2v3l+sLlIHKObHjnz4qLEXMSgl8UwTOOwffIhkoJivxF4W703Xpbl29o8EX4yZ&#10;RD7ynZiHsRqFqbn5eWwcxVRYH1gO4bQuvN4ctEg/pRh4VUrpf+yAtBTdJ8uWxL2aA5qDag7AKn5a&#10;yiDFFN6Gaf92jsy2ZeTJdIs3bFtjkqQXFke+PP6k9Liqcb9+/063Xn6ozS8AAAD//wMAUEsDBBQA&#10;BgAIAAAAIQB4LaW64gAAAAwBAAAPAAAAZHJzL2Rvd25yZXYueG1sTI/BbsIwDIbvk3iHyEi7QUoR&#10;He2aIjRtp0nTSnfYMW1MG9E4XROge/uF0zja/vT7+/PdZHp2wdFpSwJWywgYUmOVplbAV/W22AJz&#10;XpKSvSUU8IsOdsXsIZeZslcq8XLwLQsh5DIpoPN+yDh3TYdGuqUdkMLtaEcjfRjHlqtRXkO46Xkc&#10;RQk3UlP40MkBXzpsToezEbD/pvJV/3zUn+Wx1FWVRvSenIR4nE/7Z2AeJ/8Pw00/qEMRnGp7JuVY&#10;L2CTPgVSwGK9TmNgN2IbbYDVYRUn8Qp4kfP7EsUfAAAA//8DAFBLAQItABQABgAIAAAAIQC2gziS&#10;/gAAAOEBAAATAAAAAAAAAAAAAAAAAAAAAABbQ29udGVudF9UeXBlc10ueG1sUEsBAi0AFAAGAAgA&#10;AAAhADj9If/WAAAAlAEAAAsAAAAAAAAAAAAAAAAALwEAAF9yZWxzLy5yZWxzUEsBAi0AFAAGAAgA&#10;AAAhACcSa8HbAQAAmAMAAA4AAAAAAAAAAAAAAAAALgIAAGRycy9lMm9Eb2MueG1sUEsBAi0AFAAG&#10;AAgAAAAhAHgtpbriAAAADAEAAA8AAAAAAAAAAAAAAAAANQQAAGRycy9kb3ducmV2LnhtbFBLBQYA&#10;AAAABAAEAPMAAABEBQAAAAA=&#10;" filled="f" stroked="f">
                      <v:textbox inset="0,0,0,0">
                        <w:txbxContent>
                          <w:p w14:paraId="4443AAFE" w14:textId="72E7D5CC" w:rsidR="0079783A" w:rsidRPr="001B3E1E" w:rsidRDefault="00E35F27" w:rsidP="00592E0A">
                            <w:pPr>
                              <w:spacing w:line="216" w:lineRule="auto"/>
                              <w:jc w:val="center"/>
                              <w:rPr>
                                <w:rFonts w:cs="Arial"/>
                                <w:b/>
                                <w:bCs/>
                                <w:sz w:val="16"/>
                                <w:szCs w:val="16"/>
                              </w:rPr>
                            </w:pPr>
                            <w:r w:rsidRPr="00330234">
                              <w:rPr>
                                <w:b/>
                                <w:bCs/>
                                <w:sz w:val="36"/>
                              </w:rPr>
                              <w:t xml:space="preserve">45 </w:t>
                            </w:r>
                            <w:r w:rsidRPr="001B3E1E">
                              <w:rPr>
                                <w:b/>
                                <w:bCs/>
                                <w:sz w:val="24"/>
                                <w:szCs w:val="24"/>
                              </w:rPr>
                              <w:t>minuten</w:t>
                            </w:r>
                          </w:p>
                        </w:txbxContent>
                      </v:textbox>
                      <w10:anchorlock/>
                    </v:shape>
                  </w:pict>
                </mc:Fallback>
              </mc:AlternateContent>
            </w:r>
            <w:r w:rsidR="0079783A" w:rsidRPr="00330234">
              <w:rPr>
                <w:b/>
              </w:rPr>
              <w:t>Figuur E</w:t>
            </w:r>
          </w:p>
        </w:tc>
        <w:tc>
          <w:tcPr>
            <w:tcW w:w="5517" w:type="dxa"/>
          </w:tcPr>
          <w:p w14:paraId="1247C8C0" w14:textId="77777777" w:rsidR="0079783A" w:rsidRPr="00330234" w:rsidRDefault="0079783A" w:rsidP="003D4DD5">
            <w:pPr>
              <w:pStyle w:val="a3"/>
              <w:numPr>
                <w:ilvl w:val="0"/>
                <w:numId w:val="56"/>
              </w:numPr>
              <w:tabs>
                <w:tab w:val="left" w:pos="567"/>
              </w:tabs>
              <w:autoSpaceDE/>
              <w:autoSpaceDN/>
              <w:ind w:left="567" w:hanging="567"/>
              <w:rPr>
                <w:b/>
              </w:rPr>
            </w:pPr>
            <w:r w:rsidRPr="00330234">
              <w:rPr>
                <w:b/>
              </w:rPr>
              <w:t>Wacht 45 minuten.</w:t>
            </w:r>
          </w:p>
          <w:p w14:paraId="66ED1FCD" w14:textId="77777777" w:rsidR="0079783A" w:rsidRPr="00330234" w:rsidRDefault="0079783A" w:rsidP="003D4DD5">
            <w:pPr>
              <w:pStyle w:val="Default"/>
              <w:widowControl w:val="0"/>
              <w:tabs>
                <w:tab w:val="left" w:pos="567"/>
              </w:tabs>
              <w:ind w:left="567" w:hanging="567"/>
              <w:rPr>
                <w:rFonts w:eastAsia="새굴림"/>
                <w:sz w:val="22"/>
                <w:szCs w:val="22"/>
                <w:lang w:val="nl-NL"/>
              </w:rPr>
            </w:pPr>
          </w:p>
          <w:p w14:paraId="31E9E233" w14:textId="15294D0A" w:rsidR="0079783A" w:rsidRPr="00330234" w:rsidRDefault="0079783A" w:rsidP="003D4DD5">
            <w:pPr>
              <w:pStyle w:val="a3"/>
              <w:numPr>
                <w:ilvl w:val="0"/>
                <w:numId w:val="60"/>
              </w:numPr>
              <w:tabs>
                <w:tab w:val="left" w:pos="567"/>
              </w:tabs>
              <w:autoSpaceDE/>
              <w:autoSpaceDN/>
              <w:ind w:left="567" w:hanging="567"/>
            </w:pPr>
            <w:r w:rsidRPr="00330234">
              <w:t>Laat de voorgevulde pen uit de doos gedurende 45 minuten op kamertemperatuur (</w:t>
            </w:r>
            <w:r w:rsidR="00E704B5">
              <w:rPr>
                <w:rFonts w:eastAsia="맑은 고딕" w:hint="eastAsia"/>
                <w:lang w:eastAsia="ko-KR"/>
              </w:rPr>
              <w:t>18</w:t>
            </w:r>
            <w:r w:rsidRPr="00330234">
              <w:t xml:space="preserve">°C tot </w:t>
            </w:r>
            <w:r w:rsidR="00E704B5" w:rsidRPr="00330234">
              <w:t>2</w:t>
            </w:r>
            <w:r w:rsidR="00E704B5">
              <w:rPr>
                <w:rFonts w:eastAsia="맑은 고딕" w:hint="eastAsia"/>
                <w:lang w:eastAsia="ko-KR"/>
              </w:rPr>
              <w:t>8</w:t>
            </w:r>
            <w:r w:rsidRPr="00330234">
              <w:t xml:space="preserve">°C) komen (zie </w:t>
            </w:r>
            <w:r w:rsidRPr="00330234">
              <w:rPr>
                <w:b/>
              </w:rPr>
              <w:t>figuur E</w:t>
            </w:r>
            <w:r w:rsidRPr="00330234">
              <w:t>).</w:t>
            </w:r>
          </w:p>
          <w:p w14:paraId="7497997D" w14:textId="116B70D4" w:rsidR="0079783A" w:rsidRPr="00330234" w:rsidRDefault="0079783A" w:rsidP="003D4DD5">
            <w:pPr>
              <w:pStyle w:val="a3"/>
              <w:numPr>
                <w:ilvl w:val="0"/>
                <w:numId w:val="37"/>
              </w:numPr>
              <w:tabs>
                <w:tab w:val="left" w:pos="1134"/>
              </w:tabs>
              <w:autoSpaceDE/>
              <w:autoSpaceDN/>
              <w:ind w:left="1134" w:hanging="567"/>
            </w:pPr>
            <w:r w:rsidRPr="00330234">
              <w:t xml:space="preserve">Verwarm de voorgevulde pen </w:t>
            </w:r>
            <w:r w:rsidRPr="00330234">
              <w:rPr>
                <w:b/>
              </w:rPr>
              <w:t>niet</w:t>
            </w:r>
            <w:r w:rsidRPr="00330234">
              <w:t xml:space="preserve"> met warmtebronnen zoals </w:t>
            </w:r>
            <w:r w:rsidR="00D16739" w:rsidRPr="00330234">
              <w:t>warm</w:t>
            </w:r>
            <w:r w:rsidRPr="00330234">
              <w:t xml:space="preserve"> water of een magnetron.</w:t>
            </w:r>
          </w:p>
          <w:p w14:paraId="76E83DE1" w14:textId="77777777" w:rsidR="0079783A" w:rsidRPr="00330234" w:rsidRDefault="0079783A" w:rsidP="003D4DD5">
            <w:pPr>
              <w:pStyle w:val="a3"/>
              <w:numPr>
                <w:ilvl w:val="0"/>
                <w:numId w:val="37"/>
              </w:numPr>
              <w:tabs>
                <w:tab w:val="left" w:pos="1134"/>
              </w:tabs>
              <w:autoSpaceDE/>
              <w:autoSpaceDN/>
              <w:ind w:left="1134" w:hanging="567"/>
            </w:pPr>
            <w:r w:rsidRPr="00330234">
              <w:t xml:space="preserve">Laat de voorgevulde pen </w:t>
            </w:r>
            <w:r w:rsidRPr="00330234">
              <w:rPr>
                <w:b/>
                <w:bCs/>
              </w:rPr>
              <w:t>niet</w:t>
            </w:r>
            <w:r w:rsidRPr="00330234">
              <w:t xml:space="preserve"> in direct zonlicht.</w:t>
            </w:r>
          </w:p>
          <w:p w14:paraId="469AC91D" w14:textId="77777777" w:rsidR="0079783A" w:rsidRPr="00330234" w:rsidRDefault="0079783A" w:rsidP="003D4DD5">
            <w:pPr>
              <w:pStyle w:val="a3"/>
              <w:numPr>
                <w:ilvl w:val="0"/>
                <w:numId w:val="37"/>
              </w:numPr>
              <w:tabs>
                <w:tab w:val="left" w:pos="1134"/>
              </w:tabs>
              <w:autoSpaceDE/>
              <w:autoSpaceDN/>
              <w:ind w:left="1134" w:hanging="567"/>
            </w:pPr>
            <w:r w:rsidRPr="00330234">
              <w:t xml:space="preserve">Verwijder de dop </w:t>
            </w:r>
            <w:r w:rsidRPr="00330234">
              <w:rPr>
                <w:b/>
                <w:bCs/>
              </w:rPr>
              <w:t>niet</w:t>
            </w:r>
            <w:r w:rsidRPr="00330234">
              <w:t xml:space="preserve"> wanneer uw voorgevulde pen nog niet op kamertemperatuur is.</w:t>
            </w:r>
          </w:p>
          <w:p w14:paraId="3B22386C" w14:textId="60A6EAD4" w:rsidR="0079783A" w:rsidRPr="00330234" w:rsidRDefault="00CC583C" w:rsidP="003D4DD5">
            <w:pPr>
              <w:pStyle w:val="a3"/>
              <w:numPr>
                <w:ilvl w:val="0"/>
                <w:numId w:val="37"/>
              </w:numPr>
              <w:tabs>
                <w:tab w:val="left" w:pos="1134"/>
              </w:tabs>
              <w:autoSpaceDE/>
              <w:autoSpaceDN/>
              <w:ind w:left="1134" w:hanging="567"/>
            </w:pPr>
            <w:r w:rsidRPr="00330234">
              <w:t>Als</w:t>
            </w:r>
            <w:r w:rsidR="0079783A" w:rsidRPr="00330234">
              <w:t xml:space="preserve"> </w:t>
            </w:r>
            <w:r w:rsidRPr="00330234">
              <w:t xml:space="preserve">de voorgevulde pen </w:t>
            </w:r>
            <w:r w:rsidR="0079783A" w:rsidRPr="00330234">
              <w:t xml:space="preserve">niet op kamertemperatuur </w:t>
            </w:r>
            <w:r w:rsidRPr="00330234">
              <w:t>is ge</w:t>
            </w:r>
            <w:r w:rsidR="0079783A" w:rsidRPr="00330234">
              <w:t>komen</w:t>
            </w:r>
            <w:r w:rsidRPr="00330234">
              <w:t>,</w:t>
            </w:r>
            <w:r w:rsidR="0079783A" w:rsidRPr="00330234">
              <w:t xml:space="preserve"> kan </w:t>
            </w:r>
            <w:r w:rsidRPr="00330234">
              <w:t xml:space="preserve">dit </w:t>
            </w:r>
            <w:r w:rsidR="0079783A" w:rsidRPr="00330234">
              <w:t>een onprettige injectie tot gevolg hebben.</w:t>
            </w:r>
          </w:p>
          <w:p w14:paraId="2ADB6DBD" w14:textId="77777777" w:rsidR="0079783A" w:rsidRPr="00330234" w:rsidRDefault="0079783A" w:rsidP="003E2554"/>
        </w:tc>
      </w:tr>
      <w:tr w:rsidR="00A358A8" w:rsidRPr="00330234" w14:paraId="261A52EB" w14:textId="77777777">
        <w:trPr>
          <w:cantSplit/>
        </w:trPr>
        <w:tc>
          <w:tcPr>
            <w:tcW w:w="3539" w:type="dxa"/>
          </w:tcPr>
          <w:p w14:paraId="0B67B351" w14:textId="7EA5F123" w:rsidR="0079783A" w:rsidRPr="00330234" w:rsidRDefault="00315255">
            <w:pPr>
              <w:suppressAutoHyphens/>
              <w:jc w:val="right"/>
            </w:pPr>
            <w:r>
              <w:rPr>
                <w:noProof/>
                <w:lang w:val="en-US" w:eastAsia="ko-KR"/>
              </w:rPr>
              <w:drawing>
                <wp:inline distT="0" distB="0" distL="0" distR="0" wp14:anchorId="48CCEB6B" wp14:editId="73722FF0">
                  <wp:extent cx="2062480" cy="2594610"/>
                  <wp:effectExtent l="19050" t="19050" r="0" b="0"/>
                  <wp:docPr id="26" name="그림 1467001912" descr="스케치, 그림,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67001912" descr="스케치, 그림, 일러스트레이션, 디자인이(가) 표시된 사진&#10;&#10;자동 생성된 설명"/>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62480" cy="2594610"/>
                          </a:xfrm>
                          <a:prstGeom prst="rect">
                            <a:avLst/>
                          </a:prstGeom>
                          <a:noFill/>
                          <a:ln w="9525" cmpd="sng">
                            <a:solidFill>
                              <a:srgbClr val="000000"/>
                            </a:solidFill>
                            <a:miter lim="800000"/>
                            <a:headEnd/>
                            <a:tailEnd/>
                          </a:ln>
                          <a:effectLst/>
                        </pic:spPr>
                      </pic:pic>
                    </a:graphicData>
                  </a:graphic>
                </wp:inline>
              </w:drawing>
            </w:r>
          </w:p>
          <w:p w14:paraId="2456EB3E" w14:textId="77777777" w:rsidR="0079783A" w:rsidRPr="00330234" w:rsidRDefault="0079783A">
            <w:pPr>
              <w:suppressAutoHyphens/>
              <w:jc w:val="right"/>
              <w:rPr>
                <w:b/>
                <w:bCs/>
              </w:rPr>
            </w:pPr>
            <w:r w:rsidRPr="00330234">
              <w:rPr>
                <w:b/>
              </w:rPr>
              <w:t>Figuur F</w:t>
            </w:r>
          </w:p>
        </w:tc>
        <w:tc>
          <w:tcPr>
            <w:tcW w:w="5517" w:type="dxa"/>
          </w:tcPr>
          <w:p w14:paraId="358B6192" w14:textId="77777777" w:rsidR="0079783A" w:rsidRPr="00330234" w:rsidRDefault="0079783A" w:rsidP="003D4DD5">
            <w:pPr>
              <w:pStyle w:val="a3"/>
              <w:numPr>
                <w:ilvl w:val="0"/>
                <w:numId w:val="56"/>
              </w:numPr>
              <w:tabs>
                <w:tab w:val="left" w:pos="567"/>
              </w:tabs>
              <w:autoSpaceDE/>
              <w:autoSpaceDN/>
              <w:ind w:left="567" w:hanging="567"/>
              <w:rPr>
                <w:b/>
              </w:rPr>
            </w:pPr>
            <w:r w:rsidRPr="00330234">
              <w:rPr>
                <w:b/>
              </w:rPr>
              <w:t>Inspecteer het geneesmiddel.</w:t>
            </w:r>
          </w:p>
          <w:p w14:paraId="3F2AF2C9" w14:textId="77777777" w:rsidR="0079783A" w:rsidRPr="00330234" w:rsidRDefault="0079783A" w:rsidP="003D4DD5">
            <w:pPr>
              <w:pStyle w:val="Default"/>
              <w:widowControl w:val="0"/>
              <w:tabs>
                <w:tab w:val="left" w:pos="567"/>
              </w:tabs>
              <w:ind w:left="567" w:hanging="567"/>
              <w:rPr>
                <w:rFonts w:eastAsia="새굴림"/>
                <w:sz w:val="22"/>
                <w:szCs w:val="22"/>
                <w:lang w:val="nl-NL"/>
              </w:rPr>
            </w:pPr>
          </w:p>
          <w:p w14:paraId="6DB0CD34" w14:textId="77777777" w:rsidR="0079783A" w:rsidRPr="00330234" w:rsidRDefault="0079783A" w:rsidP="003D4DD5">
            <w:pPr>
              <w:pStyle w:val="a3"/>
              <w:numPr>
                <w:ilvl w:val="0"/>
                <w:numId w:val="65"/>
              </w:numPr>
              <w:tabs>
                <w:tab w:val="left" w:pos="567"/>
              </w:tabs>
              <w:autoSpaceDE/>
              <w:autoSpaceDN/>
              <w:ind w:left="567" w:hanging="567"/>
              <w:rPr>
                <w:bCs/>
              </w:rPr>
            </w:pPr>
            <w:r w:rsidRPr="00330234">
              <w:t>Houd uw Avtozma-pen vast met de dop naar beneden gericht.</w:t>
            </w:r>
          </w:p>
          <w:p w14:paraId="32BD28F8" w14:textId="77777777" w:rsidR="0079783A" w:rsidRPr="00330234" w:rsidRDefault="0079783A" w:rsidP="003D4DD5">
            <w:pPr>
              <w:pStyle w:val="a3"/>
              <w:numPr>
                <w:ilvl w:val="0"/>
                <w:numId w:val="65"/>
              </w:numPr>
              <w:tabs>
                <w:tab w:val="left" w:pos="567"/>
              </w:tabs>
              <w:autoSpaceDE/>
              <w:autoSpaceDN/>
              <w:ind w:left="567" w:hanging="567"/>
              <w:rPr>
                <w:bCs/>
              </w:rPr>
            </w:pPr>
            <w:r w:rsidRPr="00330234">
              <w:t xml:space="preserve">Controleer het geneesmiddel en bevestig dat de vloeistof helder tot enigszins doorschijnend en kleurloos tot geel is en vrij van deeltjes of vlokken (zie </w:t>
            </w:r>
            <w:r w:rsidRPr="00330234">
              <w:rPr>
                <w:b/>
              </w:rPr>
              <w:t>figuur F</w:t>
            </w:r>
            <w:r w:rsidRPr="00330234">
              <w:t>).</w:t>
            </w:r>
          </w:p>
          <w:p w14:paraId="1DD98D49" w14:textId="77777777" w:rsidR="0079783A" w:rsidRPr="00330234" w:rsidRDefault="0079783A" w:rsidP="003D4DD5">
            <w:pPr>
              <w:pStyle w:val="a3"/>
              <w:numPr>
                <w:ilvl w:val="0"/>
                <w:numId w:val="37"/>
              </w:numPr>
              <w:tabs>
                <w:tab w:val="left" w:pos="1134"/>
              </w:tabs>
              <w:autoSpaceDE/>
              <w:autoSpaceDN/>
              <w:ind w:left="1134" w:hanging="567"/>
            </w:pPr>
            <w:r w:rsidRPr="00330234">
              <w:t xml:space="preserve">Gebruik de voorgevulde pen </w:t>
            </w:r>
            <w:r w:rsidRPr="00330234">
              <w:rPr>
                <w:b/>
              </w:rPr>
              <w:t>niet</w:t>
            </w:r>
            <w:r w:rsidRPr="00330234">
              <w:t xml:space="preserve"> als de vloeistof verkleurd of troebel is of deeltjes of vlokken bevat.</w:t>
            </w:r>
            <w:r w:rsidRPr="00330234">
              <w:rPr>
                <w:color w:val="231F20"/>
              </w:rPr>
              <w:t xml:space="preserve"> </w:t>
            </w:r>
            <w:r w:rsidRPr="00330234">
              <w:t>Gooi de voorgevulde pen dan veilig weg in een naaldencontainer, en neem een nieuwe voorgevulde pen.</w:t>
            </w:r>
          </w:p>
          <w:p w14:paraId="3E0DDF2B" w14:textId="77777777" w:rsidR="0079783A" w:rsidRPr="00330234" w:rsidRDefault="0079783A" w:rsidP="003D4DD5">
            <w:pPr>
              <w:pStyle w:val="a3"/>
              <w:numPr>
                <w:ilvl w:val="0"/>
                <w:numId w:val="37"/>
              </w:numPr>
              <w:tabs>
                <w:tab w:val="left" w:pos="1134"/>
              </w:tabs>
              <w:autoSpaceDE/>
              <w:autoSpaceDN/>
              <w:ind w:left="1134" w:hanging="567"/>
              <w:rPr>
                <w:bCs/>
              </w:rPr>
            </w:pPr>
            <w:r w:rsidRPr="00330234">
              <w:t>Luchtbellen zijn normaal.</w:t>
            </w:r>
          </w:p>
          <w:p w14:paraId="3537508F" w14:textId="77777777" w:rsidR="0079783A" w:rsidRPr="00330234" w:rsidRDefault="0079783A" w:rsidP="003E2554"/>
        </w:tc>
      </w:tr>
      <w:tr w:rsidR="00A358A8" w:rsidRPr="00330234" w14:paraId="4B38AED8" w14:textId="77777777">
        <w:trPr>
          <w:cantSplit/>
        </w:trPr>
        <w:tc>
          <w:tcPr>
            <w:tcW w:w="3539" w:type="dxa"/>
          </w:tcPr>
          <w:p w14:paraId="5AEBDA76" w14:textId="5269BEC3" w:rsidR="0079783A" w:rsidRPr="00330234" w:rsidRDefault="00315255">
            <w:pPr>
              <w:suppressAutoHyphens/>
              <w:jc w:val="right"/>
            </w:pPr>
            <w:r>
              <w:rPr>
                <w:noProof/>
                <w:lang w:val="en-US" w:eastAsia="ko-KR"/>
              </w:rPr>
              <w:lastRenderedPageBreak/>
              <w:drawing>
                <wp:inline distT="0" distB="0" distL="0" distR="0" wp14:anchorId="7787C429" wp14:editId="42F52A6F">
                  <wp:extent cx="2062480" cy="2594610"/>
                  <wp:effectExtent l="19050" t="19050" r="0" b="0"/>
                  <wp:docPr id="27" name="그림 2074310175" descr="스케치, 그림, 라인 아트,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74310175" descr="스케치, 그림, 라인 아트, 아동 미술이(가) 표시된 사진&#10;&#10;자동 생성된 설명"/>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62480" cy="2594610"/>
                          </a:xfrm>
                          <a:prstGeom prst="rect">
                            <a:avLst/>
                          </a:prstGeom>
                          <a:noFill/>
                          <a:ln w="9525" cmpd="sng">
                            <a:solidFill>
                              <a:srgbClr val="000000"/>
                            </a:solidFill>
                            <a:miter lim="800000"/>
                            <a:headEnd/>
                            <a:tailEnd/>
                          </a:ln>
                          <a:effectLst/>
                        </pic:spPr>
                      </pic:pic>
                    </a:graphicData>
                  </a:graphic>
                </wp:inline>
              </w:drawing>
            </w:r>
          </w:p>
          <w:p w14:paraId="2528B996" w14:textId="77777777" w:rsidR="0079783A" w:rsidRPr="00330234" w:rsidRDefault="0079783A">
            <w:pPr>
              <w:suppressAutoHyphens/>
              <w:jc w:val="right"/>
              <w:rPr>
                <w:b/>
                <w:bCs/>
              </w:rPr>
            </w:pPr>
            <w:r w:rsidRPr="00330234">
              <w:rPr>
                <w:b/>
              </w:rPr>
              <w:t>Figuur G</w:t>
            </w:r>
          </w:p>
        </w:tc>
        <w:tc>
          <w:tcPr>
            <w:tcW w:w="5517" w:type="dxa"/>
          </w:tcPr>
          <w:p w14:paraId="2664655E" w14:textId="77777777" w:rsidR="0079783A" w:rsidRPr="00330234" w:rsidRDefault="0079783A" w:rsidP="003D4DD5">
            <w:pPr>
              <w:pStyle w:val="a3"/>
              <w:numPr>
                <w:ilvl w:val="0"/>
                <w:numId w:val="56"/>
              </w:numPr>
              <w:tabs>
                <w:tab w:val="left" w:pos="567"/>
              </w:tabs>
              <w:autoSpaceDE/>
              <w:autoSpaceDN/>
              <w:ind w:left="567" w:hanging="567"/>
              <w:rPr>
                <w:b/>
              </w:rPr>
            </w:pPr>
            <w:r w:rsidRPr="00330234">
              <w:rPr>
                <w:b/>
              </w:rPr>
              <w:t>Was uw handen.</w:t>
            </w:r>
          </w:p>
          <w:p w14:paraId="749191A0" w14:textId="77777777" w:rsidR="0079783A" w:rsidRPr="00330234" w:rsidRDefault="0079783A" w:rsidP="003D4DD5">
            <w:pPr>
              <w:pStyle w:val="Default"/>
              <w:widowControl w:val="0"/>
              <w:tabs>
                <w:tab w:val="left" w:pos="567"/>
              </w:tabs>
              <w:ind w:left="567" w:hanging="567"/>
              <w:rPr>
                <w:rFonts w:eastAsia="새굴림"/>
                <w:sz w:val="22"/>
                <w:szCs w:val="22"/>
                <w:lang w:val="nl-NL"/>
              </w:rPr>
            </w:pPr>
          </w:p>
          <w:p w14:paraId="0F8C9619" w14:textId="77777777" w:rsidR="0079783A" w:rsidRPr="00330234" w:rsidRDefault="0079783A" w:rsidP="003D4DD5">
            <w:pPr>
              <w:pStyle w:val="a3"/>
              <w:numPr>
                <w:ilvl w:val="0"/>
                <w:numId w:val="61"/>
              </w:numPr>
              <w:tabs>
                <w:tab w:val="left" w:pos="567"/>
              </w:tabs>
              <w:autoSpaceDE/>
              <w:autoSpaceDN/>
              <w:ind w:left="567" w:hanging="567"/>
              <w:rPr>
                <w:bCs/>
              </w:rPr>
            </w:pPr>
            <w:r w:rsidRPr="00330234">
              <w:rPr>
                <w:color w:val="231F20"/>
              </w:rPr>
              <w:t xml:space="preserve">Was uw handen met water en zeep, en droog ze goed af (zie </w:t>
            </w:r>
            <w:r w:rsidRPr="00330234">
              <w:rPr>
                <w:b/>
                <w:color w:val="231F20"/>
              </w:rPr>
              <w:t>figuur G</w:t>
            </w:r>
            <w:r w:rsidRPr="00330234">
              <w:rPr>
                <w:color w:val="231F20"/>
              </w:rPr>
              <w:t>).</w:t>
            </w:r>
          </w:p>
          <w:p w14:paraId="1F66F102" w14:textId="77777777" w:rsidR="0079783A" w:rsidRPr="00330234" w:rsidRDefault="0079783A" w:rsidP="003E2554"/>
        </w:tc>
      </w:tr>
      <w:tr w:rsidR="00A358A8" w:rsidRPr="00330234" w14:paraId="3019989E" w14:textId="77777777">
        <w:trPr>
          <w:cantSplit/>
        </w:trPr>
        <w:tc>
          <w:tcPr>
            <w:tcW w:w="3539" w:type="dxa"/>
          </w:tcPr>
          <w:p w14:paraId="58987B7E" w14:textId="22664B17" w:rsidR="0079783A" w:rsidRPr="00330234" w:rsidRDefault="00315255">
            <w:pPr>
              <w:suppressAutoHyphens/>
              <w:jc w:val="right"/>
            </w:pPr>
            <w:r>
              <w:rPr>
                <w:noProof/>
                <w:lang w:val="en-US" w:eastAsia="ko-KR"/>
              </w:rPr>
              <w:drawing>
                <wp:inline distT="0" distB="0" distL="0" distR="0" wp14:anchorId="256D9A94" wp14:editId="7928843F">
                  <wp:extent cx="2062480" cy="3572510"/>
                  <wp:effectExtent l="19050" t="19050" r="0" b="8890"/>
                  <wp:docPr id="28" name="그림 1191617134" descr="스케치, 화이트, 그림, 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191617134" descr="스케치, 화이트, 그림, 텍스트이(가) 표시된 사진&#10;&#10;자동 생성된 설명"/>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62480" cy="3572510"/>
                          </a:xfrm>
                          <a:prstGeom prst="rect">
                            <a:avLst/>
                          </a:prstGeom>
                          <a:noFill/>
                          <a:ln w="9525" cmpd="sng">
                            <a:solidFill>
                              <a:srgbClr val="000000"/>
                            </a:solidFill>
                            <a:miter lim="800000"/>
                            <a:headEnd/>
                            <a:tailEnd/>
                          </a:ln>
                          <a:effectLst/>
                        </pic:spPr>
                      </pic:pic>
                    </a:graphicData>
                  </a:graphic>
                </wp:inline>
              </w:drawing>
            </w:r>
          </w:p>
          <w:p w14:paraId="6CC6879B" w14:textId="6454A778" w:rsidR="0079783A" w:rsidRPr="00330234" w:rsidRDefault="00315255">
            <w:pPr>
              <w:suppressAutoHyphens/>
              <w:jc w:val="right"/>
              <w:rPr>
                <w:b/>
                <w:bCs/>
              </w:rPr>
            </w:pPr>
            <w:r>
              <w:rPr>
                <w:noProof/>
                <w:lang w:val="en-US" w:eastAsia="ko-KR"/>
              </w:rPr>
              <mc:AlternateContent>
                <mc:Choice Requires="wps">
                  <w:drawing>
                    <wp:anchor distT="45720" distB="45720" distL="114300" distR="114300" simplePos="0" relativeHeight="251658285" behindDoc="0" locked="1" layoutInCell="1" allowOverlap="1" wp14:anchorId="62F238A5" wp14:editId="1835D5B8">
                      <wp:simplePos x="0" y="0"/>
                      <wp:positionH relativeFrom="column">
                        <wp:posOffset>662305</wp:posOffset>
                      </wp:positionH>
                      <wp:positionV relativeFrom="paragraph">
                        <wp:posOffset>-1150620</wp:posOffset>
                      </wp:positionV>
                      <wp:extent cx="1390015" cy="655320"/>
                      <wp:effectExtent l="0" t="0" r="0" b="0"/>
                      <wp:wrapNone/>
                      <wp:docPr id="109689459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015" cy="655320"/>
                              </a:xfrm>
                              <a:prstGeom prst="rect">
                                <a:avLst/>
                              </a:prstGeom>
                              <a:noFill/>
                              <a:ln>
                                <a:noFill/>
                              </a:ln>
                            </wps:spPr>
                            <wps:txbx>
                              <w:txbxContent>
                                <w:p w14:paraId="6D733747" w14:textId="3CDB6624" w:rsidR="0079783A" w:rsidRPr="001B3E1E" w:rsidRDefault="00E35F27" w:rsidP="001B3E1E">
                                  <w:pPr>
                                    <w:rPr>
                                      <w:rFonts w:cs="Arial"/>
                                      <w:b/>
                                      <w:bCs/>
                                    </w:rPr>
                                  </w:pPr>
                                  <w:r w:rsidRPr="001B3E1E">
                                    <w:rPr>
                                      <w:b/>
                                      <w:bCs/>
                                    </w:rPr>
                                    <w:t>Zelf-injectie, verzorger en beroepsbeoefenaar in de gezondheidszorg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F238A5" id="Text Box 25" o:spid="_x0000_s1071" type="#_x0000_t202" style="position:absolute;left:0;text-align:left;margin-left:52.15pt;margin-top:-90.6pt;width:109.45pt;height:51.6pt;z-index:2516582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nXg2wEAAJkDAAAOAAAAZHJzL2Uyb0RvYy54bWysU91u0zAUvkfiHSzf06QdnSBqOo1NQ0iD&#10;IY09gOM4jUXiY85xm5Sn59hpOmB3iBvrxD/f+X5ONldj34mDQbLgSrlc5FIYp6G2blfKp293b95J&#10;QUG5WnXgTCmPhuTV9vWrzeALs4IWutqgYBBHxeBL2Ybgiywj3Zpe0QK8cXzYAPYq8CfushrVwOh9&#10;l63y/DIbAGuPoA0R795Oh3Kb8JvG6PDQNGSC6ErJ3EJaMa1VXLPtRhU7VL61+kRD/QOLXlnHTc9Q&#10;tyoosUf7Aqq3GoGgCQsNfQZNY7VJGljNMv9LzWOrvEla2BzyZ5vo/8HqL4dH/xVFGD/AyAEmEeTv&#10;QX8n4eCmVW5nrhFhaI2qufEyWpYNnorT02g1FRRBquEz1Byy2gdIQGODfXSFdQpG5wCOZ9PNGISO&#10;LS/e5/lyLYXms8v1+mKVUslUMb/2SOGjgV7EopTIoSZ0dbinENmoYr4Smzm4s12Xgu3cHxt8Me4k&#10;9pHwRD2M1ShsXcq366gtqqmgPrIehGleeL65aAF/SjHwrJSSfuwVGim6T449iYM1FzgX1Vwop/lp&#10;KYMUU3kTpgHce7S7lpEn1x1cs2+NTZKeWZz4cv5J6WlW44D9/p1uPf9R218AAAD//wMAUEsDBBQA&#10;BgAIAAAAIQCBSNja4AAAAAwBAAAPAAAAZHJzL2Rvd25yZXYueG1sTI/BTsMwEETvSPyDtUjcWjsJ&#10;KiHEqSoEJyREGg4cndhNrMbrELtt+HuWE9x2dkezb8rt4kZ2NnOwHiUkawHMYOe1xV7CR/OyyoGF&#10;qFCr0aOR8G0CbKvrq1IV2l+wNud97BmFYCiUhCHGqeA8dINxKqz9ZJBuBz87FUnOPdezulC4G3kq&#10;xIY7ZZE+DGoyT4PpjvuTk7D7xPrZfr217/Whtk3zIPB1c5Ty9mbZPQKLZol/ZvjFJ3SoiKn1J9SB&#10;jaTFXUZWCaskT1JgZMnSjIaWVve5AF6V/H+J6gcAAP//AwBQSwECLQAUAAYACAAAACEAtoM4kv4A&#10;AADhAQAAEwAAAAAAAAAAAAAAAAAAAAAAW0NvbnRlbnRfVHlwZXNdLnhtbFBLAQItABQABgAIAAAA&#10;IQA4/SH/1gAAAJQBAAALAAAAAAAAAAAAAAAAAC8BAABfcmVscy8ucmVsc1BLAQItABQABgAIAAAA&#10;IQDs0nXg2wEAAJkDAAAOAAAAAAAAAAAAAAAAAC4CAABkcnMvZTJvRG9jLnhtbFBLAQItABQABgAI&#10;AAAAIQCBSNja4AAAAAwBAAAPAAAAAAAAAAAAAAAAADUEAABkcnMvZG93bnJldi54bWxQSwUGAAAA&#10;AAQABADzAAAAQgUAAAAA&#10;" filled="f" stroked="f">
                      <v:textbox inset="0,0,0,0">
                        <w:txbxContent>
                          <w:p w14:paraId="6D733747" w14:textId="3CDB6624" w:rsidR="0079783A" w:rsidRPr="001B3E1E" w:rsidRDefault="00E35F27" w:rsidP="001B3E1E">
                            <w:pPr>
                              <w:rPr>
                                <w:rFonts w:cs="Arial"/>
                                <w:b/>
                                <w:bCs/>
                              </w:rPr>
                            </w:pPr>
                            <w:r w:rsidRPr="001B3E1E">
                              <w:rPr>
                                <w:b/>
                                <w:bCs/>
                              </w:rPr>
                              <w:t>Zelf-injectie, verzorger en beroepsbeoefenaar in de gezondheidszorg</w:t>
                            </w:r>
                          </w:p>
                        </w:txbxContent>
                      </v:textbox>
                      <w10:anchorlock/>
                    </v:shape>
                  </w:pict>
                </mc:Fallback>
              </mc:AlternateContent>
            </w:r>
            <w:r>
              <w:rPr>
                <w:noProof/>
                <w:lang w:val="en-US" w:eastAsia="ko-KR"/>
              </w:rPr>
              <mc:AlternateContent>
                <mc:Choice Requires="wps">
                  <w:drawing>
                    <wp:anchor distT="45720" distB="45720" distL="114300" distR="114300" simplePos="0" relativeHeight="251658286" behindDoc="0" locked="1" layoutInCell="1" allowOverlap="1" wp14:anchorId="568E1ED0" wp14:editId="27ACBCA5">
                      <wp:simplePos x="0" y="0"/>
                      <wp:positionH relativeFrom="column">
                        <wp:posOffset>652145</wp:posOffset>
                      </wp:positionH>
                      <wp:positionV relativeFrom="paragraph">
                        <wp:posOffset>-522605</wp:posOffset>
                      </wp:positionV>
                      <wp:extent cx="1400175" cy="482600"/>
                      <wp:effectExtent l="0" t="0" r="0" b="0"/>
                      <wp:wrapNone/>
                      <wp:docPr id="133785403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482600"/>
                              </a:xfrm>
                              <a:prstGeom prst="rect">
                                <a:avLst/>
                              </a:prstGeom>
                              <a:noFill/>
                              <a:ln>
                                <a:noFill/>
                              </a:ln>
                            </wps:spPr>
                            <wps:txbx>
                              <w:txbxContent>
                                <w:p w14:paraId="7849A537" w14:textId="39A16379" w:rsidR="0079783A" w:rsidRPr="001B3E1E" w:rsidRDefault="00E35F27" w:rsidP="001B3E1E">
                                  <w:pPr>
                                    <w:rPr>
                                      <w:rFonts w:cs="Arial"/>
                                      <w:b/>
                                      <w:bCs/>
                                    </w:rPr>
                                  </w:pPr>
                                  <w:r w:rsidRPr="001B3E1E">
                                    <w:rPr>
                                      <w:b/>
                                      <w:bCs/>
                                    </w:rPr>
                                    <w:t>ALLEEN verzorger en beroepsbeoefenaar in de gezondheidszorg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8E1ED0" id="Text Box 23" o:spid="_x0000_s1072" type="#_x0000_t202" style="position:absolute;left:0;text-align:left;margin-left:51.35pt;margin-top:-41.15pt;width:110.25pt;height:38pt;z-index:25165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BtK2QEAAJkDAAAOAAAAZHJzL2Uyb0RvYy54bWysU8lu2zAQvRfoPxC815KN1A0Ey0GaIEWB&#10;dAHSfsCIoiSiEocd0pbcr++Qspwut6IXYsTlzVtGu5tp6MVRkzdoS7le5VJoq7A2ti3l1y8Pr66l&#10;8AFsDT1aXcqT9vJm//LFbnSF3mCHfa1JMIj1xehK2YXgiizzqtMD+BU6bfmwQRog8Ce1WU0wMvrQ&#10;Z5s832YjUu0Ilfaed+/nQ7lP+E2jVfjUNF4H0ZeSuYW0UlqruGb7HRQtgeuMOtOAf2AxgLHc9AJ1&#10;DwHEgcxfUINRhB6bsFI4ZNg0RumkgdWs8z/UPHXgdNLC5nh3scn/P1j18fjkPpMI01ucOMAkwrtH&#10;VN+8sHjXgW31LRGOnYaaG6+jZdnofHF+Gq32hY8g1fgBaw4ZDgET0NTQEF1hnYLROYDTxXQ9BaFi&#10;y6s8X795LYXis6vrzTZPqWRQLK8d+fBO4yBiUUriUBM6HB99iGygWK7EZhYfTN+nYHv72wZfjDuJ&#10;fSQ8Uw9TNQlTc/Nt1BbVVFifWA/hPC8831x0SD+kGHlWSum/H4C0FP17y57EwVoKWopqKcAqflrK&#10;IMVc3oV5AA+OTNsx8uy6xVv2rTFJ0jOLM1/OPyk9z2ocsF+/063nP2r/EwAA//8DAFBLAwQUAAYA&#10;CAAAACEAFwcBQ94AAAAKAQAADwAAAGRycy9kb3ducmV2LnhtbEyPwU7DMAyG70i8Q2QkbltCKpVR&#10;mk4TghMSoisHjmmTtdEapzTZVt4ec4Ljb3/6/bncLn5kZztHF1DB3VoAs9gF47BX8NG8rDbAYtJo&#10;9BjQKvi2EbbV9VWpCxMuWNvzPvWMSjAWWsGQ0lRwHrvBeh3XYbJIu0OYvU4U556bWV+o3I9cCpFz&#10;rx3ShUFP9mmw3XF/8gp2n1g/u6+39r0+1K5pHgS+5kelbm+W3SOwZJf0B8OvPqlDRU5tOKGJbKQs&#10;5D2hClYbmQEjIpOZBNbSJM+AVyX//0L1AwAA//8DAFBLAQItABQABgAIAAAAIQC2gziS/gAAAOEB&#10;AAATAAAAAAAAAAAAAAAAAAAAAABbQ29udGVudF9UeXBlc10ueG1sUEsBAi0AFAAGAAgAAAAhADj9&#10;If/WAAAAlAEAAAsAAAAAAAAAAAAAAAAALwEAAF9yZWxzLy5yZWxzUEsBAi0AFAAGAAgAAAAhAO7M&#10;G0rZAQAAmQMAAA4AAAAAAAAAAAAAAAAALgIAAGRycy9lMm9Eb2MueG1sUEsBAi0AFAAGAAgAAAAh&#10;ABcHAUPeAAAACgEAAA8AAAAAAAAAAAAAAAAAMwQAAGRycy9kb3ducmV2LnhtbFBLBQYAAAAABAAE&#10;APMAAAA+BQAAAAA=&#10;" filled="f" stroked="f">
                      <v:textbox inset="0,0,0,0">
                        <w:txbxContent>
                          <w:p w14:paraId="7849A537" w14:textId="39A16379" w:rsidR="0079783A" w:rsidRPr="001B3E1E" w:rsidRDefault="00E35F27" w:rsidP="001B3E1E">
                            <w:pPr>
                              <w:rPr>
                                <w:rFonts w:cs="Arial"/>
                                <w:b/>
                                <w:bCs/>
                              </w:rPr>
                            </w:pPr>
                            <w:r w:rsidRPr="001B3E1E">
                              <w:rPr>
                                <w:b/>
                                <w:bCs/>
                              </w:rPr>
                              <w:t>ALLEEN verzorger en beroepsbeoefenaar in de gezondheidszorg</w:t>
                            </w:r>
                          </w:p>
                        </w:txbxContent>
                      </v:textbox>
                      <w10:anchorlock/>
                    </v:shape>
                  </w:pict>
                </mc:Fallback>
              </mc:AlternateContent>
            </w:r>
            <w:r w:rsidR="0079783A" w:rsidRPr="00330234">
              <w:rPr>
                <w:b/>
              </w:rPr>
              <w:t>Figuur H</w:t>
            </w:r>
          </w:p>
        </w:tc>
        <w:tc>
          <w:tcPr>
            <w:tcW w:w="5517" w:type="dxa"/>
          </w:tcPr>
          <w:p w14:paraId="174D48A9" w14:textId="77777777" w:rsidR="0079783A" w:rsidRPr="00330234" w:rsidRDefault="0079783A" w:rsidP="003D4DD5">
            <w:pPr>
              <w:pStyle w:val="a3"/>
              <w:numPr>
                <w:ilvl w:val="0"/>
                <w:numId w:val="56"/>
              </w:numPr>
              <w:tabs>
                <w:tab w:val="left" w:pos="567"/>
              </w:tabs>
              <w:autoSpaceDE/>
              <w:autoSpaceDN/>
              <w:ind w:left="567" w:hanging="567"/>
              <w:rPr>
                <w:b/>
              </w:rPr>
            </w:pPr>
            <w:r w:rsidRPr="00330234">
              <w:rPr>
                <w:b/>
              </w:rPr>
              <w:t>Kies een geschikte injectieplaats (zie figuur H).</w:t>
            </w:r>
          </w:p>
          <w:p w14:paraId="0AE93EE9" w14:textId="77777777" w:rsidR="0079783A" w:rsidRPr="00330234" w:rsidRDefault="0079783A" w:rsidP="003D4DD5">
            <w:pPr>
              <w:pStyle w:val="Default"/>
              <w:widowControl w:val="0"/>
              <w:tabs>
                <w:tab w:val="left" w:pos="567"/>
              </w:tabs>
              <w:ind w:left="567" w:hanging="567"/>
              <w:rPr>
                <w:rFonts w:eastAsia="새굴림"/>
                <w:bCs/>
                <w:sz w:val="22"/>
                <w:szCs w:val="22"/>
                <w:lang w:val="nl-NL"/>
              </w:rPr>
            </w:pPr>
          </w:p>
          <w:p w14:paraId="311F1702" w14:textId="19E2FA12" w:rsidR="0079783A" w:rsidRPr="00330234" w:rsidRDefault="0079783A" w:rsidP="003D4DD5">
            <w:pPr>
              <w:pStyle w:val="a3"/>
              <w:numPr>
                <w:ilvl w:val="0"/>
                <w:numId w:val="64"/>
              </w:numPr>
              <w:tabs>
                <w:tab w:val="left" w:pos="567"/>
              </w:tabs>
              <w:autoSpaceDE/>
              <w:autoSpaceDN/>
              <w:ind w:left="567" w:hanging="567"/>
              <w:rPr>
                <w:bCs/>
              </w:rPr>
            </w:pPr>
            <w:r w:rsidRPr="00330234">
              <w:t>U kunt injecteren in</w:t>
            </w:r>
            <w:r w:rsidR="00592E0A" w:rsidRPr="00330234">
              <w:rPr>
                <w:bCs/>
              </w:rPr>
              <w:t>:</w:t>
            </w:r>
          </w:p>
          <w:p w14:paraId="10C28192" w14:textId="3B859653" w:rsidR="0079783A" w:rsidRPr="00330234" w:rsidRDefault="0079783A" w:rsidP="003D4DD5">
            <w:pPr>
              <w:pStyle w:val="a3"/>
              <w:numPr>
                <w:ilvl w:val="0"/>
                <w:numId w:val="46"/>
              </w:numPr>
              <w:tabs>
                <w:tab w:val="left" w:pos="1134"/>
              </w:tabs>
              <w:autoSpaceDE/>
              <w:autoSpaceDN/>
              <w:ind w:left="1134" w:hanging="567"/>
              <w:rPr>
                <w:color w:val="231F20"/>
              </w:rPr>
            </w:pPr>
            <w:r w:rsidRPr="00330234">
              <w:rPr>
                <w:color w:val="231F20"/>
              </w:rPr>
              <w:t xml:space="preserve">de </w:t>
            </w:r>
            <w:r w:rsidR="00CC583C" w:rsidRPr="00330234">
              <w:rPr>
                <w:color w:val="231F20"/>
              </w:rPr>
              <w:t>voor</w:t>
            </w:r>
            <w:r w:rsidRPr="00330234">
              <w:rPr>
                <w:color w:val="231F20"/>
              </w:rPr>
              <w:t>kant van uw dijen</w:t>
            </w:r>
            <w:r w:rsidR="001B6C1C" w:rsidRPr="00330234">
              <w:rPr>
                <w:color w:val="231F20"/>
              </w:rPr>
              <w:t>.</w:t>
            </w:r>
          </w:p>
          <w:p w14:paraId="10F1695A" w14:textId="60112D47" w:rsidR="0079783A" w:rsidRPr="00330234" w:rsidRDefault="0079783A" w:rsidP="003D4DD5">
            <w:pPr>
              <w:pStyle w:val="a3"/>
              <w:numPr>
                <w:ilvl w:val="0"/>
                <w:numId w:val="46"/>
              </w:numPr>
              <w:tabs>
                <w:tab w:val="left" w:pos="1134"/>
              </w:tabs>
              <w:autoSpaceDE/>
              <w:autoSpaceDN/>
              <w:ind w:left="1134" w:hanging="567"/>
            </w:pPr>
            <w:r w:rsidRPr="00330234">
              <w:rPr>
                <w:color w:val="231F20"/>
              </w:rPr>
              <w:t>de onderbuik, behalve binnen 5 cm rondom de</w:t>
            </w:r>
            <w:r w:rsidR="00330234" w:rsidRPr="00330234">
              <w:rPr>
                <w:color w:val="231F20"/>
              </w:rPr>
              <w:t> </w:t>
            </w:r>
            <w:r w:rsidRPr="00330234">
              <w:rPr>
                <w:color w:val="231F20"/>
              </w:rPr>
              <w:t>navel</w:t>
            </w:r>
            <w:r w:rsidR="001B6C1C" w:rsidRPr="00330234">
              <w:rPr>
                <w:color w:val="231F20"/>
              </w:rPr>
              <w:t>.</w:t>
            </w:r>
          </w:p>
          <w:p w14:paraId="186354B9" w14:textId="01CA5230" w:rsidR="0079783A" w:rsidRPr="00330234" w:rsidRDefault="00592E0A" w:rsidP="003D4DD5">
            <w:pPr>
              <w:pStyle w:val="a3"/>
              <w:numPr>
                <w:ilvl w:val="0"/>
                <w:numId w:val="46"/>
              </w:numPr>
              <w:tabs>
                <w:tab w:val="left" w:pos="1134"/>
              </w:tabs>
              <w:autoSpaceDE/>
              <w:autoSpaceDN/>
              <w:ind w:left="1134" w:hanging="567"/>
            </w:pPr>
            <w:r w:rsidRPr="00330234">
              <w:rPr>
                <w:color w:val="231F20"/>
              </w:rPr>
              <w:t>d</w:t>
            </w:r>
            <w:r w:rsidR="0079783A" w:rsidRPr="00330234">
              <w:rPr>
                <w:color w:val="231F20"/>
              </w:rPr>
              <w:t>e buitenkant van de bovenarm (alleen als u een verzorger of beroepsbeoefenaar in de gezondheidszorg bent).</w:t>
            </w:r>
          </w:p>
          <w:p w14:paraId="35B60B6F" w14:textId="77777777" w:rsidR="0079783A" w:rsidRPr="00330234" w:rsidRDefault="0079783A">
            <w:pPr>
              <w:pStyle w:val="a3"/>
              <w:ind w:left="567" w:hanging="567"/>
            </w:pPr>
          </w:p>
          <w:p w14:paraId="23E16D14" w14:textId="77777777" w:rsidR="0079783A" w:rsidRPr="00330234" w:rsidRDefault="0079783A" w:rsidP="003D4DD5">
            <w:pPr>
              <w:pStyle w:val="a3"/>
              <w:numPr>
                <w:ilvl w:val="0"/>
                <w:numId w:val="37"/>
              </w:numPr>
              <w:tabs>
                <w:tab w:val="left" w:pos="1134"/>
              </w:tabs>
              <w:autoSpaceDE/>
              <w:autoSpaceDN/>
              <w:ind w:left="1134" w:hanging="567"/>
            </w:pPr>
            <w:r w:rsidRPr="00330234">
              <w:t xml:space="preserve">Injecteer </w:t>
            </w:r>
            <w:r w:rsidRPr="00330234">
              <w:rPr>
                <w:b/>
              </w:rPr>
              <w:t>niet</w:t>
            </w:r>
            <w:r w:rsidRPr="00330234">
              <w:t xml:space="preserve"> zelf in uw bovenarm.</w:t>
            </w:r>
          </w:p>
          <w:p w14:paraId="1A22643F" w14:textId="77777777" w:rsidR="0079783A" w:rsidRPr="00330234" w:rsidRDefault="0079783A" w:rsidP="003D4DD5">
            <w:pPr>
              <w:pStyle w:val="a3"/>
              <w:numPr>
                <w:ilvl w:val="0"/>
                <w:numId w:val="37"/>
              </w:numPr>
              <w:tabs>
                <w:tab w:val="left" w:pos="1134"/>
              </w:tabs>
              <w:autoSpaceDE/>
              <w:autoSpaceDN/>
              <w:ind w:left="1134" w:hanging="567"/>
              <w:rPr>
                <w:bCs/>
              </w:rPr>
            </w:pPr>
            <w:r w:rsidRPr="00330234">
              <w:t>Kies voor elke nieuwe injectie een andere injectieplaats op een afstand van ten minste 2,5 cm van het gebied dat voor de laatste injectie is gebruikt.</w:t>
            </w:r>
          </w:p>
          <w:p w14:paraId="346C7F68" w14:textId="73F3CA1F" w:rsidR="0079783A" w:rsidRPr="00330234" w:rsidRDefault="0079783A" w:rsidP="003D4DD5">
            <w:pPr>
              <w:pStyle w:val="a3"/>
              <w:numPr>
                <w:ilvl w:val="0"/>
                <w:numId w:val="37"/>
              </w:numPr>
              <w:tabs>
                <w:tab w:val="left" w:pos="1134"/>
              </w:tabs>
              <w:autoSpaceDE/>
              <w:autoSpaceDN/>
              <w:ind w:left="1134" w:hanging="567"/>
            </w:pPr>
            <w:r w:rsidRPr="00330234">
              <w:t xml:space="preserve">Injecteer </w:t>
            </w:r>
            <w:r w:rsidRPr="00330234">
              <w:rPr>
                <w:b/>
                <w:bCs/>
              </w:rPr>
              <w:t>niet</w:t>
            </w:r>
            <w:r w:rsidRPr="00330234">
              <w:t xml:space="preserve"> in moedervlekken, littekens, blauwe plekken of </w:t>
            </w:r>
            <w:r w:rsidR="00CE6690" w:rsidRPr="00330234">
              <w:t>gebieden</w:t>
            </w:r>
            <w:r w:rsidRPr="00330234">
              <w:t xml:space="preserve"> waar de huid gevoelig, rood of hard is.</w:t>
            </w:r>
          </w:p>
          <w:p w14:paraId="41608D4D" w14:textId="77777777" w:rsidR="0079783A" w:rsidRPr="00330234" w:rsidRDefault="0079783A" w:rsidP="003E2554"/>
        </w:tc>
      </w:tr>
      <w:tr w:rsidR="00A358A8" w:rsidRPr="00330234" w14:paraId="3096AB9E" w14:textId="77777777">
        <w:trPr>
          <w:cantSplit/>
        </w:trPr>
        <w:tc>
          <w:tcPr>
            <w:tcW w:w="3539" w:type="dxa"/>
          </w:tcPr>
          <w:p w14:paraId="6100B07A" w14:textId="29E4D04D" w:rsidR="0079783A" w:rsidRPr="00330234" w:rsidRDefault="00315255">
            <w:pPr>
              <w:suppressAutoHyphens/>
              <w:jc w:val="right"/>
            </w:pPr>
            <w:r>
              <w:rPr>
                <w:noProof/>
                <w:lang w:val="en-US" w:eastAsia="ko-KR"/>
              </w:rPr>
              <w:lastRenderedPageBreak/>
              <w:drawing>
                <wp:inline distT="0" distB="0" distL="0" distR="0" wp14:anchorId="17413E3A" wp14:editId="13E3EC16">
                  <wp:extent cx="2105025" cy="2562225"/>
                  <wp:effectExtent l="19050" t="19050" r="9525" b="9525"/>
                  <wp:docPr id="29" name="그림 1770762785" descr="라인 아트, 스케치, 클립아트, 컬러링북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70762785" descr="라인 아트, 스케치, 클립아트, 컬러링북이(가) 표시된 사진&#10;&#10;자동 생성된 설명"/>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05025" cy="2562225"/>
                          </a:xfrm>
                          <a:prstGeom prst="rect">
                            <a:avLst/>
                          </a:prstGeom>
                          <a:noFill/>
                          <a:ln w="9525" cmpd="sng">
                            <a:solidFill>
                              <a:srgbClr val="000000"/>
                            </a:solidFill>
                            <a:miter lim="800000"/>
                            <a:headEnd/>
                            <a:tailEnd/>
                          </a:ln>
                          <a:effectLst/>
                        </pic:spPr>
                      </pic:pic>
                    </a:graphicData>
                  </a:graphic>
                </wp:inline>
              </w:drawing>
            </w:r>
          </w:p>
          <w:p w14:paraId="727F124E" w14:textId="77777777" w:rsidR="0079783A" w:rsidRPr="00330234" w:rsidRDefault="0079783A">
            <w:pPr>
              <w:suppressAutoHyphens/>
              <w:jc w:val="right"/>
              <w:rPr>
                <w:b/>
                <w:bCs/>
              </w:rPr>
            </w:pPr>
            <w:r w:rsidRPr="00330234">
              <w:rPr>
                <w:b/>
              </w:rPr>
              <w:t>Figuur I</w:t>
            </w:r>
          </w:p>
        </w:tc>
        <w:tc>
          <w:tcPr>
            <w:tcW w:w="5517" w:type="dxa"/>
          </w:tcPr>
          <w:p w14:paraId="0FEE4050" w14:textId="77777777" w:rsidR="0079783A" w:rsidRPr="00330234" w:rsidRDefault="0079783A" w:rsidP="003D4DD5">
            <w:pPr>
              <w:pStyle w:val="a3"/>
              <w:numPr>
                <w:ilvl w:val="0"/>
                <w:numId w:val="56"/>
              </w:numPr>
              <w:tabs>
                <w:tab w:val="left" w:pos="567"/>
              </w:tabs>
              <w:autoSpaceDE/>
              <w:autoSpaceDN/>
              <w:ind w:left="567" w:hanging="567"/>
              <w:rPr>
                <w:b/>
              </w:rPr>
            </w:pPr>
            <w:r w:rsidRPr="00330234">
              <w:rPr>
                <w:b/>
              </w:rPr>
              <w:t>Reinig de injectieplaats.</w:t>
            </w:r>
          </w:p>
          <w:p w14:paraId="4225E7D9" w14:textId="77777777" w:rsidR="0079783A" w:rsidRPr="00330234" w:rsidRDefault="0079783A" w:rsidP="003D4DD5">
            <w:pPr>
              <w:pStyle w:val="Default"/>
              <w:widowControl w:val="0"/>
              <w:tabs>
                <w:tab w:val="left" w:pos="567"/>
              </w:tabs>
              <w:ind w:left="567" w:hanging="567"/>
              <w:rPr>
                <w:rFonts w:eastAsia="새굴림"/>
                <w:sz w:val="22"/>
                <w:szCs w:val="22"/>
                <w:lang w:val="nl-NL"/>
              </w:rPr>
            </w:pPr>
          </w:p>
          <w:p w14:paraId="433C3ECE" w14:textId="54180722" w:rsidR="0079783A" w:rsidRPr="00330234" w:rsidRDefault="0079783A" w:rsidP="003D4DD5">
            <w:pPr>
              <w:pStyle w:val="a3"/>
              <w:numPr>
                <w:ilvl w:val="0"/>
                <w:numId w:val="62"/>
              </w:numPr>
              <w:tabs>
                <w:tab w:val="left" w:pos="567"/>
              </w:tabs>
              <w:autoSpaceDE/>
              <w:autoSpaceDN/>
              <w:ind w:left="567" w:hanging="567"/>
              <w:rPr>
                <w:bCs/>
              </w:rPr>
            </w:pPr>
            <w:r w:rsidRPr="00330234">
              <w:t xml:space="preserve">Veeg de injectieplaats schoon met een alcoholdoekje en laat aan de lucht drogen (zie </w:t>
            </w:r>
            <w:r w:rsidRPr="00330234">
              <w:rPr>
                <w:b/>
              </w:rPr>
              <w:t>figuur I</w:t>
            </w:r>
            <w:r w:rsidRPr="00330234">
              <w:t>).</w:t>
            </w:r>
            <w:r w:rsidRPr="00330234">
              <w:rPr>
                <w:color w:val="231F20"/>
              </w:rPr>
              <w:t xml:space="preserve"> Dit vermindert de kans op het krijgen van een infectie.</w:t>
            </w:r>
          </w:p>
          <w:p w14:paraId="79424FE8" w14:textId="77777777" w:rsidR="0079783A" w:rsidRPr="00330234" w:rsidRDefault="0079783A" w:rsidP="003D4DD5">
            <w:pPr>
              <w:pStyle w:val="a3"/>
              <w:numPr>
                <w:ilvl w:val="0"/>
                <w:numId w:val="37"/>
              </w:numPr>
              <w:tabs>
                <w:tab w:val="left" w:pos="1134"/>
              </w:tabs>
              <w:autoSpaceDE/>
              <w:autoSpaceDN/>
              <w:ind w:left="1134" w:hanging="567"/>
            </w:pPr>
            <w:r w:rsidRPr="00330234">
              <w:t xml:space="preserve">Raak de injectieplaats </w:t>
            </w:r>
            <w:r w:rsidRPr="00330234">
              <w:rPr>
                <w:b/>
                <w:bCs/>
              </w:rPr>
              <w:t>niet</w:t>
            </w:r>
            <w:r w:rsidRPr="00330234">
              <w:t xml:space="preserve"> opnieuw aan voordat de injectie wordt toegediend.</w:t>
            </w:r>
          </w:p>
          <w:p w14:paraId="41B5DB98" w14:textId="77777777" w:rsidR="0066504E" w:rsidRPr="00330234" w:rsidRDefault="0079783A" w:rsidP="0066504E">
            <w:pPr>
              <w:pStyle w:val="a3"/>
              <w:numPr>
                <w:ilvl w:val="0"/>
                <w:numId w:val="37"/>
              </w:numPr>
              <w:tabs>
                <w:tab w:val="left" w:pos="1134"/>
              </w:tabs>
              <w:autoSpaceDE/>
              <w:autoSpaceDN/>
              <w:ind w:left="1134" w:hanging="567"/>
            </w:pPr>
            <w:r w:rsidRPr="00330234">
              <w:t xml:space="preserve">Blaas </w:t>
            </w:r>
            <w:r w:rsidRPr="00330234">
              <w:rPr>
                <w:b/>
                <w:bCs/>
              </w:rPr>
              <w:t>niet</w:t>
            </w:r>
            <w:r w:rsidRPr="00330234">
              <w:t xml:space="preserve"> op </w:t>
            </w:r>
            <w:r w:rsidR="0066504E" w:rsidRPr="00330234">
              <w:t xml:space="preserve">het gereinigde gebied en wapper er </w:t>
            </w:r>
            <w:r w:rsidR="0066504E" w:rsidRPr="00330234">
              <w:rPr>
                <w:b/>
                <w:bCs/>
              </w:rPr>
              <w:t>niet</w:t>
            </w:r>
            <w:r w:rsidR="0066504E" w:rsidRPr="00330234">
              <w:t xml:space="preserve"> boven.</w:t>
            </w:r>
          </w:p>
          <w:p w14:paraId="2A739E8F" w14:textId="4E80C7C8" w:rsidR="0079783A" w:rsidRPr="00330234" w:rsidRDefault="0079783A" w:rsidP="003E2554"/>
        </w:tc>
      </w:tr>
    </w:tbl>
    <w:p w14:paraId="1F42A198" w14:textId="77777777" w:rsidR="0079783A" w:rsidRPr="00330234" w:rsidRDefault="0079783A" w:rsidP="0079783A"/>
    <w:p w14:paraId="1959768D" w14:textId="77777777" w:rsidR="0079783A" w:rsidRPr="00330234" w:rsidRDefault="0079783A" w:rsidP="0079783A">
      <w:pPr>
        <w:keepNext/>
        <w:rPr>
          <w:b/>
          <w:bCs/>
        </w:rPr>
      </w:pPr>
      <w:r w:rsidRPr="00330234">
        <w:rPr>
          <w:b/>
        </w:rPr>
        <w:t>Toedienen van de injectie</w:t>
      </w:r>
    </w:p>
    <w:p w14:paraId="1825B639" w14:textId="77777777" w:rsidR="0079783A" w:rsidRPr="00330234" w:rsidRDefault="0079783A" w:rsidP="0079783A">
      <w:pPr>
        <w:keepNex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A358A8" w:rsidRPr="00330234" w14:paraId="0972EDD0" w14:textId="77777777">
        <w:trPr>
          <w:cantSplit/>
        </w:trPr>
        <w:tc>
          <w:tcPr>
            <w:tcW w:w="3539" w:type="dxa"/>
          </w:tcPr>
          <w:p w14:paraId="79CC689E" w14:textId="05D9A1AF" w:rsidR="0079783A" w:rsidRPr="00330234" w:rsidRDefault="00315255">
            <w:pPr>
              <w:suppressAutoHyphens/>
              <w:jc w:val="right"/>
            </w:pPr>
            <w:r>
              <w:rPr>
                <w:noProof/>
                <w:lang w:val="en-US" w:eastAsia="ko-KR"/>
              </w:rPr>
              <w:drawing>
                <wp:inline distT="0" distB="0" distL="0" distR="0" wp14:anchorId="75824ECC" wp14:editId="04929137">
                  <wp:extent cx="2062480" cy="2562225"/>
                  <wp:effectExtent l="19050" t="19050" r="0" b="9525"/>
                  <wp:docPr id="30" name="그림 1895579912" descr="스케치, 그림, 클립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95579912" descr="스케치, 그림, 클립아트, 일러스트레이션이(가) 표시된 사진&#10;&#10;자동 생성된 설명"/>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62480" cy="2562225"/>
                          </a:xfrm>
                          <a:prstGeom prst="rect">
                            <a:avLst/>
                          </a:prstGeom>
                          <a:noFill/>
                          <a:ln w="9525" cmpd="sng">
                            <a:solidFill>
                              <a:srgbClr val="000000"/>
                            </a:solidFill>
                            <a:miter lim="800000"/>
                            <a:headEnd/>
                            <a:tailEnd/>
                          </a:ln>
                          <a:effectLst/>
                        </pic:spPr>
                      </pic:pic>
                    </a:graphicData>
                  </a:graphic>
                </wp:inline>
              </w:drawing>
            </w:r>
          </w:p>
          <w:p w14:paraId="31D67347" w14:textId="1E8C9D52" w:rsidR="0079783A" w:rsidRPr="00330234" w:rsidRDefault="00315255">
            <w:pPr>
              <w:suppressAutoHyphens/>
              <w:jc w:val="right"/>
              <w:rPr>
                <w:b/>
                <w:bCs/>
              </w:rPr>
            </w:pPr>
            <w:r>
              <w:rPr>
                <w:noProof/>
                <w:lang w:val="en-US" w:eastAsia="ko-KR"/>
              </w:rPr>
              <mc:AlternateContent>
                <mc:Choice Requires="wps">
                  <w:drawing>
                    <wp:anchor distT="45720" distB="45720" distL="114300" distR="114300" simplePos="0" relativeHeight="251658287" behindDoc="0" locked="1" layoutInCell="1" allowOverlap="1" wp14:anchorId="1BAD24FB" wp14:editId="552243B7">
                      <wp:simplePos x="0" y="0"/>
                      <wp:positionH relativeFrom="column">
                        <wp:posOffset>1118870</wp:posOffset>
                      </wp:positionH>
                      <wp:positionV relativeFrom="paragraph">
                        <wp:posOffset>-1630680</wp:posOffset>
                      </wp:positionV>
                      <wp:extent cx="732155" cy="263525"/>
                      <wp:effectExtent l="0" t="0" r="0" b="0"/>
                      <wp:wrapNone/>
                      <wp:docPr id="206366279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155" cy="263525"/>
                              </a:xfrm>
                              <a:prstGeom prst="rect">
                                <a:avLst/>
                              </a:prstGeom>
                              <a:noFill/>
                              <a:ln w="9525">
                                <a:noFill/>
                                <a:miter lim="800000"/>
                                <a:headEnd/>
                                <a:tailEnd/>
                              </a:ln>
                            </wps:spPr>
                            <wps:txbx>
                              <w:txbxContent>
                                <w:p w14:paraId="03050273" w14:textId="6CD42E59" w:rsidR="0079783A" w:rsidRPr="001B3E1E" w:rsidRDefault="0079783A" w:rsidP="0079783A">
                                  <w:pPr>
                                    <w:spacing w:line="264" w:lineRule="auto"/>
                                    <w:rPr>
                                      <w:rFonts w:cs="Arial"/>
                                      <w:b/>
                                      <w:bCs/>
                                    </w:rPr>
                                  </w:pPr>
                                  <w:r w:rsidRPr="001B3E1E">
                                    <w:rPr>
                                      <w:b/>
                                      <w:bCs/>
                                    </w:rPr>
                                    <w:t>Naalddop</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D24FB" id="Text Box 21" o:spid="_x0000_s1073" type="#_x0000_t202" style="position:absolute;left:0;text-align:left;margin-left:88.1pt;margin-top:-128.4pt;width:57.65pt;height:20.75pt;z-index:2516582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8k58QEAAMQDAAAOAAAAZHJzL2Uyb0RvYy54bWysU9tuGyEQfa/Uf0C812s7dS4r4yhNmqpS&#10;epHSfgBmWS8qMHTA3nW/PgNrO1H6VnUf0AA7Z+acOSyvB2fZTmM04AWfTaacaa+gMX4j+M8f9+8u&#10;OYtJ+kZa8FrwvY78evX2zbIPtZ5DB7bRyAjEx7oPgncphbqqouq0k3ECQXu6bAGdTLTFTdWg7And&#10;2Wo+nZ5XPWATEJSOkU7vxku+Kvhtq1X61rZRJ2YFp95SWbGs67xWq6WsNyhDZ9ShDfkPXThpPBU9&#10;Qd3JJNkWzV9QziiECG2aKHAVtK1RunAgNrPpKzaPnQy6cCFxYjjJFP8frPq6ewzfkaXhAww0wEIi&#10;hgdQvyLzcNtJv9E3iNB3WjZUeJYlq/oQ60NqljrWMYOs+y/Q0JDlNkEBGlp0WRXiyQidBrA/ia6H&#10;xBQdXpzNZ4sFZ4qu5udni/miVJD1MTlgTJ80OJYDwZFmWsDl7iGm3Iysj7/kWh7ujbVlrtazXvCr&#10;DPnqxplEtrPGCX45zd9ohMzxo29KcpLGjjEVsP5AOvMcGadhPTDTCP7+IidnEdbQ7EkGhNFm9Cwo&#10;6AD/cNaTxQSPv7cSNWf2sycpsx+PAR6D9TGQXlGq4ImzMbxNxbcjkxuSuDWF/nPlQ49klaLKwdbZ&#10;iy/35a/nx7d6AgAA//8DAFBLAwQUAAYACAAAACEAOCYYleEAAAANAQAADwAAAGRycy9kb3ducmV2&#10;LnhtbEyPwU7DMBBE70j8g7WVuLVOghJoGqeqEJyQEGk4cHRiN7Ear0PstuHv2Z7ocWafZmeK7WwH&#10;dtaTNw4FxKsImMbWKYOdgK/6bfkMzAeJSg4OtYBf7WFb3t8VMlfugpU+70PHKAR9LgX0IYw5577t&#10;tZV+5UaNdDu4ycpAcuq4muSFwu3AkyjKuJUG6UMvR/3S6/a4P1kBu2+sXs3PR/NZHSpT1+sI37Oj&#10;EA+LebcBFvQc/mG41qfqUFKnxp1QeTaQfsoSQgUskzSjEYQk6zgF1lytOH0EXhb8dkX5BwAA//8D&#10;AFBLAQItABQABgAIAAAAIQC2gziS/gAAAOEBAAATAAAAAAAAAAAAAAAAAAAAAABbQ29udGVudF9U&#10;eXBlc10ueG1sUEsBAi0AFAAGAAgAAAAhADj9If/WAAAAlAEAAAsAAAAAAAAAAAAAAAAALwEAAF9y&#10;ZWxzLy5yZWxzUEsBAi0AFAAGAAgAAAAhABhHyTnxAQAAxAMAAA4AAAAAAAAAAAAAAAAALgIAAGRy&#10;cy9lMm9Eb2MueG1sUEsBAi0AFAAGAAgAAAAhADgmGJXhAAAADQEAAA8AAAAAAAAAAAAAAAAASwQA&#10;AGRycy9kb3ducmV2LnhtbFBLBQYAAAAABAAEAPMAAABZBQAAAAA=&#10;" filled="f" stroked="f">
                      <v:textbox inset="0,0,0,0">
                        <w:txbxContent>
                          <w:p w14:paraId="03050273" w14:textId="6CD42E59" w:rsidR="0079783A" w:rsidRPr="001B3E1E" w:rsidRDefault="0079783A" w:rsidP="0079783A">
                            <w:pPr>
                              <w:spacing w:line="264" w:lineRule="auto"/>
                              <w:rPr>
                                <w:rFonts w:cs="Arial"/>
                                <w:b/>
                                <w:bCs/>
                              </w:rPr>
                            </w:pPr>
                            <w:r w:rsidRPr="001B3E1E">
                              <w:rPr>
                                <w:b/>
                                <w:bCs/>
                              </w:rPr>
                              <w:t>Naalddop</w:t>
                            </w:r>
                          </w:p>
                        </w:txbxContent>
                      </v:textbox>
                      <w10:anchorlock/>
                    </v:shape>
                  </w:pict>
                </mc:Fallback>
              </mc:AlternateContent>
            </w:r>
            <w:r w:rsidR="0079783A" w:rsidRPr="00330234">
              <w:rPr>
                <w:b/>
              </w:rPr>
              <w:t>Figuur J</w:t>
            </w:r>
          </w:p>
        </w:tc>
        <w:tc>
          <w:tcPr>
            <w:tcW w:w="5517" w:type="dxa"/>
          </w:tcPr>
          <w:p w14:paraId="0B114AA1" w14:textId="77777777" w:rsidR="0079783A" w:rsidRPr="00330234" w:rsidRDefault="0079783A" w:rsidP="003D4DD5">
            <w:pPr>
              <w:pStyle w:val="a3"/>
              <w:numPr>
                <w:ilvl w:val="0"/>
                <w:numId w:val="56"/>
              </w:numPr>
              <w:tabs>
                <w:tab w:val="left" w:pos="567"/>
              </w:tabs>
              <w:autoSpaceDE/>
              <w:autoSpaceDN/>
              <w:ind w:left="567" w:hanging="567"/>
              <w:rPr>
                <w:b/>
              </w:rPr>
            </w:pPr>
            <w:r w:rsidRPr="00330234">
              <w:rPr>
                <w:b/>
              </w:rPr>
              <w:t>Haal de dop eraf.</w:t>
            </w:r>
          </w:p>
          <w:p w14:paraId="3168C22E" w14:textId="77777777" w:rsidR="0079783A" w:rsidRPr="00330234" w:rsidRDefault="0079783A" w:rsidP="003D4DD5">
            <w:pPr>
              <w:pStyle w:val="Default"/>
              <w:keepNext/>
              <w:widowControl w:val="0"/>
              <w:tabs>
                <w:tab w:val="left" w:pos="567"/>
              </w:tabs>
              <w:ind w:left="567" w:hanging="567"/>
              <w:rPr>
                <w:rFonts w:eastAsia="새굴림"/>
                <w:sz w:val="22"/>
                <w:szCs w:val="22"/>
                <w:lang w:val="nl-NL"/>
              </w:rPr>
            </w:pPr>
          </w:p>
          <w:p w14:paraId="1AEE2153" w14:textId="77777777" w:rsidR="0079783A" w:rsidRPr="00330234" w:rsidRDefault="0079783A" w:rsidP="003D4DD5">
            <w:pPr>
              <w:pStyle w:val="a3"/>
              <w:keepNext/>
              <w:numPr>
                <w:ilvl w:val="0"/>
                <w:numId w:val="63"/>
              </w:numPr>
              <w:tabs>
                <w:tab w:val="left" w:pos="567"/>
              </w:tabs>
              <w:autoSpaceDE/>
              <w:autoSpaceDN/>
              <w:ind w:left="567" w:hanging="567"/>
              <w:rPr>
                <w:bCs/>
              </w:rPr>
            </w:pPr>
            <w:r w:rsidRPr="00330234">
              <w:rPr>
                <w:color w:val="231F20"/>
              </w:rPr>
              <w:t>Houd de voorgevulde pen met de dop erop met één hand vast aan de cilinder.</w:t>
            </w:r>
            <w:r w:rsidRPr="00330234">
              <w:rPr>
                <w:color w:val="231F20"/>
              </w:rPr>
              <w:br/>
            </w:r>
            <w:r w:rsidRPr="00330234">
              <w:t xml:space="preserve">Trek de dop er met de andere hand voorzichtig recht van af (zie </w:t>
            </w:r>
            <w:r w:rsidRPr="00330234">
              <w:rPr>
                <w:b/>
              </w:rPr>
              <w:t>Figuur J</w:t>
            </w:r>
            <w:r w:rsidRPr="00330234">
              <w:t>).</w:t>
            </w:r>
          </w:p>
          <w:p w14:paraId="3C8132FC" w14:textId="555AF5C7" w:rsidR="0079783A" w:rsidRPr="00330234" w:rsidRDefault="0079783A">
            <w:pPr>
              <w:pStyle w:val="a3"/>
              <w:ind w:left="567"/>
              <w:rPr>
                <w:bCs/>
              </w:rPr>
            </w:pPr>
            <w:r w:rsidRPr="00330234">
              <w:rPr>
                <w:i/>
                <w:iCs/>
              </w:rPr>
              <w:t>Opmerking</w:t>
            </w:r>
            <w:r w:rsidRPr="00330234">
              <w:t xml:space="preserve">: </w:t>
            </w:r>
            <w:r w:rsidR="00592E0A" w:rsidRPr="00330234">
              <w:t>a</w:t>
            </w:r>
            <w:r w:rsidRPr="00330234">
              <w:t>ls het niet lukt om de dop te verwijderen, moet u hulp vragen van een verzorger of contact opnemen met uw zorgverlener.</w:t>
            </w:r>
          </w:p>
          <w:p w14:paraId="438DD27A" w14:textId="5FA57D70" w:rsidR="0079783A" w:rsidRPr="00330234" w:rsidRDefault="0079783A" w:rsidP="003D4DD5">
            <w:pPr>
              <w:pStyle w:val="a3"/>
              <w:keepNext/>
              <w:numPr>
                <w:ilvl w:val="0"/>
                <w:numId w:val="63"/>
              </w:numPr>
              <w:tabs>
                <w:tab w:val="left" w:pos="567"/>
              </w:tabs>
              <w:autoSpaceDE/>
              <w:autoSpaceDN/>
              <w:ind w:left="567" w:hanging="567"/>
              <w:rPr>
                <w:color w:val="231F20"/>
              </w:rPr>
            </w:pPr>
            <w:r w:rsidRPr="00330234">
              <w:rPr>
                <w:color w:val="231F20"/>
              </w:rPr>
              <w:t xml:space="preserve">Gooi de dop onmiddellijk weg in een naaldencontainer (zie </w:t>
            </w:r>
            <w:r w:rsidRPr="00330234">
              <w:rPr>
                <w:b/>
                <w:bCs/>
                <w:color w:val="231F20"/>
              </w:rPr>
              <w:t>stap</w:t>
            </w:r>
            <w:r w:rsidRPr="00330234">
              <w:rPr>
                <w:color w:val="231F20"/>
              </w:rPr>
              <w:t> </w:t>
            </w:r>
            <w:r w:rsidRPr="00330234">
              <w:rPr>
                <w:b/>
                <w:color w:val="231F20"/>
              </w:rPr>
              <w:t>14</w:t>
            </w:r>
            <w:r w:rsidRPr="00330234">
              <w:rPr>
                <w:color w:val="231F20"/>
              </w:rPr>
              <w:t xml:space="preserve"> en </w:t>
            </w:r>
            <w:r w:rsidRPr="00330234">
              <w:rPr>
                <w:b/>
                <w:color w:val="231F20"/>
              </w:rPr>
              <w:t>Figuur O</w:t>
            </w:r>
            <w:r w:rsidRPr="00330234">
              <w:rPr>
                <w:color w:val="231F20"/>
              </w:rPr>
              <w:t>)</w:t>
            </w:r>
            <w:r w:rsidR="0066504E" w:rsidRPr="00330234">
              <w:rPr>
                <w:color w:val="231F20"/>
              </w:rPr>
              <w:t>.</w:t>
            </w:r>
          </w:p>
          <w:p w14:paraId="32D05F7F" w14:textId="77777777" w:rsidR="0079783A" w:rsidRPr="00330234" w:rsidRDefault="0079783A" w:rsidP="003D4DD5">
            <w:pPr>
              <w:pStyle w:val="a3"/>
              <w:numPr>
                <w:ilvl w:val="0"/>
                <w:numId w:val="37"/>
              </w:numPr>
              <w:tabs>
                <w:tab w:val="left" w:pos="1134"/>
              </w:tabs>
              <w:autoSpaceDE/>
              <w:autoSpaceDN/>
              <w:ind w:left="1134" w:hanging="567"/>
            </w:pPr>
            <w:r w:rsidRPr="00330234">
              <w:t xml:space="preserve">Plaats de dop </w:t>
            </w:r>
            <w:r w:rsidRPr="00330234">
              <w:rPr>
                <w:b/>
              </w:rPr>
              <w:t>niet</w:t>
            </w:r>
            <w:r w:rsidRPr="00330234">
              <w:t xml:space="preserve"> terug op de voorgevulde pen.</w:t>
            </w:r>
          </w:p>
          <w:p w14:paraId="7EEC686B" w14:textId="77777777" w:rsidR="0079783A" w:rsidRPr="00330234" w:rsidRDefault="0079783A" w:rsidP="003D4DD5">
            <w:pPr>
              <w:pStyle w:val="a3"/>
              <w:numPr>
                <w:ilvl w:val="0"/>
                <w:numId w:val="37"/>
              </w:numPr>
              <w:tabs>
                <w:tab w:val="left" w:pos="1134"/>
              </w:tabs>
              <w:autoSpaceDE/>
              <w:autoSpaceDN/>
              <w:ind w:left="1134" w:hanging="567"/>
            </w:pPr>
            <w:r w:rsidRPr="00330234">
              <w:t xml:space="preserve">Raak de naalddop </w:t>
            </w:r>
            <w:r w:rsidRPr="00330234">
              <w:rPr>
                <w:b/>
                <w:bCs/>
              </w:rPr>
              <w:t>niet</w:t>
            </w:r>
            <w:r w:rsidRPr="00330234">
              <w:t xml:space="preserve"> aan, om verwonding door de naald te voorkomen. De naalddop bevindt zich aan de punt van de voorgevulde pen.</w:t>
            </w:r>
          </w:p>
          <w:p w14:paraId="4E6ED68B" w14:textId="77777777" w:rsidR="0079783A" w:rsidRPr="00330234" w:rsidRDefault="0079783A" w:rsidP="003D4DD5">
            <w:pPr>
              <w:pStyle w:val="a3"/>
              <w:numPr>
                <w:ilvl w:val="0"/>
                <w:numId w:val="37"/>
              </w:numPr>
              <w:tabs>
                <w:tab w:val="left" w:pos="1134"/>
              </w:tabs>
              <w:autoSpaceDE/>
              <w:autoSpaceDN/>
              <w:ind w:left="1134" w:hanging="567"/>
            </w:pPr>
            <w:r w:rsidRPr="00330234">
              <w:t>Nadat u de dop verwijderd heeft is de voorgevulde pen klaar voor gebruik.</w:t>
            </w:r>
            <w:r w:rsidRPr="00330234">
              <w:rPr>
                <w:color w:val="231F20"/>
              </w:rPr>
              <w:t xml:space="preserve"> Als de voorgevulde pen niet binnen 3 minuten na het verwijderen van de naalddop wordt gebruikt, moet de voorgevulde pen worden weggegooid in de naaldencontainer en moet een nieuwe voorgevulde pen worden gebruikt.</w:t>
            </w:r>
          </w:p>
          <w:p w14:paraId="0D296E23" w14:textId="77777777" w:rsidR="0079783A" w:rsidRPr="00330234" w:rsidRDefault="0079783A" w:rsidP="003E2554"/>
        </w:tc>
      </w:tr>
      <w:tr w:rsidR="00A358A8" w:rsidRPr="00330234" w14:paraId="5CAEFC9F" w14:textId="77777777">
        <w:trPr>
          <w:cantSplit/>
        </w:trPr>
        <w:tc>
          <w:tcPr>
            <w:tcW w:w="3539" w:type="dxa"/>
          </w:tcPr>
          <w:p w14:paraId="191A07C7" w14:textId="4FF2A83A" w:rsidR="0079783A" w:rsidRPr="00330234" w:rsidRDefault="00315255">
            <w:pPr>
              <w:suppressAutoHyphens/>
              <w:jc w:val="right"/>
            </w:pPr>
            <w:r>
              <w:rPr>
                <w:noProof/>
                <w:lang w:val="en-US" w:eastAsia="ko-KR"/>
              </w:rPr>
              <w:lastRenderedPageBreak/>
              <w:drawing>
                <wp:inline distT="0" distB="0" distL="0" distR="0" wp14:anchorId="3BA0F2C3" wp14:editId="31EC43D2">
                  <wp:extent cx="2062480" cy="2562225"/>
                  <wp:effectExtent l="19050" t="19050" r="0" b="9525"/>
                  <wp:docPr id="31" name="그림 2415689" descr="스케치, 그림, 클립아트,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15689" descr="스케치, 그림, 클립아트, 라인 아트이(가) 표시된 사진&#10;&#10;자동 생성된 설명"/>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62480" cy="2562225"/>
                          </a:xfrm>
                          <a:prstGeom prst="rect">
                            <a:avLst/>
                          </a:prstGeom>
                          <a:noFill/>
                          <a:ln w="9525" cmpd="sng">
                            <a:solidFill>
                              <a:srgbClr val="000000"/>
                            </a:solidFill>
                            <a:miter lim="800000"/>
                            <a:headEnd/>
                            <a:tailEnd/>
                          </a:ln>
                          <a:effectLst/>
                        </pic:spPr>
                      </pic:pic>
                    </a:graphicData>
                  </a:graphic>
                </wp:inline>
              </w:drawing>
            </w:r>
          </w:p>
          <w:p w14:paraId="16A90E26" w14:textId="77777777" w:rsidR="0079783A" w:rsidRPr="00330234" w:rsidRDefault="0079783A">
            <w:pPr>
              <w:suppressAutoHyphens/>
              <w:jc w:val="right"/>
              <w:rPr>
                <w:b/>
                <w:bCs/>
              </w:rPr>
            </w:pPr>
            <w:r w:rsidRPr="00330234">
              <w:rPr>
                <w:b/>
              </w:rPr>
              <w:t>Figuur K</w:t>
            </w:r>
          </w:p>
        </w:tc>
        <w:tc>
          <w:tcPr>
            <w:tcW w:w="5517" w:type="dxa"/>
          </w:tcPr>
          <w:p w14:paraId="6E908BC3" w14:textId="77777777" w:rsidR="0079783A" w:rsidRPr="00330234" w:rsidRDefault="0079783A" w:rsidP="003D4DD5">
            <w:pPr>
              <w:pStyle w:val="a3"/>
              <w:numPr>
                <w:ilvl w:val="0"/>
                <w:numId w:val="67"/>
              </w:numPr>
              <w:tabs>
                <w:tab w:val="left" w:pos="567"/>
              </w:tabs>
              <w:autoSpaceDE/>
              <w:autoSpaceDN/>
              <w:ind w:left="567" w:hanging="567"/>
              <w:rPr>
                <w:b/>
              </w:rPr>
            </w:pPr>
            <w:r w:rsidRPr="00330234">
              <w:rPr>
                <w:b/>
              </w:rPr>
              <w:t>Plaats de voorgevulde pen op de injectieplaats.</w:t>
            </w:r>
          </w:p>
          <w:p w14:paraId="3A4EAE61" w14:textId="77777777" w:rsidR="0079783A" w:rsidRPr="00330234" w:rsidRDefault="0079783A" w:rsidP="003D4DD5">
            <w:pPr>
              <w:pStyle w:val="a3"/>
              <w:tabs>
                <w:tab w:val="left" w:pos="567"/>
              </w:tabs>
              <w:ind w:left="567" w:hanging="567"/>
              <w:rPr>
                <w:color w:val="231F20"/>
              </w:rPr>
            </w:pPr>
          </w:p>
          <w:p w14:paraId="7784807F" w14:textId="77777777" w:rsidR="0079783A" w:rsidRPr="00330234" w:rsidRDefault="0079783A" w:rsidP="003D4DD5">
            <w:pPr>
              <w:pStyle w:val="a3"/>
              <w:numPr>
                <w:ilvl w:val="0"/>
                <w:numId w:val="72"/>
              </w:numPr>
              <w:tabs>
                <w:tab w:val="left" w:pos="567"/>
              </w:tabs>
              <w:autoSpaceDE/>
              <w:autoSpaceDN/>
              <w:ind w:left="567" w:hanging="567"/>
              <w:rPr>
                <w:color w:val="231F20"/>
              </w:rPr>
            </w:pPr>
            <w:r w:rsidRPr="00330234">
              <w:rPr>
                <w:color w:val="231F20"/>
              </w:rPr>
              <w:t xml:space="preserve">Houd het bovenste deel van de voorgevulde pen op een gemakkelijke manier in één hand zodat u het kijkvenster kunt zien (zie </w:t>
            </w:r>
            <w:r w:rsidRPr="00330234">
              <w:rPr>
                <w:b/>
                <w:color w:val="231F20"/>
              </w:rPr>
              <w:t>figuur K</w:t>
            </w:r>
            <w:r w:rsidRPr="00330234">
              <w:rPr>
                <w:color w:val="231F20"/>
              </w:rPr>
              <w:t>).</w:t>
            </w:r>
          </w:p>
          <w:p w14:paraId="3142905C" w14:textId="37A42FD1" w:rsidR="0079783A" w:rsidRPr="00330234" w:rsidRDefault="0079783A" w:rsidP="003D4DD5">
            <w:pPr>
              <w:pStyle w:val="a3"/>
              <w:numPr>
                <w:ilvl w:val="0"/>
                <w:numId w:val="72"/>
              </w:numPr>
              <w:tabs>
                <w:tab w:val="left" w:pos="567"/>
              </w:tabs>
              <w:autoSpaceDE/>
              <w:autoSpaceDN/>
              <w:ind w:left="567" w:hanging="567"/>
              <w:rPr>
                <w:color w:val="231F20"/>
              </w:rPr>
            </w:pPr>
            <w:r w:rsidRPr="00330234">
              <w:rPr>
                <w:color w:val="231F20"/>
              </w:rPr>
              <w:t xml:space="preserve">Plaats de voorgevulde pen onder een hoek van 90 graden tegen de huid zonder de huid samen te knijpen of te rekken (zie </w:t>
            </w:r>
            <w:r w:rsidRPr="00330234">
              <w:rPr>
                <w:b/>
                <w:color w:val="231F20"/>
              </w:rPr>
              <w:t>figuur L</w:t>
            </w:r>
            <w:r w:rsidRPr="00330234">
              <w:rPr>
                <w:color w:val="231F20"/>
              </w:rPr>
              <w:t>).</w:t>
            </w:r>
          </w:p>
          <w:p w14:paraId="61A8D596" w14:textId="77777777" w:rsidR="0079783A" w:rsidRPr="00330234" w:rsidRDefault="0079783A">
            <w:pPr>
              <w:pStyle w:val="a3"/>
              <w:ind w:left="567" w:hanging="567"/>
              <w:rPr>
                <w:bCs/>
                <w:i/>
                <w:iCs/>
                <w:lang w:eastAsia="ko-KR"/>
              </w:rPr>
            </w:pPr>
          </w:p>
          <w:p w14:paraId="2516D63A" w14:textId="6F715269" w:rsidR="0079783A" w:rsidRPr="00330234" w:rsidRDefault="0079783A">
            <w:pPr>
              <w:pStyle w:val="a3"/>
              <w:ind w:left="567"/>
              <w:rPr>
                <w:bCs/>
              </w:rPr>
            </w:pPr>
            <w:r w:rsidRPr="00330234">
              <w:rPr>
                <w:i/>
                <w:iCs/>
              </w:rPr>
              <w:t>Opmerking</w:t>
            </w:r>
            <w:r w:rsidRPr="00330234">
              <w:t xml:space="preserve">: </w:t>
            </w:r>
            <w:r w:rsidR="00592E0A" w:rsidRPr="00330234">
              <w:t>h</w:t>
            </w:r>
            <w:r w:rsidRPr="00330234">
              <w:t xml:space="preserve">et is belangrijk om de juiste hoek te kiezen om er zeker van te zijn dat het geneesmiddel onder de huid wordt afgegeven (in het vetweefsel), omdat anders de injectie pijnlijk kan zijn en het </w:t>
            </w:r>
            <w:r w:rsidR="005D74A9" w:rsidRPr="00330234">
              <w:t>geneesmiddel</w:t>
            </w:r>
            <w:r w:rsidRPr="00330234">
              <w:t xml:space="preserve"> mogelijk niet werkt.</w:t>
            </w:r>
          </w:p>
          <w:p w14:paraId="782536C6" w14:textId="77777777" w:rsidR="0079783A" w:rsidRPr="00330234" w:rsidRDefault="0079783A">
            <w:pPr>
              <w:pStyle w:val="a3"/>
              <w:ind w:left="567" w:hanging="567"/>
              <w:rPr>
                <w:color w:val="231F20"/>
              </w:rPr>
            </w:pPr>
          </w:p>
          <w:p w14:paraId="6635B746" w14:textId="5BCA6D93" w:rsidR="0079783A" w:rsidRPr="00330234" w:rsidRDefault="0079783A" w:rsidP="0066504E">
            <w:pPr>
              <w:pStyle w:val="a3"/>
              <w:numPr>
                <w:ilvl w:val="0"/>
                <w:numId w:val="37"/>
              </w:numPr>
              <w:tabs>
                <w:tab w:val="left" w:pos="1134"/>
              </w:tabs>
              <w:autoSpaceDE/>
              <w:autoSpaceDN/>
              <w:ind w:left="567" w:hanging="567"/>
            </w:pPr>
            <w:r w:rsidRPr="00330234">
              <w:t xml:space="preserve">Dien </w:t>
            </w:r>
            <w:r w:rsidRPr="00330234">
              <w:rPr>
                <w:b/>
              </w:rPr>
              <w:t>niet</w:t>
            </w:r>
            <w:r w:rsidRPr="00330234">
              <w:t xml:space="preserve"> toe in een spier of bloedvat.</w:t>
            </w:r>
          </w:p>
          <w:p w14:paraId="35C4DF15" w14:textId="77777777" w:rsidR="0079783A" w:rsidRPr="00330234" w:rsidRDefault="0079783A" w:rsidP="003E2554"/>
        </w:tc>
      </w:tr>
      <w:tr w:rsidR="00A358A8" w:rsidRPr="00330234" w14:paraId="7B31FBE2" w14:textId="77777777">
        <w:trPr>
          <w:cantSplit/>
        </w:trPr>
        <w:tc>
          <w:tcPr>
            <w:tcW w:w="3539" w:type="dxa"/>
          </w:tcPr>
          <w:p w14:paraId="401E515A" w14:textId="11DBDC9B" w:rsidR="0079783A" w:rsidRPr="00330234" w:rsidRDefault="00315255">
            <w:pPr>
              <w:suppressAutoHyphens/>
              <w:jc w:val="right"/>
            </w:pPr>
            <w:r>
              <w:rPr>
                <w:noProof/>
                <w:lang w:val="en-US" w:eastAsia="ko-KR"/>
              </w:rPr>
              <mc:AlternateContent>
                <mc:Choice Requires="wps">
                  <w:drawing>
                    <wp:anchor distT="45720" distB="45720" distL="114300" distR="114300" simplePos="0" relativeHeight="251658288" behindDoc="0" locked="0" layoutInCell="1" allowOverlap="1" wp14:anchorId="571E29F9" wp14:editId="7C16CDA3">
                      <wp:simplePos x="0" y="0"/>
                      <wp:positionH relativeFrom="column">
                        <wp:posOffset>588010</wp:posOffset>
                      </wp:positionH>
                      <wp:positionV relativeFrom="paragraph">
                        <wp:posOffset>1379220</wp:posOffset>
                      </wp:positionV>
                      <wp:extent cx="629920" cy="467360"/>
                      <wp:effectExtent l="0" t="0" r="0" b="0"/>
                      <wp:wrapNone/>
                      <wp:docPr id="197197905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67360"/>
                              </a:xfrm>
                              <a:prstGeom prst="rect">
                                <a:avLst/>
                              </a:prstGeom>
                              <a:noFill/>
                              <a:ln w="9525">
                                <a:noFill/>
                                <a:miter lim="800000"/>
                                <a:headEnd/>
                                <a:tailEnd/>
                              </a:ln>
                            </wps:spPr>
                            <wps:txbx>
                              <w:txbxContent>
                                <w:p w14:paraId="723B9B63" w14:textId="77777777" w:rsidR="0079783A" w:rsidRPr="001B3E1E" w:rsidRDefault="0079783A" w:rsidP="0079783A">
                                  <w:pPr>
                                    <w:rPr>
                                      <w:rFonts w:cs="Arial"/>
                                      <w:b/>
                                      <w:bCs/>
                                      <w:sz w:val="32"/>
                                      <w:szCs w:val="32"/>
                                    </w:rPr>
                                  </w:pPr>
                                  <w:r w:rsidRPr="001B3E1E">
                                    <w:rPr>
                                      <w:b/>
                                      <w:bCs/>
                                      <w:sz w:val="32"/>
                                    </w:rPr>
                                    <w:t>90°</w:t>
                                  </w:r>
                                </w:p>
                                <w:p w14:paraId="73C52C36" w14:textId="77777777" w:rsidR="0079783A" w:rsidRPr="001B3E1E" w:rsidRDefault="0079783A" w:rsidP="0079783A">
                                  <w:pPr>
                                    <w:rPr>
                                      <w:rFonts w:cs="Arial"/>
                                      <w:b/>
                                      <w:bCs/>
                                      <w:sz w:val="32"/>
                                      <w:szCs w:val="32"/>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71E29F9" id="Text Box 19" o:spid="_x0000_s1074" type="#_x0000_t202" style="position:absolute;left:0;text-align:left;margin-left:46.3pt;margin-top:108.6pt;width:49.6pt;height:36.8pt;z-index:25165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6j9QEAAMQDAAAOAAAAZHJzL2Uyb0RvYy54bWysU9tu2zAMfR+wfxD0vtjJ1iwx4hRduwwD&#10;ugvQ7gMUWY6FSaImKrGzrx8lJ2mxvRXzg0Cb5iHP4dHqerCGHVRADa7m00nJmXISGu12Nf/xuHmz&#10;4AyjcI0w4FTNjwr59fr1q1XvKzWDDkyjAiMQh1Xva97F6KuiQNkpK3ACXjlKthCsiPQadkUTRE/o&#10;1hSzspwXPYTGB5AKkb7ejUm+zvhtq2T81raoIjM1p9liPkM+t+ks1itR7YLwnZanMcQLprBCO2p6&#10;gboTUbB90P9AWS0DILRxIsEW0LZaqsyB2EzLv9g8dMKrzIXEQX+RCf8frPx6ePDfA4vDBxhogZkE&#10;+nuQP5E5uO2E26mbEKDvlGio8TRJVvQeq1NpkhorTCDb/gs0tGSxj5CBhjbYpArxZIROCzheRFdD&#10;ZJI+zmfL5YwyklLv5u/fzvNSClGdi33A+EmBZSmoeaCdZnBxuMeYhhHV+ZfUy8FGG5P3ahzra768&#10;ml3lgmcZqyPZzmhb80WZntEIieNH1+TiKLQZY2pg3Il04jkyjsN2YLqhoRepOImwheZIMgQYbUbX&#10;goIOwm/OerJYzfHXXgTFmfnsSMrkx3MQzsH2HAgnqbTmkbMxvI3Zt4kj+huSeKMz/afOpxnJKlmV&#10;k62TF5+/57+eLt/6DwAAAP//AwBQSwMEFAAGAAgAAAAhAFOp2nvcAAAACgEAAA8AAABkcnMvZG93&#10;bnJldi54bWxMj7FOwzAQhnck3sE6JBZEHXsITYhTIQQLG6ULmxsfSUR8jmI3CX16rhOMd/fpv++v&#10;dqsfxIxT7AMZUJsMBFITXE+tgcPH6/0WREyWnB0CoYEfjLCrr68qW7qw0DvO+9QKDqFYWgNdSmMp&#10;ZWw69DZuwojEt68weZt4nFrpJrtwuB+kzrJcetsTf+jsiM8dNt/7kzeQry/j3VuBejk3w0yfZ6US&#10;KmNub9anRxAJ1/QHw0Wf1aFmp2M4kYtiMFDonEkDWj1oEBegUNzlyJsi24KsK/m/Qv0LAAD//wMA&#10;UEsBAi0AFAAGAAgAAAAhALaDOJL+AAAA4QEAABMAAAAAAAAAAAAAAAAAAAAAAFtDb250ZW50X1R5&#10;cGVzXS54bWxQSwECLQAUAAYACAAAACEAOP0h/9YAAACUAQAACwAAAAAAAAAAAAAAAAAvAQAAX3Jl&#10;bHMvLnJlbHNQSwECLQAUAAYACAAAACEACjc+o/UBAADEAwAADgAAAAAAAAAAAAAAAAAuAgAAZHJz&#10;L2Uyb0RvYy54bWxQSwECLQAUAAYACAAAACEAU6nae9wAAAAKAQAADwAAAAAAAAAAAAAAAABPBAAA&#10;ZHJzL2Rvd25yZXYueG1sUEsFBgAAAAAEAAQA8wAAAFgFAAAAAA==&#10;" filled="f" stroked="f">
                      <v:textbox style="mso-fit-shape-to-text:t" inset="0,0,0,0">
                        <w:txbxContent>
                          <w:p w14:paraId="723B9B63" w14:textId="77777777" w:rsidR="0079783A" w:rsidRPr="001B3E1E" w:rsidRDefault="0079783A" w:rsidP="0079783A">
                            <w:pPr>
                              <w:rPr>
                                <w:rFonts w:cs="Arial"/>
                                <w:b/>
                                <w:bCs/>
                                <w:sz w:val="32"/>
                                <w:szCs w:val="32"/>
                              </w:rPr>
                            </w:pPr>
                            <w:r w:rsidRPr="001B3E1E">
                              <w:rPr>
                                <w:b/>
                                <w:bCs/>
                                <w:sz w:val="32"/>
                              </w:rPr>
                              <w:t>90°</w:t>
                            </w:r>
                          </w:p>
                          <w:p w14:paraId="73C52C36" w14:textId="77777777" w:rsidR="0079783A" w:rsidRPr="001B3E1E" w:rsidRDefault="0079783A" w:rsidP="0079783A">
                            <w:pPr>
                              <w:rPr>
                                <w:rFonts w:cs="Arial"/>
                                <w:b/>
                                <w:bCs/>
                                <w:sz w:val="32"/>
                                <w:szCs w:val="32"/>
                              </w:rPr>
                            </w:pPr>
                          </w:p>
                        </w:txbxContent>
                      </v:textbox>
                    </v:shape>
                  </w:pict>
                </mc:Fallback>
              </mc:AlternateContent>
            </w:r>
            <w:r>
              <w:rPr>
                <w:noProof/>
                <w:lang w:val="en-US" w:eastAsia="ko-KR"/>
              </w:rPr>
              <mc:AlternateContent>
                <mc:Choice Requires="wps">
                  <w:drawing>
                    <wp:anchor distT="45720" distB="45720" distL="114300" distR="114300" simplePos="0" relativeHeight="251658289" behindDoc="0" locked="0" layoutInCell="1" allowOverlap="1" wp14:anchorId="152F14D8" wp14:editId="15D36EEB">
                      <wp:simplePos x="0" y="0"/>
                      <wp:positionH relativeFrom="column">
                        <wp:posOffset>1055370</wp:posOffset>
                      </wp:positionH>
                      <wp:positionV relativeFrom="paragraph">
                        <wp:posOffset>2711450</wp:posOffset>
                      </wp:positionV>
                      <wp:extent cx="629920" cy="467360"/>
                      <wp:effectExtent l="0" t="0" r="0" b="0"/>
                      <wp:wrapNone/>
                      <wp:docPr id="117939373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67360"/>
                              </a:xfrm>
                              <a:prstGeom prst="rect">
                                <a:avLst/>
                              </a:prstGeom>
                              <a:noFill/>
                              <a:ln w="9525">
                                <a:noFill/>
                                <a:miter lim="800000"/>
                                <a:headEnd/>
                                <a:tailEnd/>
                              </a:ln>
                            </wps:spPr>
                            <wps:txbx>
                              <w:txbxContent>
                                <w:p w14:paraId="6E3DFF23" w14:textId="77777777" w:rsidR="0079783A" w:rsidRPr="001B3E1E" w:rsidRDefault="0079783A" w:rsidP="0079783A">
                                  <w:pPr>
                                    <w:rPr>
                                      <w:rFonts w:cs="Arial"/>
                                      <w:b/>
                                      <w:bCs/>
                                      <w:sz w:val="32"/>
                                      <w:szCs w:val="32"/>
                                    </w:rPr>
                                  </w:pPr>
                                  <w:r w:rsidRPr="001B3E1E">
                                    <w:rPr>
                                      <w:b/>
                                      <w:bCs/>
                                      <w:sz w:val="32"/>
                                    </w:rPr>
                                    <w:t>90°</w:t>
                                  </w:r>
                                </w:p>
                                <w:p w14:paraId="5B71D4BA" w14:textId="77777777" w:rsidR="0079783A" w:rsidRPr="001B3E1E" w:rsidRDefault="0079783A" w:rsidP="0079783A">
                                  <w:pPr>
                                    <w:rPr>
                                      <w:rFonts w:cs="Arial"/>
                                      <w:b/>
                                      <w:bCs/>
                                      <w:sz w:val="32"/>
                                      <w:szCs w:val="32"/>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52F14D8" id="Text Box 17" o:spid="_x0000_s1075" type="#_x0000_t202" style="position:absolute;left:0;text-align:left;margin-left:83.1pt;margin-top:213.5pt;width:49.6pt;height:36.8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Y589AEAAMQDAAAOAAAAZHJzL2Uyb0RvYy54bWysU9uO0zAQfUfiHyy/07SFLduo6WrZpQhp&#10;uUgLH+A4TmNhe8zYbVK+nrHTdFfwhsiDNclkzsw5c7y5GaxhR4VBg6v4YjbnTDkJjXb7in//tnt1&#10;zVmIwjXCgFMVP6nAb7YvX2x6X6oldGAahYxAXCh7X/EuRl8WRZCdsiLMwCtHyRbQikivuC8aFD2h&#10;W1Ms5/NV0QM2HkGqEOjr/Zjk24zftkrGL20bVGSm4jRbzCfms05nsd2Ico/Cd1qexxD/MIUV2lHT&#10;C9S9iIIdUP8FZbVECNDGmQRbQNtqqTIHYrOY/8HmsRNeZS4kTvAXmcL/g5Wfj4/+K7I4vIOBFphJ&#10;BP8A8kdgDu464fbqFhH6TomGGi+SZEXvQ3kuTVKHMiSQuv8EDS1ZHCJkoKFFm1QhnozQaQGni+hq&#10;iEzSx9VyvV5SRlLqzert61VeSiHKqdhjiB8UWJaCiiPtNIOL40OIaRhRTr+kXg522pi8V+NYX/H1&#10;1fIqFzzLWB3Jdkbbil/P0zMaIXF875pcHIU2Y0wNjDuTTjxHxnGoB6YbGnqdipMINTQnkgFhtBld&#10;Cwo6wF+c9WSxioefB4GKM/PRkZTJj1OAU1BPgXCSSiseORvDu5h9mzgGf0sS73Sm/9T5PCNZJaty&#10;tnXy4vP3/NfT5dv+BgAA//8DAFBLAwQUAAYACAAAACEA3DNc7N0AAAALAQAADwAAAGRycy9kb3du&#10;cmV2LnhtbEyPMU/DMBSEdyT+g/WQWFDrJGpdCHEqhGBho7CwufEjibCfo9hNQn89jwnG053uvqv2&#10;i3diwjH2gTTk6wwEUhNsT62G97fn1S2ImAxZ4wKhhm+MsK8vLypT2jDTK06H1AouoVgaDV1KQyll&#10;bDr0Jq7DgMTeZxi9SSzHVtrRzFzunSyyTElveuKFzgz42GHzdTh5DWp5Gm5e7rCYz42b6OOc5wlz&#10;ra+vlod7EAmX9BeGX3xGh5qZjuFENgrHWqmCoxo2xY5PcaJQ2w2Io4YtD4OsK/n/Q/0DAAD//wMA&#10;UEsBAi0AFAAGAAgAAAAhALaDOJL+AAAA4QEAABMAAAAAAAAAAAAAAAAAAAAAAFtDb250ZW50X1R5&#10;cGVzXS54bWxQSwECLQAUAAYACAAAACEAOP0h/9YAAACUAQAACwAAAAAAAAAAAAAAAAAvAQAAX3Jl&#10;bHMvLnJlbHNQSwECLQAUAAYACAAAACEAdqGOfPQBAADEAwAADgAAAAAAAAAAAAAAAAAuAgAAZHJz&#10;L2Uyb0RvYy54bWxQSwECLQAUAAYACAAAACEA3DNc7N0AAAALAQAADwAAAAAAAAAAAAAAAABOBAAA&#10;ZHJzL2Rvd25yZXYueG1sUEsFBgAAAAAEAAQA8wAAAFgFAAAAAA==&#10;" filled="f" stroked="f">
                      <v:textbox style="mso-fit-shape-to-text:t" inset="0,0,0,0">
                        <w:txbxContent>
                          <w:p w14:paraId="6E3DFF23" w14:textId="77777777" w:rsidR="0079783A" w:rsidRPr="001B3E1E" w:rsidRDefault="0079783A" w:rsidP="0079783A">
                            <w:pPr>
                              <w:rPr>
                                <w:rFonts w:cs="Arial"/>
                                <w:b/>
                                <w:bCs/>
                                <w:sz w:val="32"/>
                                <w:szCs w:val="32"/>
                              </w:rPr>
                            </w:pPr>
                            <w:r w:rsidRPr="001B3E1E">
                              <w:rPr>
                                <w:b/>
                                <w:bCs/>
                                <w:sz w:val="32"/>
                              </w:rPr>
                              <w:t>90°</w:t>
                            </w:r>
                          </w:p>
                          <w:p w14:paraId="5B71D4BA" w14:textId="77777777" w:rsidR="0079783A" w:rsidRPr="001B3E1E" w:rsidRDefault="0079783A" w:rsidP="0079783A">
                            <w:pPr>
                              <w:rPr>
                                <w:rFonts w:cs="Arial"/>
                                <w:b/>
                                <w:bCs/>
                                <w:sz w:val="32"/>
                                <w:szCs w:val="32"/>
                              </w:rPr>
                            </w:pPr>
                          </w:p>
                        </w:txbxContent>
                      </v:textbox>
                    </v:shape>
                  </w:pict>
                </mc:Fallback>
              </mc:AlternateContent>
            </w:r>
            <w:r>
              <w:rPr>
                <w:noProof/>
                <w:lang w:val="en-US" w:eastAsia="ko-KR"/>
              </w:rPr>
              <mc:AlternateContent>
                <mc:Choice Requires="wps">
                  <w:drawing>
                    <wp:anchor distT="45720" distB="45720" distL="114300" distR="114300" simplePos="0" relativeHeight="251658290" behindDoc="0" locked="0" layoutInCell="1" allowOverlap="1" wp14:anchorId="2FA35F3C" wp14:editId="289A6566">
                      <wp:simplePos x="0" y="0"/>
                      <wp:positionH relativeFrom="column">
                        <wp:posOffset>88900</wp:posOffset>
                      </wp:positionH>
                      <wp:positionV relativeFrom="paragraph">
                        <wp:posOffset>2015490</wp:posOffset>
                      </wp:positionV>
                      <wp:extent cx="1983740" cy="277495"/>
                      <wp:effectExtent l="0" t="0" r="0" b="0"/>
                      <wp:wrapNone/>
                      <wp:docPr id="59091989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77495"/>
                              </a:xfrm>
                              <a:prstGeom prst="rect">
                                <a:avLst/>
                              </a:prstGeom>
                              <a:noFill/>
                              <a:ln w="9525">
                                <a:noFill/>
                                <a:miter lim="800000"/>
                                <a:headEnd/>
                                <a:tailEnd/>
                              </a:ln>
                            </wps:spPr>
                            <wps:txbx>
                              <w:txbxContent>
                                <w:p w14:paraId="38FADCE1" w14:textId="77777777" w:rsidR="0079783A" w:rsidRPr="001B3E1E" w:rsidRDefault="0079783A" w:rsidP="0079783A">
                                  <w:pPr>
                                    <w:jc w:val="center"/>
                                    <w:rPr>
                                      <w:rFonts w:cs="Arial"/>
                                      <w:b/>
                                      <w:bCs/>
                                      <w:color w:val="FFFFFF"/>
                                      <w:sz w:val="28"/>
                                      <w:szCs w:val="28"/>
                                    </w:rPr>
                                  </w:pPr>
                                  <w:r w:rsidRPr="001B3E1E">
                                    <w:rPr>
                                      <w:b/>
                                      <w:bCs/>
                                      <w:color w:val="FFFFFF"/>
                                      <w:sz w:val="28"/>
                                    </w:rPr>
                                    <w:t>OF</w:t>
                                  </w:r>
                                </w:p>
                                <w:p w14:paraId="0AF88081" w14:textId="77777777" w:rsidR="0079783A" w:rsidRPr="001B3E1E" w:rsidRDefault="0079783A" w:rsidP="0079783A">
                                  <w:pPr>
                                    <w:jc w:val="center"/>
                                    <w:rPr>
                                      <w:rFonts w:cs="Arial"/>
                                      <w:b/>
                                      <w:bCs/>
                                      <w:color w:val="FFFFFF"/>
                                      <w:sz w:val="28"/>
                                      <w:szCs w:val="2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A35F3C" id="Text Box 15" o:spid="_x0000_s1076" type="#_x0000_t202" style="position:absolute;left:0;text-align:left;margin-left:7pt;margin-top:158.7pt;width:156.2pt;height:21.85pt;z-index:251658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nmG8wEAAMUDAAAOAAAAZHJzL2Uyb0RvYy54bWysU8tu2zAQvBfoPxC815LduLYF00GaNEWB&#10;9AGk/QCaoiyiJJclaUvu12dJSU7Q3orqQKy02tmd2eH2ujeanKQPCiyj81lJibQCamUPjP74fv9m&#10;TUmI3NZcg5WMnmWg17vXr7adq+QCWtC19ARBbKg6x2gbo6uKIohWGh5m4KTFZAPe8Iiv/lDUnneI&#10;bnSxKMt3RQe+dh6EDAG/3g1Jusv4TSNF/No0QUaiGcXZYj59PvfpLHZbXh08d60S4xj8H6YwXFls&#10;eoG645GTo1d/QRklPARo4kyAKaBplJCZA7KZl3+weWy5k5kLihPcRabw/2DFl9Oj++ZJ7N9DjwvM&#10;JIJ7APEzEAu3LbcHeeM9dK3kNTaeJ8mKzoVqLE1ShyokkH33GWpcMj9GyEB9401SBXkSRMcFnC+i&#10;yz4SkVpu1m9XV5gSmFusVlebZW7Bq6na+RA/SjAkBYx6XGpG56eHENM0vJp+Sc0s3Cut82K1JR2j&#10;m+VimQteZIyK6DutDKPrMj2DExLJD7bOxZErPcTYQNuRdSI6UI79vieqZnSZi5MKe6jPqIOHwWd4&#10;LzBowf+mpEOPMRp+HbmXlOhPFrVMhpwCPwX7KeBWYCmjkZIhvI3ZuAPHG9S4UZn+c+dxRvRKVmX0&#10;dTLjy/f81/Pt2z0BAAD//wMAUEsDBBQABgAIAAAAIQBIi1QJ3wAAAAoBAAAPAAAAZHJzL2Rvd25y&#10;ZXYueG1sTI/BTsMwEETvSPyDtUjcqJO2ChDiVBWCExIiDQeOTrxNrMbrELtt+HuWE73NaEezb4rN&#10;7AZxwilYTwrSRQICqfXGUqfgs369ewARoiajB0+o4AcDbMrrq0Lnxp+pwtMudoJLKORaQR/jmEsZ&#10;2h6dDgs/IvFt7yenI9upk2bSZy53g1wmSSadtsQfej3ic4/tYXd0CrZfVL3Y7/fmo9pXtq4fE3rL&#10;Dkrd3szbJxAR5/gfhj98RoeSmRp/JBPEwH7NU6KCVXq/BsGB1TJj0bDI0hRkWcjLCeUvAAAA//8D&#10;AFBLAQItABQABgAIAAAAIQC2gziS/gAAAOEBAAATAAAAAAAAAAAAAAAAAAAAAABbQ29udGVudF9U&#10;eXBlc10ueG1sUEsBAi0AFAAGAAgAAAAhADj9If/WAAAAlAEAAAsAAAAAAAAAAAAAAAAALwEAAF9y&#10;ZWxzLy5yZWxzUEsBAi0AFAAGAAgAAAAhAKXqeYbzAQAAxQMAAA4AAAAAAAAAAAAAAAAALgIAAGRy&#10;cy9lMm9Eb2MueG1sUEsBAi0AFAAGAAgAAAAhAEiLVAnfAAAACgEAAA8AAAAAAAAAAAAAAAAATQQA&#10;AGRycy9kb3ducmV2LnhtbFBLBQYAAAAABAAEAPMAAABZBQAAAAA=&#10;" filled="f" stroked="f">
                      <v:textbox inset="0,0,0,0">
                        <w:txbxContent>
                          <w:p w14:paraId="38FADCE1" w14:textId="77777777" w:rsidR="0079783A" w:rsidRPr="001B3E1E" w:rsidRDefault="0079783A" w:rsidP="0079783A">
                            <w:pPr>
                              <w:jc w:val="center"/>
                              <w:rPr>
                                <w:rFonts w:cs="Arial"/>
                                <w:b/>
                                <w:bCs/>
                                <w:color w:val="FFFFFF"/>
                                <w:sz w:val="28"/>
                                <w:szCs w:val="28"/>
                              </w:rPr>
                            </w:pPr>
                            <w:r w:rsidRPr="001B3E1E">
                              <w:rPr>
                                <w:b/>
                                <w:bCs/>
                                <w:color w:val="FFFFFF"/>
                                <w:sz w:val="28"/>
                              </w:rPr>
                              <w:t>OF</w:t>
                            </w:r>
                          </w:p>
                          <w:p w14:paraId="0AF88081" w14:textId="77777777" w:rsidR="0079783A" w:rsidRPr="001B3E1E" w:rsidRDefault="0079783A" w:rsidP="0079783A">
                            <w:pPr>
                              <w:jc w:val="center"/>
                              <w:rPr>
                                <w:rFonts w:cs="Arial"/>
                                <w:b/>
                                <w:bCs/>
                                <w:color w:val="FFFFFF"/>
                                <w:sz w:val="28"/>
                                <w:szCs w:val="28"/>
                              </w:rPr>
                            </w:pPr>
                          </w:p>
                        </w:txbxContent>
                      </v:textbox>
                    </v:shape>
                  </w:pict>
                </mc:Fallback>
              </mc:AlternateContent>
            </w:r>
            <w:r>
              <w:rPr>
                <w:noProof/>
                <w:lang w:val="en-US" w:eastAsia="ko-KR"/>
              </w:rPr>
              <w:drawing>
                <wp:inline distT="0" distB="0" distL="0" distR="0" wp14:anchorId="377120F2" wp14:editId="40C23B34">
                  <wp:extent cx="2105025" cy="4242435"/>
                  <wp:effectExtent l="19050" t="19050" r="9525" b="5715"/>
                  <wp:docPr id="32" name="그림 1" descr="클립아트, 텍스트, 라인 아트,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클립아트, 텍스트, 라인 아트, 만화 영화이(가) 표시된 사진&#10;&#10;자동 생성된 설명"/>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05025" cy="4242435"/>
                          </a:xfrm>
                          <a:prstGeom prst="rect">
                            <a:avLst/>
                          </a:prstGeom>
                          <a:noFill/>
                          <a:ln w="9525" cmpd="sng">
                            <a:solidFill>
                              <a:srgbClr val="000000"/>
                            </a:solidFill>
                            <a:miter lim="800000"/>
                            <a:headEnd/>
                            <a:tailEnd/>
                          </a:ln>
                          <a:effectLst/>
                        </pic:spPr>
                      </pic:pic>
                    </a:graphicData>
                  </a:graphic>
                </wp:inline>
              </w:drawing>
            </w:r>
          </w:p>
          <w:p w14:paraId="6623D19E" w14:textId="77777777" w:rsidR="0079783A" w:rsidRPr="00330234" w:rsidRDefault="0079783A">
            <w:pPr>
              <w:suppressAutoHyphens/>
              <w:jc w:val="right"/>
              <w:rPr>
                <w:b/>
                <w:bCs/>
              </w:rPr>
            </w:pPr>
            <w:r w:rsidRPr="00330234">
              <w:rPr>
                <w:b/>
              </w:rPr>
              <w:t>Figuur L</w:t>
            </w:r>
          </w:p>
        </w:tc>
        <w:tc>
          <w:tcPr>
            <w:tcW w:w="5517" w:type="dxa"/>
          </w:tcPr>
          <w:p w14:paraId="072D9822" w14:textId="77777777" w:rsidR="0079783A" w:rsidRPr="00330234" w:rsidRDefault="0079783A" w:rsidP="003E2554"/>
        </w:tc>
      </w:tr>
      <w:tr w:rsidR="00A358A8" w:rsidRPr="00330234" w14:paraId="116AB170" w14:textId="77777777">
        <w:trPr>
          <w:cantSplit/>
        </w:trPr>
        <w:tc>
          <w:tcPr>
            <w:tcW w:w="3539" w:type="dxa"/>
          </w:tcPr>
          <w:p w14:paraId="4798FB65" w14:textId="6CA27162" w:rsidR="0079783A" w:rsidRPr="00330234" w:rsidRDefault="00315255">
            <w:pPr>
              <w:suppressAutoHyphens/>
              <w:jc w:val="right"/>
              <w:rPr>
                <w:b/>
                <w:bCs/>
              </w:rPr>
            </w:pPr>
            <w:r>
              <w:rPr>
                <w:b/>
                <w:noProof/>
                <w:lang w:val="en-US" w:eastAsia="ko-KR"/>
              </w:rPr>
              <w:lastRenderedPageBreak/>
              <w:drawing>
                <wp:inline distT="0" distB="0" distL="0" distR="0" wp14:anchorId="2CF5647C" wp14:editId="2AC89900">
                  <wp:extent cx="2062480" cy="4923155"/>
                  <wp:effectExtent l="19050" t="19050" r="0" b="0"/>
                  <wp:docPr id="33" name="그림 1661478188" descr="텍스트, 클립아트, 만화 영화, 화이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61478188" descr="텍스트, 클립아트, 만화 영화, 화이트이(가) 표시된 사진&#10;&#10;자동 생성된 설명"/>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62480" cy="4923155"/>
                          </a:xfrm>
                          <a:prstGeom prst="rect">
                            <a:avLst/>
                          </a:prstGeom>
                          <a:noFill/>
                          <a:ln w="9525" cmpd="sng">
                            <a:solidFill>
                              <a:srgbClr val="000000"/>
                            </a:solidFill>
                            <a:miter lim="800000"/>
                            <a:headEnd/>
                            <a:tailEnd/>
                          </a:ln>
                          <a:effectLst/>
                        </pic:spPr>
                      </pic:pic>
                    </a:graphicData>
                  </a:graphic>
                </wp:inline>
              </w:drawing>
            </w:r>
          </w:p>
          <w:p w14:paraId="52F139EA" w14:textId="07AFF4A1" w:rsidR="0079783A" w:rsidRPr="00330234" w:rsidRDefault="00315255">
            <w:pPr>
              <w:suppressAutoHyphens/>
              <w:jc w:val="right"/>
              <w:rPr>
                <w:b/>
                <w:bCs/>
              </w:rPr>
            </w:pPr>
            <w:r>
              <w:rPr>
                <w:noProof/>
                <w:lang w:val="en-US" w:eastAsia="ko-KR"/>
              </w:rPr>
              <mc:AlternateContent>
                <mc:Choice Requires="wps">
                  <w:drawing>
                    <wp:anchor distT="45720" distB="45720" distL="114300" distR="114300" simplePos="0" relativeHeight="251658291" behindDoc="0" locked="1" layoutInCell="1" allowOverlap="1" wp14:anchorId="4A08A3FE" wp14:editId="63A68E5A">
                      <wp:simplePos x="0" y="0"/>
                      <wp:positionH relativeFrom="column">
                        <wp:posOffset>276225</wp:posOffset>
                      </wp:positionH>
                      <wp:positionV relativeFrom="paragraph">
                        <wp:posOffset>-534035</wp:posOffset>
                      </wp:positionV>
                      <wp:extent cx="1526540" cy="482600"/>
                      <wp:effectExtent l="0" t="0" r="0" b="0"/>
                      <wp:wrapNone/>
                      <wp:docPr id="9648324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482600"/>
                              </a:xfrm>
                              <a:prstGeom prst="rect">
                                <a:avLst/>
                              </a:prstGeom>
                              <a:noFill/>
                              <a:ln w="9525">
                                <a:noFill/>
                                <a:miter lim="800000"/>
                                <a:headEnd/>
                                <a:tailEnd/>
                              </a:ln>
                            </wps:spPr>
                            <wps:txbx>
                              <w:txbxContent>
                                <w:p w14:paraId="49CB8BD0" w14:textId="7D9F202D" w:rsidR="0079783A" w:rsidRPr="001B3E1E" w:rsidRDefault="0079783A" w:rsidP="006D0892">
                                  <w:pPr>
                                    <w:jc w:val="center"/>
                                    <w:rPr>
                                      <w:rFonts w:cs="Arial"/>
                                      <w:b/>
                                      <w:bCs/>
                                      <w:color w:val="FFFFFF"/>
                                      <w:sz w:val="28"/>
                                      <w:szCs w:val="28"/>
                                    </w:rPr>
                                  </w:pPr>
                                  <w:r w:rsidRPr="001B3E1E">
                                    <w:rPr>
                                      <w:b/>
                                      <w:bCs/>
                                      <w:color w:val="FFFFFF"/>
                                      <w:sz w:val="28"/>
                                    </w:rPr>
                                    <w:t>Tel vervolgens langzaam tot 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8A3FE" id="Text Box 13" o:spid="_x0000_s1077" type="#_x0000_t202" style="position:absolute;left:0;text-align:left;margin-left:21.75pt;margin-top:-42.05pt;width:120.2pt;height:38pt;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J8gEAAMUDAAAOAAAAZHJzL2Uyb0RvYy54bWysU9tu2zAMfR+wfxD0vtgJmiAzohRduw4D&#10;ugvQ7QMUWY6FSaJGKbG7rx8lJ2mxvQ3zg0Cb5iHP4dHmenSWHTVGA17w+azmTHsFrfF7wb9/u3+z&#10;5iwm6VtpwWvBn3Tk19vXrzZDaPQCerCtRkYgPjZDELxPKTRVFVWvnYwzCNpTsgN0MtEr7qsW5UDo&#10;zlaLul5VA2AbEJSOkb7eTUm+Lfhdp1X60nVRJ2YFp9lSObGcu3xW241s9ihDb9RpDPkPUzhpPDW9&#10;QN3JJNkBzV9QziiECF2aKXAVdJ1RunAgNvP6DzaPvQy6cCFxYrjIFP8frPp8fAxfkaXxHYy0wEIi&#10;hgdQPyLzcNtLv9c3iDD0WrbUeJ4lq4YQm1Npljo2MYPshk/Q0pLlIUEBGjt0WRXiyQidFvB0EV2P&#10;ianccrlYLa8opSh3tV6s6rKVSjbn6oAxfdDgWA4ER1pqQZfHh5jyNLI5/5Kbebg31pbFWs8Gwd8u&#10;F8tS8CLjTCLfWeMEX9f5mZyQSb73bSlO0tgppgbWn1hnohPlNO5GZlrBl0WTrMIO2ifSAWHyGd0L&#10;CnrAX5wN5DHB48+DRM2Z/ehJy2zIc4DnYHcOpFdUKnjibApvUzHuxPGGNO5Mof/c+TQjeaWocvJ1&#10;NuPL9/LX8+3b/gYAAP//AwBQSwMEFAAGAAgAAAAhAI9aU5LfAAAACQEAAA8AAABkcnMvZG93bnJl&#10;di54bWxMj8FuwjAMhu+T9g6RJ+0GaYGh0jVFaBonpGmlHHZMG9NGNE7XBOjefuEER9uffn9/th5N&#10;xy44OG1JQDyNgCHVVmlqBBzK7SQB5rwkJTtLKOAPHazz56dMpspeqcDL3jcshJBLpYDW+z7l3NUt&#10;GummtkcKt6MdjPRhHBquBnkN4abjsyhaciM1hQ+t7PGjxfq0PxsBmx8qPvXvV/VdHAtdlquIdsuT&#10;EK8v4+YdmMfR32G46Qd1yINTZc+kHOsELOZvgRQwSRYxsADMkvkKWHXbxMDzjD82yP8BAAD//wMA&#10;UEsBAi0AFAAGAAgAAAAhALaDOJL+AAAA4QEAABMAAAAAAAAAAAAAAAAAAAAAAFtDb250ZW50X1R5&#10;cGVzXS54bWxQSwECLQAUAAYACAAAACEAOP0h/9YAAACUAQAACwAAAAAAAAAAAAAAAAAvAQAAX3Jl&#10;bHMvLnJlbHNQSwECLQAUAAYACAAAACEA/0fiCfIBAADFAwAADgAAAAAAAAAAAAAAAAAuAgAAZHJz&#10;L2Uyb0RvYy54bWxQSwECLQAUAAYACAAAACEAj1pTkt8AAAAJAQAADwAAAAAAAAAAAAAAAABMBAAA&#10;ZHJzL2Rvd25yZXYueG1sUEsFBgAAAAAEAAQA8wAAAFgFAAAAAA==&#10;" filled="f" stroked="f">
                      <v:textbox inset="0,0,0,0">
                        <w:txbxContent>
                          <w:p w14:paraId="49CB8BD0" w14:textId="7D9F202D" w:rsidR="0079783A" w:rsidRPr="001B3E1E" w:rsidRDefault="0079783A" w:rsidP="006D0892">
                            <w:pPr>
                              <w:jc w:val="center"/>
                              <w:rPr>
                                <w:rFonts w:cs="Arial"/>
                                <w:b/>
                                <w:bCs/>
                                <w:color w:val="FFFFFF"/>
                                <w:sz w:val="28"/>
                                <w:szCs w:val="28"/>
                              </w:rPr>
                            </w:pPr>
                            <w:r w:rsidRPr="001B3E1E">
                              <w:rPr>
                                <w:b/>
                                <w:bCs/>
                                <w:color w:val="FFFFFF"/>
                                <w:sz w:val="28"/>
                              </w:rPr>
                              <w:t>Tel vervolgens langzaam tot 5</w:t>
                            </w:r>
                          </w:p>
                        </w:txbxContent>
                      </v:textbox>
                      <w10:anchorlock/>
                    </v:shape>
                  </w:pict>
                </mc:Fallback>
              </mc:AlternateContent>
            </w:r>
            <w:r>
              <w:rPr>
                <w:noProof/>
                <w:lang w:val="en-US" w:eastAsia="ko-KR"/>
              </w:rPr>
              <mc:AlternateContent>
                <mc:Choice Requires="wps">
                  <w:drawing>
                    <wp:anchor distT="45720" distB="45720" distL="114300" distR="114300" simplePos="0" relativeHeight="251658292" behindDoc="0" locked="1" layoutInCell="1" allowOverlap="1" wp14:anchorId="7D76F443" wp14:editId="55EF91B5">
                      <wp:simplePos x="0" y="0"/>
                      <wp:positionH relativeFrom="column">
                        <wp:posOffset>194310</wp:posOffset>
                      </wp:positionH>
                      <wp:positionV relativeFrom="paragraph">
                        <wp:posOffset>-3932555</wp:posOffset>
                      </wp:positionV>
                      <wp:extent cx="621030" cy="181610"/>
                      <wp:effectExtent l="0" t="0" r="0" b="0"/>
                      <wp:wrapNone/>
                      <wp:docPr id="9840797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181610"/>
                              </a:xfrm>
                              <a:prstGeom prst="rect">
                                <a:avLst/>
                              </a:prstGeom>
                              <a:noFill/>
                              <a:ln w="9525">
                                <a:noFill/>
                                <a:miter lim="800000"/>
                                <a:headEnd/>
                                <a:tailEnd/>
                              </a:ln>
                            </wps:spPr>
                            <wps:txbx>
                              <w:txbxContent>
                                <w:p w14:paraId="20BF8767" w14:textId="77777777" w:rsidR="0079783A" w:rsidRPr="001B3E1E" w:rsidRDefault="0079783A" w:rsidP="0079783A">
                                  <w:pPr>
                                    <w:spacing w:line="204" w:lineRule="auto"/>
                                    <w:jc w:val="center"/>
                                    <w:rPr>
                                      <w:rFonts w:cs="Arial"/>
                                      <w:b/>
                                      <w:bCs/>
                                      <w:color w:val="FFFFFF"/>
                                    </w:rPr>
                                  </w:pPr>
                                  <w:r w:rsidRPr="001B3E1E">
                                    <w:rPr>
                                      <w:b/>
                                      <w:bCs/>
                                      <w:color w:val="FFFFFF"/>
                                    </w:rPr>
                                    <w:t>1</w:t>
                                  </w:r>
                                  <w:r w:rsidRPr="001B3E1E">
                                    <w:rPr>
                                      <w:b/>
                                      <w:bCs/>
                                      <w:color w:val="FFFFFF"/>
                                      <w:vertAlign w:val="superscript"/>
                                    </w:rPr>
                                    <w:t>e</w:t>
                                  </w:r>
                                  <w:r w:rsidRPr="001B3E1E">
                                    <w:rPr>
                                      <w:b/>
                                      <w:bCs/>
                                      <w:color w:val="FFFFFF"/>
                                    </w:rPr>
                                    <w:t xml:space="preserve"> klik</w:t>
                                  </w:r>
                                </w:p>
                                <w:p w14:paraId="6EBA2FEA" w14:textId="77777777" w:rsidR="0079783A" w:rsidRPr="001B3E1E" w:rsidRDefault="0079783A" w:rsidP="006D0892">
                                  <w:pPr>
                                    <w:spacing w:line="204" w:lineRule="auto"/>
                                    <w:rPr>
                                      <w:rFonts w:cs="Arial"/>
                                      <w:b/>
                                      <w:bCs/>
                                      <w:color w:val="FFFFFF"/>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6F443" id="Text Box 11" o:spid="_x0000_s1078" type="#_x0000_t202" style="position:absolute;left:0;text-align:left;margin-left:15.3pt;margin-top:-309.65pt;width:48.9pt;height:14.3pt;z-index:251658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Ke8gEAAMQDAAAOAAAAZHJzL2Uyb0RvYy54bWysU8tu2zAQvBfoPxC813oUNlzBdJAmTVEg&#10;bQqk/QCKoiyiJJclaUvu13dJ2U7Q3oLoQKy02tmd2eHmajKaHKQPCiyj1aKkRFoBnbI7Rn/+uHu3&#10;piREbjuuwUpGjzLQq+3bN5vRNbKGAXQnPUEQG5rRMTrE6JqiCGKQhocFOGkx2YM3POKr3xWd5yOi&#10;G13UZbkqRvCd8yBkCPj1dk7SbcbveyniQ98HGYlmFGeL+fT5bNNZbDe82XnuBiVOY/AXTGG4stj0&#10;AnXLIyd7r/6DMkp4CNDHhQBTQN8rITMHZFOV/7B5HLiTmQuKE9xFpvB6sOLb4dF99yROH2HCBWYS&#10;wd2D+BWIhZuB25289h7GQfIOG1dJsmJ0oTmVJqlDExJIO36FDpfM9xEy0NR7k1RBngTRcQHHi+hy&#10;ikTgx1Vdle8xIzBVratVlZdS8OZc7HyInyUYkgJGPe40g/PDfYhpGN6cf0m9LNwprfNetSUjox+W&#10;9TIXPMsYFdF2WhlG12V6ZiMkjp9sl4sjV3qOsYG2J9KJ58w4Tu1EVMfosk7FSYQWuiPK4GG2GV4L&#10;DAbwfygZ0WKMht977iUl+otFKZMfz4E/B+054FZgKaORkjm8idm3M8drlLhXmf5T59OMaJWsysnW&#10;yYvP3/NfT5dv+xcAAP//AwBQSwMEFAAGAAgAAAAhAHlGa77hAAAADAEAAA8AAABkcnMvZG93bnJl&#10;di54bWxMj8FOwzAMhu9IvENkJG5bsg3KWppOE4ITElpXDhzTxmujNU5psq28PdkJjrY//f7+fDPZ&#10;np1x9MaRhMVcAENqnDbUSvis3mZrYD4o0qp3hBJ+0MOmuL3JVabdhUo870PLYgj5TEnoQhgyzn3T&#10;oVV+7gakeDu40aoQx7HlelSXGG57vhQi4VYZih86NeBLh81xf7IStl9Uvprvj3pXHkpTVamg9+Qo&#10;5f3dtH0GFnAKfzBc9aM6FNGpdifSnvUSViKJpIRZskhXwK7Ecv0ArI6rx1Q8AS9y/r9E8QsAAP//&#10;AwBQSwECLQAUAAYACAAAACEAtoM4kv4AAADhAQAAEwAAAAAAAAAAAAAAAAAAAAAAW0NvbnRlbnRf&#10;VHlwZXNdLnhtbFBLAQItABQABgAIAAAAIQA4/SH/1gAAAJQBAAALAAAAAAAAAAAAAAAAAC8BAABf&#10;cmVscy8ucmVsc1BLAQItABQABgAIAAAAIQAPOGKe8gEAAMQDAAAOAAAAAAAAAAAAAAAAAC4CAABk&#10;cnMvZTJvRG9jLnhtbFBLAQItABQABgAIAAAAIQB5Rmu+4QAAAAwBAAAPAAAAAAAAAAAAAAAAAEwE&#10;AABkcnMvZG93bnJldi54bWxQSwUGAAAAAAQABADzAAAAWgUAAAAA&#10;" filled="f" stroked="f">
                      <v:textbox inset="0,0,0,0">
                        <w:txbxContent>
                          <w:p w14:paraId="20BF8767" w14:textId="77777777" w:rsidR="0079783A" w:rsidRPr="001B3E1E" w:rsidRDefault="0079783A" w:rsidP="0079783A">
                            <w:pPr>
                              <w:spacing w:line="204" w:lineRule="auto"/>
                              <w:jc w:val="center"/>
                              <w:rPr>
                                <w:rFonts w:cs="Arial"/>
                                <w:b/>
                                <w:bCs/>
                                <w:color w:val="FFFFFF"/>
                              </w:rPr>
                            </w:pPr>
                            <w:r w:rsidRPr="001B3E1E">
                              <w:rPr>
                                <w:b/>
                                <w:bCs/>
                                <w:color w:val="FFFFFF"/>
                              </w:rPr>
                              <w:t>1</w:t>
                            </w:r>
                            <w:r w:rsidRPr="001B3E1E">
                              <w:rPr>
                                <w:b/>
                                <w:bCs/>
                                <w:color w:val="FFFFFF"/>
                                <w:vertAlign w:val="superscript"/>
                              </w:rPr>
                              <w:t>e</w:t>
                            </w:r>
                            <w:r w:rsidRPr="001B3E1E">
                              <w:rPr>
                                <w:b/>
                                <w:bCs/>
                                <w:color w:val="FFFFFF"/>
                              </w:rPr>
                              <w:t xml:space="preserve"> klik</w:t>
                            </w:r>
                          </w:p>
                          <w:p w14:paraId="6EBA2FEA" w14:textId="77777777" w:rsidR="0079783A" w:rsidRPr="001B3E1E" w:rsidRDefault="0079783A" w:rsidP="006D0892">
                            <w:pPr>
                              <w:spacing w:line="204" w:lineRule="auto"/>
                              <w:rPr>
                                <w:rFonts w:cs="Arial"/>
                                <w:b/>
                                <w:bCs/>
                                <w:color w:val="FFFFFF"/>
                              </w:rPr>
                            </w:pPr>
                          </w:p>
                        </w:txbxContent>
                      </v:textbox>
                      <w10:anchorlock/>
                    </v:shape>
                  </w:pict>
                </mc:Fallback>
              </mc:AlternateContent>
            </w:r>
            <w:r>
              <w:rPr>
                <w:noProof/>
                <w:lang w:val="en-US" w:eastAsia="ko-KR"/>
              </w:rPr>
              <mc:AlternateContent>
                <mc:Choice Requires="wps">
                  <w:drawing>
                    <wp:anchor distT="45720" distB="45720" distL="114300" distR="114300" simplePos="0" relativeHeight="251658293" behindDoc="0" locked="1" layoutInCell="1" allowOverlap="1" wp14:anchorId="743432DB" wp14:editId="1A1F2034">
                      <wp:simplePos x="0" y="0"/>
                      <wp:positionH relativeFrom="column">
                        <wp:posOffset>200660</wp:posOffset>
                      </wp:positionH>
                      <wp:positionV relativeFrom="paragraph">
                        <wp:posOffset>-1737995</wp:posOffset>
                      </wp:positionV>
                      <wp:extent cx="621030" cy="180975"/>
                      <wp:effectExtent l="0" t="0" r="0" b="0"/>
                      <wp:wrapNone/>
                      <wp:docPr id="17326533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180975"/>
                              </a:xfrm>
                              <a:prstGeom prst="rect">
                                <a:avLst/>
                              </a:prstGeom>
                              <a:noFill/>
                              <a:ln w="9525">
                                <a:noFill/>
                                <a:miter lim="800000"/>
                                <a:headEnd/>
                                <a:tailEnd/>
                              </a:ln>
                            </wps:spPr>
                            <wps:txbx>
                              <w:txbxContent>
                                <w:p w14:paraId="122CD1CD" w14:textId="63E351A6" w:rsidR="0079783A" w:rsidRPr="001B3E1E" w:rsidRDefault="0079783A" w:rsidP="006D0892">
                                  <w:pPr>
                                    <w:spacing w:line="204" w:lineRule="auto"/>
                                    <w:jc w:val="center"/>
                                    <w:rPr>
                                      <w:rFonts w:cs="Arial"/>
                                      <w:b/>
                                      <w:bCs/>
                                      <w:color w:val="FFFFFF"/>
                                    </w:rPr>
                                  </w:pPr>
                                  <w:r w:rsidRPr="001B3E1E">
                                    <w:rPr>
                                      <w:b/>
                                      <w:bCs/>
                                      <w:color w:val="FFFFFF"/>
                                    </w:rPr>
                                    <w:t>2</w:t>
                                  </w:r>
                                  <w:r w:rsidRPr="001B3E1E">
                                    <w:rPr>
                                      <w:b/>
                                      <w:bCs/>
                                      <w:color w:val="FFFFFF"/>
                                      <w:vertAlign w:val="superscript"/>
                                    </w:rPr>
                                    <w:t>e</w:t>
                                  </w:r>
                                  <w:r w:rsidRPr="001B3E1E">
                                    <w:rPr>
                                      <w:b/>
                                      <w:bCs/>
                                      <w:color w:val="FFFFFF"/>
                                    </w:rPr>
                                    <w:t xml:space="preserve"> klik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432DB" id="Text Box 9" o:spid="_x0000_s1079" type="#_x0000_t202" style="position:absolute;left:0;text-align:left;margin-left:15.8pt;margin-top:-136.85pt;width:48.9pt;height:14.25pt;z-index:251658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wO58wEAAMQDAAAOAAAAZHJzL2Uyb0RvYy54bWysU9tu2zAMfR+wfxD0vthJka41ohRduw4D&#10;ugvQ7QMYWY6FSaImKbGzrx8lJ2mxvQ3zg0Cb5iHP4dHqZrSG7VWIGp3g81nNmXISW+22gn//9vDm&#10;irOYwLVg0CnBDyrym/XrV6vBN2qBPZpWBUYgLjaDF7xPyTdVFWWvLMQZeuUo2WGwkOg1bKs2wEDo&#10;1lSLur6sBgytDyhVjPT1fkrydcHvOiXTl66LKjEjOM2WyhnKuclntV5Bsw3gey2PY8A/TGFBO2p6&#10;hrqHBGwX9F9QVsuAEbs0k2gr7DotVeFAbOb1H2yeevCqcCFxoj/LFP8frPy8f/JfA0vjOxxpgYVE&#10;9I8of0Tm8K4Ht1W3IeDQK2ip8TxLVg0+NsfSLHVsYgbZDJ+wpSXDLmEBGrtgsyrEkxE6LeBwFl2N&#10;iUn6eLmY1xeUkZSaX9XXb5elAzSnYh9i+qDQshwIHminBRz2jzHlYaA5/ZJ7OXzQxpS9GscGwa+X&#10;i2UpeJGxOpHtjLaCX9X5mYyQOb53bSlOoM0UUwPjjqQzz4lxGjcj063gy4tcnEXYYHsgGQJONqNr&#10;QUGP4RdnA1lM8PhzB0FxZj46kjL78RSEU7A5BeAklQqeOJvCu1R8O3G8JYk7Xeg/dz7OSFYpqhxt&#10;nb348r389Xz51r8BAAD//wMAUEsDBBQABgAIAAAAIQBQ9edJ4QAAAAwBAAAPAAAAZHJzL2Rvd25y&#10;ZXYueG1sTI/BTsMwDIbvSLxDZCRuW7pudFtpOk0ITkiIrhx2TBuvjdY4pcm28vakJzja/vT7+7Pd&#10;aDp2xcFpSwIW8wgYUm2VpkbAV/k22wBzXpKSnSUU8IMOdvn9XSZTZW9U4PXgGxZCyKVSQOt9n3Lu&#10;6haNdHPbI4XbyQ5G+jAODVeDvIVw0/E4ihJupKbwoZU9vrRYnw8XI2B/pOJVf39Un8Wp0GW5jeg9&#10;OQvx+DDun4F5HP0fDJN+UIc8OFX2QsqxTsBykQRSwCxeL9fAJiLeroBV02r1FAPPM/6/RP4LAAD/&#10;/wMAUEsBAi0AFAAGAAgAAAAhALaDOJL+AAAA4QEAABMAAAAAAAAAAAAAAAAAAAAAAFtDb250ZW50&#10;X1R5cGVzXS54bWxQSwECLQAUAAYACAAAACEAOP0h/9YAAACUAQAACwAAAAAAAAAAAAAAAAAvAQAA&#10;X3JlbHMvLnJlbHNQSwECLQAUAAYACAAAACEAImMDufMBAADEAwAADgAAAAAAAAAAAAAAAAAuAgAA&#10;ZHJzL2Uyb0RvYy54bWxQSwECLQAUAAYACAAAACEAUPXnSeEAAAAMAQAADwAAAAAAAAAAAAAAAABN&#10;BAAAZHJzL2Rvd25yZXYueG1sUEsFBgAAAAAEAAQA8wAAAFsFAAAAAA==&#10;" filled="f" stroked="f">
                      <v:textbox inset="0,0,0,0">
                        <w:txbxContent>
                          <w:p w14:paraId="122CD1CD" w14:textId="63E351A6" w:rsidR="0079783A" w:rsidRPr="001B3E1E" w:rsidRDefault="0079783A" w:rsidP="006D0892">
                            <w:pPr>
                              <w:spacing w:line="204" w:lineRule="auto"/>
                              <w:jc w:val="center"/>
                              <w:rPr>
                                <w:rFonts w:cs="Arial"/>
                                <w:b/>
                                <w:bCs/>
                                <w:color w:val="FFFFFF"/>
                              </w:rPr>
                            </w:pPr>
                            <w:r w:rsidRPr="001B3E1E">
                              <w:rPr>
                                <w:b/>
                                <w:bCs/>
                                <w:color w:val="FFFFFF"/>
                              </w:rPr>
                              <w:t>2</w:t>
                            </w:r>
                            <w:r w:rsidRPr="001B3E1E">
                              <w:rPr>
                                <w:b/>
                                <w:bCs/>
                                <w:color w:val="FFFFFF"/>
                                <w:vertAlign w:val="superscript"/>
                              </w:rPr>
                              <w:t>e</w:t>
                            </w:r>
                            <w:r w:rsidRPr="001B3E1E">
                              <w:rPr>
                                <w:b/>
                                <w:bCs/>
                                <w:color w:val="FFFFFF"/>
                              </w:rPr>
                              <w:t xml:space="preserve"> klik</w:t>
                            </w:r>
                          </w:p>
                        </w:txbxContent>
                      </v:textbox>
                      <w10:anchorlock/>
                    </v:shape>
                  </w:pict>
                </mc:Fallback>
              </mc:AlternateContent>
            </w:r>
            <w:r w:rsidR="0079783A" w:rsidRPr="00330234">
              <w:rPr>
                <w:b/>
              </w:rPr>
              <w:t>Figuur M</w:t>
            </w:r>
          </w:p>
        </w:tc>
        <w:tc>
          <w:tcPr>
            <w:tcW w:w="5517" w:type="dxa"/>
          </w:tcPr>
          <w:p w14:paraId="0B47B940" w14:textId="77777777" w:rsidR="0079783A" w:rsidRPr="00330234" w:rsidRDefault="0079783A" w:rsidP="003D4DD5">
            <w:pPr>
              <w:pStyle w:val="a3"/>
              <w:numPr>
                <w:ilvl w:val="0"/>
                <w:numId w:val="67"/>
              </w:numPr>
              <w:tabs>
                <w:tab w:val="left" w:pos="567"/>
              </w:tabs>
              <w:autoSpaceDE/>
              <w:autoSpaceDN/>
              <w:ind w:left="567" w:hanging="567"/>
              <w:rPr>
                <w:b/>
              </w:rPr>
            </w:pPr>
            <w:r w:rsidRPr="00330234">
              <w:rPr>
                <w:b/>
              </w:rPr>
              <w:t>Dien de injectie toe.</w:t>
            </w:r>
          </w:p>
          <w:p w14:paraId="599A8DA9" w14:textId="77777777" w:rsidR="0079783A" w:rsidRPr="00330234" w:rsidRDefault="0079783A" w:rsidP="003D4DD5">
            <w:pPr>
              <w:pStyle w:val="a3"/>
              <w:tabs>
                <w:tab w:val="left" w:pos="567"/>
              </w:tabs>
              <w:ind w:left="567" w:hanging="567"/>
              <w:rPr>
                <w:bCs/>
              </w:rPr>
            </w:pPr>
          </w:p>
          <w:p w14:paraId="19397C31" w14:textId="77777777" w:rsidR="0079783A" w:rsidRPr="00330234" w:rsidRDefault="0079783A" w:rsidP="003D4DD5">
            <w:pPr>
              <w:pStyle w:val="a3"/>
              <w:numPr>
                <w:ilvl w:val="0"/>
                <w:numId w:val="71"/>
              </w:numPr>
              <w:tabs>
                <w:tab w:val="left" w:pos="567"/>
              </w:tabs>
              <w:autoSpaceDE/>
              <w:autoSpaceDN/>
              <w:ind w:left="567" w:hanging="567"/>
              <w:rPr>
                <w:bCs/>
              </w:rPr>
            </w:pPr>
            <w:r w:rsidRPr="00330234">
              <w:t>Druk de voorgevulde pen stevig in de huid om met de injectie te beginnen.</w:t>
            </w:r>
          </w:p>
          <w:p w14:paraId="4D5E1793" w14:textId="77777777" w:rsidR="0079783A" w:rsidRPr="00330234" w:rsidRDefault="0079783A" w:rsidP="003D4DD5">
            <w:pPr>
              <w:pStyle w:val="a3"/>
              <w:numPr>
                <w:ilvl w:val="0"/>
                <w:numId w:val="71"/>
              </w:numPr>
              <w:tabs>
                <w:tab w:val="left" w:pos="567"/>
              </w:tabs>
              <w:autoSpaceDE/>
              <w:autoSpaceDN/>
              <w:ind w:left="567" w:hanging="567"/>
              <w:rPr>
                <w:bCs/>
              </w:rPr>
            </w:pPr>
            <w:r w:rsidRPr="00330234">
              <w:t>Wanneer de injectie begint, hoort u de 1</w:t>
            </w:r>
            <w:r w:rsidRPr="00330234">
              <w:rPr>
                <w:vertAlign w:val="superscript"/>
              </w:rPr>
              <w:t>e</w:t>
            </w:r>
            <w:r w:rsidRPr="00330234">
              <w:t xml:space="preserve"> “klik” en de oranje indicator begint het venster te vullen (zie </w:t>
            </w:r>
            <w:r w:rsidRPr="00330234">
              <w:rPr>
                <w:b/>
              </w:rPr>
              <w:t>figuur M</w:t>
            </w:r>
            <w:r w:rsidRPr="00330234">
              <w:t>).</w:t>
            </w:r>
          </w:p>
          <w:p w14:paraId="2DBB4FF3" w14:textId="77777777" w:rsidR="0079783A" w:rsidRPr="00330234" w:rsidRDefault="0079783A" w:rsidP="003D4DD5">
            <w:pPr>
              <w:pStyle w:val="a3"/>
              <w:numPr>
                <w:ilvl w:val="0"/>
                <w:numId w:val="71"/>
              </w:numPr>
              <w:tabs>
                <w:tab w:val="left" w:pos="567"/>
              </w:tabs>
              <w:autoSpaceDE/>
              <w:autoSpaceDN/>
              <w:ind w:left="567" w:hanging="567"/>
              <w:rPr>
                <w:bCs/>
              </w:rPr>
            </w:pPr>
            <w:r w:rsidRPr="00330234">
              <w:rPr>
                <w:color w:val="231F20"/>
              </w:rPr>
              <w:t>Houd de voorgevulde pen stevig tegen de huid en luister of u de 2</w:t>
            </w:r>
            <w:r w:rsidRPr="00330234">
              <w:rPr>
                <w:color w:val="231F20"/>
                <w:vertAlign w:val="superscript"/>
              </w:rPr>
              <w:t>e</w:t>
            </w:r>
            <w:r w:rsidRPr="00330234">
              <w:rPr>
                <w:color w:val="231F20"/>
              </w:rPr>
              <w:t> “klik” hoort.</w:t>
            </w:r>
          </w:p>
          <w:p w14:paraId="05F6E630" w14:textId="77777777" w:rsidR="0079783A" w:rsidRPr="00330234" w:rsidRDefault="0079783A" w:rsidP="003D4DD5">
            <w:pPr>
              <w:pStyle w:val="a3"/>
              <w:numPr>
                <w:ilvl w:val="0"/>
                <w:numId w:val="71"/>
              </w:numPr>
              <w:tabs>
                <w:tab w:val="left" w:pos="567"/>
              </w:tabs>
              <w:autoSpaceDE/>
              <w:autoSpaceDN/>
              <w:ind w:left="567" w:hanging="567"/>
              <w:rPr>
                <w:bCs/>
              </w:rPr>
            </w:pPr>
            <w:r w:rsidRPr="00330234">
              <w:rPr>
                <w:color w:val="231F20"/>
              </w:rPr>
              <w:t>Nadat u de 2</w:t>
            </w:r>
            <w:r w:rsidRPr="00330234">
              <w:rPr>
                <w:color w:val="231F20"/>
                <w:vertAlign w:val="superscript"/>
              </w:rPr>
              <w:t>e</w:t>
            </w:r>
            <w:r w:rsidRPr="00330234">
              <w:rPr>
                <w:color w:val="231F20"/>
              </w:rPr>
              <w:t xml:space="preserve"> “klik” hoort, houdt u de voorgevulde pen stevig tegen de huid en </w:t>
            </w:r>
            <w:r w:rsidRPr="00330234">
              <w:rPr>
                <w:b/>
                <w:color w:val="231F20"/>
              </w:rPr>
              <w:t>telt u langzaam tot 5</w:t>
            </w:r>
            <w:r w:rsidRPr="00330234">
              <w:rPr>
                <w:color w:val="231F20"/>
              </w:rPr>
              <w:t xml:space="preserve"> om er zeker van te zijn dat u de volledige dosis injecteert (zie</w:t>
            </w:r>
            <w:r w:rsidRPr="00330234">
              <w:t xml:space="preserve"> </w:t>
            </w:r>
            <w:r w:rsidRPr="00330234">
              <w:rPr>
                <w:b/>
              </w:rPr>
              <w:t>figuur M</w:t>
            </w:r>
            <w:r w:rsidRPr="00330234">
              <w:t>).</w:t>
            </w:r>
          </w:p>
          <w:p w14:paraId="6BE968CC" w14:textId="039FA76B" w:rsidR="0079783A" w:rsidRPr="00844AE0" w:rsidRDefault="0079783A" w:rsidP="003D4DD5">
            <w:pPr>
              <w:pStyle w:val="a3"/>
              <w:numPr>
                <w:ilvl w:val="0"/>
                <w:numId w:val="71"/>
              </w:numPr>
              <w:tabs>
                <w:tab w:val="left" w:pos="567"/>
              </w:tabs>
              <w:autoSpaceDE/>
              <w:autoSpaceDN/>
              <w:ind w:left="567" w:hanging="567"/>
              <w:rPr>
                <w:bCs/>
              </w:rPr>
            </w:pPr>
            <w:r w:rsidRPr="00330234">
              <w:rPr>
                <w:color w:val="231F20"/>
              </w:rPr>
              <w:t>Kijk naar de oranje indicator totdat deze niet meer beweegt en het einde van het venster heeft bereikt</w:t>
            </w:r>
            <w:r w:rsidR="00F95BC0" w:rsidRPr="00330234">
              <w:rPr>
                <w:color w:val="231F20"/>
              </w:rPr>
              <w:t>,</w:t>
            </w:r>
            <w:r w:rsidRPr="00330234">
              <w:rPr>
                <w:color w:val="231F20"/>
              </w:rPr>
              <w:t xml:space="preserve"> om er zeker van te zijn dat de volledige dosis van het geneesmiddel is geïnjecteerd.</w:t>
            </w:r>
          </w:p>
          <w:p w14:paraId="002E0CF9" w14:textId="30B4CC86" w:rsidR="007408C4" w:rsidRPr="00330234" w:rsidRDefault="007408C4" w:rsidP="00844AE0">
            <w:pPr>
              <w:pStyle w:val="a3"/>
              <w:tabs>
                <w:tab w:val="left" w:pos="567"/>
              </w:tabs>
              <w:autoSpaceDE/>
              <w:autoSpaceDN/>
              <w:ind w:left="567"/>
              <w:rPr>
                <w:bCs/>
              </w:rPr>
            </w:pPr>
            <w:r w:rsidRPr="00844AE0">
              <w:rPr>
                <w:bCs/>
                <w:i/>
                <w:iCs/>
              </w:rPr>
              <w:t>Opmerking</w:t>
            </w:r>
            <w:r>
              <w:rPr>
                <w:bCs/>
              </w:rPr>
              <w:t xml:space="preserve">: </w:t>
            </w:r>
            <w:r w:rsidR="00844AE0">
              <w:rPr>
                <w:bCs/>
              </w:rPr>
              <w:t>als de oranje indicator niet beweegt, gooi de voorgevulde pen dan weg en gebruik een nieuwe pen.</w:t>
            </w:r>
          </w:p>
          <w:p w14:paraId="74663E23" w14:textId="77777777" w:rsidR="0079783A" w:rsidRPr="00330234" w:rsidRDefault="0079783A" w:rsidP="003E2554"/>
        </w:tc>
      </w:tr>
      <w:tr w:rsidR="00A358A8" w:rsidRPr="00330234" w14:paraId="54D39861" w14:textId="77777777">
        <w:trPr>
          <w:cantSplit/>
        </w:trPr>
        <w:tc>
          <w:tcPr>
            <w:tcW w:w="3539" w:type="dxa"/>
          </w:tcPr>
          <w:p w14:paraId="4525DEBE" w14:textId="499A80F7" w:rsidR="0079783A" w:rsidRPr="00330234" w:rsidRDefault="00315255">
            <w:pPr>
              <w:suppressAutoHyphens/>
              <w:jc w:val="right"/>
              <w:rPr>
                <w:b/>
                <w:bCs/>
              </w:rPr>
            </w:pPr>
            <w:r>
              <w:rPr>
                <w:noProof/>
                <w:lang w:val="en-US" w:eastAsia="ko-KR"/>
              </w:rPr>
              <w:drawing>
                <wp:inline distT="0" distB="0" distL="0" distR="0" wp14:anchorId="25AB2F91" wp14:editId="6177BD00">
                  <wp:extent cx="2062480" cy="2562225"/>
                  <wp:effectExtent l="19050" t="19050" r="0" b="9525"/>
                  <wp:docPr id="34" name="그림 219393715" descr="스케치, 클립아트, 그림,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19393715" descr="스케치, 클립아트, 그림, 라인 아트이(가) 표시된 사진&#10;&#10;자동 생성된 설명"/>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62480" cy="2562225"/>
                          </a:xfrm>
                          <a:prstGeom prst="rect">
                            <a:avLst/>
                          </a:prstGeom>
                          <a:noFill/>
                          <a:ln w="9525" cmpd="sng">
                            <a:solidFill>
                              <a:srgbClr val="000000"/>
                            </a:solidFill>
                            <a:miter lim="800000"/>
                            <a:headEnd/>
                            <a:tailEnd/>
                          </a:ln>
                          <a:effectLst/>
                        </pic:spPr>
                      </pic:pic>
                    </a:graphicData>
                  </a:graphic>
                </wp:inline>
              </w:drawing>
            </w:r>
          </w:p>
          <w:p w14:paraId="58DEFCAF" w14:textId="77777777" w:rsidR="0079783A" w:rsidRPr="00330234" w:rsidRDefault="0079783A">
            <w:pPr>
              <w:suppressAutoHyphens/>
              <w:jc w:val="right"/>
              <w:rPr>
                <w:b/>
                <w:bCs/>
              </w:rPr>
            </w:pPr>
            <w:r w:rsidRPr="00330234">
              <w:rPr>
                <w:b/>
              </w:rPr>
              <w:t>Figuur N</w:t>
            </w:r>
          </w:p>
        </w:tc>
        <w:tc>
          <w:tcPr>
            <w:tcW w:w="5517" w:type="dxa"/>
          </w:tcPr>
          <w:p w14:paraId="7D90A15C" w14:textId="77777777" w:rsidR="0079783A" w:rsidRPr="00330234" w:rsidRDefault="0079783A" w:rsidP="003D4DD5">
            <w:pPr>
              <w:pStyle w:val="a3"/>
              <w:numPr>
                <w:ilvl w:val="0"/>
                <w:numId w:val="67"/>
              </w:numPr>
              <w:tabs>
                <w:tab w:val="left" w:pos="567"/>
              </w:tabs>
              <w:autoSpaceDE/>
              <w:autoSpaceDN/>
              <w:ind w:left="567" w:hanging="567"/>
              <w:rPr>
                <w:b/>
              </w:rPr>
            </w:pPr>
            <w:r w:rsidRPr="00330234">
              <w:rPr>
                <w:b/>
              </w:rPr>
              <w:t>Haal de voorgevulde pen uit de injectieplaats.</w:t>
            </w:r>
          </w:p>
          <w:p w14:paraId="308B33D2" w14:textId="77777777" w:rsidR="0079783A" w:rsidRPr="00330234" w:rsidRDefault="0079783A" w:rsidP="003D4DD5">
            <w:pPr>
              <w:pStyle w:val="Default"/>
              <w:widowControl w:val="0"/>
              <w:tabs>
                <w:tab w:val="left" w:pos="567"/>
              </w:tabs>
              <w:ind w:left="567" w:hanging="567"/>
              <w:rPr>
                <w:rFonts w:eastAsia="새굴림"/>
                <w:sz w:val="22"/>
                <w:szCs w:val="22"/>
                <w:lang w:val="nl-NL"/>
              </w:rPr>
            </w:pPr>
          </w:p>
          <w:p w14:paraId="674FBA41" w14:textId="77777777" w:rsidR="0079783A" w:rsidRPr="00330234" w:rsidRDefault="0079783A" w:rsidP="003D4DD5">
            <w:pPr>
              <w:pStyle w:val="a3"/>
              <w:numPr>
                <w:ilvl w:val="0"/>
                <w:numId w:val="70"/>
              </w:numPr>
              <w:tabs>
                <w:tab w:val="left" w:pos="567"/>
              </w:tabs>
              <w:autoSpaceDE/>
              <w:autoSpaceDN/>
              <w:ind w:left="567" w:hanging="567"/>
              <w:rPr>
                <w:bCs/>
              </w:rPr>
            </w:pPr>
            <w:r w:rsidRPr="00330234">
              <w:t>Wanneer de oranje indicator niet meer beweegt, trekt u de voorgevulde pen recht omhoog uit de injectieplaats (onder een hoek van 90 graden) om de naald uit de huid te verwijderen.</w:t>
            </w:r>
          </w:p>
          <w:p w14:paraId="78A94DF0" w14:textId="77777777" w:rsidR="0079783A" w:rsidRPr="00330234" w:rsidRDefault="0079783A" w:rsidP="003D4DD5">
            <w:pPr>
              <w:pStyle w:val="a3"/>
              <w:numPr>
                <w:ilvl w:val="0"/>
                <w:numId w:val="37"/>
              </w:numPr>
              <w:tabs>
                <w:tab w:val="left" w:pos="1134"/>
              </w:tabs>
              <w:autoSpaceDE/>
              <w:autoSpaceDN/>
              <w:ind w:left="1134" w:hanging="567"/>
            </w:pPr>
            <w:r w:rsidRPr="00330234">
              <w:t xml:space="preserve">De naalddop komt dan automatisch naar buiten en gaat op slot waardoor de naald afgeschermd wordt (zie </w:t>
            </w:r>
            <w:r w:rsidRPr="00330234">
              <w:rPr>
                <w:b/>
              </w:rPr>
              <w:t>Figuur N</w:t>
            </w:r>
            <w:r w:rsidRPr="00330234">
              <w:t>).</w:t>
            </w:r>
          </w:p>
          <w:p w14:paraId="121FF9D5" w14:textId="60F19064" w:rsidR="0079783A" w:rsidRPr="00330234" w:rsidRDefault="0079783A">
            <w:pPr>
              <w:pStyle w:val="a3"/>
              <w:ind w:left="567"/>
              <w:rPr>
                <w:bCs/>
              </w:rPr>
            </w:pPr>
            <w:r w:rsidRPr="00330234">
              <w:rPr>
                <w:i/>
                <w:iCs/>
              </w:rPr>
              <w:t>Opmerking</w:t>
            </w:r>
            <w:r w:rsidRPr="00330234">
              <w:t xml:space="preserve">: </w:t>
            </w:r>
            <w:r w:rsidR="00592E0A" w:rsidRPr="00330234">
              <w:t>a</w:t>
            </w:r>
            <w:r w:rsidRPr="00330234">
              <w:t>ls het venster niet volledig oranje is geworden of als het geneesmiddel nog steeds injecteert, betekent dit dat u geen volledige dosis heeft gekregen. Doe de voorgevulde pen voorzichtig in de naaldencontainer en neem onmiddellijk contact op met uw zorgverlener.</w:t>
            </w:r>
          </w:p>
          <w:p w14:paraId="6FC02DC7" w14:textId="77777777" w:rsidR="0079783A" w:rsidRPr="00330234" w:rsidRDefault="0079783A">
            <w:pPr>
              <w:pStyle w:val="a3"/>
              <w:ind w:left="567" w:hanging="567"/>
            </w:pPr>
          </w:p>
          <w:p w14:paraId="3AA91D7C" w14:textId="77777777" w:rsidR="0079783A" w:rsidRPr="00330234" w:rsidRDefault="0079783A" w:rsidP="003D4DD5">
            <w:pPr>
              <w:pStyle w:val="a3"/>
              <w:numPr>
                <w:ilvl w:val="0"/>
                <w:numId w:val="37"/>
              </w:numPr>
              <w:tabs>
                <w:tab w:val="left" w:pos="1134"/>
              </w:tabs>
              <w:autoSpaceDE/>
              <w:autoSpaceDN/>
              <w:ind w:left="1134" w:hanging="567"/>
              <w:rPr>
                <w:bCs/>
              </w:rPr>
            </w:pPr>
            <w:r w:rsidRPr="00330234">
              <w:t xml:space="preserve">Raak de naalddop van de voorgevulde pen </w:t>
            </w:r>
            <w:r w:rsidRPr="00330234">
              <w:rPr>
                <w:b/>
                <w:bCs/>
              </w:rPr>
              <w:t>niet</w:t>
            </w:r>
            <w:r w:rsidRPr="00330234">
              <w:t xml:space="preserve"> aan.</w:t>
            </w:r>
          </w:p>
          <w:p w14:paraId="04DCF0FF" w14:textId="77777777" w:rsidR="0079783A" w:rsidRPr="00330234" w:rsidRDefault="0079783A" w:rsidP="003D4DD5">
            <w:pPr>
              <w:pStyle w:val="a3"/>
              <w:numPr>
                <w:ilvl w:val="0"/>
                <w:numId w:val="37"/>
              </w:numPr>
              <w:tabs>
                <w:tab w:val="left" w:pos="1134"/>
              </w:tabs>
              <w:autoSpaceDE/>
              <w:autoSpaceDN/>
              <w:ind w:left="1134" w:hanging="567"/>
              <w:rPr>
                <w:bCs/>
              </w:rPr>
            </w:pPr>
            <w:r w:rsidRPr="00330234">
              <w:t xml:space="preserve">Probeer de voorgevulde pen </w:t>
            </w:r>
            <w:r w:rsidRPr="00330234">
              <w:rPr>
                <w:b/>
                <w:bCs/>
              </w:rPr>
              <w:t>niet</w:t>
            </w:r>
            <w:r w:rsidRPr="00330234">
              <w:t xml:space="preserve"> nogmaals te gebruiken.</w:t>
            </w:r>
          </w:p>
          <w:p w14:paraId="2B161D09" w14:textId="77777777" w:rsidR="0079783A" w:rsidRPr="00330234" w:rsidRDefault="0079783A" w:rsidP="003D4DD5">
            <w:pPr>
              <w:pStyle w:val="a3"/>
              <w:numPr>
                <w:ilvl w:val="0"/>
                <w:numId w:val="37"/>
              </w:numPr>
              <w:tabs>
                <w:tab w:val="left" w:pos="1134"/>
              </w:tabs>
              <w:autoSpaceDE/>
              <w:autoSpaceDN/>
              <w:ind w:left="1134" w:hanging="567"/>
              <w:rPr>
                <w:b/>
              </w:rPr>
            </w:pPr>
            <w:r w:rsidRPr="00330234">
              <w:t xml:space="preserve">Injecteer </w:t>
            </w:r>
            <w:r w:rsidRPr="00330234">
              <w:rPr>
                <w:b/>
                <w:bCs/>
              </w:rPr>
              <w:t>niet</w:t>
            </w:r>
            <w:r w:rsidRPr="00330234">
              <w:t xml:space="preserve"> nogmaals met een andere voorgevulde pen.</w:t>
            </w:r>
          </w:p>
          <w:p w14:paraId="0A64B72B" w14:textId="77777777" w:rsidR="0079783A" w:rsidRPr="00330234" w:rsidRDefault="0079783A" w:rsidP="003E2554"/>
        </w:tc>
      </w:tr>
    </w:tbl>
    <w:p w14:paraId="54899E13" w14:textId="77777777" w:rsidR="0079783A" w:rsidRPr="00330234" w:rsidRDefault="0079783A" w:rsidP="0079783A"/>
    <w:p w14:paraId="3E821AC4" w14:textId="77777777" w:rsidR="0079783A" w:rsidRPr="00330234" w:rsidRDefault="0079783A" w:rsidP="0079783A">
      <w:pPr>
        <w:keepNext/>
        <w:rPr>
          <w:b/>
          <w:bCs/>
        </w:rPr>
      </w:pPr>
      <w:r w:rsidRPr="00330234">
        <w:rPr>
          <w:b/>
        </w:rPr>
        <w:lastRenderedPageBreak/>
        <w:t>Na de injectie</w:t>
      </w:r>
    </w:p>
    <w:p w14:paraId="20499F35" w14:textId="77777777" w:rsidR="0079783A" w:rsidRPr="00330234" w:rsidRDefault="0079783A" w:rsidP="0079783A">
      <w:pPr>
        <w:keepNex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A358A8" w:rsidRPr="00330234" w14:paraId="57E8F3DC" w14:textId="77777777">
        <w:trPr>
          <w:cantSplit/>
        </w:trPr>
        <w:tc>
          <w:tcPr>
            <w:tcW w:w="9056" w:type="dxa"/>
            <w:gridSpan w:val="2"/>
          </w:tcPr>
          <w:p w14:paraId="436D6B1A" w14:textId="29DBB4C5" w:rsidR="0079783A" w:rsidRPr="00330234" w:rsidRDefault="0066504E" w:rsidP="003D4DD5">
            <w:pPr>
              <w:pStyle w:val="a3"/>
              <w:numPr>
                <w:ilvl w:val="0"/>
                <w:numId w:val="67"/>
              </w:numPr>
              <w:tabs>
                <w:tab w:val="left" w:pos="567"/>
              </w:tabs>
              <w:autoSpaceDE/>
              <w:autoSpaceDN/>
              <w:ind w:left="567" w:hanging="567"/>
              <w:rPr>
                <w:b/>
              </w:rPr>
            </w:pPr>
            <w:r w:rsidRPr="00330234">
              <w:rPr>
                <w:b/>
              </w:rPr>
              <w:t xml:space="preserve">Verzorg de </w:t>
            </w:r>
            <w:r w:rsidR="0079783A" w:rsidRPr="00330234">
              <w:rPr>
                <w:b/>
              </w:rPr>
              <w:t>injectieplaats.</w:t>
            </w:r>
          </w:p>
          <w:p w14:paraId="57B29CC9" w14:textId="77777777" w:rsidR="0079783A" w:rsidRPr="00330234" w:rsidRDefault="0079783A" w:rsidP="003D4DD5">
            <w:pPr>
              <w:pStyle w:val="Default"/>
              <w:widowControl w:val="0"/>
              <w:tabs>
                <w:tab w:val="left" w:pos="567"/>
              </w:tabs>
              <w:ind w:left="567" w:hanging="567"/>
              <w:rPr>
                <w:rFonts w:eastAsia="새굴림"/>
                <w:sz w:val="22"/>
                <w:szCs w:val="22"/>
                <w:lang w:val="nl-NL"/>
              </w:rPr>
            </w:pPr>
          </w:p>
          <w:p w14:paraId="7A35AAC6" w14:textId="21A4707B" w:rsidR="0079783A" w:rsidRPr="00330234" w:rsidRDefault="0079783A" w:rsidP="003D4DD5">
            <w:pPr>
              <w:pStyle w:val="a3"/>
              <w:numPr>
                <w:ilvl w:val="0"/>
                <w:numId w:val="69"/>
              </w:numPr>
              <w:tabs>
                <w:tab w:val="left" w:pos="567"/>
              </w:tabs>
              <w:autoSpaceDE/>
              <w:autoSpaceDN/>
              <w:ind w:left="567" w:hanging="567"/>
              <w:rPr>
                <w:bCs/>
              </w:rPr>
            </w:pPr>
            <w:r w:rsidRPr="00330234">
              <w:t xml:space="preserve">Als er een kleine hoeveelheid bloed aanwezig is, behandel de injectieplaats dan door er voorzichtig </w:t>
            </w:r>
            <w:r w:rsidR="009E254C" w:rsidRPr="00330234">
              <w:t xml:space="preserve">met een watje of gaasje </w:t>
            </w:r>
            <w:r w:rsidRPr="00330234">
              <w:t xml:space="preserve">op te </w:t>
            </w:r>
            <w:r w:rsidR="0066504E" w:rsidRPr="00330234">
              <w:t>drukken, zonder te wrijven</w:t>
            </w:r>
            <w:r w:rsidRPr="00330234">
              <w:t>, en breng indien nodig een pleister aan.</w:t>
            </w:r>
          </w:p>
          <w:p w14:paraId="77E57360" w14:textId="48AA94B9" w:rsidR="0079783A" w:rsidRPr="00330234" w:rsidRDefault="0079783A" w:rsidP="003D4DD5">
            <w:pPr>
              <w:pStyle w:val="a3"/>
              <w:numPr>
                <w:ilvl w:val="0"/>
                <w:numId w:val="37"/>
              </w:numPr>
              <w:tabs>
                <w:tab w:val="left" w:pos="1134"/>
              </w:tabs>
              <w:autoSpaceDE/>
              <w:autoSpaceDN/>
              <w:ind w:left="1134" w:hanging="567"/>
              <w:rPr>
                <w:bCs/>
              </w:rPr>
            </w:pPr>
            <w:r w:rsidRPr="00330234">
              <w:t xml:space="preserve">Wrijf </w:t>
            </w:r>
            <w:r w:rsidRPr="00330234">
              <w:rPr>
                <w:b/>
                <w:bCs/>
              </w:rPr>
              <w:t>niet</w:t>
            </w:r>
            <w:r w:rsidRPr="00330234">
              <w:t xml:space="preserve"> over de injectieplaats</w:t>
            </w:r>
            <w:r w:rsidR="001B6C1C" w:rsidRPr="00330234">
              <w:t>.</w:t>
            </w:r>
          </w:p>
          <w:p w14:paraId="3888170C" w14:textId="77777777" w:rsidR="0079783A" w:rsidRPr="00330234" w:rsidRDefault="0079783A" w:rsidP="003E2554"/>
        </w:tc>
      </w:tr>
      <w:tr w:rsidR="00A358A8" w:rsidRPr="00330234" w14:paraId="04ED6EE8" w14:textId="77777777">
        <w:trPr>
          <w:cantSplit/>
        </w:trPr>
        <w:tc>
          <w:tcPr>
            <w:tcW w:w="3539" w:type="dxa"/>
          </w:tcPr>
          <w:p w14:paraId="1EE02A39" w14:textId="15E6831D" w:rsidR="0079783A" w:rsidRPr="00330234" w:rsidRDefault="00315255">
            <w:pPr>
              <w:suppressAutoHyphens/>
              <w:jc w:val="right"/>
            </w:pPr>
            <w:r>
              <w:rPr>
                <w:noProof/>
                <w:lang w:val="en-US" w:eastAsia="ko-KR"/>
              </w:rPr>
              <w:drawing>
                <wp:inline distT="0" distB="0" distL="0" distR="0" wp14:anchorId="65FDD735" wp14:editId="184B2566">
                  <wp:extent cx="2062480" cy="2552065"/>
                  <wp:effectExtent l="19050" t="19050" r="0" b="635"/>
                  <wp:docPr id="35" name="그림 850045557" descr="스케치, 그림, 사무용품,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50045557" descr="스케치, 그림, 사무용품, 아동 미술이(가) 표시된 사진&#10;&#10;자동 생성된 설명"/>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62480" cy="2552065"/>
                          </a:xfrm>
                          <a:prstGeom prst="rect">
                            <a:avLst/>
                          </a:prstGeom>
                          <a:noFill/>
                          <a:ln w="9525" cmpd="sng">
                            <a:solidFill>
                              <a:srgbClr val="000000"/>
                            </a:solidFill>
                            <a:miter lim="800000"/>
                            <a:headEnd/>
                            <a:tailEnd/>
                          </a:ln>
                          <a:effectLst/>
                        </pic:spPr>
                      </pic:pic>
                    </a:graphicData>
                  </a:graphic>
                </wp:inline>
              </w:drawing>
            </w:r>
          </w:p>
          <w:p w14:paraId="18C08462" w14:textId="2E2E52BA" w:rsidR="0079783A" w:rsidRPr="00330234" w:rsidRDefault="00A23B83">
            <w:pPr>
              <w:suppressAutoHyphens/>
              <w:jc w:val="right"/>
              <w:rPr>
                <w:b/>
                <w:bCs/>
              </w:rPr>
            </w:pPr>
            <w:r w:rsidRPr="00330234">
              <w:rPr>
                <w:b/>
                <w:color w:val="231F20"/>
              </w:rPr>
              <w:t>figuur</w:t>
            </w:r>
            <w:r w:rsidR="0079783A" w:rsidRPr="00330234">
              <w:rPr>
                <w:b/>
              </w:rPr>
              <w:t> O</w:t>
            </w:r>
          </w:p>
        </w:tc>
        <w:tc>
          <w:tcPr>
            <w:tcW w:w="5517" w:type="dxa"/>
          </w:tcPr>
          <w:p w14:paraId="2CA35581" w14:textId="3F333A38" w:rsidR="0079783A" w:rsidRPr="00330234" w:rsidRDefault="0079783A" w:rsidP="003D4DD5">
            <w:pPr>
              <w:pStyle w:val="a3"/>
              <w:numPr>
                <w:ilvl w:val="0"/>
                <w:numId w:val="67"/>
              </w:numPr>
              <w:tabs>
                <w:tab w:val="left" w:pos="567"/>
              </w:tabs>
              <w:autoSpaceDE/>
              <w:autoSpaceDN/>
              <w:ind w:left="567" w:hanging="567"/>
              <w:rPr>
                <w:b/>
              </w:rPr>
            </w:pPr>
            <w:r w:rsidRPr="00330234">
              <w:rPr>
                <w:b/>
              </w:rPr>
              <w:t xml:space="preserve">Gooi </w:t>
            </w:r>
            <w:r w:rsidR="009B5BB9" w:rsidRPr="00330234">
              <w:rPr>
                <w:b/>
              </w:rPr>
              <w:t>de voorgevulde pen</w:t>
            </w:r>
            <w:r w:rsidRPr="00330234">
              <w:rPr>
                <w:b/>
              </w:rPr>
              <w:t xml:space="preserve"> weg.</w:t>
            </w:r>
          </w:p>
          <w:p w14:paraId="11140EA8" w14:textId="77777777" w:rsidR="0079783A" w:rsidRPr="00330234" w:rsidRDefault="0079783A" w:rsidP="003D4DD5">
            <w:pPr>
              <w:pStyle w:val="Default"/>
              <w:widowControl w:val="0"/>
              <w:tabs>
                <w:tab w:val="left" w:pos="567"/>
              </w:tabs>
              <w:ind w:left="567" w:hanging="567"/>
              <w:rPr>
                <w:rFonts w:eastAsia="새굴림"/>
                <w:sz w:val="22"/>
                <w:szCs w:val="22"/>
                <w:lang w:val="nl-NL"/>
              </w:rPr>
            </w:pPr>
          </w:p>
          <w:p w14:paraId="4982FFDF" w14:textId="596E65E2" w:rsidR="0079783A" w:rsidRPr="00330234" w:rsidRDefault="0079783A" w:rsidP="003D4DD5">
            <w:pPr>
              <w:pStyle w:val="a3"/>
              <w:numPr>
                <w:ilvl w:val="0"/>
                <w:numId w:val="68"/>
              </w:numPr>
              <w:tabs>
                <w:tab w:val="left" w:pos="567"/>
              </w:tabs>
              <w:autoSpaceDE/>
              <w:autoSpaceDN/>
              <w:ind w:left="567" w:hanging="567"/>
              <w:rPr>
                <w:bCs/>
              </w:rPr>
            </w:pPr>
            <w:r w:rsidRPr="00330234">
              <w:t xml:space="preserve">Doe de gebruikte voorgevulde pen meteen na gebruik in een naaldencontainer (zie </w:t>
            </w:r>
            <w:r w:rsidR="00A23B83" w:rsidRPr="00330234">
              <w:rPr>
                <w:b/>
                <w:color w:val="231F20"/>
              </w:rPr>
              <w:t>figuur</w:t>
            </w:r>
            <w:r w:rsidRPr="00330234">
              <w:rPr>
                <w:b/>
              </w:rPr>
              <w:t> O</w:t>
            </w:r>
            <w:r w:rsidRPr="00330234">
              <w:t>).</w:t>
            </w:r>
          </w:p>
          <w:p w14:paraId="419EFABC" w14:textId="77777777" w:rsidR="0079783A" w:rsidRPr="00330234" w:rsidRDefault="0079783A">
            <w:pPr>
              <w:pStyle w:val="a3"/>
              <w:ind w:left="567" w:hanging="567"/>
              <w:rPr>
                <w:bCs/>
              </w:rPr>
            </w:pPr>
          </w:p>
          <w:p w14:paraId="0B05C748" w14:textId="13CBF4D9" w:rsidR="0079783A" w:rsidRPr="00330234" w:rsidRDefault="0079783A">
            <w:pPr>
              <w:pStyle w:val="a3"/>
              <w:ind w:left="567"/>
              <w:rPr>
                <w:bCs/>
              </w:rPr>
            </w:pPr>
            <w:r w:rsidRPr="00330234">
              <w:rPr>
                <w:i/>
                <w:iCs/>
              </w:rPr>
              <w:t>Opmerking</w:t>
            </w:r>
            <w:r w:rsidRPr="00330234">
              <w:t xml:space="preserve">: </w:t>
            </w:r>
            <w:r w:rsidR="00592E0A" w:rsidRPr="00330234">
              <w:t>w</w:t>
            </w:r>
            <w:r w:rsidRPr="00330234">
              <w:t>anneer een andere persoon de injectie toedient, moet deze persoon ook voorzichtig zijn bij het verwijderen van de voorgevulde pen en bij het weggooien hiervan om te voorkomen dat de naald verwondingen veroorzaakt en infecties verspreidt.</w:t>
            </w:r>
          </w:p>
          <w:p w14:paraId="77BAC57B" w14:textId="77777777" w:rsidR="0079783A" w:rsidRPr="00330234" w:rsidRDefault="0079783A">
            <w:pPr>
              <w:pStyle w:val="a3"/>
              <w:ind w:left="567" w:hanging="567"/>
              <w:rPr>
                <w:bCs/>
              </w:rPr>
            </w:pPr>
          </w:p>
          <w:p w14:paraId="533705F4" w14:textId="77777777" w:rsidR="0079783A" w:rsidRPr="00330234" w:rsidRDefault="0079783A" w:rsidP="003D4DD5">
            <w:pPr>
              <w:pStyle w:val="a3"/>
              <w:numPr>
                <w:ilvl w:val="0"/>
                <w:numId w:val="37"/>
              </w:numPr>
              <w:tabs>
                <w:tab w:val="left" w:pos="1134"/>
              </w:tabs>
              <w:autoSpaceDE/>
              <w:autoSpaceDN/>
              <w:ind w:left="1134" w:hanging="567"/>
            </w:pPr>
            <w:r w:rsidRPr="00330234">
              <w:t xml:space="preserve">Gebruik de voorgevulde pen </w:t>
            </w:r>
            <w:r w:rsidRPr="00330234">
              <w:rPr>
                <w:b/>
              </w:rPr>
              <w:t>niet</w:t>
            </w:r>
            <w:r w:rsidRPr="00330234">
              <w:t xml:space="preserve"> opnieuw.</w:t>
            </w:r>
          </w:p>
          <w:p w14:paraId="00EC4EAA" w14:textId="77777777" w:rsidR="0079783A" w:rsidRPr="00330234" w:rsidRDefault="0079783A" w:rsidP="003D4DD5">
            <w:pPr>
              <w:pStyle w:val="a3"/>
              <w:numPr>
                <w:ilvl w:val="0"/>
                <w:numId w:val="37"/>
              </w:numPr>
              <w:tabs>
                <w:tab w:val="left" w:pos="1134"/>
              </w:tabs>
              <w:autoSpaceDE/>
              <w:autoSpaceDN/>
              <w:ind w:left="1134" w:hanging="567"/>
            </w:pPr>
            <w:r w:rsidRPr="00330234">
              <w:t xml:space="preserve">Plaats de dop </w:t>
            </w:r>
            <w:r w:rsidRPr="00330234">
              <w:rPr>
                <w:b/>
                <w:bCs/>
              </w:rPr>
              <w:t>niet</w:t>
            </w:r>
            <w:r w:rsidRPr="00330234">
              <w:t xml:space="preserve"> terug op de voorgevulde pen.</w:t>
            </w:r>
          </w:p>
          <w:p w14:paraId="04928E41" w14:textId="77777777" w:rsidR="0079783A" w:rsidRPr="00330234" w:rsidRDefault="0079783A" w:rsidP="003D4DD5">
            <w:pPr>
              <w:pStyle w:val="a3"/>
              <w:numPr>
                <w:ilvl w:val="0"/>
                <w:numId w:val="37"/>
              </w:numPr>
              <w:tabs>
                <w:tab w:val="left" w:pos="1134"/>
              </w:tabs>
              <w:autoSpaceDE/>
              <w:autoSpaceDN/>
              <w:ind w:left="1134" w:hanging="567"/>
            </w:pPr>
            <w:r w:rsidRPr="00330234">
              <w:t xml:space="preserve">Gooi de naaldencontainer </w:t>
            </w:r>
            <w:r w:rsidRPr="00330234">
              <w:rPr>
                <w:b/>
              </w:rPr>
              <w:t>niet</w:t>
            </w:r>
            <w:r w:rsidRPr="00330234">
              <w:t xml:space="preserve"> in de vuilnisbak.</w:t>
            </w:r>
          </w:p>
          <w:p w14:paraId="0567F376" w14:textId="77777777" w:rsidR="0079783A" w:rsidRPr="00330234" w:rsidRDefault="0079783A" w:rsidP="003D4DD5">
            <w:pPr>
              <w:pStyle w:val="a3"/>
              <w:numPr>
                <w:ilvl w:val="0"/>
                <w:numId w:val="37"/>
              </w:numPr>
              <w:tabs>
                <w:tab w:val="left" w:pos="1134"/>
              </w:tabs>
              <w:autoSpaceDE/>
              <w:autoSpaceDN/>
              <w:ind w:left="1134" w:hanging="567"/>
            </w:pPr>
            <w:r w:rsidRPr="00330234">
              <w:t xml:space="preserve">Recycle uw gebruikte naaldencontainer </w:t>
            </w:r>
            <w:r w:rsidRPr="00330234">
              <w:rPr>
                <w:b/>
              </w:rPr>
              <w:t>niet</w:t>
            </w:r>
            <w:r w:rsidRPr="00330234">
              <w:t>.</w:t>
            </w:r>
          </w:p>
          <w:p w14:paraId="7FF3BC67" w14:textId="77777777" w:rsidR="0079783A" w:rsidRPr="00330234" w:rsidRDefault="0079783A" w:rsidP="003D4DD5">
            <w:pPr>
              <w:pStyle w:val="a3"/>
              <w:numPr>
                <w:ilvl w:val="0"/>
                <w:numId w:val="37"/>
              </w:numPr>
              <w:tabs>
                <w:tab w:val="left" w:pos="1134"/>
              </w:tabs>
              <w:autoSpaceDE/>
              <w:autoSpaceDN/>
              <w:ind w:left="1134" w:hanging="567"/>
              <w:rPr>
                <w:bCs/>
              </w:rPr>
            </w:pPr>
            <w:r w:rsidRPr="00330234">
              <w:t>Houd de voorgevulde pen met Avtozma en de naaldencontainer buiten het bereik van kinderen.</w:t>
            </w:r>
          </w:p>
          <w:p w14:paraId="448FC7BC" w14:textId="77777777" w:rsidR="0079783A" w:rsidRPr="00330234" w:rsidRDefault="0079783A" w:rsidP="003D4DD5">
            <w:pPr>
              <w:pStyle w:val="a3"/>
              <w:numPr>
                <w:ilvl w:val="0"/>
                <w:numId w:val="37"/>
              </w:numPr>
              <w:tabs>
                <w:tab w:val="left" w:pos="1134"/>
              </w:tabs>
              <w:autoSpaceDE/>
              <w:autoSpaceDN/>
              <w:ind w:left="1134" w:hanging="567"/>
              <w:rPr>
                <w:bCs/>
              </w:rPr>
            </w:pPr>
            <w:r w:rsidRPr="00330234">
              <w:t>Gooi de volle container weg volgens de aanwijzingen van uw zorgverlener of apotheker. Als u geen naaldencontainer heeft, kunt u een normale container gebruiken die afsluitbaar en lekbestendig is. Al het ongebruikte geneesmiddel of afvalmateriaal dient te worden vernietigd overeenkomstig lokale voorschriften.</w:t>
            </w:r>
          </w:p>
          <w:p w14:paraId="5AEE5987" w14:textId="77777777" w:rsidR="0079783A" w:rsidRPr="00330234" w:rsidRDefault="0079783A" w:rsidP="003E2554"/>
        </w:tc>
      </w:tr>
      <w:tr w:rsidR="00A358A8" w:rsidRPr="00330234" w14:paraId="134875F7" w14:textId="77777777">
        <w:trPr>
          <w:cantSplit/>
        </w:trPr>
        <w:tc>
          <w:tcPr>
            <w:tcW w:w="9056" w:type="dxa"/>
            <w:gridSpan w:val="2"/>
          </w:tcPr>
          <w:p w14:paraId="23C46C1C" w14:textId="77777777" w:rsidR="0079783A" w:rsidRPr="00330234" w:rsidRDefault="0079783A" w:rsidP="003D4DD5">
            <w:pPr>
              <w:pStyle w:val="a3"/>
              <w:numPr>
                <w:ilvl w:val="0"/>
                <w:numId w:val="67"/>
              </w:numPr>
              <w:tabs>
                <w:tab w:val="left" w:pos="567"/>
              </w:tabs>
              <w:autoSpaceDE/>
              <w:autoSpaceDN/>
              <w:ind w:left="567" w:hanging="567"/>
              <w:rPr>
                <w:b/>
              </w:rPr>
            </w:pPr>
            <w:r w:rsidRPr="00330234">
              <w:rPr>
                <w:b/>
              </w:rPr>
              <w:t>Noteer uw injectie.</w:t>
            </w:r>
          </w:p>
          <w:p w14:paraId="41743FFE" w14:textId="77777777" w:rsidR="0079783A" w:rsidRPr="00330234" w:rsidRDefault="0079783A" w:rsidP="003D4DD5">
            <w:pPr>
              <w:pStyle w:val="Default"/>
              <w:widowControl w:val="0"/>
              <w:tabs>
                <w:tab w:val="left" w:pos="567"/>
              </w:tabs>
              <w:ind w:left="567" w:hanging="567"/>
              <w:rPr>
                <w:rFonts w:eastAsia="새굴림"/>
                <w:sz w:val="22"/>
                <w:szCs w:val="22"/>
                <w:lang w:val="nl-NL"/>
              </w:rPr>
            </w:pPr>
          </w:p>
          <w:p w14:paraId="23C7DA9A" w14:textId="77777777" w:rsidR="0079783A" w:rsidRPr="00330234" w:rsidRDefault="0079783A" w:rsidP="003D4DD5">
            <w:pPr>
              <w:pStyle w:val="a3"/>
              <w:numPr>
                <w:ilvl w:val="0"/>
                <w:numId w:val="66"/>
              </w:numPr>
              <w:tabs>
                <w:tab w:val="left" w:pos="567"/>
              </w:tabs>
              <w:autoSpaceDE/>
              <w:autoSpaceDN/>
              <w:ind w:left="567" w:hanging="567"/>
            </w:pPr>
            <w:r w:rsidRPr="00330234">
              <w:t>Schrijf de dag, tijd en het lichaamsdeel op waar u uzelf geïnjecteerd heeft.</w:t>
            </w:r>
          </w:p>
          <w:p w14:paraId="451A0BEE" w14:textId="77777777" w:rsidR="0079783A" w:rsidRPr="00330234" w:rsidRDefault="0079783A" w:rsidP="003E2554"/>
        </w:tc>
      </w:tr>
    </w:tbl>
    <w:p w14:paraId="53A92E29" w14:textId="009DE15C" w:rsidR="00436DAA" w:rsidRPr="00CE6690" w:rsidRDefault="00436DAA" w:rsidP="00A23B83">
      <w:pPr>
        <w:pStyle w:val="a3"/>
        <w:widowControl/>
        <w:ind w:left="0"/>
        <w:rPr>
          <w:bCs/>
        </w:rPr>
      </w:pPr>
    </w:p>
    <w:sectPr w:rsidR="00436DAA" w:rsidRPr="00CE6690" w:rsidSect="00DD3DC6">
      <w:footerReference w:type="default" r:id="rId59"/>
      <w:type w:val="nextColumn"/>
      <w:pgSz w:w="11910" w:h="16850"/>
      <w:pgMar w:top="1134" w:right="1418" w:bottom="1134" w:left="1418" w:header="737" w:footer="737"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B4B44" w14:textId="77777777" w:rsidR="004F52C3" w:rsidRPr="00330234" w:rsidRDefault="004F52C3">
      <w:r w:rsidRPr="00330234">
        <w:separator/>
      </w:r>
    </w:p>
  </w:endnote>
  <w:endnote w:type="continuationSeparator" w:id="0">
    <w:p w14:paraId="32C4B0CE" w14:textId="77777777" w:rsidR="004F52C3" w:rsidRPr="00330234" w:rsidRDefault="004F52C3">
      <w:r w:rsidRPr="00330234">
        <w:continuationSeparator/>
      </w:r>
    </w:p>
  </w:endnote>
  <w:endnote w:type="continuationNotice" w:id="1">
    <w:p w14:paraId="55642F50" w14:textId="77777777" w:rsidR="004F52C3" w:rsidRDefault="004F52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새굴림">
    <w:panose1 w:val="02030600000101010101"/>
    <w:charset w:val="81"/>
    <w:family w:val="roman"/>
    <w:pitch w:val="variable"/>
    <w:sig w:usb0="B00002AF" w:usb1="7B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8FE9D" w14:textId="1693FEC1" w:rsidR="00436DAA" w:rsidRPr="00330234" w:rsidRDefault="00EF55F9" w:rsidP="00EF55F9">
    <w:pPr>
      <w:pStyle w:val="a6"/>
      <w:tabs>
        <w:tab w:val="clear" w:pos="4680"/>
        <w:tab w:val="clear" w:pos="9360"/>
      </w:tabs>
      <w:jc w:val="center"/>
      <w:rPr>
        <w:rFonts w:cs="Arial"/>
        <w:caps/>
      </w:rPr>
    </w:pPr>
    <w:r w:rsidRPr="001B3E1E">
      <w:rPr>
        <w:rFonts w:cs="Arial"/>
        <w:caps/>
      </w:rPr>
      <w:fldChar w:fldCharType="begin"/>
    </w:r>
    <w:r w:rsidRPr="00330234">
      <w:rPr>
        <w:rFonts w:cs="Arial"/>
        <w:caps/>
      </w:rPr>
      <w:instrText xml:space="preserve"> PAGE   \* MERGEFORMAT </w:instrText>
    </w:r>
    <w:r w:rsidRPr="001B3E1E">
      <w:rPr>
        <w:rFonts w:cs="Arial"/>
        <w:caps/>
      </w:rPr>
      <w:fldChar w:fldCharType="separate"/>
    </w:r>
    <w:r w:rsidR="00F321E3">
      <w:rPr>
        <w:rFonts w:cs="Arial"/>
        <w:caps/>
        <w:noProof/>
      </w:rPr>
      <w:t>176</w:t>
    </w:r>
    <w:r w:rsidRPr="001B3E1E">
      <w:rPr>
        <w:rFonts w:cs="Arial"/>
        <w:cap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04393" w14:textId="77777777" w:rsidR="004F52C3" w:rsidRPr="00330234" w:rsidRDefault="004F52C3">
      <w:r w:rsidRPr="00330234">
        <w:separator/>
      </w:r>
    </w:p>
  </w:footnote>
  <w:footnote w:type="continuationSeparator" w:id="0">
    <w:p w14:paraId="2DBD88F2" w14:textId="77777777" w:rsidR="004F52C3" w:rsidRPr="00330234" w:rsidRDefault="004F52C3">
      <w:r w:rsidRPr="00330234">
        <w:continuationSeparator/>
      </w:r>
    </w:p>
  </w:footnote>
  <w:footnote w:type="continuationNotice" w:id="1">
    <w:p w14:paraId="13790674" w14:textId="77777777" w:rsidR="004F52C3" w:rsidRDefault="004F52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047"/>
    <w:multiLevelType w:val="hybridMultilevel"/>
    <w:tmpl w:val="648E0DAA"/>
    <w:lvl w:ilvl="0" w:tplc="9370A906">
      <w:numFmt w:val="bullet"/>
      <w:lvlText w:val=""/>
      <w:lvlJc w:val="left"/>
      <w:pPr>
        <w:ind w:left="1710" w:hanging="356"/>
      </w:pPr>
      <w:rPr>
        <w:rFonts w:ascii="Symbol" w:eastAsia="Symbol" w:hAnsi="Symbol" w:cs="Symbol" w:hint="default"/>
        <w:b w:val="0"/>
        <w:bCs w:val="0"/>
        <w:i w:val="0"/>
        <w:iCs w:val="0"/>
        <w:spacing w:val="0"/>
        <w:w w:val="100"/>
        <w:sz w:val="22"/>
        <w:szCs w:val="22"/>
        <w:lang w:val="nl-NL" w:eastAsia="en-US" w:bidi="ar-SA"/>
      </w:rPr>
    </w:lvl>
    <w:lvl w:ilvl="1" w:tplc="CD1ADBCC">
      <w:numFmt w:val="bullet"/>
      <w:lvlText w:val="•"/>
      <w:lvlJc w:val="left"/>
      <w:pPr>
        <w:ind w:left="2676" w:hanging="356"/>
      </w:pPr>
      <w:rPr>
        <w:rFonts w:hint="default"/>
        <w:lang w:val="nl-NL" w:eastAsia="en-US" w:bidi="ar-SA"/>
      </w:rPr>
    </w:lvl>
    <w:lvl w:ilvl="2" w:tplc="D1FC485C">
      <w:numFmt w:val="bullet"/>
      <w:lvlText w:val="•"/>
      <w:lvlJc w:val="left"/>
      <w:pPr>
        <w:ind w:left="3633" w:hanging="356"/>
      </w:pPr>
      <w:rPr>
        <w:rFonts w:hint="default"/>
        <w:lang w:val="nl-NL" w:eastAsia="en-US" w:bidi="ar-SA"/>
      </w:rPr>
    </w:lvl>
    <w:lvl w:ilvl="3" w:tplc="4FB8B082">
      <w:numFmt w:val="bullet"/>
      <w:lvlText w:val="•"/>
      <w:lvlJc w:val="left"/>
      <w:pPr>
        <w:ind w:left="4589" w:hanging="356"/>
      </w:pPr>
      <w:rPr>
        <w:rFonts w:hint="default"/>
        <w:lang w:val="nl-NL" w:eastAsia="en-US" w:bidi="ar-SA"/>
      </w:rPr>
    </w:lvl>
    <w:lvl w:ilvl="4" w:tplc="DF6CD910">
      <w:numFmt w:val="bullet"/>
      <w:lvlText w:val="•"/>
      <w:lvlJc w:val="left"/>
      <w:pPr>
        <w:ind w:left="5546" w:hanging="356"/>
      </w:pPr>
      <w:rPr>
        <w:rFonts w:hint="default"/>
        <w:lang w:val="nl-NL" w:eastAsia="en-US" w:bidi="ar-SA"/>
      </w:rPr>
    </w:lvl>
    <w:lvl w:ilvl="5" w:tplc="D0200B50">
      <w:numFmt w:val="bullet"/>
      <w:lvlText w:val="•"/>
      <w:lvlJc w:val="left"/>
      <w:pPr>
        <w:ind w:left="6503" w:hanging="356"/>
      </w:pPr>
      <w:rPr>
        <w:rFonts w:hint="default"/>
        <w:lang w:val="nl-NL" w:eastAsia="en-US" w:bidi="ar-SA"/>
      </w:rPr>
    </w:lvl>
    <w:lvl w:ilvl="6" w:tplc="3F7039F2">
      <w:numFmt w:val="bullet"/>
      <w:lvlText w:val="•"/>
      <w:lvlJc w:val="left"/>
      <w:pPr>
        <w:ind w:left="7459" w:hanging="356"/>
      </w:pPr>
      <w:rPr>
        <w:rFonts w:hint="default"/>
        <w:lang w:val="nl-NL" w:eastAsia="en-US" w:bidi="ar-SA"/>
      </w:rPr>
    </w:lvl>
    <w:lvl w:ilvl="7" w:tplc="4528A444">
      <w:numFmt w:val="bullet"/>
      <w:lvlText w:val="•"/>
      <w:lvlJc w:val="left"/>
      <w:pPr>
        <w:ind w:left="8416" w:hanging="356"/>
      </w:pPr>
      <w:rPr>
        <w:rFonts w:hint="default"/>
        <w:lang w:val="nl-NL" w:eastAsia="en-US" w:bidi="ar-SA"/>
      </w:rPr>
    </w:lvl>
    <w:lvl w:ilvl="8" w:tplc="3EF2544C">
      <w:numFmt w:val="bullet"/>
      <w:lvlText w:val="•"/>
      <w:lvlJc w:val="left"/>
      <w:pPr>
        <w:ind w:left="9373" w:hanging="356"/>
      </w:pPr>
      <w:rPr>
        <w:rFonts w:hint="default"/>
        <w:lang w:val="nl-NL" w:eastAsia="en-US" w:bidi="ar-SA"/>
      </w:rPr>
    </w:lvl>
  </w:abstractNum>
  <w:abstractNum w:abstractNumId="1" w15:restartNumberingAfterBreak="0">
    <w:nsid w:val="059A07FE"/>
    <w:multiLevelType w:val="hybridMultilevel"/>
    <w:tmpl w:val="8C644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5CC123A"/>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 w15:restartNumberingAfterBreak="0">
    <w:nsid w:val="08B54059"/>
    <w:multiLevelType w:val="hybridMultilevel"/>
    <w:tmpl w:val="9B3264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117B2A"/>
    <w:multiLevelType w:val="hybridMultilevel"/>
    <w:tmpl w:val="7764A192"/>
    <w:lvl w:ilvl="0" w:tplc="CA90A6D6">
      <w:numFmt w:val="bullet"/>
      <w:lvlText w:val=""/>
      <w:lvlJc w:val="left"/>
      <w:pPr>
        <w:ind w:left="1565" w:hanging="567"/>
      </w:pPr>
      <w:rPr>
        <w:rFonts w:ascii="Symbol" w:eastAsia="Symbol" w:hAnsi="Symbol" w:cs="Symbol" w:hint="default"/>
        <w:b w:val="0"/>
        <w:bCs w:val="0"/>
        <w:i w:val="0"/>
        <w:iCs w:val="0"/>
        <w:spacing w:val="0"/>
        <w:w w:val="100"/>
        <w:sz w:val="22"/>
        <w:szCs w:val="22"/>
        <w:lang w:val="nl-NL" w:eastAsia="en-US" w:bidi="ar-SA"/>
      </w:rPr>
    </w:lvl>
    <w:lvl w:ilvl="1" w:tplc="CB94872A">
      <w:numFmt w:val="bullet"/>
      <w:lvlText w:val="•"/>
      <w:lvlJc w:val="left"/>
      <w:pPr>
        <w:ind w:left="2532" w:hanging="567"/>
      </w:pPr>
      <w:rPr>
        <w:rFonts w:hint="default"/>
        <w:lang w:val="nl-NL" w:eastAsia="en-US" w:bidi="ar-SA"/>
      </w:rPr>
    </w:lvl>
    <w:lvl w:ilvl="2" w:tplc="CC7ADB0E">
      <w:numFmt w:val="bullet"/>
      <w:lvlText w:val="•"/>
      <w:lvlJc w:val="left"/>
      <w:pPr>
        <w:ind w:left="3505" w:hanging="567"/>
      </w:pPr>
      <w:rPr>
        <w:rFonts w:hint="default"/>
        <w:lang w:val="nl-NL" w:eastAsia="en-US" w:bidi="ar-SA"/>
      </w:rPr>
    </w:lvl>
    <w:lvl w:ilvl="3" w:tplc="545A60A2">
      <w:numFmt w:val="bullet"/>
      <w:lvlText w:val="•"/>
      <w:lvlJc w:val="left"/>
      <w:pPr>
        <w:ind w:left="4477" w:hanging="567"/>
      </w:pPr>
      <w:rPr>
        <w:rFonts w:hint="default"/>
        <w:lang w:val="nl-NL" w:eastAsia="en-US" w:bidi="ar-SA"/>
      </w:rPr>
    </w:lvl>
    <w:lvl w:ilvl="4" w:tplc="C5DC0F6C">
      <w:numFmt w:val="bullet"/>
      <w:lvlText w:val="•"/>
      <w:lvlJc w:val="left"/>
      <w:pPr>
        <w:ind w:left="5450" w:hanging="567"/>
      </w:pPr>
      <w:rPr>
        <w:rFonts w:hint="default"/>
        <w:lang w:val="nl-NL" w:eastAsia="en-US" w:bidi="ar-SA"/>
      </w:rPr>
    </w:lvl>
    <w:lvl w:ilvl="5" w:tplc="EC98148E">
      <w:numFmt w:val="bullet"/>
      <w:lvlText w:val="•"/>
      <w:lvlJc w:val="left"/>
      <w:pPr>
        <w:ind w:left="6423" w:hanging="567"/>
      </w:pPr>
      <w:rPr>
        <w:rFonts w:hint="default"/>
        <w:lang w:val="nl-NL" w:eastAsia="en-US" w:bidi="ar-SA"/>
      </w:rPr>
    </w:lvl>
    <w:lvl w:ilvl="6" w:tplc="0900BB34">
      <w:numFmt w:val="bullet"/>
      <w:lvlText w:val="•"/>
      <w:lvlJc w:val="left"/>
      <w:pPr>
        <w:ind w:left="7395" w:hanging="567"/>
      </w:pPr>
      <w:rPr>
        <w:rFonts w:hint="default"/>
        <w:lang w:val="nl-NL" w:eastAsia="en-US" w:bidi="ar-SA"/>
      </w:rPr>
    </w:lvl>
    <w:lvl w:ilvl="7" w:tplc="2C424362">
      <w:numFmt w:val="bullet"/>
      <w:lvlText w:val="•"/>
      <w:lvlJc w:val="left"/>
      <w:pPr>
        <w:ind w:left="8368" w:hanging="567"/>
      </w:pPr>
      <w:rPr>
        <w:rFonts w:hint="default"/>
        <w:lang w:val="nl-NL" w:eastAsia="en-US" w:bidi="ar-SA"/>
      </w:rPr>
    </w:lvl>
    <w:lvl w:ilvl="8" w:tplc="644631CA">
      <w:numFmt w:val="bullet"/>
      <w:lvlText w:val="•"/>
      <w:lvlJc w:val="left"/>
      <w:pPr>
        <w:ind w:left="9341" w:hanging="567"/>
      </w:pPr>
      <w:rPr>
        <w:rFonts w:hint="default"/>
        <w:lang w:val="nl-NL" w:eastAsia="en-US" w:bidi="ar-SA"/>
      </w:rPr>
    </w:lvl>
  </w:abstractNum>
  <w:abstractNum w:abstractNumId="5" w15:restartNumberingAfterBreak="0">
    <w:nsid w:val="09FF1A2B"/>
    <w:multiLevelType w:val="hybridMultilevel"/>
    <w:tmpl w:val="555C4208"/>
    <w:lvl w:ilvl="0" w:tplc="1D0CD3A0">
      <w:start w:val="10"/>
      <w:numFmt w:val="decimal"/>
      <w:lvlText w:val="%1."/>
      <w:lvlJc w:val="left"/>
      <w:pPr>
        <w:ind w:left="471" w:hanging="360"/>
      </w:pPr>
      <w:rPr>
        <w:rFonts w:ascii="Times New Roman" w:hAnsi="Times New Roman" w:cs="Times New Roman" w:hint="default"/>
        <w:b/>
        <w:bCs w:val="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129E7C4D"/>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7" w15:restartNumberingAfterBreak="0">
    <w:nsid w:val="19DB22A8"/>
    <w:multiLevelType w:val="hybridMultilevel"/>
    <w:tmpl w:val="6B229264"/>
    <w:lvl w:ilvl="0" w:tplc="98AEC882">
      <w:start w:val="1"/>
      <w:numFmt w:val="upperLetter"/>
      <w:lvlText w:val="%1."/>
      <w:lvlJc w:val="left"/>
      <w:pPr>
        <w:ind w:left="2699" w:hanging="708"/>
      </w:pPr>
      <w:rPr>
        <w:rFonts w:ascii="Times New Roman" w:eastAsia="Times New Roman" w:hAnsi="Times New Roman" w:cs="Times New Roman" w:hint="default"/>
        <w:b/>
        <w:bCs/>
        <w:i w:val="0"/>
        <w:iCs w:val="0"/>
        <w:spacing w:val="-2"/>
        <w:w w:val="100"/>
        <w:sz w:val="22"/>
        <w:szCs w:val="22"/>
        <w:lang w:val="nl-NL" w:eastAsia="en-US" w:bidi="ar-SA"/>
      </w:rPr>
    </w:lvl>
    <w:lvl w:ilvl="1" w:tplc="BFA0F832">
      <w:numFmt w:val="bullet"/>
      <w:lvlText w:val="•"/>
      <w:lvlJc w:val="left"/>
      <w:pPr>
        <w:ind w:left="3558" w:hanging="708"/>
      </w:pPr>
      <w:rPr>
        <w:rFonts w:hint="default"/>
        <w:lang w:val="nl-NL" w:eastAsia="en-US" w:bidi="ar-SA"/>
      </w:rPr>
    </w:lvl>
    <w:lvl w:ilvl="2" w:tplc="551C713E">
      <w:numFmt w:val="bullet"/>
      <w:lvlText w:val="•"/>
      <w:lvlJc w:val="left"/>
      <w:pPr>
        <w:ind w:left="4417" w:hanging="708"/>
      </w:pPr>
      <w:rPr>
        <w:rFonts w:hint="default"/>
        <w:lang w:val="nl-NL" w:eastAsia="en-US" w:bidi="ar-SA"/>
      </w:rPr>
    </w:lvl>
    <w:lvl w:ilvl="3" w:tplc="B82E3CBA">
      <w:numFmt w:val="bullet"/>
      <w:lvlText w:val="•"/>
      <w:lvlJc w:val="left"/>
      <w:pPr>
        <w:ind w:left="5275" w:hanging="708"/>
      </w:pPr>
      <w:rPr>
        <w:rFonts w:hint="default"/>
        <w:lang w:val="nl-NL" w:eastAsia="en-US" w:bidi="ar-SA"/>
      </w:rPr>
    </w:lvl>
    <w:lvl w:ilvl="4" w:tplc="0E10C2FC">
      <w:numFmt w:val="bullet"/>
      <w:lvlText w:val="•"/>
      <w:lvlJc w:val="left"/>
      <w:pPr>
        <w:ind w:left="6134" w:hanging="708"/>
      </w:pPr>
      <w:rPr>
        <w:rFonts w:hint="default"/>
        <w:lang w:val="nl-NL" w:eastAsia="en-US" w:bidi="ar-SA"/>
      </w:rPr>
    </w:lvl>
    <w:lvl w:ilvl="5" w:tplc="C03C6DE4">
      <w:numFmt w:val="bullet"/>
      <w:lvlText w:val="•"/>
      <w:lvlJc w:val="left"/>
      <w:pPr>
        <w:ind w:left="6993" w:hanging="708"/>
      </w:pPr>
      <w:rPr>
        <w:rFonts w:hint="default"/>
        <w:lang w:val="nl-NL" w:eastAsia="en-US" w:bidi="ar-SA"/>
      </w:rPr>
    </w:lvl>
    <w:lvl w:ilvl="6" w:tplc="2500F20C">
      <w:numFmt w:val="bullet"/>
      <w:lvlText w:val="•"/>
      <w:lvlJc w:val="left"/>
      <w:pPr>
        <w:ind w:left="7851" w:hanging="708"/>
      </w:pPr>
      <w:rPr>
        <w:rFonts w:hint="default"/>
        <w:lang w:val="nl-NL" w:eastAsia="en-US" w:bidi="ar-SA"/>
      </w:rPr>
    </w:lvl>
    <w:lvl w:ilvl="7" w:tplc="7D6C381C">
      <w:numFmt w:val="bullet"/>
      <w:lvlText w:val="•"/>
      <w:lvlJc w:val="left"/>
      <w:pPr>
        <w:ind w:left="8710" w:hanging="708"/>
      </w:pPr>
      <w:rPr>
        <w:rFonts w:hint="default"/>
        <w:lang w:val="nl-NL" w:eastAsia="en-US" w:bidi="ar-SA"/>
      </w:rPr>
    </w:lvl>
    <w:lvl w:ilvl="8" w:tplc="E7D8F07E">
      <w:numFmt w:val="bullet"/>
      <w:lvlText w:val="•"/>
      <w:lvlJc w:val="left"/>
      <w:pPr>
        <w:ind w:left="9569" w:hanging="708"/>
      </w:pPr>
      <w:rPr>
        <w:rFonts w:hint="default"/>
        <w:lang w:val="nl-NL" w:eastAsia="en-US" w:bidi="ar-SA"/>
      </w:rPr>
    </w:lvl>
  </w:abstractNum>
  <w:abstractNum w:abstractNumId="8" w15:restartNumberingAfterBreak="0">
    <w:nsid w:val="1A9E43E6"/>
    <w:multiLevelType w:val="multilevel"/>
    <w:tmpl w:val="22E4FF06"/>
    <w:lvl w:ilvl="0">
      <w:start w:val="1"/>
      <w:numFmt w:val="decimal"/>
      <w:lvlText w:val="%1."/>
      <w:lvlJc w:val="left"/>
      <w:pPr>
        <w:ind w:left="1564" w:hanging="567"/>
      </w:pPr>
      <w:rPr>
        <w:rFonts w:ascii="Times New Roman" w:eastAsia="Times New Roman" w:hAnsi="Times New Roman" w:cs="Times New Roman" w:hint="default"/>
        <w:b/>
        <w:bCs/>
        <w:i w:val="0"/>
        <w:iCs w:val="0"/>
        <w:spacing w:val="0"/>
        <w:w w:val="100"/>
        <w:sz w:val="22"/>
        <w:szCs w:val="22"/>
        <w:lang w:val="nl-NL" w:eastAsia="en-US" w:bidi="ar-SA"/>
      </w:rPr>
    </w:lvl>
    <w:lvl w:ilvl="1">
      <w:start w:val="1"/>
      <w:numFmt w:val="decimal"/>
      <w:lvlText w:val="%1.%2"/>
      <w:lvlJc w:val="left"/>
      <w:pPr>
        <w:ind w:left="1564" w:hanging="567"/>
      </w:pPr>
      <w:rPr>
        <w:rFonts w:ascii="Times New Roman" w:eastAsia="Times New Roman" w:hAnsi="Times New Roman" w:cs="Times New Roman" w:hint="default"/>
        <w:b/>
        <w:bCs/>
        <w:i w:val="0"/>
        <w:iCs w:val="0"/>
        <w:spacing w:val="0"/>
        <w:w w:val="100"/>
        <w:sz w:val="22"/>
        <w:szCs w:val="22"/>
        <w:lang w:val="nl-NL" w:eastAsia="en-US" w:bidi="ar-SA"/>
      </w:rPr>
    </w:lvl>
    <w:lvl w:ilvl="2">
      <w:numFmt w:val="bullet"/>
      <w:lvlText w:val=""/>
      <w:lvlJc w:val="left"/>
      <w:pPr>
        <w:ind w:left="1922" w:hanging="358"/>
      </w:pPr>
      <w:rPr>
        <w:rFonts w:ascii="Symbol" w:eastAsia="Symbol" w:hAnsi="Symbol" w:cs="Symbol" w:hint="default"/>
        <w:b w:val="0"/>
        <w:bCs w:val="0"/>
        <w:i w:val="0"/>
        <w:iCs w:val="0"/>
        <w:spacing w:val="0"/>
        <w:w w:val="100"/>
        <w:sz w:val="22"/>
        <w:szCs w:val="22"/>
        <w:lang w:val="nl-NL" w:eastAsia="en-US" w:bidi="ar-SA"/>
      </w:rPr>
    </w:lvl>
    <w:lvl w:ilvl="3">
      <w:numFmt w:val="bullet"/>
      <w:lvlText w:val="•"/>
      <w:lvlJc w:val="left"/>
      <w:pPr>
        <w:ind w:left="4001" w:hanging="358"/>
      </w:pPr>
      <w:rPr>
        <w:rFonts w:hint="default"/>
        <w:lang w:val="nl-NL" w:eastAsia="en-US" w:bidi="ar-SA"/>
      </w:rPr>
    </w:lvl>
    <w:lvl w:ilvl="4">
      <w:numFmt w:val="bullet"/>
      <w:lvlText w:val="•"/>
      <w:lvlJc w:val="left"/>
      <w:pPr>
        <w:ind w:left="5042" w:hanging="358"/>
      </w:pPr>
      <w:rPr>
        <w:rFonts w:hint="default"/>
        <w:lang w:val="nl-NL" w:eastAsia="en-US" w:bidi="ar-SA"/>
      </w:rPr>
    </w:lvl>
    <w:lvl w:ilvl="5">
      <w:numFmt w:val="bullet"/>
      <w:lvlText w:val="•"/>
      <w:lvlJc w:val="left"/>
      <w:pPr>
        <w:ind w:left="6082" w:hanging="358"/>
      </w:pPr>
      <w:rPr>
        <w:rFonts w:hint="default"/>
        <w:lang w:val="nl-NL" w:eastAsia="en-US" w:bidi="ar-SA"/>
      </w:rPr>
    </w:lvl>
    <w:lvl w:ilvl="6">
      <w:numFmt w:val="bullet"/>
      <w:lvlText w:val="•"/>
      <w:lvlJc w:val="left"/>
      <w:pPr>
        <w:ind w:left="7123" w:hanging="358"/>
      </w:pPr>
      <w:rPr>
        <w:rFonts w:hint="default"/>
        <w:lang w:val="nl-NL" w:eastAsia="en-US" w:bidi="ar-SA"/>
      </w:rPr>
    </w:lvl>
    <w:lvl w:ilvl="7">
      <w:numFmt w:val="bullet"/>
      <w:lvlText w:val="•"/>
      <w:lvlJc w:val="left"/>
      <w:pPr>
        <w:ind w:left="8164" w:hanging="358"/>
      </w:pPr>
      <w:rPr>
        <w:rFonts w:hint="default"/>
        <w:lang w:val="nl-NL" w:eastAsia="en-US" w:bidi="ar-SA"/>
      </w:rPr>
    </w:lvl>
    <w:lvl w:ilvl="8">
      <w:numFmt w:val="bullet"/>
      <w:lvlText w:val="•"/>
      <w:lvlJc w:val="left"/>
      <w:pPr>
        <w:ind w:left="9204" w:hanging="358"/>
      </w:pPr>
      <w:rPr>
        <w:rFonts w:hint="default"/>
        <w:lang w:val="nl-NL" w:eastAsia="en-US" w:bidi="ar-SA"/>
      </w:rPr>
    </w:lvl>
  </w:abstractNum>
  <w:abstractNum w:abstractNumId="9" w15:restartNumberingAfterBreak="0">
    <w:nsid w:val="1AA010B1"/>
    <w:multiLevelType w:val="hybridMultilevel"/>
    <w:tmpl w:val="3998EAAC"/>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315582"/>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1" w15:restartNumberingAfterBreak="0">
    <w:nsid w:val="1EDE55F8"/>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2" w15:restartNumberingAfterBreak="0">
    <w:nsid w:val="1FB33F98"/>
    <w:multiLevelType w:val="hybridMultilevel"/>
    <w:tmpl w:val="ECD691FE"/>
    <w:lvl w:ilvl="0" w:tplc="320EB04A">
      <w:numFmt w:val="bullet"/>
      <w:lvlText w:val=""/>
      <w:lvlJc w:val="left"/>
      <w:pPr>
        <w:ind w:left="1426" w:hanging="428"/>
      </w:pPr>
      <w:rPr>
        <w:rFonts w:ascii="Symbol" w:eastAsia="Symbol" w:hAnsi="Symbol" w:cs="Symbol" w:hint="default"/>
        <w:b w:val="0"/>
        <w:bCs w:val="0"/>
        <w:i w:val="0"/>
        <w:iCs w:val="0"/>
        <w:spacing w:val="0"/>
        <w:w w:val="100"/>
        <w:sz w:val="22"/>
        <w:szCs w:val="22"/>
        <w:lang w:val="nl-NL" w:eastAsia="en-US" w:bidi="ar-SA"/>
      </w:rPr>
    </w:lvl>
    <w:lvl w:ilvl="1" w:tplc="9A066A54">
      <w:numFmt w:val="bullet"/>
      <w:lvlText w:val="•"/>
      <w:lvlJc w:val="left"/>
      <w:pPr>
        <w:ind w:left="2406" w:hanging="428"/>
      </w:pPr>
      <w:rPr>
        <w:rFonts w:hint="default"/>
        <w:lang w:val="nl-NL" w:eastAsia="en-US" w:bidi="ar-SA"/>
      </w:rPr>
    </w:lvl>
    <w:lvl w:ilvl="2" w:tplc="94BA3854">
      <w:numFmt w:val="bullet"/>
      <w:lvlText w:val="•"/>
      <w:lvlJc w:val="left"/>
      <w:pPr>
        <w:ind w:left="3393" w:hanging="428"/>
      </w:pPr>
      <w:rPr>
        <w:rFonts w:hint="default"/>
        <w:lang w:val="nl-NL" w:eastAsia="en-US" w:bidi="ar-SA"/>
      </w:rPr>
    </w:lvl>
    <w:lvl w:ilvl="3" w:tplc="436CD9EA">
      <w:numFmt w:val="bullet"/>
      <w:lvlText w:val="•"/>
      <w:lvlJc w:val="left"/>
      <w:pPr>
        <w:ind w:left="4379" w:hanging="428"/>
      </w:pPr>
      <w:rPr>
        <w:rFonts w:hint="default"/>
        <w:lang w:val="nl-NL" w:eastAsia="en-US" w:bidi="ar-SA"/>
      </w:rPr>
    </w:lvl>
    <w:lvl w:ilvl="4" w:tplc="7056EDC4">
      <w:numFmt w:val="bullet"/>
      <w:lvlText w:val="•"/>
      <w:lvlJc w:val="left"/>
      <w:pPr>
        <w:ind w:left="5366" w:hanging="428"/>
      </w:pPr>
      <w:rPr>
        <w:rFonts w:hint="default"/>
        <w:lang w:val="nl-NL" w:eastAsia="en-US" w:bidi="ar-SA"/>
      </w:rPr>
    </w:lvl>
    <w:lvl w:ilvl="5" w:tplc="14F8DAE6">
      <w:numFmt w:val="bullet"/>
      <w:lvlText w:val="•"/>
      <w:lvlJc w:val="left"/>
      <w:pPr>
        <w:ind w:left="6353" w:hanging="428"/>
      </w:pPr>
      <w:rPr>
        <w:rFonts w:hint="default"/>
        <w:lang w:val="nl-NL" w:eastAsia="en-US" w:bidi="ar-SA"/>
      </w:rPr>
    </w:lvl>
    <w:lvl w:ilvl="6" w:tplc="6254A076">
      <w:numFmt w:val="bullet"/>
      <w:lvlText w:val="•"/>
      <w:lvlJc w:val="left"/>
      <w:pPr>
        <w:ind w:left="7339" w:hanging="428"/>
      </w:pPr>
      <w:rPr>
        <w:rFonts w:hint="default"/>
        <w:lang w:val="nl-NL" w:eastAsia="en-US" w:bidi="ar-SA"/>
      </w:rPr>
    </w:lvl>
    <w:lvl w:ilvl="7" w:tplc="73668814">
      <w:numFmt w:val="bullet"/>
      <w:lvlText w:val="•"/>
      <w:lvlJc w:val="left"/>
      <w:pPr>
        <w:ind w:left="8326" w:hanging="428"/>
      </w:pPr>
      <w:rPr>
        <w:rFonts w:hint="default"/>
        <w:lang w:val="nl-NL" w:eastAsia="en-US" w:bidi="ar-SA"/>
      </w:rPr>
    </w:lvl>
    <w:lvl w:ilvl="8" w:tplc="DB968D6E">
      <w:numFmt w:val="bullet"/>
      <w:lvlText w:val="•"/>
      <w:lvlJc w:val="left"/>
      <w:pPr>
        <w:ind w:left="9313" w:hanging="428"/>
      </w:pPr>
      <w:rPr>
        <w:rFonts w:hint="default"/>
        <w:lang w:val="nl-NL" w:eastAsia="en-US" w:bidi="ar-SA"/>
      </w:rPr>
    </w:lvl>
  </w:abstractNum>
  <w:abstractNum w:abstractNumId="13" w15:restartNumberingAfterBreak="0">
    <w:nsid w:val="1FC16231"/>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4" w15:restartNumberingAfterBreak="0">
    <w:nsid w:val="216018B2"/>
    <w:multiLevelType w:val="hybridMultilevel"/>
    <w:tmpl w:val="2FE830D8"/>
    <w:lvl w:ilvl="0" w:tplc="FFFFFFFF">
      <w:start w:val="1"/>
      <w:numFmt w:val="lowerLetter"/>
      <w:lvlText w:val="%1."/>
      <w:lvlJc w:val="left"/>
      <w:pPr>
        <w:ind w:left="360" w:hanging="360"/>
      </w:pPr>
      <w:rPr>
        <w:rFonts w:ascii="Times New Roman" w:hAnsi="Times New Roman" w:cs="Times New Roman" w:hint="default"/>
        <w:b/>
      </w:rPr>
    </w:lvl>
    <w:lvl w:ilvl="1" w:tplc="FFFFFFFF">
      <w:start w:val="1"/>
      <w:numFmt w:val="upperLetter"/>
      <w:lvlText w:val="%2."/>
      <w:lvlJc w:val="left"/>
      <w:pPr>
        <w:ind w:left="1209" w:hanging="440"/>
      </w:pPr>
    </w:lvl>
    <w:lvl w:ilvl="2" w:tplc="FFFFFFFF" w:tentative="1">
      <w:start w:val="1"/>
      <w:numFmt w:val="lowerRoman"/>
      <w:lvlText w:val="%3."/>
      <w:lvlJc w:val="right"/>
      <w:pPr>
        <w:ind w:left="1649" w:hanging="440"/>
      </w:pPr>
    </w:lvl>
    <w:lvl w:ilvl="3" w:tplc="FFFFFFFF" w:tentative="1">
      <w:start w:val="1"/>
      <w:numFmt w:val="decimal"/>
      <w:lvlText w:val="%4."/>
      <w:lvlJc w:val="left"/>
      <w:pPr>
        <w:ind w:left="2089" w:hanging="440"/>
      </w:pPr>
    </w:lvl>
    <w:lvl w:ilvl="4" w:tplc="FFFFFFFF" w:tentative="1">
      <w:start w:val="1"/>
      <w:numFmt w:val="upperLetter"/>
      <w:lvlText w:val="%5."/>
      <w:lvlJc w:val="left"/>
      <w:pPr>
        <w:ind w:left="2529" w:hanging="440"/>
      </w:pPr>
    </w:lvl>
    <w:lvl w:ilvl="5" w:tplc="FFFFFFFF" w:tentative="1">
      <w:start w:val="1"/>
      <w:numFmt w:val="lowerRoman"/>
      <w:lvlText w:val="%6."/>
      <w:lvlJc w:val="right"/>
      <w:pPr>
        <w:ind w:left="2969" w:hanging="440"/>
      </w:pPr>
    </w:lvl>
    <w:lvl w:ilvl="6" w:tplc="FFFFFFFF" w:tentative="1">
      <w:start w:val="1"/>
      <w:numFmt w:val="decimal"/>
      <w:lvlText w:val="%7."/>
      <w:lvlJc w:val="left"/>
      <w:pPr>
        <w:ind w:left="3409" w:hanging="440"/>
      </w:pPr>
    </w:lvl>
    <w:lvl w:ilvl="7" w:tplc="FFFFFFFF" w:tentative="1">
      <w:start w:val="1"/>
      <w:numFmt w:val="upperLetter"/>
      <w:lvlText w:val="%8."/>
      <w:lvlJc w:val="left"/>
      <w:pPr>
        <w:ind w:left="3849" w:hanging="440"/>
      </w:pPr>
    </w:lvl>
    <w:lvl w:ilvl="8" w:tplc="FFFFFFFF" w:tentative="1">
      <w:start w:val="1"/>
      <w:numFmt w:val="lowerRoman"/>
      <w:lvlText w:val="%9."/>
      <w:lvlJc w:val="right"/>
      <w:pPr>
        <w:ind w:left="4289" w:hanging="440"/>
      </w:pPr>
    </w:lvl>
  </w:abstractNum>
  <w:abstractNum w:abstractNumId="15" w15:restartNumberingAfterBreak="0">
    <w:nsid w:val="22890D80"/>
    <w:multiLevelType w:val="hybridMultilevel"/>
    <w:tmpl w:val="5010DD1E"/>
    <w:lvl w:ilvl="0" w:tplc="4754EF6E">
      <w:numFmt w:val="bullet"/>
      <w:lvlText w:val=""/>
      <w:lvlJc w:val="left"/>
      <w:pPr>
        <w:ind w:left="1564" w:hanging="567"/>
      </w:pPr>
      <w:rPr>
        <w:rFonts w:ascii="Symbol" w:eastAsia="Symbol" w:hAnsi="Symbol" w:cs="Symbol" w:hint="default"/>
        <w:b w:val="0"/>
        <w:bCs w:val="0"/>
        <w:i w:val="0"/>
        <w:iCs w:val="0"/>
        <w:spacing w:val="0"/>
        <w:w w:val="100"/>
        <w:sz w:val="22"/>
        <w:szCs w:val="22"/>
        <w:lang w:val="nl-NL" w:eastAsia="en-US" w:bidi="ar-SA"/>
      </w:rPr>
    </w:lvl>
    <w:lvl w:ilvl="1" w:tplc="FD9283AC">
      <w:numFmt w:val="bullet"/>
      <w:lvlText w:val="•"/>
      <w:lvlJc w:val="left"/>
      <w:pPr>
        <w:ind w:left="2532" w:hanging="567"/>
      </w:pPr>
      <w:rPr>
        <w:rFonts w:hint="default"/>
        <w:lang w:val="nl-NL" w:eastAsia="en-US" w:bidi="ar-SA"/>
      </w:rPr>
    </w:lvl>
    <w:lvl w:ilvl="2" w:tplc="D118FEBC">
      <w:numFmt w:val="bullet"/>
      <w:lvlText w:val="•"/>
      <w:lvlJc w:val="left"/>
      <w:pPr>
        <w:ind w:left="3505" w:hanging="567"/>
      </w:pPr>
      <w:rPr>
        <w:rFonts w:hint="default"/>
        <w:lang w:val="nl-NL" w:eastAsia="en-US" w:bidi="ar-SA"/>
      </w:rPr>
    </w:lvl>
    <w:lvl w:ilvl="3" w:tplc="0FB043AE">
      <w:numFmt w:val="bullet"/>
      <w:lvlText w:val="•"/>
      <w:lvlJc w:val="left"/>
      <w:pPr>
        <w:ind w:left="4477" w:hanging="567"/>
      </w:pPr>
      <w:rPr>
        <w:rFonts w:hint="default"/>
        <w:lang w:val="nl-NL" w:eastAsia="en-US" w:bidi="ar-SA"/>
      </w:rPr>
    </w:lvl>
    <w:lvl w:ilvl="4" w:tplc="D2EE9636">
      <w:numFmt w:val="bullet"/>
      <w:lvlText w:val="•"/>
      <w:lvlJc w:val="left"/>
      <w:pPr>
        <w:ind w:left="5450" w:hanging="567"/>
      </w:pPr>
      <w:rPr>
        <w:rFonts w:hint="default"/>
        <w:lang w:val="nl-NL" w:eastAsia="en-US" w:bidi="ar-SA"/>
      </w:rPr>
    </w:lvl>
    <w:lvl w:ilvl="5" w:tplc="32B6E416">
      <w:numFmt w:val="bullet"/>
      <w:lvlText w:val="•"/>
      <w:lvlJc w:val="left"/>
      <w:pPr>
        <w:ind w:left="6423" w:hanging="567"/>
      </w:pPr>
      <w:rPr>
        <w:rFonts w:hint="default"/>
        <w:lang w:val="nl-NL" w:eastAsia="en-US" w:bidi="ar-SA"/>
      </w:rPr>
    </w:lvl>
    <w:lvl w:ilvl="6" w:tplc="A6A0E930">
      <w:numFmt w:val="bullet"/>
      <w:lvlText w:val="•"/>
      <w:lvlJc w:val="left"/>
      <w:pPr>
        <w:ind w:left="7395" w:hanging="567"/>
      </w:pPr>
      <w:rPr>
        <w:rFonts w:hint="default"/>
        <w:lang w:val="nl-NL" w:eastAsia="en-US" w:bidi="ar-SA"/>
      </w:rPr>
    </w:lvl>
    <w:lvl w:ilvl="7" w:tplc="5AF0189E">
      <w:numFmt w:val="bullet"/>
      <w:lvlText w:val="•"/>
      <w:lvlJc w:val="left"/>
      <w:pPr>
        <w:ind w:left="8368" w:hanging="567"/>
      </w:pPr>
      <w:rPr>
        <w:rFonts w:hint="default"/>
        <w:lang w:val="nl-NL" w:eastAsia="en-US" w:bidi="ar-SA"/>
      </w:rPr>
    </w:lvl>
    <w:lvl w:ilvl="8" w:tplc="EECA5BC6">
      <w:numFmt w:val="bullet"/>
      <w:lvlText w:val="•"/>
      <w:lvlJc w:val="left"/>
      <w:pPr>
        <w:ind w:left="9341" w:hanging="567"/>
      </w:pPr>
      <w:rPr>
        <w:rFonts w:hint="default"/>
        <w:lang w:val="nl-NL" w:eastAsia="en-US" w:bidi="ar-SA"/>
      </w:rPr>
    </w:lvl>
  </w:abstractNum>
  <w:abstractNum w:abstractNumId="16" w15:restartNumberingAfterBreak="0">
    <w:nsid w:val="23D96753"/>
    <w:multiLevelType w:val="hybridMultilevel"/>
    <w:tmpl w:val="8FF05BDA"/>
    <w:lvl w:ilvl="0" w:tplc="FFFFFFFF">
      <w:start w:val="1"/>
      <w:numFmt w:val="decimal"/>
      <w:lvlText w:val="%1."/>
      <w:lvlJc w:val="left"/>
      <w:pPr>
        <w:ind w:left="471" w:hanging="360"/>
      </w:pPr>
      <w:rPr>
        <w:rFonts w:ascii="Times New Roman" w:hAnsi="Times New Roman" w:cs="Times New Roman" w:hint="default"/>
        <w:b/>
        <w:bCs w:val="0"/>
      </w:rPr>
    </w:lvl>
    <w:lvl w:ilvl="1" w:tplc="FFFFFFFF" w:tentative="1">
      <w:start w:val="1"/>
      <w:numFmt w:val="upperLetter"/>
      <w:lvlText w:val="%2."/>
      <w:lvlJc w:val="left"/>
      <w:pPr>
        <w:ind w:left="911" w:hanging="400"/>
      </w:pPr>
    </w:lvl>
    <w:lvl w:ilvl="2" w:tplc="FFFFFFFF" w:tentative="1">
      <w:start w:val="1"/>
      <w:numFmt w:val="lowerRoman"/>
      <w:lvlText w:val="%3."/>
      <w:lvlJc w:val="right"/>
      <w:pPr>
        <w:ind w:left="1311" w:hanging="400"/>
      </w:pPr>
    </w:lvl>
    <w:lvl w:ilvl="3" w:tplc="FFFFFFFF" w:tentative="1">
      <w:start w:val="1"/>
      <w:numFmt w:val="decimal"/>
      <w:lvlText w:val="%4."/>
      <w:lvlJc w:val="left"/>
      <w:pPr>
        <w:ind w:left="1711" w:hanging="400"/>
      </w:pPr>
    </w:lvl>
    <w:lvl w:ilvl="4" w:tplc="FFFFFFFF" w:tentative="1">
      <w:start w:val="1"/>
      <w:numFmt w:val="upperLetter"/>
      <w:lvlText w:val="%5."/>
      <w:lvlJc w:val="left"/>
      <w:pPr>
        <w:ind w:left="2111" w:hanging="400"/>
      </w:pPr>
    </w:lvl>
    <w:lvl w:ilvl="5" w:tplc="FFFFFFFF" w:tentative="1">
      <w:start w:val="1"/>
      <w:numFmt w:val="lowerRoman"/>
      <w:lvlText w:val="%6."/>
      <w:lvlJc w:val="right"/>
      <w:pPr>
        <w:ind w:left="2511" w:hanging="400"/>
      </w:pPr>
    </w:lvl>
    <w:lvl w:ilvl="6" w:tplc="FFFFFFFF" w:tentative="1">
      <w:start w:val="1"/>
      <w:numFmt w:val="decimal"/>
      <w:lvlText w:val="%7."/>
      <w:lvlJc w:val="left"/>
      <w:pPr>
        <w:ind w:left="2911" w:hanging="400"/>
      </w:pPr>
    </w:lvl>
    <w:lvl w:ilvl="7" w:tplc="FFFFFFFF" w:tentative="1">
      <w:start w:val="1"/>
      <w:numFmt w:val="upperLetter"/>
      <w:lvlText w:val="%8."/>
      <w:lvlJc w:val="left"/>
      <w:pPr>
        <w:ind w:left="3311" w:hanging="400"/>
      </w:pPr>
    </w:lvl>
    <w:lvl w:ilvl="8" w:tplc="FFFFFFFF" w:tentative="1">
      <w:start w:val="1"/>
      <w:numFmt w:val="lowerRoman"/>
      <w:lvlText w:val="%9."/>
      <w:lvlJc w:val="right"/>
      <w:pPr>
        <w:ind w:left="3711" w:hanging="400"/>
      </w:pPr>
    </w:lvl>
  </w:abstractNum>
  <w:abstractNum w:abstractNumId="17" w15:restartNumberingAfterBreak="0">
    <w:nsid w:val="25607FF9"/>
    <w:multiLevelType w:val="hybridMultilevel"/>
    <w:tmpl w:val="77BAAD02"/>
    <w:lvl w:ilvl="0" w:tplc="A8E00FFE">
      <w:start w:val="1"/>
      <w:numFmt w:val="decimal"/>
      <w:lvlText w:val="%1."/>
      <w:lvlJc w:val="left"/>
      <w:pPr>
        <w:ind w:left="1565" w:hanging="567"/>
      </w:pPr>
      <w:rPr>
        <w:rFonts w:ascii="Times New Roman" w:eastAsia="Times New Roman" w:hAnsi="Times New Roman" w:cs="Times New Roman" w:hint="default"/>
        <w:b/>
        <w:bCs/>
        <w:i w:val="0"/>
        <w:iCs w:val="0"/>
        <w:spacing w:val="0"/>
        <w:w w:val="100"/>
        <w:sz w:val="22"/>
        <w:szCs w:val="22"/>
        <w:lang w:val="nl-NL" w:eastAsia="en-US" w:bidi="ar-SA"/>
      </w:rPr>
    </w:lvl>
    <w:lvl w:ilvl="1" w:tplc="E1507232">
      <w:numFmt w:val="bullet"/>
      <w:lvlText w:val=""/>
      <w:lvlJc w:val="left"/>
      <w:pPr>
        <w:ind w:left="1565" w:hanging="567"/>
      </w:pPr>
      <w:rPr>
        <w:rFonts w:ascii="Symbol" w:eastAsia="Symbol" w:hAnsi="Symbol" w:cs="Symbol" w:hint="default"/>
        <w:spacing w:val="0"/>
        <w:w w:val="100"/>
        <w:lang w:val="nl-NL" w:eastAsia="en-US" w:bidi="ar-SA"/>
      </w:rPr>
    </w:lvl>
    <w:lvl w:ilvl="2" w:tplc="800CCB24">
      <w:numFmt w:val="bullet"/>
      <w:lvlText w:val=""/>
      <w:lvlJc w:val="left"/>
      <w:pPr>
        <w:ind w:left="1710" w:hanging="356"/>
      </w:pPr>
      <w:rPr>
        <w:rFonts w:ascii="Symbol" w:eastAsia="Symbol" w:hAnsi="Symbol" w:cs="Symbol" w:hint="default"/>
        <w:b w:val="0"/>
        <w:bCs w:val="0"/>
        <w:i w:val="0"/>
        <w:iCs w:val="0"/>
        <w:spacing w:val="0"/>
        <w:w w:val="100"/>
        <w:sz w:val="22"/>
        <w:szCs w:val="22"/>
        <w:lang w:val="nl-NL" w:eastAsia="en-US" w:bidi="ar-SA"/>
      </w:rPr>
    </w:lvl>
    <w:lvl w:ilvl="3" w:tplc="A0CAF8B0">
      <w:numFmt w:val="bullet"/>
      <w:lvlText w:val=""/>
      <w:lvlJc w:val="left"/>
      <w:pPr>
        <w:ind w:left="2134" w:hanging="284"/>
      </w:pPr>
      <w:rPr>
        <w:rFonts w:ascii="Symbol" w:eastAsia="Symbol" w:hAnsi="Symbol" w:cs="Symbol" w:hint="default"/>
        <w:b w:val="0"/>
        <w:bCs w:val="0"/>
        <w:i w:val="0"/>
        <w:iCs w:val="0"/>
        <w:spacing w:val="0"/>
        <w:w w:val="100"/>
        <w:sz w:val="22"/>
        <w:szCs w:val="22"/>
        <w:lang w:val="nl-NL" w:eastAsia="en-US" w:bidi="ar-SA"/>
      </w:rPr>
    </w:lvl>
    <w:lvl w:ilvl="4" w:tplc="0BAC0F56">
      <w:numFmt w:val="bullet"/>
      <w:lvlText w:val="•"/>
      <w:lvlJc w:val="left"/>
      <w:pPr>
        <w:ind w:left="1860" w:hanging="284"/>
      </w:pPr>
      <w:rPr>
        <w:rFonts w:hint="default"/>
        <w:lang w:val="nl-NL" w:eastAsia="en-US" w:bidi="ar-SA"/>
      </w:rPr>
    </w:lvl>
    <w:lvl w:ilvl="5" w:tplc="952AD040">
      <w:numFmt w:val="bullet"/>
      <w:lvlText w:val="•"/>
      <w:lvlJc w:val="left"/>
      <w:pPr>
        <w:ind w:left="2140" w:hanging="284"/>
      </w:pPr>
      <w:rPr>
        <w:rFonts w:hint="default"/>
        <w:lang w:val="nl-NL" w:eastAsia="en-US" w:bidi="ar-SA"/>
      </w:rPr>
    </w:lvl>
    <w:lvl w:ilvl="6" w:tplc="AE6AC4F6">
      <w:numFmt w:val="bullet"/>
      <w:lvlText w:val="•"/>
      <w:lvlJc w:val="left"/>
      <w:pPr>
        <w:ind w:left="3969" w:hanging="284"/>
      </w:pPr>
      <w:rPr>
        <w:rFonts w:hint="default"/>
        <w:lang w:val="nl-NL" w:eastAsia="en-US" w:bidi="ar-SA"/>
      </w:rPr>
    </w:lvl>
    <w:lvl w:ilvl="7" w:tplc="8C5C252C">
      <w:numFmt w:val="bullet"/>
      <w:lvlText w:val="•"/>
      <w:lvlJc w:val="left"/>
      <w:pPr>
        <w:ind w:left="5798" w:hanging="284"/>
      </w:pPr>
      <w:rPr>
        <w:rFonts w:hint="default"/>
        <w:lang w:val="nl-NL" w:eastAsia="en-US" w:bidi="ar-SA"/>
      </w:rPr>
    </w:lvl>
    <w:lvl w:ilvl="8" w:tplc="78F4B35E">
      <w:numFmt w:val="bullet"/>
      <w:lvlText w:val="•"/>
      <w:lvlJc w:val="left"/>
      <w:pPr>
        <w:ind w:left="7627" w:hanging="284"/>
      </w:pPr>
      <w:rPr>
        <w:rFonts w:hint="default"/>
        <w:lang w:val="nl-NL" w:eastAsia="en-US" w:bidi="ar-SA"/>
      </w:rPr>
    </w:lvl>
  </w:abstractNum>
  <w:abstractNum w:abstractNumId="18" w15:restartNumberingAfterBreak="0">
    <w:nsid w:val="26624A6A"/>
    <w:multiLevelType w:val="hybridMultilevel"/>
    <w:tmpl w:val="2B828794"/>
    <w:lvl w:ilvl="0" w:tplc="97FAE3E8">
      <w:start w:val="1"/>
      <w:numFmt w:val="upperLetter"/>
      <w:lvlText w:val="%1."/>
      <w:lvlJc w:val="left"/>
      <w:pPr>
        <w:ind w:left="4811" w:hanging="269"/>
        <w:jc w:val="right"/>
      </w:pPr>
      <w:rPr>
        <w:rFonts w:ascii="Times New Roman" w:eastAsia="Times New Roman" w:hAnsi="Times New Roman" w:cs="Times New Roman" w:hint="default"/>
        <w:b/>
        <w:bCs/>
        <w:i w:val="0"/>
        <w:iCs w:val="0"/>
        <w:spacing w:val="-2"/>
        <w:w w:val="100"/>
        <w:sz w:val="22"/>
        <w:szCs w:val="22"/>
        <w:lang w:val="nl-NL" w:eastAsia="en-US" w:bidi="ar-SA"/>
      </w:rPr>
    </w:lvl>
    <w:lvl w:ilvl="1" w:tplc="F63025EE">
      <w:numFmt w:val="bullet"/>
      <w:lvlText w:val="•"/>
      <w:lvlJc w:val="left"/>
      <w:pPr>
        <w:ind w:left="5466" w:hanging="269"/>
      </w:pPr>
      <w:rPr>
        <w:rFonts w:hint="default"/>
        <w:lang w:val="nl-NL" w:eastAsia="en-US" w:bidi="ar-SA"/>
      </w:rPr>
    </w:lvl>
    <w:lvl w:ilvl="2" w:tplc="6E620C62">
      <w:numFmt w:val="bullet"/>
      <w:lvlText w:val="•"/>
      <w:lvlJc w:val="left"/>
      <w:pPr>
        <w:ind w:left="6113" w:hanging="269"/>
      </w:pPr>
      <w:rPr>
        <w:rFonts w:hint="default"/>
        <w:lang w:val="nl-NL" w:eastAsia="en-US" w:bidi="ar-SA"/>
      </w:rPr>
    </w:lvl>
    <w:lvl w:ilvl="3" w:tplc="80B04774">
      <w:numFmt w:val="bullet"/>
      <w:lvlText w:val="•"/>
      <w:lvlJc w:val="left"/>
      <w:pPr>
        <w:ind w:left="6759" w:hanging="269"/>
      </w:pPr>
      <w:rPr>
        <w:rFonts w:hint="default"/>
        <w:lang w:val="nl-NL" w:eastAsia="en-US" w:bidi="ar-SA"/>
      </w:rPr>
    </w:lvl>
    <w:lvl w:ilvl="4" w:tplc="9ED858AC">
      <w:numFmt w:val="bullet"/>
      <w:lvlText w:val="•"/>
      <w:lvlJc w:val="left"/>
      <w:pPr>
        <w:ind w:left="7406" w:hanging="269"/>
      </w:pPr>
      <w:rPr>
        <w:rFonts w:hint="default"/>
        <w:lang w:val="nl-NL" w:eastAsia="en-US" w:bidi="ar-SA"/>
      </w:rPr>
    </w:lvl>
    <w:lvl w:ilvl="5" w:tplc="37EA973C">
      <w:numFmt w:val="bullet"/>
      <w:lvlText w:val="•"/>
      <w:lvlJc w:val="left"/>
      <w:pPr>
        <w:ind w:left="8053" w:hanging="269"/>
      </w:pPr>
      <w:rPr>
        <w:rFonts w:hint="default"/>
        <w:lang w:val="nl-NL" w:eastAsia="en-US" w:bidi="ar-SA"/>
      </w:rPr>
    </w:lvl>
    <w:lvl w:ilvl="6" w:tplc="4DD2FDE0">
      <w:numFmt w:val="bullet"/>
      <w:lvlText w:val="•"/>
      <w:lvlJc w:val="left"/>
      <w:pPr>
        <w:ind w:left="8699" w:hanging="269"/>
      </w:pPr>
      <w:rPr>
        <w:rFonts w:hint="default"/>
        <w:lang w:val="nl-NL" w:eastAsia="en-US" w:bidi="ar-SA"/>
      </w:rPr>
    </w:lvl>
    <w:lvl w:ilvl="7" w:tplc="FD44AF1A">
      <w:numFmt w:val="bullet"/>
      <w:lvlText w:val="•"/>
      <w:lvlJc w:val="left"/>
      <w:pPr>
        <w:ind w:left="9346" w:hanging="269"/>
      </w:pPr>
      <w:rPr>
        <w:rFonts w:hint="default"/>
        <w:lang w:val="nl-NL" w:eastAsia="en-US" w:bidi="ar-SA"/>
      </w:rPr>
    </w:lvl>
    <w:lvl w:ilvl="8" w:tplc="F476DD50">
      <w:numFmt w:val="bullet"/>
      <w:lvlText w:val="•"/>
      <w:lvlJc w:val="left"/>
      <w:pPr>
        <w:ind w:left="9993" w:hanging="269"/>
      </w:pPr>
      <w:rPr>
        <w:rFonts w:hint="default"/>
        <w:lang w:val="nl-NL" w:eastAsia="en-US" w:bidi="ar-SA"/>
      </w:rPr>
    </w:lvl>
  </w:abstractNum>
  <w:abstractNum w:abstractNumId="19" w15:restartNumberingAfterBreak="0">
    <w:nsid w:val="277152A2"/>
    <w:multiLevelType w:val="hybridMultilevel"/>
    <w:tmpl w:val="8A9E5798"/>
    <w:lvl w:ilvl="0" w:tplc="EFF66D4A">
      <w:numFmt w:val="bullet"/>
      <w:lvlText w:val=""/>
      <w:lvlJc w:val="left"/>
      <w:pPr>
        <w:ind w:left="1711" w:hanging="356"/>
      </w:pPr>
      <w:rPr>
        <w:rFonts w:ascii="Symbol" w:eastAsia="Symbol" w:hAnsi="Symbol" w:cs="Symbol" w:hint="default"/>
        <w:b w:val="0"/>
        <w:bCs w:val="0"/>
        <w:i w:val="0"/>
        <w:iCs w:val="0"/>
        <w:spacing w:val="0"/>
        <w:w w:val="100"/>
        <w:sz w:val="22"/>
        <w:szCs w:val="22"/>
        <w:lang w:val="nl-NL" w:eastAsia="en-US" w:bidi="ar-SA"/>
      </w:rPr>
    </w:lvl>
    <w:lvl w:ilvl="1" w:tplc="4EAA2332">
      <w:numFmt w:val="bullet"/>
      <w:lvlText w:val="•"/>
      <w:lvlJc w:val="left"/>
      <w:pPr>
        <w:ind w:left="2676" w:hanging="356"/>
      </w:pPr>
      <w:rPr>
        <w:rFonts w:hint="default"/>
        <w:lang w:val="nl-NL" w:eastAsia="en-US" w:bidi="ar-SA"/>
      </w:rPr>
    </w:lvl>
    <w:lvl w:ilvl="2" w:tplc="ABD4741A">
      <w:numFmt w:val="bullet"/>
      <w:lvlText w:val="•"/>
      <w:lvlJc w:val="left"/>
      <w:pPr>
        <w:ind w:left="3633" w:hanging="356"/>
      </w:pPr>
      <w:rPr>
        <w:rFonts w:hint="default"/>
        <w:lang w:val="nl-NL" w:eastAsia="en-US" w:bidi="ar-SA"/>
      </w:rPr>
    </w:lvl>
    <w:lvl w:ilvl="3" w:tplc="9C9EF95E">
      <w:numFmt w:val="bullet"/>
      <w:lvlText w:val="•"/>
      <w:lvlJc w:val="left"/>
      <w:pPr>
        <w:ind w:left="4589" w:hanging="356"/>
      </w:pPr>
      <w:rPr>
        <w:rFonts w:hint="default"/>
        <w:lang w:val="nl-NL" w:eastAsia="en-US" w:bidi="ar-SA"/>
      </w:rPr>
    </w:lvl>
    <w:lvl w:ilvl="4" w:tplc="306AC408">
      <w:numFmt w:val="bullet"/>
      <w:lvlText w:val="•"/>
      <w:lvlJc w:val="left"/>
      <w:pPr>
        <w:ind w:left="5546" w:hanging="356"/>
      </w:pPr>
      <w:rPr>
        <w:rFonts w:hint="default"/>
        <w:lang w:val="nl-NL" w:eastAsia="en-US" w:bidi="ar-SA"/>
      </w:rPr>
    </w:lvl>
    <w:lvl w:ilvl="5" w:tplc="DD5E07EA">
      <w:numFmt w:val="bullet"/>
      <w:lvlText w:val="•"/>
      <w:lvlJc w:val="left"/>
      <w:pPr>
        <w:ind w:left="6503" w:hanging="356"/>
      </w:pPr>
      <w:rPr>
        <w:rFonts w:hint="default"/>
        <w:lang w:val="nl-NL" w:eastAsia="en-US" w:bidi="ar-SA"/>
      </w:rPr>
    </w:lvl>
    <w:lvl w:ilvl="6" w:tplc="DE4ED1E6">
      <w:numFmt w:val="bullet"/>
      <w:lvlText w:val="•"/>
      <w:lvlJc w:val="left"/>
      <w:pPr>
        <w:ind w:left="7459" w:hanging="356"/>
      </w:pPr>
      <w:rPr>
        <w:rFonts w:hint="default"/>
        <w:lang w:val="nl-NL" w:eastAsia="en-US" w:bidi="ar-SA"/>
      </w:rPr>
    </w:lvl>
    <w:lvl w:ilvl="7" w:tplc="FC32C432">
      <w:numFmt w:val="bullet"/>
      <w:lvlText w:val="•"/>
      <w:lvlJc w:val="left"/>
      <w:pPr>
        <w:ind w:left="8416" w:hanging="356"/>
      </w:pPr>
      <w:rPr>
        <w:rFonts w:hint="default"/>
        <w:lang w:val="nl-NL" w:eastAsia="en-US" w:bidi="ar-SA"/>
      </w:rPr>
    </w:lvl>
    <w:lvl w:ilvl="8" w:tplc="628279C8">
      <w:numFmt w:val="bullet"/>
      <w:lvlText w:val="•"/>
      <w:lvlJc w:val="left"/>
      <w:pPr>
        <w:ind w:left="9373" w:hanging="356"/>
      </w:pPr>
      <w:rPr>
        <w:rFonts w:hint="default"/>
        <w:lang w:val="nl-NL" w:eastAsia="en-US" w:bidi="ar-SA"/>
      </w:rPr>
    </w:lvl>
  </w:abstractNum>
  <w:abstractNum w:abstractNumId="20" w15:restartNumberingAfterBreak="0">
    <w:nsid w:val="281F72F3"/>
    <w:multiLevelType w:val="hybridMultilevel"/>
    <w:tmpl w:val="5E567C00"/>
    <w:lvl w:ilvl="0" w:tplc="BAE6AFF0">
      <w:start w:val="1"/>
      <w:numFmt w:val="decimal"/>
      <w:lvlText w:val="%1."/>
      <w:lvlJc w:val="left"/>
      <w:pPr>
        <w:ind w:left="471" w:hanging="360"/>
      </w:pPr>
      <w:rPr>
        <w:rFonts w:ascii="Times New Roman" w:hAnsi="Times New Roman" w:cs="Times New Roman" w:hint="default"/>
        <w:b/>
        <w:bCs w:val="0"/>
      </w:rPr>
    </w:lvl>
    <w:lvl w:ilvl="1" w:tplc="04090019" w:tentative="1">
      <w:start w:val="1"/>
      <w:numFmt w:val="upperLetter"/>
      <w:lvlText w:val="%2."/>
      <w:lvlJc w:val="left"/>
      <w:pPr>
        <w:ind w:left="911" w:hanging="400"/>
      </w:pPr>
    </w:lvl>
    <w:lvl w:ilvl="2" w:tplc="0409001B" w:tentative="1">
      <w:start w:val="1"/>
      <w:numFmt w:val="lowerRoman"/>
      <w:lvlText w:val="%3."/>
      <w:lvlJc w:val="right"/>
      <w:pPr>
        <w:ind w:left="1311" w:hanging="400"/>
      </w:pPr>
    </w:lvl>
    <w:lvl w:ilvl="3" w:tplc="0409000F" w:tentative="1">
      <w:start w:val="1"/>
      <w:numFmt w:val="decimal"/>
      <w:lvlText w:val="%4."/>
      <w:lvlJc w:val="left"/>
      <w:pPr>
        <w:ind w:left="1711" w:hanging="400"/>
      </w:pPr>
    </w:lvl>
    <w:lvl w:ilvl="4" w:tplc="04090019" w:tentative="1">
      <w:start w:val="1"/>
      <w:numFmt w:val="upperLetter"/>
      <w:lvlText w:val="%5."/>
      <w:lvlJc w:val="left"/>
      <w:pPr>
        <w:ind w:left="2111" w:hanging="400"/>
      </w:pPr>
    </w:lvl>
    <w:lvl w:ilvl="5" w:tplc="0409001B" w:tentative="1">
      <w:start w:val="1"/>
      <w:numFmt w:val="lowerRoman"/>
      <w:lvlText w:val="%6."/>
      <w:lvlJc w:val="right"/>
      <w:pPr>
        <w:ind w:left="2511" w:hanging="400"/>
      </w:pPr>
    </w:lvl>
    <w:lvl w:ilvl="6" w:tplc="0409000F" w:tentative="1">
      <w:start w:val="1"/>
      <w:numFmt w:val="decimal"/>
      <w:lvlText w:val="%7."/>
      <w:lvlJc w:val="left"/>
      <w:pPr>
        <w:ind w:left="2911" w:hanging="400"/>
      </w:pPr>
    </w:lvl>
    <w:lvl w:ilvl="7" w:tplc="04090019" w:tentative="1">
      <w:start w:val="1"/>
      <w:numFmt w:val="upperLetter"/>
      <w:lvlText w:val="%8."/>
      <w:lvlJc w:val="left"/>
      <w:pPr>
        <w:ind w:left="3311" w:hanging="400"/>
      </w:pPr>
    </w:lvl>
    <w:lvl w:ilvl="8" w:tplc="0409001B" w:tentative="1">
      <w:start w:val="1"/>
      <w:numFmt w:val="lowerRoman"/>
      <w:lvlText w:val="%9."/>
      <w:lvlJc w:val="right"/>
      <w:pPr>
        <w:ind w:left="3711" w:hanging="400"/>
      </w:pPr>
    </w:lvl>
  </w:abstractNum>
  <w:abstractNum w:abstractNumId="21" w15:restartNumberingAfterBreak="0">
    <w:nsid w:val="28410108"/>
    <w:multiLevelType w:val="hybridMultilevel"/>
    <w:tmpl w:val="1BACF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403616"/>
    <w:multiLevelType w:val="multilevel"/>
    <w:tmpl w:val="5476C886"/>
    <w:lvl w:ilvl="0">
      <w:start w:val="14"/>
      <w:numFmt w:val="upperLetter"/>
      <w:lvlText w:val="%1"/>
      <w:lvlJc w:val="left"/>
      <w:pPr>
        <w:ind w:left="711" w:hanging="485"/>
      </w:pPr>
      <w:rPr>
        <w:rFonts w:hint="default"/>
      </w:rPr>
    </w:lvl>
    <w:lvl w:ilvl="1">
      <w:start w:val="5"/>
      <w:numFmt w:val="upperRoman"/>
      <w:lvlText w:val="%1.%2."/>
      <w:lvlJc w:val="left"/>
      <w:pPr>
        <w:ind w:left="711" w:hanging="485"/>
      </w:pPr>
      <w:rPr>
        <w:rFonts w:ascii="Times New Roman" w:eastAsia="Times New Roman" w:hAnsi="Times New Roman" w:hint="default"/>
        <w:spacing w:val="-1"/>
        <w:sz w:val="22"/>
        <w:szCs w:val="22"/>
      </w:rPr>
    </w:lvl>
    <w:lvl w:ilvl="2">
      <w:start w:val="1"/>
      <w:numFmt w:val="bullet"/>
      <w:lvlText w:val=""/>
      <w:lvlJc w:val="left"/>
      <w:pPr>
        <w:ind w:left="830" w:hanging="356"/>
      </w:pPr>
      <w:rPr>
        <w:rFonts w:ascii="Symbol" w:eastAsia="Symbol" w:hAnsi="Symbol" w:hint="default"/>
        <w:sz w:val="22"/>
        <w:szCs w:val="22"/>
      </w:rPr>
    </w:lvl>
    <w:lvl w:ilvl="3">
      <w:start w:val="1"/>
      <w:numFmt w:val="bullet"/>
      <w:lvlText w:val=""/>
      <w:lvlJc w:val="left"/>
      <w:pPr>
        <w:ind w:left="1196" w:hanging="358"/>
      </w:pPr>
      <w:rPr>
        <w:rFonts w:ascii="Symbol" w:eastAsia="Symbol" w:hAnsi="Symbol" w:hint="default"/>
        <w:sz w:val="22"/>
        <w:szCs w:val="22"/>
      </w:rPr>
    </w:lvl>
    <w:lvl w:ilvl="4">
      <w:start w:val="1"/>
      <w:numFmt w:val="bullet"/>
      <w:lvlText w:val="•"/>
      <w:lvlJc w:val="left"/>
      <w:pPr>
        <w:ind w:left="1417" w:hanging="358"/>
      </w:pPr>
      <w:rPr>
        <w:rFonts w:hint="default"/>
      </w:rPr>
    </w:lvl>
    <w:lvl w:ilvl="5">
      <w:start w:val="1"/>
      <w:numFmt w:val="bullet"/>
      <w:lvlText w:val="•"/>
      <w:lvlJc w:val="left"/>
      <w:pPr>
        <w:ind w:left="1639" w:hanging="358"/>
      </w:pPr>
      <w:rPr>
        <w:rFonts w:hint="default"/>
      </w:rPr>
    </w:lvl>
    <w:lvl w:ilvl="6">
      <w:start w:val="1"/>
      <w:numFmt w:val="bullet"/>
      <w:lvlText w:val="•"/>
      <w:lvlJc w:val="left"/>
      <w:pPr>
        <w:ind w:left="1860" w:hanging="358"/>
      </w:pPr>
      <w:rPr>
        <w:rFonts w:hint="default"/>
      </w:rPr>
    </w:lvl>
    <w:lvl w:ilvl="7">
      <w:start w:val="1"/>
      <w:numFmt w:val="bullet"/>
      <w:lvlText w:val="•"/>
      <w:lvlJc w:val="left"/>
      <w:pPr>
        <w:ind w:left="2082" w:hanging="358"/>
      </w:pPr>
      <w:rPr>
        <w:rFonts w:hint="default"/>
      </w:rPr>
    </w:lvl>
    <w:lvl w:ilvl="8">
      <w:start w:val="1"/>
      <w:numFmt w:val="bullet"/>
      <w:lvlText w:val="•"/>
      <w:lvlJc w:val="left"/>
      <w:pPr>
        <w:ind w:left="2303" w:hanging="358"/>
      </w:pPr>
      <w:rPr>
        <w:rFonts w:hint="default"/>
      </w:rPr>
    </w:lvl>
  </w:abstractNum>
  <w:abstractNum w:abstractNumId="23" w15:restartNumberingAfterBreak="0">
    <w:nsid w:val="2A745271"/>
    <w:multiLevelType w:val="multilevel"/>
    <w:tmpl w:val="ECF04828"/>
    <w:lvl w:ilvl="0">
      <w:start w:val="1"/>
      <w:numFmt w:val="decimal"/>
      <w:lvlText w:val="%1."/>
      <w:lvlJc w:val="left"/>
      <w:pPr>
        <w:ind w:left="1564" w:hanging="567"/>
      </w:pPr>
      <w:rPr>
        <w:rFonts w:ascii="Times New Roman" w:eastAsia="Times New Roman" w:hAnsi="Times New Roman" w:cs="Times New Roman" w:hint="default"/>
        <w:b/>
        <w:bCs/>
        <w:i w:val="0"/>
        <w:iCs w:val="0"/>
        <w:spacing w:val="0"/>
        <w:w w:val="100"/>
        <w:sz w:val="22"/>
        <w:szCs w:val="22"/>
        <w:lang w:val="nl-NL" w:eastAsia="en-US" w:bidi="ar-SA"/>
      </w:rPr>
    </w:lvl>
    <w:lvl w:ilvl="1">
      <w:start w:val="1"/>
      <w:numFmt w:val="decimal"/>
      <w:lvlText w:val="%1.%2"/>
      <w:lvlJc w:val="left"/>
      <w:pPr>
        <w:ind w:left="1564" w:hanging="567"/>
      </w:pPr>
      <w:rPr>
        <w:rFonts w:ascii="Times New Roman" w:eastAsia="Times New Roman" w:hAnsi="Times New Roman" w:cs="Times New Roman" w:hint="default"/>
        <w:b/>
        <w:bCs/>
        <w:i w:val="0"/>
        <w:iCs w:val="0"/>
        <w:spacing w:val="0"/>
        <w:w w:val="100"/>
        <w:sz w:val="22"/>
        <w:szCs w:val="22"/>
        <w:lang w:val="nl-NL" w:eastAsia="en-US" w:bidi="ar-SA"/>
      </w:rPr>
    </w:lvl>
    <w:lvl w:ilvl="2">
      <w:numFmt w:val="bullet"/>
      <w:lvlText w:val=""/>
      <w:lvlJc w:val="left"/>
      <w:pPr>
        <w:ind w:left="1356" w:hanging="358"/>
      </w:pPr>
      <w:rPr>
        <w:rFonts w:ascii="Symbol" w:eastAsia="Symbol" w:hAnsi="Symbol" w:cs="Symbol" w:hint="default"/>
        <w:b w:val="0"/>
        <w:bCs w:val="0"/>
        <w:i w:val="0"/>
        <w:iCs w:val="0"/>
        <w:spacing w:val="0"/>
        <w:w w:val="100"/>
        <w:sz w:val="22"/>
        <w:szCs w:val="22"/>
        <w:lang w:val="nl-NL" w:eastAsia="en-US" w:bidi="ar-SA"/>
      </w:rPr>
    </w:lvl>
    <w:lvl w:ilvl="3">
      <w:numFmt w:val="bullet"/>
      <w:lvlText w:val="•"/>
      <w:lvlJc w:val="left"/>
      <w:pPr>
        <w:ind w:left="3721" w:hanging="358"/>
      </w:pPr>
      <w:rPr>
        <w:rFonts w:hint="default"/>
        <w:lang w:val="nl-NL" w:eastAsia="en-US" w:bidi="ar-SA"/>
      </w:rPr>
    </w:lvl>
    <w:lvl w:ilvl="4">
      <w:numFmt w:val="bullet"/>
      <w:lvlText w:val="•"/>
      <w:lvlJc w:val="left"/>
      <w:pPr>
        <w:ind w:left="4802" w:hanging="358"/>
      </w:pPr>
      <w:rPr>
        <w:rFonts w:hint="default"/>
        <w:lang w:val="nl-NL" w:eastAsia="en-US" w:bidi="ar-SA"/>
      </w:rPr>
    </w:lvl>
    <w:lvl w:ilvl="5">
      <w:numFmt w:val="bullet"/>
      <w:lvlText w:val="•"/>
      <w:lvlJc w:val="left"/>
      <w:pPr>
        <w:ind w:left="5882" w:hanging="358"/>
      </w:pPr>
      <w:rPr>
        <w:rFonts w:hint="default"/>
        <w:lang w:val="nl-NL" w:eastAsia="en-US" w:bidi="ar-SA"/>
      </w:rPr>
    </w:lvl>
    <w:lvl w:ilvl="6">
      <w:numFmt w:val="bullet"/>
      <w:lvlText w:val="•"/>
      <w:lvlJc w:val="left"/>
      <w:pPr>
        <w:ind w:left="6963" w:hanging="358"/>
      </w:pPr>
      <w:rPr>
        <w:rFonts w:hint="default"/>
        <w:lang w:val="nl-NL" w:eastAsia="en-US" w:bidi="ar-SA"/>
      </w:rPr>
    </w:lvl>
    <w:lvl w:ilvl="7">
      <w:numFmt w:val="bullet"/>
      <w:lvlText w:val="•"/>
      <w:lvlJc w:val="left"/>
      <w:pPr>
        <w:ind w:left="8044" w:hanging="358"/>
      </w:pPr>
      <w:rPr>
        <w:rFonts w:hint="default"/>
        <w:lang w:val="nl-NL" w:eastAsia="en-US" w:bidi="ar-SA"/>
      </w:rPr>
    </w:lvl>
    <w:lvl w:ilvl="8">
      <w:numFmt w:val="bullet"/>
      <w:lvlText w:val="•"/>
      <w:lvlJc w:val="left"/>
      <w:pPr>
        <w:ind w:left="9124" w:hanging="358"/>
      </w:pPr>
      <w:rPr>
        <w:rFonts w:hint="default"/>
        <w:lang w:val="nl-NL" w:eastAsia="en-US" w:bidi="ar-SA"/>
      </w:rPr>
    </w:lvl>
  </w:abstractNum>
  <w:abstractNum w:abstractNumId="24" w15:restartNumberingAfterBreak="0">
    <w:nsid w:val="2D362DAF"/>
    <w:multiLevelType w:val="multilevel"/>
    <w:tmpl w:val="661CCA46"/>
    <w:lvl w:ilvl="0">
      <w:start w:val="14"/>
      <w:numFmt w:val="upperLetter"/>
      <w:lvlText w:val="%1"/>
      <w:lvlJc w:val="left"/>
      <w:pPr>
        <w:ind w:left="711" w:hanging="485"/>
      </w:pPr>
      <w:rPr>
        <w:rFonts w:hint="default"/>
      </w:rPr>
    </w:lvl>
    <w:lvl w:ilvl="1">
      <w:start w:val="5"/>
      <w:numFmt w:val="upperRoman"/>
      <w:lvlText w:val="%1.%2."/>
      <w:lvlJc w:val="left"/>
      <w:pPr>
        <w:ind w:left="711" w:hanging="485"/>
      </w:pPr>
      <w:rPr>
        <w:rFonts w:ascii="Times New Roman" w:eastAsia="Times New Roman" w:hAnsi="Times New Roman" w:hint="default"/>
        <w:spacing w:val="-1"/>
        <w:sz w:val="22"/>
        <w:szCs w:val="22"/>
      </w:rPr>
    </w:lvl>
    <w:lvl w:ilvl="2">
      <w:start w:val="1"/>
      <w:numFmt w:val="bullet"/>
      <w:lvlText w:val=""/>
      <w:lvlJc w:val="left"/>
      <w:pPr>
        <w:ind w:left="722" w:hanging="360"/>
      </w:pPr>
      <w:rPr>
        <w:rFonts w:ascii="Symbol" w:hAnsi="Symbol" w:hint="default"/>
      </w:rPr>
    </w:lvl>
    <w:lvl w:ilvl="3">
      <w:start w:val="1"/>
      <w:numFmt w:val="bullet"/>
      <w:lvlText w:val=""/>
      <w:lvlJc w:val="left"/>
      <w:pPr>
        <w:ind w:left="1196" w:hanging="358"/>
      </w:pPr>
      <w:rPr>
        <w:rFonts w:ascii="Symbol" w:eastAsia="Symbol" w:hAnsi="Symbol" w:hint="default"/>
        <w:sz w:val="22"/>
        <w:szCs w:val="22"/>
      </w:rPr>
    </w:lvl>
    <w:lvl w:ilvl="4">
      <w:start w:val="1"/>
      <w:numFmt w:val="bullet"/>
      <w:lvlText w:val="•"/>
      <w:lvlJc w:val="left"/>
      <w:pPr>
        <w:ind w:left="1417" w:hanging="358"/>
      </w:pPr>
      <w:rPr>
        <w:rFonts w:hint="default"/>
      </w:rPr>
    </w:lvl>
    <w:lvl w:ilvl="5">
      <w:start w:val="1"/>
      <w:numFmt w:val="bullet"/>
      <w:lvlText w:val="•"/>
      <w:lvlJc w:val="left"/>
      <w:pPr>
        <w:ind w:left="1639" w:hanging="358"/>
      </w:pPr>
      <w:rPr>
        <w:rFonts w:hint="default"/>
      </w:rPr>
    </w:lvl>
    <w:lvl w:ilvl="6">
      <w:start w:val="1"/>
      <w:numFmt w:val="bullet"/>
      <w:lvlText w:val="•"/>
      <w:lvlJc w:val="left"/>
      <w:pPr>
        <w:ind w:left="1860" w:hanging="358"/>
      </w:pPr>
      <w:rPr>
        <w:rFonts w:hint="default"/>
      </w:rPr>
    </w:lvl>
    <w:lvl w:ilvl="7">
      <w:start w:val="1"/>
      <w:numFmt w:val="bullet"/>
      <w:lvlText w:val="•"/>
      <w:lvlJc w:val="left"/>
      <w:pPr>
        <w:ind w:left="2082" w:hanging="358"/>
      </w:pPr>
      <w:rPr>
        <w:rFonts w:hint="default"/>
      </w:rPr>
    </w:lvl>
    <w:lvl w:ilvl="8">
      <w:start w:val="1"/>
      <w:numFmt w:val="bullet"/>
      <w:lvlText w:val="•"/>
      <w:lvlJc w:val="left"/>
      <w:pPr>
        <w:ind w:left="2303" w:hanging="358"/>
      </w:pPr>
      <w:rPr>
        <w:rFonts w:hint="default"/>
      </w:rPr>
    </w:lvl>
  </w:abstractNum>
  <w:abstractNum w:abstractNumId="25" w15:restartNumberingAfterBreak="0">
    <w:nsid w:val="2E55255C"/>
    <w:multiLevelType w:val="hybridMultilevel"/>
    <w:tmpl w:val="EDBE122E"/>
    <w:lvl w:ilvl="0" w:tplc="B32871CE">
      <w:start w:val="1"/>
      <w:numFmt w:val="decimal"/>
      <w:lvlText w:val="%1."/>
      <w:lvlJc w:val="left"/>
      <w:pPr>
        <w:ind w:left="1565" w:hanging="567"/>
      </w:pPr>
      <w:rPr>
        <w:rFonts w:ascii="Times New Roman" w:eastAsia="Times New Roman" w:hAnsi="Times New Roman" w:cs="Times New Roman" w:hint="default"/>
        <w:b/>
        <w:bCs/>
        <w:i w:val="0"/>
        <w:iCs w:val="0"/>
        <w:spacing w:val="0"/>
        <w:w w:val="100"/>
        <w:sz w:val="22"/>
        <w:szCs w:val="22"/>
        <w:lang w:val="nl-NL" w:eastAsia="en-US" w:bidi="ar-SA"/>
      </w:rPr>
    </w:lvl>
    <w:lvl w:ilvl="1" w:tplc="45C02A0E">
      <w:numFmt w:val="bullet"/>
      <w:lvlText w:val=""/>
      <w:lvlJc w:val="left"/>
      <w:pPr>
        <w:ind w:left="1424" w:hanging="358"/>
      </w:pPr>
      <w:rPr>
        <w:rFonts w:ascii="Symbol" w:eastAsia="Symbol" w:hAnsi="Symbol" w:cs="Symbol" w:hint="default"/>
        <w:b w:val="0"/>
        <w:bCs w:val="0"/>
        <w:i w:val="0"/>
        <w:iCs w:val="0"/>
        <w:spacing w:val="0"/>
        <w:w w:val="100"/>
        <w:sz w:val="22"/>
        <w:szCs w:val="22"/>
        <w:lang w:val="nl-NL" w:eastAsia="en-US" w:bidi="ar-SA"/>
      </w:rPr>
    </w:lvl>
    <w:lvl w:ilvl="2" w:tplc="CA36F768">
      <w:numFmt w:val="bullet"/>
      <w:lvlText w:val=""/>
      <w:lvlJc w:val="left"/>
      <w:pPr>
        <w:ind w:left="1427" w:hanging="286"/>
      </w:pPr>
      <w:rPr>
        <w:rFonts w:ascii="Symbol" w:eastAsia="Symbol" w:hAnsi="Symbol" w:cs="Symbol" w:hint="default"/>
        <w:b w:val="0"/>
        <w:bCs w:val="0"/>
        <w:i w:val="0"/>
        <w:iCs w:val="0"/>
        <w:spacing w:val="0"/>
        <w:w w:val="100"/>
        <w:sz w:val="22"/>
        <w:szCs w:val="22"/>
        <w:lang w:val="nl-NL" w:eastAsia="en-US" w:bidi="ar-SA"/>
      </w:rPr>
    </w:lvl>
    <w:lvl w:ilvl="3" w:tplc="F6E8CA48">
      <w:numFmt w:val="bullet"/>
      <w:lvlText w:val="•"/>
      <w:lvlJc w:val="left"/>
      <w:pPr>
        <w:ind w:left="2775" w:hanging="286"/>
      </w:pPr>
      <w:rPr>
        <w:rFonts w:hint="default"/>
        <w:lang w:val="nl-NL" w:eastAsia="en-US" w:bidi="ar-SA"/>
      </w:rPr>
    </w:lvl>
    <w:lvl w:ilvl="4" w:tplc="C276A506">
      <w:numFmt w:val="bullet"/>
      <w:lvlText w:val="•"/>
      <w:lvlJc w:val="left"/>
      <w:pPr>
        <w:ind w:left="3991" w:hanging="286"/>
      </w:pPr>
      <w:rPr>
        <w:rFonts w:hint="default"/>
        <w:lang w:val="nl-NL" w:eastAsia="en-US" w:bidi="ar-SA"/>
      </w:rPr>
    </w:lvl>
    <w:lvl w:ilvl="5" w:tplc="7730F756">
      <w:numFmt w:val="bullet"/>
      <w:lvlText w:val="•"/>
      <w:lvlJc w:val="left"/>
      <w:pPr>
        <w:ind w:left="5207" w:hanging="286"/>
      </w:pPr>
      <w:rPr>
        <w:rFonts w:hint="default"/>
        <w:lang w:val="nl-NL" w:eastAsia="en-US" w:bidi="ar-SA"/>
      </w:rPr>
    </w:lvl>
    <w:lvl w:ilvl="6" w:tplc="29B67D2A">
      <w:numFmt w:val="bullet"/>
      <w:lvlText w:val="•"/>
      <w:lvlJc w:val="left"/>
      <w:pPr>
        <w:ind w:left="6423" w:hanging="286"/>
      </w:pPr>
      <w:rPr>
        <w:rFonts w:hint="default"/>
        <w:lang w:val="nl-NL" w:eastAsia="en-US" w:bidi="ar-SA"/>
      </w:rPr>
    </w:lvl>
    <w:lvl w:ilvl="7" w:tplc="267A7C62">
      <w:numFmt w:val="bullet"/>
      <w:lvlText w:val="•"/>
      <w:lvlJc w:val="left"/>
      <w:pPr>
        <w:ind w:left="7639" w:hanging="286"/>
      </w:pPr>
      <w:rPr>
        <w:rFonts w:hint="default"/>
        <w:lang w:val="nl-NL" w:eastAsia="en-US" w:bidi="ar-SA"/>
      </w:rPr>
    </w:lvl>
    <w:lvl w:ilvl="8" w:tplc="34D4EFCE">
      <w:numFmt w:val="bullet"/>
      <w:lvlText w:val="•"/>
      <w:lvlJc w:val="left"/>
      <w:pPr>
        <w:ind w:left="8854" w:hanging="286"/>
      </w:pPr>
      <w:rPr>
        <w:rFonts w:hint="default"/>
        <w:lang w:val="nl-NL" w:eastAsia="en-US" w:bidi="ar-SA"/>
      </w:rPr>
    </w:lvl>
  </w:abstractNum>
  <w:abstractNum w:abstractNumId="26" w15:restartNumberingAfterBreak="0">
    <w:nsid w:val="2EB87E7C"/>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7" w15:restartNumberingAfterBreak="0">
    <w:nsid w:val="2F725F08"/>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8" w15:restartNumberingAfterBreak="0">
    <w:nsid w:val="31862C01"/>
    <w:multiLevelType w:val="hybridMultilevel"/>
    <w:tmpl w:val="AC2A518E"/>
    <w:lvl w:ilvl="0" w:tplc="28B4E102">
      <w:numFmt w:val="bullet"/>
      <w:lvlText w:val=""/>
      <w:lvlJc w:val="left"/>
      <w:pPr>
        <w:ind w:left="1425" w:hanging="428"/>
      </w:pPr>
      <w:rPr>
        <w:rFonts w:ascii="Symbol" w:eastAsia="Symbol" w:hAnsi="Symbol" w:cs="Symbol" w:hint="default"/>
        <w:b w:val="0"/>
        <w:bCs w:val="0"/>
        <w:i w:val="0"/>
        <w:iCs w:val="0"/>
        <w:spacing w:val="0"/>
        <w:w w:val="100"/>
        <w:sz w:val="22"/>
        <w:szCs w:val="22"/>
        <w:lang w:val="nl-NL" w:eastAsia="en-US" w:bidi="ar-SA"/>
      </w:rPr>
    </w:lvl>
    <w:lvl w:ilvl="1" w:tplc="9E0A4FDA">
      <w:numFmt w:val="bullet"/>
      <w:lvlText w:val="•"/>
      <w:lvlJc w:val="left"/>
      <w:pPr>
        <w:ind w:left="2406" w:hanging="428"/>
      </w:pPr>
      <w:rPr>
        <w:rFonts w:hint="default"/>
        <w:lang w:val="nl-NL" w:eastAsia="en-US" w:bidi="ar-SA"/>
      </w:rPr>
    </w:lvl>
    <w:lvl w:ilvl="2" w:tplc="DA58185C">
      <w:numFmt w:val="bullet"/>
      <w:lvlText w:val="•"/>
      <w:lvlJc w:val="left"/>
      <w:pPr>
        <w:ind w:left="3393" w:hanging="428"/>
      </w:pPr>
      <w:rPr>
        <w:rFonts w:hint="default"/>
        <w:lang w:val="nl-NL" w:eastAsia="en-US" w:bidi="ar-SA"/>
      </w:rPr>
    </w:lvl>
    <w:lvl w:ilvl="3" w:tplc="F7087992">
      <w:numFmt w:val="bullet"/>
      <w:lvlText w:val="•"/>
      <w:lvlJc w:val="left"/>
      <w:pPr>
        <w:ind w:left="4379" w:hanging="428"/>
      </w:pPr>
      <w:rPr>
        <w:rFonts w:hint="default"/>
        <w:lang w:val="nl-NL" w:eastAsia="en-US" w:bidi="ar-SA"/>
      </w:rPr>
    </w:lvl>
    <w:lvl w:ilvl="4" w:tplc="5E626E7A">
      <w:numFmt w:val="bullet"/>
      <w:lvlText w:val="•"/>
      <w:lvlJc w:val="left"/>
      <w:pPr>
        <w:ind w:left="5366" w:hanging="428"/>
      </w:pPr>
      <w:rPr>
        <w:rFonts w:hint="default"/>
        <w:lang w:val="nl-NL" w:eastAsia="en-US" w:bidi="ar-SA"/>
      </w:rPr>
    </w:lvl>
    <w:lvl w:ilvl="5" w:tplc="DB12F7BE">
      <w:numFmt w:val="bullet"/>
      <w:lvlText w:val="•"/>
      <w:lvlJc w:val="left"/>
      <w:pPr>
        <w:ind w:left="6353" w:hanging="428"/>
      </w:pPr>
      <w:rPr>
        <w:rFonts w:hint="default"/>
        <w:lang w:val="nl-NL" w:eastAsia="en-US" w:bidi="ar-SA"/>
      </w:rPr>
    </w:lvl>
    <w:lvl w:ilvl="6" w:tplc="C0B45A82">
      <w:numFmt w:val="bullet"/>
      <w:lvlText w:val="•"/>
      <w:lvlJc w:val="left"/>
      <w:pPr>
        <w:ind w:left="7339" w:hanging="428"/>
      </w:pPr>
      <w:rPr>
        <w:rFonts w:hint="default"/>
        <w:lang w:val="nl-NL" w:eastAsia="en-US" w:bidi="ar-SA"/>
      </w:rPr>
    </w:lvl>
    <w:lvl w:ilvl="7" w:tplc="9AFE92A6">
      <w:numFmt w:val="bullet"/>
      <w:lvlText w:val="•"/>
      <w:lvlJc w:val="left"/>
      <w:pPr>
        <w:ind w:left="8326" w:hanging="428"/>
      </w:pPr>
      <w:rPr>
        <w:rFonts w:hint="default"/>
        <w:lang w:val="nl-NL" w:eastAsia="en-US" w:bidi="ar-SA"/>
      </w:rPr>
    </w:lvl>
    <w:lvl w:ilvl="8" w:tplc="6C6283BA">
      <w:numFmt w:val="bullet"/>
      <w:lvlText w:val="•"/>
      <w:lvlJc w:val="left"/>
      <w:pPr>
        <w:ind w:left="9313" w:hanging="428"/>
      </w:pPr>
      <w:rPr>
        <w:rFonts w:hint="default"/>
        <w:lang w:val="nl-NL" w:eastAsia="en-US" w:bidi="ar-SA"/>
      </w:rPr>
    </w:lvl>
  </w:abstractNum>
  <w:abstractNum w:abstractNumId="29" w15:restartNumberingAfterBreak="0">
    <w:nsid w:val="34653D49"/>
    <w:multiLevelType w:val="hybridMultilevel"/>
    <w:tmpl w:val="F3187BB4"/>
    <w:lvl w:ilvl="0" w:tplc="04090001">
      <w:start w:val="1"/>
      <w:numFmt w:val="bullet"/>
      <w:lvlText w:val=""/>
      <w:lvlJc w:val="left"/>
      <w:pPr>
        <w:ind w:left="911" w:hanging="400"/>
      </w:pPr>
      <w:rPr>
        <w:rFonts w:ascii="Symbol" w:hAnsi="Symbol" w:hint="default"/>
        <w:strike w:val="0"/>
        <w:sz w:val="22"/>
        <w:szCs w:val="22"/>
      </w:rPr>
    </w:lvl>
    <w:lvl w:ilvl="1" w:tplc="043E36C2" w:tentative="1">
      <w:start w:val="1"/>
      <w:numFmt w:val="bullet"/>
      <w:lvlText w:val=""/>
      <w:lvlJc w:val="left"/>
      <w:pPr>
        <w:ind w:left="1311" w:hanging="400"/>
      </w:pPr>
      <w:rPr>
        <w:rFonts w:ascii="Wingdings" w:hAnsi="Wingdings" w:hint="default"/>
      </w:rPr>
    </w:lvl>
    <w:lvl w:ilvl="2" w:tplc="0C9C1F6A" w:tentative="1">
      <w:start w:val="1"/>
      <w:numFmt w:val="bullet"/>
      <w:lvlText w:val=""/>
      <w:lvlJc w:val="left"/>
      <w:pPr>
        <w:ind w:left="1711" w:hanging="400"/>
      </w:pPr>
      <w:rPr>
        <w:rFonts w:ascii="Wingdings" w:hAnsi="Wingdings" w:hint="default"/>
      </w:rPr>
    </w:lvl>
    <w:lvl w:ilvl="3" w:tplc="AC68A48E" w:tentative="1">
      <w:start w:val="1"/>
      <w:numFmt w:val="bullet"/>
      <w:lvlText w:val=""/>
      <w:lvlJc w:val="left"/>
      <w:pPr>
        <w:ind w:left="2111" w:hanging="400"/>
      </w:pPr>
      <w:rPr>
        <w:rFonts w:ascii="Wingdings" w:hAnsi="Wingdings" w:hint="default"/>
      </w:rPr>
    </w:lvl>
    <w:lvl w:ilvl="4" w:tplc="444811B8" w:tentative="1">
      <w:start w:val="1"/>
      <w:numFmt w:val="bullet"/>
      <w:lvlText w:val=""/>
      <w:lvlJc w:val="left"/>
      <w:pPr>
        <w:ind w:left="2511" w:hanging="400"/>
      </w:pPr>
      <w:rPr>
        <w:rFonts w:ascii="Wingdings" w:hAnsi="Wingdings" w:hint="default"/>
      </w:rPr>
    </w:lvl>
    <w:lvl w:ilvl="5" w:tplc="FCD2B724" w:tentative="1">
      <w:start w:val="1"/>
      <w:numFmt w:val="bullet"/>
      <w:lvlText w:val=""/>
      <w:lvlJc w:val="left"/>
      <w:pPr>
        <w:ind w:left="2911" w:hanging="400"/>
      </w:pPr>
      <w:rPr>
        <w:rFonts w:ascii="Wingdings" w:hAnsi="Wingdings" w:hint="default"/>
      </w:rPr>
    </w:lvl>
    <w:lvl w:ilvl="6" w:tplc="53FC4946" w:tentative="1">
      <w:start w:val="1"/>
      <w:numFmt w:val="bullet"/>
      <w:lvlText w:val=""/>
      <w:lvlJc w:val="left"/>
      <w:pPr>
        <w:ind w:left="3311" w:hanging="400"/>
      </w:pPr>
      <w:rPr>
        <w:rFonts w:ascii="Wingdings" w:hAnsi="Wingdings" w:hint="default"/>
      </w:rPr>
    </w:lvl>
    <w:lvl w:ilvl="7" w:tplc="79BCAB6E" w:tentative="1">
      <w:start w:val="1"/>
      <w:numFmt w:val="bullet"/>
      <w:lvlText w:val=""/>
      <w:lvlJc w:val="left"/>
      <w:pPr>
        <w:ind w:left="3711" w:hanging="400"/>
      </w:pPr>
      <w:rPr>
        <w:rFonts w:ascii="Wingdings" w:hAnsi="Wingdings" w:hint="default"/>
      </w:rPr>
    </w:lvl>
    <w:lvl w:ilvl="8" w:tplc="0FA20506" w:tentative="1">
      <w:start w:val="1"/>
      <w:numFmt w:val="bullet"/>
      <w:lvlText w:val=""/>
      <w:lvlJc w:val="left"/>
      <w:pPr>
        <w:ind w:left="4111" w:hanging="400"/>
      </w:pPr>
      <w:rPr>
        <w:rFonts w:ascii="Wingdings" w:hAnsi="Wingdings" w:hint="default"/>
      </w:rPr>
    </w:lvl>
  </w:abstractNum>
  <w:abstractNum w:abstractNumId="30" w15:restartNumberingAfterBreak="0">
    <w:nsid w:val="34C942F4"/>
    <w:multiLevelType w:val="hybridMultilevel"/>
    <w:tmpl w:val="38DA79CE"/>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1" w15:restartNumberingAfterBreak="0">
    <w:nsid w:val="34CE74D6"/>
    <w:multiLevelType w:val="hybridMultilevel"/>
    <w:tmpl w:val="04EC3A24"/>
    <w:lvl w:ilvl="0" w:tplc="D9644F1C">
      <w:numFmt w:val="bullet"/>
      <w:lvlText w:val=""/>
      <w:lvlJc w:val="left"/>
      <w:pPr>
        <w:ind w:left="1564" w:hanging="207"/>
      </w:pPr>
      <w:rPr>
        <w:rFonts w:ascii="Symbol" w:eastAsia="Symbol" w:hAnsi="Symbol" w:cs="Symbol" w:hint="default"/>
        <w:b w:val="0"/>
        <w:bCs w:val="0"/>
        <w:i w:val="0"/>
        <w:iCs w:val="0"/>
        <w:spacing w:val="0"/>
        <w:w w:val="100"/>
        <w:sz w:val="22"/>
        <w:szCs w:val="22"/>
        <w:lang w:val="nl-NL" w:eastAsia="en-US" w:bidi="ar-SA"/>
      </w:rPr>
    </w:lvl>
    <w:lvl w:ilvl="1" w:tplc="7F9857DE">
      <w:numFmt w:val="bullet"/>
      <w:lvlText w:val="•"/>
      <w:lvlJc w:val="left"/>
      <w:pPr>
        <w:ind w:left="2532" w:hanging="207"/>
      </w:pPr>
      <w:rPr>
        <w:rFonts w:hint="default"/>
        <w:lang w:val="nl-NL" w:eastAsia="en-US" w:bidi="ar-SA"/>
      </w:rPr>
    </w:lvl>
    <w:lvl w:ilvl="2" w:tplc="312CB1A8">
      <w:numFmt w:val="bullet"/>
      <w:lvlText w:val="•"/>
      <w:lvlJc w:val="left"/>
      <w:pPr>
        <w:ind w:left="3505" w:hanging="207"/>
      </w:pPr>
      <w:rPr>
        <w:rFonts w:hint="default"/>
        <w:lang w:val="nl-NL" w:eastAsia="en-US" w:bidi="ar-SA"/>
      </w:rPr>
    </w:lvl>
    <w:lvl w:ilvl="3" w:tplc="0568A9DA">
      <w:numFmt w:val="bullet"/>
      <w:lvlText w:val="•"/>
      <w:lvlJc w:val="left"/>
      <w:pPr>
        <w:ind w:left="4477" w:hanging="207"/>
      </w:pPr>
      <w:rPr>
        <w:rFonts w:hint="default"/>
        <w:lang w:val="nl-NL" w:eastAsia="en-US" w:bidi="ar-SA"/>
      </w:rPr>
    </w:lvl>
    <w:lvl w:ilvl="4" w:tplc="9950259C">
      <w:numFmt w:val="bullet"/>
      <w:lvlText w:val="•"/>
      <w:lvlJc w:val="left"/>
      <w:pPr>
        <w:ind w:left="5450" w:hanging="207"/>
      </w:pPr>
      <w:rPr>
        <w:rFonts w:hint="default"/>
        <w:lang w:val="nl-NL" w:eastAsia="en-US" w:bidi="ar-SA"/>
      </w:rPr>
    </w:lvl>
    <w:lvl w:ilvl="5" w:tplc="4EB009C6">
      <w:numFmt w:val="bullet"/>
      <w:lvlText w:val="•"/>
      <w:lvlJc w:val="left"/>
      <w:pPr>
        <w:ind w:left="6423" w:hanging="207"/>
      </w:pPr>
      <w:rPr>
        <w:rFonts w:hint="default"/>
        <w:lang w:val="nl-NL" w:eastAsia="en-US" w:bidi="ar-SA"/>
      </w:rPr>
    </w:lvl>
    <w:lvl w:ilvl="6" w:tplc="5D74ADFC">
      <w:numFmt w:val="bullet"/>
      <w:lvlText w:val="•"/>
      <w:lvlJc w:val="left"/>
      <w:pPr>
        <w:ind w:left="7395" w:hanging="207"/>
      </w:pPr>
      <w:rPr>
        <w:rFonts w:hint="default"/>
        <w:lang w:val="nl-NL" w:eastAsia="en-US" w:bidi="ar-SA"/>
      </w:rPr>
    </w:lvl>
    <w:lvl w:ilvl="7" w:tplc="1DAE1CF4">
      <w:numFmt w:val="bullet"/>
      <w:lvlText w:val="•"/>
      <w:lvlJc w:val="left"/>
      <w:pPr>
        <w:ind w:left="8368" w:hanging="207"/>
      </w:pPr>
      <w:rPr>
        <w:rFonts w:hint="default"/>
        <w:lang w:val="nl-NL" w:eastAsia="en-US" w:bidi="ar-SA"/>
      </w:rPr>
    </w:lvl>
    <w:lvl w:ilvl="8" w:tplc="20C0CF24">
      <w:numFmt w:val="bullet"/>
      <w:lvlText w:val="•"/>
      <w:lvlJc w:val="left"/>
      <w:pPr>
        <w:ind w:left="9341" w:hanging="207"/>
      </w:pPr>
      <w:rPr>
        <w:rFonts w:hint="default"/>
        <w:lang w:val="nl-NL" w:eastAsia="en-US" w:bidi="ar-SA"/>
      </w:rPr>
    </w:lvl>
  </w:abstractNum>
  <w:abstractNum w:abstractNumId="32" w15:restartNumberingAfterBreak="0">
    <w:nsid w:val="35C33797"/>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3" w15:restartNumberingAfterBreak="0">
    <w:nsid w:val="37A91D99"/>
    <w:multiLevelType w:val="hybridMultilevel"/>
    <w:tmpl w:val="6C4C28AC"/>
    <w:lvl w:ilvl="0" w:tplc="DC38CD30">
      <w:numFmt w:val="bullet"/>
      <w:lvlText w:val=""/>
      <w:lvlJc w:val="left"/>
      <w:pPr>
        <w:ind w:left="1565" w:hanging="567"/>
      </w:pPr>
      <w:rPr>
        <w:rFonts w:ascii="Symbol" w:eastAsia="Symbol" w:hAnsi="Symbol" w:cs="Symbol" w:hint="default"/>
        <w:b w:val="0"/>
        <w:bCs w:val="0"/>
        <w:i w:val="0"/>
        <w:iCs w:val="0"/>
        <w:spacing w:val="0"/>
        <w:w w:val="100"/>
        <w:sz w:val="22"/>
        <w:szCs w:val="22"/>
        <w:lang w:val="nl-NL" w:eastAsia="en-US" w:bidi="ar-SA"/>
      </w:rPr>
    </w:lvl>
    <w:lvl w:ilvl="1" w:tplc="42E25252">
      <w:numFmt w:val="bullet"/>
      <w:lvlText w:val="•"/>
      <w:lvlJc w:val="left"/>
      <w:pPr>
        <w:ind w:left="2532" w:hanging="567"/>
      </w:pPr>
      <w:rPr>
        <w:rFonts w:hint="default"/>
        <w:lang w:val="nl-NL" w:eastAsia="en-US" w:bidi="ar-SA"/>
      </w:rPr>
    </w:lvl>
    <w:lvl w:ilvl="2" w:tplc="8388A0A8">
      <w:numFmt w:val="bullet"/>
      <w:lvlText w:val="•"/>
      <w:lvlJc w:val="left"/>
      <w:pPr>
        <w:ind w:left="3505" w:hanging="567"/>
      </w:pPr>
      <w:rPr>
        <w:rFonts w:hint="default"/>
        <w:lang w:val="nl-NL" w:eastAsia="en-US" w:bidi="ar-SA"/>
      </w:rPr>
    </w:lvl>
    <w:lvl w:ilvl="3" w:tplc="C84A6180">
      <w:numFmt w:val="bullet"/>
      <w:lvlText w:val="•"/>
      <w:lvlJc w:val="left"/>
      <w:pPr>
        <w:ind w:left="4477" w:hanging="567"/>
      </w:pPr>
      <w:rPr>
        <w:rFonts w:hint="default"/>
        <w:lang w:val="nl-NL" w:eastAsia="en-US" w:bidi="ar-SA"/>
      </w:rPr>
    </w:lvl>
    <w:lvl w:ilvl="4" w:tplc="D452D248">
      <w:numFmt w:val="bullet"/>
      <w:lvlText w:val="•"/>
      <w:lvlJc w:val="left"/>
      <w:pPr>
        <w:ind w:left="5450" w:hanging="567"/>
      </w:pPr>
      <w:rPr>
        <w:rFonts w:hint="default"/>
        <w:lang w:val="nl-NL" w:eastAsia="en-US" w:bidi="ar-SA"/>
      </w:rPr>
    </w:lvl>
    <w:lvl w:ilvl="5" w:tplc="B88E9866">
      <w:numFmt w:val="bullet"/>
      <w:lvlText w:val="•"/>
      <w:lvlJc w:val="left"/>
      <w:pPr>
        <w:ind w:left="6423" w:hanging="567"/>
      </w:pPr>
      <w:rPr>
        <w:rFonts w:hint="default"/>
        <w:lang w:val="nl-NL" w:eastAsia="en-US" w:bidi="ar-SA"/>
      </w:rPr>
    </w:lvl>
    <w:lvl w:ilvl="6" w:tplc="04A80E66">
      <w:numFmt w:val="bullet"/>
      <w:lvlText w:val="•"/>
      <w:lvlJc w:val="left"/>
      <w:pPr>
        <w:ind w:left="7395" w:hanging="567"/>
      </w:pPr>
      <w:rPr>
        <w:rFonts w:hint="default"/>
        <w:lang w:val="nl-NL" w:eastAsia="en-US" w:bidi="ar-SA"/>
      </w:rPr>
    </w:lvl>
    <w:lvl w:ilvl="7" w:tplc="CE622F82">
      <w:numFmt w:val="bullet"/>
      <w:lvlText w:val="•"/>
      <w:lvlJc w:val="left"/>
      <w:pPr>
        <w:ind w:left="8368" w:hanging="567"/>
      </w:pPr>
      <w:rPr>
        <w:rFonts w:hint="default"/>
        <w:lang w:val="nl-NL" w:eastAsia="en-US" w:bidi="ar-SA"/>
      </w:rPr>
    </w:lvl>
    <w:lvl w:ilvl="8" w:tplc="1EFE7BCA">
      <w:numFmt w:val="bullet"/>
      <w:lvlText w:val="•"/>
      <w:lvlJc w:val="left"/>
      <w:pPr>
        <w:ind w:left="9341" w:hanging="567"/>
      </w:pPr>
      <w:rPr>
        <w:rFonts w:hint="default"/>
        <w:lang w:val="nl-NL" w:eastAsia="en-US" w:bidi="ar-SA"/>
      </w:rPr>
    </w:lvl>
  </w:abstractNum>
  <w:abstractNum w:abstractNumId="34" w15:restartNumberingAfterBreak="0">
    <w:nsid w:val="382511A0"/>
    <w:multiLevelType w:val="hybridMultilevel"/>
    <w:tmpl w:val="92FE7F0C"/>
    <w:lvl w:ilvl="0" w:tplc="6C3E038E">
      <w:numFmt w:val="bullet"/>
      <w:lvlText w:val=""/>
      <w:lvlJc w:val="left"/>
      <w:pPr>
        <w:ind w:left="1564" w:hanging="567"/>
      </w:pPr>
      <w:rPr>
        <w:rFonts w:ascii="Symbol" w:eastAsia="Symbol" w:hAnsi="Symbol" w:cs="Symbol" w:hint="default"/>
        <w:b w:val="0"/>
        <w:bCs w:val="0"/>
        <w:i w:val="0"/>
        <w:iCs w:val="0"/>
        <w:spacing w:val="0"/>
        <w:w w:val="100"/>
        <w:sz w:val="22"/>
        <w:szCs w:val="22"/>
        <w:lang w:val="nl-NL" w:eastAsia="en-US" w:bidi="ar-SA"/>
      </w:rPr>
    </w:lvl>
    <w:lvl w:ilvl="1" w:tplc="9E407380">
      <w:numFmt w:val="bullet"/>
      <w:lvlText w:val="•"/>
      <w:lvlJc w:val="left"/>
      <w:pPr>
        <w:ind w:left="2532" w:hanging="567"/>
      </w:pPr>
      <w:rPr>
        <w:rFonts w:hint="default"/>
        <w:lang w:val="nl-NL" w:eastAsia="en-US" w:bidi="ar-SA"/>
      </w:rPr>
    </w:lvl>
    <w:lvl w:ilvl="2" w:tplc="72AED64E">
      <w:numFmt w:val="bullet"/>
      <w:lvlText w:val="•"/>
      <w:lvlJc w:val="left"/>
      <w:pPr>
        <w:ind w:left="3505" w:hanging="567"/>
      </w:pPr>
      <w:rPr>
        <w:rFonts w:hint="default"/>
        <w:lang w:val="nl-NL" w:eastAsia="en-US" w:bidi="ar-SA"/>
      </w:rPr>
    </w:lvl>
    <w:lvl w:ilvl="3" w:tplc="153ABF36">
      <w:numFmt w:val="bullet"/>
      <w:lvlText w:val="•"/>
      <w:lvlJc w:val="left"/>
      <w:pPr>
        <w:ind w:left="4477" w:hanging="567"/>
      </w:pPr>
      <w:rPr>
        <w:rFonts w:hint="default"/>
        <w:lang w:val="nl-NL" w:eastAsia="en-US" w:bidi="ar-SA"/>
      </w:rPr>
    </w:lvl>
    <w:lvl w:ilvl="4" w:tplc="31A4E932">
      <w:numFmt w:val="bullet"/>
      <w:lvlText w:val="•"/>
      <w:lvlJc w:val="left"/>
      <w:pPr>
        <w:ind w:left="5450" w:hanging="567"/>
      </w:pPr>
      <w:rPr>
        <w:rFonts w:hint="default"/>
        <w:lang w:val="nl-NL" w:eastAsia="en-US" w:bidi="ar-SA"/>
      </w:rPr>
    </w:lvl>
    <w:lvl w:ilvl="5" w:tplc="A682322A">
      <w:numFmt w:val="bullet"/>
      <w:lvlText w:val="•"/>
      <w:lvlJc w:val="left"/>
      <w:pPr>
        <w:ind w:left="6423" w:hanging="567"/>
      </w:pPr>
      <w:rPr>
        <w:rFonts w:hint="default"/>
        <w:lang w:val="nl-NL" w:eastAsia="en-US" w:bidi="ar-SA"/>
      </w:rPr>
    </w:lvl>
    <w:lvl w:ilvl="6" w:tplc="F2960A86">
      <w:numFmt w:val="bullet"/>
      <w:lvlText w:val="•"/>
      <w:lvlJc w:val="left"/>
      <w:pPr>
        <w:ind w:left="7395" w:hanging="567"/>
      </w:pPr>
      <w:rPr>
        <w:rFonts w:hint="default"/>
        <w:lang w:val="nl-NL" w:eastAsia="en-US" w:bidi="ar-SA"/>
      </w:rPr>
    </w:lvl>
    <w:lvl w:ilvl="7" w:tplc="0560B4C4">
      <w:numFmt w:val="bullet"/>
      <w:lvlText w:val="•"/>
      <w:lvlJc w:val="left"/>
      <w:pPr>
        <w:ind w:left="8368" w:hanging="567"/>
      </w:pPr>
      <w:rPr>
        <w:rFonts w:hint="default"/>
        <w:lang w:val="nl-NL" w:eastAsia="en-US" w:bidi="ar-SA"/>
      </w:rPr>
    </w:lvl>
    <w:lvl w:ilvl="8" w:tplc="58FAE89E">
      <w:numFmt w:val="bullet"/>
      <w:lvlText w:val="•"/>
      <w:lvlJc w:val="left"/>
      <w:pPr>
        <w:ind w:left="9341" w:hanging="567"/>
      </w:pPr>
      <w:rPr>
        <w:rFonts w:hint="default"/>
        <w:lang w:val="nl-NL" w:eastAsia="en-US" w:bidi="ar-SA"/>
      </w:rPr>
    </w:lvl>
  </w:abstractNum>
  <w:abstractNum w:abstractNumId="35" w15:restartNumberingAfterBreak="0">
    <w:nsid w:val="3850193E"/>
    <w:multiLevelType w:val="hybridMultilevel"/>
    <w:tmpl w:val="2834AC40"/>
    <w:lvl w:ilvl="0" w:tplc="9B128C9C">
      <w:start w:val="1"/>
      <w:numFmt w:val="decimal"/>
      <w:lvlText w:val="%1."/>
      <w:lvlJc w:val="left"/>
      <w:pPr>
        <w:ind w:left="1565" w:hanging="567"/>
      </w:pPr>
      <w:rPr>
        <w:rFonts w:ascii="Times New Roman" w:eastAsia="Times New Roman" w:hAnsi="Times New Roman" w:cs="Times New Roman" w:hint="default"/>
        <w:b w:val="0"/>
        <w:bCs w:val="0"/>
        <w:i w:val="0"/>
        <w:iCs w:val="0"/>
        <w:spacing w:val="0"/>
        <w:w w:val="100"/>
        <w:sz w:val="22"/>
        <w:szCs w:val="22"/>
        <w:lang w:val="nl-NL" w:eastAsia="en-US" w:bidi="ar-SA"/>
      </w:rPr>
    </w:lvl>
    <w:lvl w:ilvl="1" w:tplc="CC2C445A">
      <w:numFmt w:val="bullet"/>
      <w:lvlText w:val="•"/>
      <w:lvlJc w:val="left"/>
      <w:pPr>
        <w:ind w:left="2532" w:hanging="567"/>
      </w:pPr>
      <w:rPr>
        <w:rFonts w:hint="default"/>
        <w:lang w:val="nl-NL" w:eastAsia="en-US" w:bidi="ar-SA"/>
      </w:rPr>
    </w:lvl>
    <w:lvl w:ilvl="2" w:tplc="BE767084">
      <w:numFmt w:val="bullet"/>
      <w:lvlText w:val="•"/>
      <w:lvlJc w:val="left"/>
      <w:pPr>
        <w:ind w:left="3505" w:hanging="567"/>
      </w:pPr>
      <w:rPr>
        <w:rFonts w:hint="default"/>
        <w:lang w:val="nl-NL" w:eastAsia="en-US" w:bidi="ar-SA"/>
      </w:rPr>
    </w:lvl>
    <w:lvl w:ilvl="3" w:tplc="01B01E94">
      <w:numFmt w:val="bullet"/>
      <w:lvlText w:val="•"/>
      <w:lvlJc w:val="left"/>
      <w:pPr>
        <w:ind w:left="4477" w:hanging="567"/>
      </w:pPr>
      <w:rPr>
        <w:rFonts w:hint="default"/>
        <w:lang w:val="nl-NL" w:eastAsia="en-US" w:bidi="ar-SA"/>
      </w:rPr>
    </w:lvl>
    <w:lvl w:ilvl="4" w:tplc="6E948538">
      <w:numFmt w:val="bullet"/>
      <w:lvlText w:val="•"/>
      <w:lvlJc w:val="left"/>
      <w:pPr>
        <w:ind w:left="5450" w:hanging="567"/>
      </w:pPr>
      <w:rPr>
        <w:rFonts w:hint="default"/>
        <w:lang w:val="nl-NL" w:eastAsia="en-US" w:bidi="ar-SA"/>
      </w:rPr>
    </w:lvl>
    <w:lvl w:ilvl="5" w:tplc="19E60286">
      <w:numFmt w:val="bullet"/>
      <w:lvlText w:val="•"/>
      <w:lvlJc w:val="left"/>
      <w:pPr>
        <w:ind w:left="6423" w:hanging="567"/>
      </w:pPr>
      <w:rPr>
        <w:rFonts w:hint="default"/>
        <w:lang w:val="nl-NL" w:eastAsia="en-US" w:bidi="ar-SA"/>
      </w:rPr>
    </w:lvl>
    <w:lvl w:ilvl="6" w:tplc="0750D4BA">
      <w:numFmt w:val="bullet"/>
      <w:lvlText w:val="•"/>
      <w:lvlJc w:val="left"/>
      <w:pPr>
        <w:ind w:left="7395" w:hanging="567"/>
      </w:pPr>
      <w:rPr>
        <w:rFonts w:hint="default"/>
        <w:lang w:val="nl-NL" w:eastAsia="en-US" w:bidi="ar-SA"/>
      </w:rPr>
    </w:lvl>
    <w:lvl w:ilvl="7" w:tplc="7A28EB56">
      <w:numFmt w:val="bullet"/>
      <w:lvlText w:val="•"/>
      <w:lvlJc w:val="left"/>
      <w:pPr>
        <w:ind w:left="8368" w:hanging="567"/>
      </w:pPr>
      <w:rPr>
        <w:rFonts w:hint="default"/>
        <w:lang w:val="nl-NL" w:eastAsia="en-US" w:bidi="ar-SA"/>
      </w:rPr>
    </w:lvl>
    <w:lvl w:ilvl="8" w:tplc="F042B08A">
      <w:numFmt w:val="bullet"/>
      <w:lvlText w:val="•"/>
      <w:lvlJc w:val="left"/>
      <w:pPr>
        <w:ind w:left="9341" w:hanging="567"/>
      </w:pPr>
      <w:rPr>
        <w:rFonts w:hint="default"/>
        <w:lang w:val="nl-NL" w:eastAsia="en-US" w:bidi="ar-SA"/>
      </w:rPr>
    </w:lvl>
  </w:abstractNum>
  <w:abstractNum w:abstractNumId="36" w15:restartNumberingAfterBreak="0">
    <w:nsid w:val="38DC1746"/>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7" w15:restartNumberingAfterBreak="0">
    <w:nsid w:val="3A0508C6"/>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8" w15:restartNumberingAfterBreak="0">
    <w:nsid w:val="3A587CDB"/>
    <w:multiLevelType w:val="hybridMultilevel"/>
    <w:tmpl w:val="6F0EFBF4"/>
    <w:lvl w:ilvl="0" w:tplc="84948E9A">
      <w:start w:val="1"/>
      <w:numFmt w:val="decimal"/>
      <w:lvlText w:val="%1."/>
      <w:lvlJc w:val="left"/>
      <w:pPr>
        <w:ind w:left="1565" w:hanging="567"/>
      </w:pPr>
      <w:rPr>
        <w:rFonts w:ascii="Times New Roman" w:eastAsia="Times New Roman" w:hAnsi="Times New Roman" w:cs="Times New Roman" w:hint="default"/>
        <w:b/>
        <w:bCs/>
        <w:i w:val="0"/>
        <w:iCs w:val="0"/>
        <w:spacing w:val="0"/>
        <w:w w:val="100"/>
        <w:sz w:val="22"/>
        <w:szCs w:val="22"/>
        <w:lang w:val="nl-NL" w:eastAsia="en-US" w:bidi="ar-SA"/>
      </w:rPr>
    </w:lvl>
    <w:lvl w:ilvl="1" w:tplc="10BEB460">
      <w:numFmt w:val="bullet"/>
      <w:lvlText w:val=""/>
      <w:lvlJc w:val="left"/>
      <w:pPr>
        <w:ind w:left="1565" w:hanging="425"/>
      </w:pPr>
      <w:rPr>
        <w:rFonts w:ascii="Symbol" w:eastAsia="Symbol" w:hAnsi="Symbol" w:cs="Symbol" w:hint="default"/>
        <w:b w:val="0"/>
        <w:bCs w:val="0"/>
        <w:i w:val="0"/>
        <w:iCs w:val="0"/>
        <w:spacing w:val="0"/>
        <w:w w:val="100"/>
        <w:sz w:val="22"/>
        <w:szCs w:val="22"/>
        <w:lang w:val="nl-NL" w:eastAsia="en-US" w:bidi="ar-SA"/>
      </w:rPr>
    </w:lvl>
    <w:lvl w:ilvl="2" w:tplc="693A5C3A">
      <w:numFmt w:val="bullet"/>
      <w:lvlText w:val="•"/>
      <w:lvlJc w:val="left"/>
      <w:pPr>
        <w:ind w:left="2640" w:hanging="425"/>
      </w:pPr>
      <w:rPr>
        <w:rFonts w:hint="default"/>
        <w:lang w:val="nl-NL" w:eastAsia="en-US" w:bidi="ar-SA"/>
      </w:rPr>
    </w:lvl>
    <w:lvl w:ilvl="3" w:tplc="B694D672">
      <w:numFmt w:val="bullet"/>
      <w:lvlText w:val="•"/>
      <w:lvlJc w:val="left"/>
      <w:pPr>
        <w:ind w:left="3721" w:hanging="425"/>
      </w:pPr>
      <w:rPr>
        <w:rFonts w:hint="default"/>
        <w:lang w:val="nl-NL" w:eastAsia="en-US" w:bidi="ar-SA"/>
      </w:rPr>
    </w:lvl>
    <w:lvl w:ilvl="4" w:tplc="915CE0D0">
      <w:numFmt w:val="bullet"/>
      <w:lvlText w:val="•"/>
      <w:lvlJc w:val="left"/>
      <w:pPr>
        <w:ind w:left="4802" w:hanging="425"/>
      </w:pPr>
      <w:rPr>
        <w:rFonts w:hint="default"/>
        <w:lang w:val="nl-NL" w:eastAsia="en-US" w:bidi="ar-SA"/>
      </w:rPr>
    </w:lvl>
    <w:lvl w:ilvl="5" w:tplc="1E1A4A2C">
      <w:numFmt w:val="bullet"/>
      <w:lvlText w:val="•"/>
      <w:lvlJc w:val="left"/>
      <w:pPr>
        <w:ind w:left="5882" w:hanging="425"/>
      </w:pPr>
      <w:rPr>
        <w:rFonts w:hint="default"/>
        <w:lang w:val="nl-NL" w:eastAsia="en-US" w:bidi="ar-SA"/>
      </w:rPr>
    </w:lvl>
    <w:lvl w:ilvl="6" w:tplc="06A09CA4">
      <w:numFmt w:val="bullet"/>
      <w:lvlText w:val="•"/>
      <w:lvlJc w:val="left"/>
      <w:pPr>
        <w:ind w:left="6963" w:hanging="425"/>
      </w:pPr>
      <w:rPr>
        <w:rFonts w:hint="default"/>
        <w:lang w:val="nl-NL" w:eastAsia="en-US" w:bidi="ar-SA"/>
      </w:rPr>
    </w:lvl>
    <w:lvl w:ilvl="7" w:tplc="C122ED02">
      <w:numFmt w:val="bullet"/>
      <w:lvlText w:val="•"/>
      <w:lvlJc w:val="left"/>
      <w:pPr>
        <w:ind w:left="8044" w:hanging="425"/>
      </w:pPr>
      <w:rPr>
        <w:rFonts w:hint="default"/>
        <w:lang w:val="nl-NL" w:eastAsia="en-US" w:bidi="ar-SA"/>
      </w:rPr>
    </w:lvl>
    <w:lvl w:ilvl="8" w:tplc="0EF08D8C">
      <w:numFmt w:val="bullet"/>
      <w:lvlText w:val="•"/>
      <w:lvlJc w:val="left"/>
      <w:pPr>
        <w:ind w:left="9124" w:hanging="425"/>
      </w:pPr>
      <w:rPr>
        <w:rFonts w:hint="default"/>
        <w:lang w:val="nl-NL" w:eastAsia="en-US" w:bidi="ar-SA"/>
      </w:rPr>
    </w:lvl>
  </w:abstractNum>
  <w:abstractNum w:abstractNumId="39" w15:restartNumberingAfterBreak="0">
    <w:nsid w:val="3BCB2D01"/>
    <w:multiLevelType w:val="hybridMultilevel"/>
    <w:tmpl w:val="13BED83C"/>
    <w:lvl w:ilvl="0" w:tplc="0B02CCB0">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C7762FB"/>
    <w:multiLevelType w:val="hybridMultilevel"/>
    <w:tmpl w:val="1C28B5C4"/>
    <w:lvl w:ilvl="0" w:tplc="B2526330">
      <w:numFmt w:val="bullet"/>
      <w:lvlText w:val=""/>
      <w:lvlJc w:val="left"/>
      <w:pPr>
        <w:ind w:left="1564" w:hanging="567"/>
      </w:pPr>
      <w:rPr>
        <w:rFonts w:ascii="Symbol" w:eastAsia="Symbol" w:hAnsi="Symbol" w:cs="Symbol" w:hint="default"/>
        <w:b w:val="0"/>
        <w:bCs w:val="0"/>
        <w:i w:val="0"/>
        <w:iCs w:val="0"/>
        <w:spacing w:val="0"/>
        <w:w w:val="100"/>
        <w:sz w:val="22"/>
        <w:szCs w:val="22"/>
        <w:lang w:val="nl-NL" w:eastAsia="en-US" w:bidi="ar-SA"/>
      </w:rPr>
    </w:lvl>
    <w:lvl w:ilvl="1" w:tplc="AF2A8578">
      <w:numFmt w:val="bullet"/>
      <w:lvlText w:val="•"/>
      <w:lvlJc w:val="left"/>
      <w:pPr>
        <w:ind w:left="2532" w:hanging="567"/>
      </w:pPr>
      <w:rPr>
        <w:rFonts w:hint="default"/>
        <w:lang w:val="nl-NL" w:eastAsia="en-US" w:bidi="ar-SA"/>
      </w:rPr>
    </w:lvl>
    <w:lvl w:ilvl="2" w:tplc="D2FCC7B4">
      <w:numFmt w:val="bullet"/>
      <w:lvlText w:val="•"/>
      <w:lvlJc w:val="left"/>
      <w:pPr>
        <w:ind w:left="3505" w:hanging="567"/>
      </w:pPr>
      <w:rPr>
        <w:rFonts w:hint="default"/>
        <w:lang w:val="nl-NL" w:eastAsia="en-US" w:bidi="ar-SA"/>
      </w:rPr>
    </w:lvl>
    <w:lvl w:ilvl="3" w:tplc="F45609E8">
      <w:numFmt w:val="bullet"/>
      <w:lvlText w:val="•"/>
      <w:lvlJc w:val="left"/>
      <w:pPr>
        <w:ind w:left="4477" w:hanging="567"/>
      </w:pPr>
      <w:rPr>
        <w:rFonts w:hint="default"/>
        <w:lang w:val="nl-NL" w:eastAsia="en-US" w:bidi="ar-SA"/>
      </w:rPr>
    </w:lvl>
    <w:lvl w:ilvl="4" w:tplc="8D70A928">
      <w:numFmt w:val="bullet"/>
      <w:lvlText w:val="•"/>
      <w:lvlJc w:val="left"/>
      <w:pPr>
        <w:ind w:left="5450" w:hanging="567"/>
      </w:pPr>
      <w:rPr>
        <w:rFonts w:hint="default"/>
        <w:lang w:val="nl-NL" w:eastAsia="en-US" w:bidi="ar-SA"/>
      </w:rPr>
    </w:lvl>
    <w:lvl w:ilvl="5" w:tplc="F1563406">
      <w:numFmt w:val="bullet"/>
      <w:lvlText w:val="•"/>
      <w:lvlJc w:val="left"/>
      <w:pPr>
        <w:ind w:left="6423" w:hanging="567"/>
      </w:pPr>
      <w:rPr>
        <w:rFonts w:hint="default"/>
        <w:lang w:val="nl-NL" w:eastAsia="en-US" w:bidi="ar-SA"/>
      </w:rPr>
    </w:lvl>
    <w:lvl w:ilvl="6" w:tplc="3252CB6C">
      <w:numFmt w:val="bullet"/>
      <w:lvlText w:val="•"/>
      <w:lvlJc w:val="left"/>
      <w:pPr>
        <w:ind w:left="7395" w:hanging="567"/>
      </w:pPr>
      <w:rPr>
        <w:rFonts w:hint="default"/>
        <w:lang w:val="nl-NL" w:eastAsia="en-US" w:bidi="ar-SA"/>
      </w:rPr>
    </w:lvl>
    <w:lvl w:ilvl="7" w:tplc="6632FE6E">
      <w:numFmt w:val="bullet"/>
      <w:lvlText w:val="•"/>
      <w:lvlJc w:val="left"/>
      <w:pPr>
        <w:ind w:left="8368" w:hanging="567"/>
      </w:pPr>
      <w:rPr>
        <w:rFonts w:hint="default"/>
        <w:lang w:val="nl-NL" w:eastAsia="en-US" w:bidi="ar-SA"/>
      </w:rPr>
    </w:lvl>
    <w:lvl w:ilvl="8" w:tplc="876E0004">
      <w:numFmt w:val="bullet"/>
      <w:lvlText w:val="•"/>
      <w:lvlJc w:val="left"/>
      <w:pPr>
        <w:ind w:left="9341" w:hanging="567"/>
      </w:pPr>
      <w:rPr>
        <w:rFonts w:hint="default"/>
        <w:lang w:val="nl-NL" w:eastAsia="en-US" w:bidi="ar-SA"/>
      </w:rPr>
    </w:lvl>
  </w:abstractNum>
  <w:abstractNum w:abstractNumId="41" w15:restartNumberingAfterBreak="0">
    <w:nsid w:val="3D553273"/>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2" w15:restartNumberingAfterBreak="0">
    <w:nsid w:val="41C200DB"/>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3" w15:restartNumberingAfterBreak="0">
    <w:nsid w:val="43321DF9"/>
    <w:multiLevelType w:val="hybridMultilevel"/>
    <w:tmpl w:val="08F023EC"/>
    <w:lvl w:ilvl="0" w:tplc="04090001">
      <w:start w:val="1"/>
      <w:numFmt w:val="bullet"/>
      <w:lvlText w:val=""/>
      <w:lvlJc w:val="left"/>
      <w:pPr>
        <w:ind w:left="722" w:hanging="360"/>
      </w:pPr>
      <w:rPr>
        <w:rFonts w:ascii="Symbol" w:hAnsi="Symbol" w:hint="default"/>
      </w:rPr>
    </w:lvl>
    <w:lvl w:ilvl="1" w:tplc="04130003" w:tentative="1">
      <w:start w:val="1"/>
      <w:numFmt w:val="bullet"/>
      <w:lvlText w:val="o"/>
      <w:lvlJc w:val="left"/>
      <w:pPr>
        <w:ind w:left="1442" w:hanging="360"/>
      </w:pPr>
      <w:rPr>
        <w:rFonts w:ascii="Courier New" w:hAnsi="Courier New" w:cs="Courier New" w:hint="default"/>
      </w:rPr>
    </w:lvl>
    <w:lvl w:ilvl="2" w:tplc="04130005" w:tentative="1">
      <w:start w:val="1"/>
      <w:numFmt w:val="bullet"/>
      <w:lvlText w:val=""/>
      <w:lvlJc w:val="left"/>
      <w:pPr>
        <w:ind w:left="2162" w:hanging="360"/>
      </w:pPr>
      <w:rPr>
        <w:rFonts w:ascii="Wingdings" w:hAnsi="Wingdings" w:hint="default"/>
      </w:rPr>
    </w:lvl>
    <w:lvl w:ilvl="3" w:tplc="04130001">
      <w:start w:val="1"/>
      <w:numFmt w:val="bullet"/>
      <w:lvlText w:val=""/>
      <w:lvlJc w:val="left"/>
      <w:pPr>
        <w:ind w:left="2882" w:hanging="360"/>
      </w:pPr>
      <w:rPr>
        <w:rFonts w:ascii="Symbol" w:hAnsi="Symbol" w:hint="default"/>
      </w:rPr>
    </w:lvl>
    <w:lvl w:ilvl="4" w:tplc="04130003" w:tentative="1">
      <w:start w:val="1"/>
      <w:numFmt w:val="bullet"/>
      <w:lvlText w:val="o"/>
      <w:lvlJc w:val="left"/>
      <w:pPr>
        <w:ind w:left="3602" w:hanging="360"/>
      </w:pPr>
      <w:rPr>
        <w:rFonts w:ascii="Courier New" w:hAnsi="Courier New" w:cs="Courier New" w:hint="default"/>
      </w:rPr>
    </w:lvl>
    <w:lvl w:ilvl="5" w:tplc="04130005" w:tentative="1">
      <w:start w:val="1"/>
      <w:numFmt w:val="bullet"/>
      <w:lvlText w:val=""/>
      <w:lvlJc w:val="left"/>
      <w:pPr>
        <w:ind w:left="4322" w:hanging="360"/>
      </w:pPr>
      <w:rPr>
        <w:rFonts w:ascii="Wingdings" w:hAnsi="Wingdings" w:hint="default"/>
      </w:rPr>
    </w:lvl>
    <w:lvl w:ilvl="6" w:tplc="04130001" w:tentative="1">
      <w:start w:val="1"/>
      <w:numFmt w:val="bullet"/>
      <w:lvlText w:val=""/>
      <w:lvlJc w:val="left"/>
      <w:pPr>
        <w:ind w:left="5042" w:hanging="360"/>
      </w:pPr>
      <w:rPr>
        <w:rFonts w:ascii="Symbol" w:hAnsi="Symbol" w:hint="default"/>
      </w:rPr>
    </w:lvl>
    <w:lvl w:ilvl="7" w:tplc="04130003" w:tentative="1">
      <w:start w:val="1"/>
      <w:numFmt w:val="bullet"/>
      <w:lvlText w:val="o"/>
      <w:lvlJc w:val="left"/>
      <w:pPr>
        <w:ind w:left="5762" w:hanging="360"/>
      </w:pPr>
      <w:rPr>
        <w:rFonts w:ascii="Courier New" w:hAnsi="Courier New" w:cs="Courier New" w:hint="default"/>
      </w:rPr>
    </w:lvl>
    <w:lvl w:ilvl="8" w:tplc="04130005" w:tentative="1">
      <w:start w:val="1"/>
      <w:numFmt w:val="bullet"/>
      <w:lvlText w:val=""/>
      <w:lvlJc w:val="left"/>
      <w:pPr>
        <w:ind w:left="6482" w:hanging="360"/>
      </w:pPr>
      <w:rPr>
        <w:rFonts w:ascii="Wingdings" w:hAnsi="Wingdings" w:hint="default"/>
      </w:rPr>
    </w:lvl>
  </w:abstractNum>
  <w:abstractNum w:abstractNumId="44" w15:restartNumberingAfterBreak="0">
    <w:nsid w:val="467A033D"/>
    <w:multiLevelType w:val="hybridMultilevel"/>
    <w:tmpl w:val="BC3612A8"/>
    <w:lvl w:ilvl="0" w:tplc="F91402B4">
      <w:start w:val="1"/>
      <w:numFmt w:val="decimal"/>
      <w:lvlText w:val="%1."/>
      <w:lvlJc w:val="left"/>
      <w:pPr>
        <w:ind w:left="998" w:hanging="183"/>
      </w:pPr>
      <w:rPr>
        <w:rFonts w:ascii="Times New Roman" w:eastAsia="Times New Roman" w:hAnsi="Times New Roman" w:cs="Times New Roman" w:hint="default"/>
        <w:b w:val="0"/>
        <w:bCs w:val="0"/>
        <w:i w:val="0"/>
        <w:iCs w:val="0"/>
        <w:spacing w:val="0"/>
        <w:w w:val="100"/>
        <w:sz w:val="18"/>
        <w:szCs w:val="18"/>
        <w:lang w:val="nl-NL" w:eastAsia="en-US" w:bidi="ar-SA"/>
      </w:rPr>
    </w:lvl>
    <w:lvl w:ilvl="1" w:tplc="0C4E8F38">
      <w:numFmt w:val="bullet"/>
      <w:lvlText w:val="•"/>
      <w:lvlJc w:val="left"/>
      <w:pPr>
        <w:ind w:left="2028" w:hanging="183"/>
      </w:pPr>
      <w:rPr>
        <w:rFonts w:hint="default"/>
        <w:lang w:val="nl-NL" w:eastAsia="en-US" w:bidi="ar-SA"/>
      </w:rPr>
    </w:lvl>
    <w:lvl w:ilvl="2" w:tplc="F50A1FDC">
      <w:numFmt w:val="bullet"/>
      <w:lvlText w:val="•"/>
      <w:lvlJc w:val="left"/>
      <w:pPr>
        <w:ind w:left="3057" w:hanging="183"/>
      </w:pPr>
      <w:rPr>
        <w:rFonts w:hint="default"/>
        <w:lang w:val="nl-NL" w:eastAsia="en-US" w:bidi="ar-SA"/>
      </w:rPr>
    </w:lvl>
    <w:lvl w:ilvl="3" w:tplc="B8982C6C">
      <w:numFmt w:val="bullet"/>
      <w:lvlText w:val="•"/>
      <w:lvlJc w:val="left"/>
      <w:pPr>
        <w:ind w:left="4085" w:hanging="183"/>
      </w:pPr>
      <w:rPr>
        <w:rFonts w:hint="default"/>
        <w:lang w:val="nl-NL" w:eastAsia="en-US" w:bidi="ar-SA"/>
      </w:rPr>
    </w:lvl>
    <w:lvl w:ilvl="4" w:tplc="9F805EA8">
      <w:numFmt w:val="bullet"/>
      <w:lvlText w:val="•"/>
      <w:lvlJc w:val="left"/>
      <w:pPr>
        <w:ind w:left="5114" w:hanging="183"/>
      </w:pPr>
      <w:rPr>
        <w:rFonts w:hint="default"/>
        <w:lang w:val="nl-NL" w:eastAsia="en-US" w:bidi="ar-SA"/>
      </w:rPr>
    </w:lvl>
    <w:lvl w:ilvl="5" w:tplc="A6407AC4">
      <w:numFmt w:val="bullet"/>
      <w:lvlText w:val="•"/>
      <w:lvlJc w:val="left"/>
      <w:pPr>
        <w:ind w:left="6143" w:hanging="183"/>
      </w:pPr>
      <w:rPr>
        <w:rFonts w:hint="default"/>
        <w:lang w:val="nl-NL" w:eastAsia="en-US" w:bidi="ar-SA"/>
      </w:rPr>
    </w:lvl>
    <w:lvl w:ilvl="6" w:tplc="41F852EC">
      <w:numFmt w:val="bullet"/>
      <w:lvlText w:val="•"/>
      <w:lvlJc w:val="left"/>
      <w:pPr>
        <w:ind w:left="7171" w:hanging="183"/>
      </w:pPr>
      <w:rPr>
        <w:rFonts w:hint="default"/>
        <w:lang w:val="nl-NL" w:eastAsia="en-US" w:bidi="ar-SA"/>
      </w:rPr>
    </w:lvl>
    <w:lvl w:ilvl="7" w:tplc="980A2D8E">
      <w:numFmt w:val="bullet"/>
      <w:lvlText w:val="•"/>
      <w:lvlJc w:val="left"/>
      <w:pPr>
        <w:ind w:left="8200" w:hanging="183"/>
      </w:pPr>
      <w:rPr>
        <w:rFonts w:hint="default"/>
        <w:lang w:val="nl-NL" w:eastAsia="en-US" w:bidi="ar-SA"/>
      </w:rPr>
    </w:lvl>
    <w:lvl w:ilvl="8" w:tplc="FDF67EC6">
      <w:numFmt w:val="bullet"/>
      <w:lvlText w:val="•"/>
      <w:lvlJc w:val="left"/>
      <w:pPr>
        <w:ind w:left="9229" w:hanging="183"/>
      </w:pPr>
      <w:rPr>
        <w:rFonts w:hint="default"/>
        <w:lang w:val="nl-NL" w:eastAsia="en-US" w:bidi="ar-SA"/>
      </w:rPr>
    </w:lvl>
  </w:abstractNum>
  <w:abstractNum w:abstractNumId="45" w15:restartNumberingAfterBreak="0">
    <w:nsid w:val="483C758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6" w15:restartNumberingAfterBreak="0">
    <w:nsid w:val="49881D0A"/>
    <w:multiLevelType w:val="hybridMultilevel"/>
    <w:tmpl w:val="2FE830D8"/>
    <w:lvl w:ilvl="0" w:tplc="FFFFFFFF">
      <w:start w:val="1"/>
      <w:numFmt w:val="lowerLetter"/>
      <w:lvlText w:val="%1."/>
      <w:lvlJc w:val="left"/>
      <w:pPr>
        <w:ind w:left="831" w:hanging="360"/>
      </w:pPr>
      <w:rPr>
        <w:rFonts w:ascii="Times New Roman" w:hAnsi="Times New Roman" w:cs="Times New Roman" w:hint="default"/>
        <w:b/>
      </w:rPr>
    </w:lvl>
    <w:lvl w:ilvl="1" w:tplc="FFFFFFFF">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47" w15:restartNumberingAfterBreak="0">
    <w:nsid w:val="4C551859"/>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8" w15:restartNumberingAfterBreak="0">
    <w:nsid w:val="4CC0175C"/>
    <w:multiLevelType w:val="hybridMultilevel"/>
    <w:tmpl w:val="BC547514"/>
    <w:lvl w:ilvl="0" w:tplc="4CA0F288">
      <w:start w:val="1"/>
      <w:numFmt w:val="bullet"/>
      <w:lvlText w:val=""/>
      <w:lvlJc w:val="left"/>
      <w:pPr>
        <w:ind w:left="360" w:hanging="360"/>
      </w:pPr>
      <w:rPr>
        <w:rFonts w:ascii="Symbol" w:hAnsi="Symbol" w:hint="default"/>
      </w:rPr>
    </w:lvl>
    <w:lvl w:ilvl="1" w:tplc="02A272A4" w:tentative="1">
      <w:start w:val="1"/>
      <w:numFmt w:val="bullet"/>
      <w:lvlText w:val="o"/>
      <w:lvlJc w:val="left"/>
      <w:pPr>
        <w:ind w:left="2072" w:hanging="360"/>
      </w:pPr>
      <w:rPr>
        <w:rFonts w:ascii="Courier New" w:hAnsi="Courier New" w:cs="Courier New" w:hint="default"/>
      </w:rPr>
    </w:lvl>
    <w:lvl w:ilvl="2" w:tplc="6EBC9FC0" w:tentative="1">
      <w:start w:val="1"/>
      <w:numFmt w:val="bullet"/>
      <w:lvlText w:val=""/>
      <w:lvlJc w:val="left"/>
      <w:pPr>
        <w:ind w:left="2792" w:hanging="360"/>
      </w:pPr>
      <w:rPr>
        <w:rFonts w:ascii="Wingdings" w:hAnsi="Wingdings" w:hint="default"/>
      </w:rPr>
    </w:lvl>
    <w:lvl w:ilvl="3" w:tplc="157487D4" w:tentative="1">
      <w:start w:val="1"/>
      <w:numFmt w:val="bullet"/>
      <w:lvlText w:val=""/>
      <w:lvlJc w:val="left"/>
      <w:pPr>
        <w:ind w:left="3512" w:hanging="360"/>
      </w:pPr>
      <w:rPr>
        <w:rFonts w:ascii="Symbol" w:hAnsi="Symbol" w:hint="default"/>
      </w:rPr>
    </w:lvl>
    <w:lvl w:ilvl="4" w:tplc="612C29FA" w:tentative="1">
      <w:start w:val="1"/>
      <w:numFmt w:val="bullet"/>
      <w:lvlText w:val="o"/>
      <w:lvlJc w:val="left"/>
      <w:pPr>
        <w:ind w:left="4232" w:hanging="360"/>
      </w:pPr>
      <w:rPr>
        <w:rFonts w:ascii="Courier New" w:hAnsi="Courier New" w:cs="Courier New" w:hint="default"/>
      </w:rPr>
    </w:lvl>
    <w:lvl w:ilvl="5" w:tplc="A0B00824" w:tentative="1">
      <w:start w:val="1"/>
      <w:numFmt w:val="bullet"/>
      <w:lvlText w:val=""/>
      <w:lvlJc w:val="left"/>
      <w:pPr>
        <w:ind w:left="4952" w:hanging="360"/>
      </w:pPr>
      <w:rPr>
        <w:rFonts w:ascii="Wingdings" w:hAnsi="Wingdings" w:hint="default"/>
      </w:rPr>
    </w:lvl>
    <w:lvl w:ilvl="6" w:tplc="8D848558" w:tentative="1">
      <w:start w:val="1"/>
      <w:numFmt w:val="bullet"/>
      <w:lvlText w:val=""/>
      <w:lvlJc w:val="left"/>
      <w:pPr>
        <w:ind w:left="5672" w:hanging="360"/>
      </w:pPr>
      <w:rPr>
        <w:rFonts w:ascii="Symbol" w:hAnsi="Symbol" w:hint="default"/>
      </w:rPr>
    </w:lvl>
    <w:lvl w:ilvl="7" w:tplc="E5DA7124" w:tentative="1">
      <w:start w:val="1"/>
      <w:numFmt w:val="bullet"/>
      <w:lvlText w:val="o"/>
      <w:lvlJc w:val="left"/>
      <w:pPr>
        <w:ind w:left="6392" w:hanging="360"/>
      </w:pPr>
      <w:rPr>
        <w:rFonts w:ascii="Courier New" w:hAnsi="Courier New" w:cs="Courier New" w:hint="default"/>
      </w:rPr>
    </w:lvl>
    <w:lvl w:ilvl="8" w:tplc="05B8C438" w:tentative="1">
      <w:start w:val="1"/>
      <w:numFmt w:val="bullet"/>
      <w:lvlText w:val=""/>
      <w:lvlJc w:val="left"/>
      <w:pPr>
        <w:ind w:left="7112" w:hanging="360"/>
      </w:pPr>
      <w:rPr>
        <w:rFonts w:ascii="Wingdings" w:hAnsi="Wingdings" w:hint="default"/>
      </w:rPr>
    </w:lvl>
  </w:abstractNum>
  <w:abstractNum w:abstractNumId="49" w15:restartNumberingAfterBreak="0">
    <w:nsid w:val="4E090470"/>
    <w:multiLevelType w:val="hybridMultilevel"/>
    <w:tmpl w:val="38DA79CE"/>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50" w15:restartNumberingAfterBreak="0">
    <w:nsid w:val="4FF51D60"/>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51" w15:restartNumberingAfterBreak="0">
    <w:nsid w:val="50F46E79"/>
    <w:multiLevelType w:val="hybridMultilevel"/>
    <w:tmpl w:val="DFFECA3C"/>
    <w:lvl w:ilvl="0" w:tplc="EC2285B0">
      <w:numFmt w:val="bullet"/>
      <w:lvlText w:val=""/>
      <w:lvlJc w:val="left"/>
      <w:pPr>
        <w:ind w:left="1565" w:hanging="567"/>
      </w:pPr>
      <w:rPr>
        <w:rFonts w:ascii="Symbol" w:eastAsia="Symbol" w:hAnsi="Symbol" w:cs="Symbol" w:hint="default"/>
        <w:b w:val="0"/>
        <w:bCs w:val="0"/>
        <w:i w:val="0"/>
        <w:iCs w:val="0"/>
        <w:spacing w:val="0"/>
        <w:w w:val="100"/>
        <w:sz w:val="22"/>
        <w:szCs w:val="22"/>
        <w:lang w:val="nl-NL" w:eastAsia="en-US" w:bidi="ar-SA"/>
      </w:rPr>
    </w:lvl>
    <w:lvl w:ilvl="1" w:tplc="4B186514">
      <w:numFmt w:val="bullet"/>
      <w:lvlText w:val="•"/>
      <w:lvlJc w:val="left"/>
      <w:pPr>
        <w:ind w:left="2532" w:hanging="567"/>
      </w:pPr>
      <w:rPr>
        <w:rFonts w:hint="default"/>
        <w:lang w:val="nl-NL" w:eastAsia="en-US" w:bidi="ar-SA"/>
      </w:rPr>
    </w:lvl>
    <w:lvl w:ilvl="2" w:tplc="4C3C0DA0">
      <w:numFmt w:val="bullet"/>
      <w:lvlText w:val="•"/>
      <w:lvlJc w:val="left"/>
      <w:pPr>
        <w:ind w:left="3505" w:hanging="567"/>
      </w:pPr>
      <w:rPr>
        <w:rFonts w:hint="default"/>
        <w:lang w:val="nl-NL" w:eastAsia="en-US" w:bidi="ar-SA"/>
      </w:rPr>
    </w:lvl>
    <w:lvl w:ilvl="3" w:tplc="FA342102">
      <w:numFmt w:val="bullet"/>
      <w:lvlText w:val="•"/>
      <w:lvlJc w:val="left"/>
      <w:pPr>
        <w:ind w:left="4477" w:hanging="567"/>
      </w:pPr>
      <w:rPr>
        <w:rFonts w:hint="default"/>
        <w:lang w:val="nl-NL" w:eastAsia="en-US" w:bidi="ar-SA"/>
      </w:rPr>
    </w:lvl>
    <w:lvl w:ilvl="4" w:tplc="948AF3A8">
      <w:numFmt w:val="bullet"/>
      <w:lvlText w:val="•"/>
      <w:lvlJc w:val="left"/>
      <w:pPr>
        <w:ind w:left="5450" w:hanging="567"/>
      </w:pPr>
      <w:rPr>
        <w:rFonts w:hint="default"/>
        <w:lang w:val="nl-NL" w:eastAsia="en-US" w:bidi="ar-SA"/>
      </w:rPr>
    </w:lvl>
    <w:lvl w:ilvl="5" w:tplc="346A3F3A">
      <w:numFmt w:val="bullet"/>
      <w:lvlText w:val="•"/>
      <w:lvlJc w:val="left"/>
      <w:pPr>
        <w:ind w:left="6423" w:hanging="567"/>
      </w:pPr>
      <w:rPr>
        <w:rFonts w:hint="default"/>
        <w:lang w:val="nl-NL" w:eastAsia="en-US" w:bidi="ar-SA"/>
      </w:rPr>
    </w:lvl>
    <w:lvl w:ilvl="6" w:tplc="DD269A4C">
      <w:numFmt w:val="bullet"/>
      <w:lvlText w:val="•"/>
      <w:lvlJc w:val="left"/>
      <w:pPr>
        <w:ind w:left="7395" w:hanging="567"/>
      </w:pPr>
      <w:rPr>
        <w:rFonts w:hint="default"/>
        <w:lang w:val="nl-NL" w:eastAsia="en-US" w:bidi="ar-SA"/>
      </w:rPr>
    </w:lvl>
    <w:lvl w:ilvl="7" w:tplc="E5CC655C">
      <w:numFmt w:val="bullet"/>
      <w:lvlText w:val="•"/>
      <w:lvlJc w:val="left"/>
      <w:pPr>
        <w:ind w:left="8368" w:hanging="567"/>
      </w:pPr>
      <w:rPr>
        <w:rFonts w:hint="default"/>
        <w:lang w:val="nl-NL" w:eastAsia="en-US" w:bidi="ar-SA"/>
      </w:rPr>
    </w:lvl>
    <w:lvl w:ilvl="8" w:tplc="E85EE330">
      <w:numFmt w:val="bullet"/>
      <w:lvlText w:val="•"/>
      <w:lvlJc w:val="left"/>
      <w:pPr>
        <w:ind w:left="9341" w:hanging="567"/>
      </w:pPr>
      <w:rPr>
        <w:rFonts w:hint="default"/>
        <w:lang w:val="nl-NL" w:eastAsia="en-US" w:bidi="ar-SA"/>
      </w:rPr>
    </w:lvl>
  </w:abstractNum>
  <w:abstractNum w:abstractNumId="52" w15:restartNumberingAfterBreak="0">
    <w:nsid w:val="546021BD"/>
    <w:multiLevelType w:val="hybridMultilevel"/>
    <w:tmpl w:val="EC7034B4"/>
    <w:lvl w:ilvl="0" w:tplc="4A32E11A">
      <w:numFmt w:val="bullet"/>
      <w:lvlText w:val=""/>
      <w:lvlJc w:val="left"/>
      <w:pPr>
        <w:ind w:left="1358" w:hanging="361"/>
      </w:pPr>
      <w:rPr>
        <w:rFonts w:ascii="Symbol" w:eastAsia="Symbol" w:hAnsi="Symbol" w:cs="Symbol" w:hint="default"/>
        <w:b w:val="0"/>
        <w:bCs w:val="0"/>
        <w:i w:val="0"/>
        <w:iCs w:val="0"/>
        <w:spacing w:val="0"/>
        <w:w w:val="100"/>
        <w:sz w:val="22"/>
        <w:szCs w:val="22"/>
        <w:lang w:val="nl-NL" w:eastAsia="en-US" w:bidi="ar-SA"/>
      </w:rPr>
    </w:lvl>
    <w:lvl w:ilvl="1" w:tplc="5F92F1B0">
      <w:numFmt w:val="bullet"/>
      <w:lvlText w:val=""/>
      <w:lvlJc w:val="left"/>
      <w:pPr>
        <w:ind w:left="1901" w:hanging="567"/>
      </w:pPr>
      <w:rPr>
        <w:rFonts w:ascii="Symbol" w:eastAsia="Symbol" w:hAnsi="Symbol" w:cs="Symbol" w:hint="default"/>
        <w:b w:val="0"/>
        <w:bCs w:val="0"/>
        <w:i w:val="0"/>
        <w:iCs w:val="0"/>
        <w:spacing w:val="0"/>
        <w:w w:val="100"/>
        <w:sz w:val="22"/>
        <w:szCs w:val="22"/>
        <w:lang w:val="nl-NL" w:eastAsia="en-US" w:bidi="ar-SA"/>
      </w:rPr>
    </w:lvl>
    <w:lvl w:ilvl="2" w:tplc="84346232">
      <w:numFmt w:val="bullet"/>
      <w:lvlText w:val=""/>
      <w:lvlJc w:val="left"/>
      <w:pPr>
        <w:ind w:left="2277" w:hanging="375"/>
      </w:pPr>
      <w:rPr>
        <w:rFonts w:ascii="Symbol" w:eastAsia="Symbol" w:hAnsi="Symbol" w:cs="Symbol" w:hint="default"/>
        <w:spacing w:val="0"/>
        <w:w w:val="100"/>
        <w:lang w:val="nl-NL" w:eastAsia="en-US" w:bidi="ar-SA"/>
      </w:rPr>
    </w:lvl>
    <w:lvl w:ilvl="3" w:tplc="A0F8BCC8">
      <w:numFmt w:val="bullet"/>
      <w:lvlText w:val="•"/>
      <w:lvlJc w:val="left"/>
      <w:pPr>
        <w:ind w:left="2560" w:hanging="375"/>
      </w:pPr>
      <w:rPr>
        <w:rFonts w:hint="default"/>
        <w:lang w:val="nl-NL" w:eastAsia="en-US" w:bidi="ar-SA"/>
      </w:rPr>
    </w:lvl>
    <w:lvl w:ilvl="4" w:tplc="ECF06BC0">
      <w:numFmt w:val="bullet"/>
      <w:lvlText w:val="•"/>
      <w:lvlJc w:val="left"/>
      <w:pPr>
        <w:ind w:left="2700" w:hanging="375"/>
      </w:pPr>
      <w:rPr>
        <w:rFonts w:hint="default"/>
        <w:lang w:val="nl-NL" w:eastAsia="en-US" w:bidi="ar-SA"/>
      </w:rPr>
    </w:lvl>
    <w:lvl w:ilvl="5" w:tplc="0B4CC8D8">
      <w:numFmt w:val="bullet"/>
      <w:lvlText w:val="•"/>
      <w:lvlJc w:val="left"/>
      <w:pPr>
        <w:ind w:left="4131" w:hanging="375"/>
      </w:pPr>
      <w:rPr>
        <w:rFonts w:hint="default"/>
        <w:lang w:val="nl-NL" w:eastAsia="en-US" w:bidi="ar-SA"/>
      </w:rPr>
    </w:lvl>
    <w:lvl w:ilvl="6" w:tplc="B9D84172">
      <w:numFmt w:val="bullet"/>
      <w:lvlText w:val="•"/>
      <w:lvlJc w:val="left"/>
      <w:pPr>
        <w:ind w:left="5562" w:hanging="375"/>
      </w:pPr>
      <w:rPr>
        <w:rFonts w:hint="default"/>
        <w:lang w:val="nl-NL" w:eastAsia="en-US" w:bidi="ar-SA"/>
      </w:rPr>
    </w:lvl>
    <w:lvl w:ilvl="7" w:tplc="01EE76A2">
      <w:numFmt w:val="bullet"/>
      <w:lvlText w:val="•"/>
      <w:lvlJc w:val="left"/>
      <w:pPr>
        <w:ind w:left="6993" w:hanging="375"/>
      </w:pPr>
      <w:rPr>
        <w:rFonts w:hint="default"/>
        <w:lang w:val="nl-NL" w:eastAsia="en-US" w:bidi="ar-SA"/>
      </w:rPr>
    </w:lvl>
    <w:lvl w:ilvl="8" w:tplc="B46AE29A">
      <w:numFmt w:val="bullet"/>
      <w:lvlText w:val="•"/>
      <w:lvlJc w:val="left"/>
      <w:pPr>
        <w:ind w:left="8424" w:hanging="375"/>
      </w:pPr>
      <w:rPr>
        <w:rFonts w:hint="default"/>
        <w:lang w:val="nl-NL" w:eastAsia="en-US" w:bidi="ar-SA"/>
      </w:rPr>
    </w:lvl>
  </w:abstractNum>
  <w:abstractNum w:abstractNumId="53" w15:restartNumberingAfterBreak="0">
    <w:nsid w:val="593A58BC"/>
    <w:multiLevelType w:val="hybridMultilevel"/>
    <w:tmpl w:val="19088794"/>
    <w:lvl w:ilvl="0" w:tplc="B3A6879E">
      <w:numFmt w:val="bullet"/>
      <w:lvlText w:val=""/>
      <w:lvlJc w:val="left"/>
      <w:pPr>
        <w:ind w:left="720" w:hanging="360"/>
      </w:pPr>
      <w:rPr>
        <w:rFonts w:ascii="Times New Roman" w:eastAsia="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9B133A7"/>
    <w:multiLevelType w:val="hybridMultilevel"/>
    <w:tmpl w:val="9342E7B0"/>
    <w:lvl w:ilvl="0" w:tplc="0114B97E">
      <w:numFmt w:val="bullet"/>
      <w:lvlText w:val=""/>
      <w:lvlJc w:val="left"/>
      <w:pPr>
        <w:ind w:left="1564" w:hanging="567"/>
      </w:pPr>
      <w:rPr>
        <w:rFonts w:ascii="Symbol" w:eastAsia="Symbol" w:hAnsi="Symbol" w:cs="Symbol" w:hint="default"/>
        <w:b w:val="0"/>
        <w:bCs w:val="0"/>
        <w:i w:val="0"/>
        <w:iCs w:val="0"/>
        <w:spacing w:val="0"/>
        <w:w w:val="100"/>
        <w:sz w:val="22"/>
        <w:szCs w:val="22"/>
        <w:lang w:val="nl-NL" w:eastAsia="en-US" w:bidi="ar-SA"/>
      </w:rPr>
    </w:lvl>
    <w:lvl w:ilvl="1" w:tplc="9B327B6E">
      <w:numFmt w:val="bullet"/>
      <w:lvlText w:val=""/>
      <w:lvlJc w:val="left"/>
      <w:pPr>
        <w:ind w:left="1711" w:hanging="356"/>
      </w:pPr>
      <w:rPr>
        <w:rFonts w:ascii="Symbol" w:eastAsia="Symbol" w:hAnsi="Symbol" w:cs="Symbol" w:hint="default"/>
        <w:b w:val="0"/>
        <w:bCs w:val="0"/>
        <w:i w:val="0"/>
        <w:iCs w:val="0"/>
        <w:spacing w:val="0"/>
        <w:w w:val="100"/>
        <w:sz w:val="22"/>
        <w:szCs w:val="22"/>
        <w:lang w:val="nl-NL" w:eastAsia="en-US" w:bidi="ar-SA"/>
      </w:rPr>
    </w:lvl>
    <w:lvl w:ilvl="2" w:tplc="ABF6A6FE">
      <w:numFmt w:val="bullet"/>
      <w:lvlText w:val="•"/>
      <w:lvlJc w:val="left"/>
      <w:pPr>
        <w:ind w:left="2782" w:hanging="356"/>
      </w:pPr>
      <w:rPr>
        <w:rFonts w:hint="default"/>
        <w:lang w:val="nl-NL" w:eastAsia="en-US" w:bidi="ar-SA"/>
      </w:rPr>
    </w:lvl>
    <w:lvl w:ilvl="3" w:tplc="EAA2E4C4">
      <w:numFmt w:val="bullet"/>
      <w:lvlText w:val="•"/>
      <w:lvlJc w:val="left"/>
      <w:pPr>
        <w:ind w:left="3845" w:hanging="356"/>
      </w:pPr>
      <w:rPr>
        <w:rFonts w:hint="default"/>
        <w:lang w:val="nl-NL" w:eastAsia="en-US" w:bidi="ar-SA"/>
      </w:rPr>
    </w:lvl>
    <w:lvl w:ilvl="4" w:tplc="E4AC33B8">
      <w:numFmt w:val="bullet"/>
      <w:lvlText w:val="•"/>
      <w:lvlJc w:val="left"/>
      <w:pPr>
        <w:ind w:left="4908" w:hanging="356"/>
      </w:pPr>
      <w:rPr>
        <w:rFonts w:hint="default"/>
        <w:lang w:val="nl-NL" w:eastAsia="en-US" w:bidi="ar-SA"/>
      </w:rPr>
    </w:lvl>
    <w:lvl w:ilvl="5" w:tplc="84F41BDE">
      <w:numFmt w:val="bullet"/>
      <w:lvlText w:val="•"/>
      <w:lvlJc w:val="left"/>
      <w:pPr>
        <w:ind w:left="5971" w:hanging="356"/>
      </w:pPr>
      <w:rPr>
        <w:rFonts w:hint="default"/>
        <w:lang w:val="nl-NL" w:eastAsia="en-US" w:bidi="ar-SA"/>
      </w:rPr>
    </w:lvl>
    <w:lvl w:ilvl="6" w:tplc="9A460D4C">
      <w:numFmt w:val="bullet"/>
      <w:lvlText w:val="•"/>
      <w:lvlJc w:val="left"/>
      <w:pPr>
        <w:ind w:left="7034" w:hanging="356"/>
      </w:pPr>
      <w:rPr>
        <w:rFonts w:hint="default"/>
        <w:lang w:val="nl-NL" w:eastAsia="en-US" w:bidi="ar-SA"/>
      </w:rPr>
    </w:lvl>
    <w:lvl w:ilvl="7" w:tplc="88046708">
      <w:numFmt w:val="bullet"/>
      <w:lvlText w:val="•"/>
      <w:lvlJc w:val="left"/>
      <w:pPr>
        <w:ind w:left="8097" w:hanging="356"/>
      </w:pPr>
      <w:rPr>
        <w:rFonts w:hint="default"/>
        <w:lang w:val="nl-NL" w:eastAsia="en-US" w:bidi="ar-SA"/>
      </w:rPr>
    </w:lvl>
    <w:lvl w:ilvl="8" w:tplc="26C489DC">
      <w:numFmt w:val="bullet"/>
      <w:lvlText w:val="•"/>
      <w:lvlJc w:val="left"/>
      <w:pPr>
        <w:ind w:left="9160" w:hanging="356"/>
      </w:pPr>
      <w:rPr>
        <w:rFonts w:hint="default"/>
        <w:lang w:val="nl-NL" w:eastAsia="en-US" w:bidi="ar-SA"/>
      </w:rPr>
    </w:lvl>
  </w:abstractNum>
  <w:abstractNum w:abstractNumId="55" w15:restartNumberingAfterBreak="0">
    <w:nsid w:val="5C4D4C3B"/>
    <w:multiLevelType w:val="hybridMultilevel"/>
    <w:tmpl w:val="42B2F8AE"/>
    <w:lvl w:ilvl="0" w:tplc="DFE84B9A">
      <w:start w:val="1"/>
      <w:numFmt w:val="bullet"/>
      <w:lvlText w:val="-"/>
      <w:lvlJc w:val="left"/>
      <w:pPr>
        <w:ind w:left="1290" w:hanging="360"/>
      </w:pPr>
      <w:rPr>
        <w:rFonts w:ascii="Times New Roman" w:eastAsia="SimSun" w:hAnsi="Times New Roman" w:cs="Times New Roman" w:hint="default"/>
        <w:b/>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56" w15:restartNumberingAfterBreak="0">
    <w:nsid w:val="5EB1741A"/>
    <w:multiLevelType w:val="multilevel"/>
    <w:tmpl w:val="B43E23C0"/>
    <w:lvl w:ilvl="0">
      <w:start w:val="1"/>
      <w:numFmt w:val="decimal"/>
      <w:lvlText w:val="%1."/>
      <w:lvlJc w:val="left"/>
      <w:pPr>
        <w:ind w:left="1564" w:hanging="567"/>
      </w:pPr>
      <w:rPr>
        <w:rFonts w:ascii="Times New Roman" w:eastAsia="Times New Roman" w:hAnsi="Times New Roman" w:cs="Times New Roman" w:hint="default"/>
        <w:b/>
        <w:bCs/>
        <w:i w:val="0"/>
        <w:iCs w:val="0"/>
        <w:spacing w:val="0"/>
        <w:w w:val="100"/>
        <w:sz w:val="22"/>
        <w:szCs w:val="22"/>
        <w:lang w:val="nl-NL" w:eastAsia="en-US" w:bidi="ar-SA"/>
      </w:rPr>
    </w:lvl>
    <w:lvl w:ilvl="1">
      <w:start w:val="1"/>
      <w:numFmt w:val="decimal"/>
      <w:lvlText w:val="%1.%2"/>
      <w:lvlJc w:val="left"/>
      <w:pPr>
        <w:ind w:left="1564" w:hanging="567"/>
      </w:pPr>
      <w:rPr>
        <w:rFonts w:ascii="Times New Roman" w:eastAsia="Times New Roman" w:hAnsi="Times New Roman" w:cs="Times New Roman" w:hint="default"/>
        <w:b/>
        <w:bCs/>
        <w:i w:val="0"/>
        <w:iCs w:val="0"/>
        <w:spacing w:val="0"/>
        <w:w w:val="100"/>
        <w:sz w:val="22"/>
        <w:szCs w:val="22"/>
        <w:lang w:val="nl-NL" w:eastAsia="en-US" w:bidi="ar-SA"/>
      </w:rPr>
    </w:lvl>
    <w:lvl w:ilvl="2">
      <w:numFmt w:val="bullet"/>
      <w:lvlText w:val=""/>
      <w:lvlJc w:val="left"/>
      <w:pPr>
        <w:ind w:left="1922" w:hanging="358"/>
      </w:pPr>
      <w:rPr>
        <w:rFonts w:ascii="Symbol" w:eastAsia="Symbol" w:hAnsi="Symbol" w:cs="Symbol" w:hint="default"/>
        <w:b w:val="0"/>
        <w:bCs w:val="0"/>
        <w:i w:val="0"/>
        <w:iCs w:val="0"/>
        <w:spacing w:val="0"/>
        <w:w w:val="100"/>
        <w:sz w:val="22"/>
        <w:szCs w:val="22"/>
        <w:lang w:val="nl-NL" w:eastAsia="en-US" w:bidi="ar-SA"/>
      </w:rPr>
    </w:lvl>
    <w:lvl w:ilvl="3">
      <w:numFmt w:val="bullet"/>
      <w:lvlText w:val="•"/>
      <w:lvlJc w:val="left"/>
      <w:pPr>
        <w:ind w:left="4001" w:hanging="358"/>
      </w:pPr>
      <w:rPr>
        <w:rFonts w:hint="default"/>
        <w:lang w:val="nl-NL" w:eastAsia="en-US" w:bidi="ar-SA"/>
      </w:rPr>
    </w:lvl>
    <w:lvl w:ilvl="4">
      <w:numFmt w:val="bullet"/>
      <w:lvlText w:val="•"/>
      <w:lvlJc w:val="left"/>
      <w:pPr>
        <w:ind w:left="5042" w:hanging="358"/>
      </w:pPr>
      <w:rPr>
        <w:rFonts w:hint="default"/>
        <w:lang w:val="nl-NL" w:eastAsia="en-US" w:bidi="ar-SA"/>
      </w:rPr>
    </w:lvl>
    <w:lvl w:ilvl="5">
      <w:numFmt w:val="bullet"/>
      <w:lvlText w:val="•"/>
      <w:lvlJc w:val="left"/>
      <w:pPr>
        <w:ind w:left="6082" w:hanging="358"/>
      </w:pPr>
      <w:rPr>
        <w:rFonts w:hint="default"/>
        <w:lang w:val="nl-NL" w:eastAsia="en-US" w:bidi="ar-SA"/>
      </w:rPr>
    </w:lvl>
    <w:lvl w:ilvl="6">
      <w:numFmt w:val="bullet"/>
      <w:lvlText w:val="•"/>
      <w:lvlJc w:val="left"/>
      <w:pPr>
        <w:ind w:left="7123" w:hanging="358"/>
      </w:pPr>
      <w:rPr>
        <w:rFonts w:hint="default"/>
        <w:lang w:val="nl-NL" w:eastAsia="en-US" w:bidi="ar-SA"/>
      </w:rPr>
    </w:lvl>
    <w:lvl w:ilvl="7">
      <w:numFmt w:val="bullet"/>
      <w:lvlText w:val="•"/>
      <w:lvlJc w:val="left"/>
      <w:pPr>
        <w:ind w:left="8164" w:hanging="358"/>
      </w:pPr>
      <w:rPr>
        <w:rFonts w:hint="default"/>
        <w:lang w:val="nl-NL" w:eastAsia="en-US" w:bidi="ar-SA"/>
      </w:rPr>
    </w:lvl>
    <w:lvl w:ilvl="8">
      <w:numFmt w:val="bullet"/>
      <w:lvlText w:val="•"/>
      <w:lvlJc w:val="left"/>
      <w:pPr>
        <w:ind w:left="9204" w:hanging="358"/>
      </w:pPr>
      <w:rPr>
        <w:rFonts w:hint="default"/>
        <w:lang w:val="nl-NL" w:eastAsia="en-US" w:bidi="ar-SA"/>
      </w:rPr>
    </w:lvl>
  </w:abstractNum>
  <w:abstractNum w:abstractNumId="57" w15:restartNumberingAfterBreak="0">
    <w:nsid w:val="5F3F4D7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58" w15:restartNumberingAfterBreak="0">
    <w:nsid w:val="5F812F93"/>
    <w:multiLevelType w:val="hybridMultilevel"/>
    <w:tmpl w:val="2FE830D8"/>
    <w:lvl w:ilvl="0" w:tplc="FFFFFFFF">
      <w:start w:val="1"/>
      <w:numFmt w:val="lowerLetter"/>
      <w:lvlText w:val="%1."/>
      <w:lvlJc w:val="left"/>
      <w:pPr>
        <w:ind w:left="831" w:hanging="360"/>
      </w:pPr>
      <w:rPr>
        <w:rFonts w:ascii="Times New Roman" w:hAnsi="Times New Roman" w:cs="Times New Roman" w:hint="default"/>
        <w:b/>
      </w:rPr>
    </w:lvl>
    <w:lvl w:ilvl="1" w:tplc="FFFFFFFF">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59" w15:restartNumberingAfterBreak="0">
    <w:nsid w:val="629D5D0B"/>
    <w:multiLevelType w:val="hybridMultilevel"/>
    <w:tmpl w:val="38DA79CE"/>
    <w:lvl w:ilvl="0" w:tplc="FFFFFFFF">
      <w:start w:val="1"/>
      <w:numFmt w:val="lowerLetter"/>
      <w:lvlText w:val="%1."/>
      <w:lvlJc w:val="left"/>
      <w:pPr>
        <w:ind w:left="360" w:hanging="360"/>
      </w:pPr>
      <w:rPr>
        <w:rFonts w:ascii="Times New Roman" w:hAnsi="Times New Roman" w:cs="Times New Roman" w:hint="default"/>
        <w:b/>
      </w:rPr>
    </w:lvl>
    <w:lvl w:ilvl="1" w:tplc="FFFFFFFF">
      <w:start w:val="1"/>
      <w:numFmt w:val="upperLetter"/>
      <w:lvlText w:val="%2."/>
      <w:lvlJc w:val="left"/>
      <w:pPr>
        <w:ind w:left="1209" w:hanging="440"/>
      </w:pPr>
    </w:lvl>
    <w:lvl w:ilvl="2" w:tplc="FFFFFFFF" w:tentative="1">
      <w:start w:val="1"/>
      <w:numFmt w:val="lowerRoman"/>
      <w:lvlText w:val="%3."/>
      <w:lvlJc w:val="right"/>
      <w:pPr>
        <w:ind w:left="1649" w:hanging="440"/>
      </w:pPr>
    </w:lvl>
    <w:lvl w:ilvl="3" w:tplc="FFFFFFFF" w:tentative="1">
      <w:start w:val="1"/>
      <w:numFmt w:val="decimal"/>
      <w:lvlText w:val="%4."/>
      <w:lvlJc w:val="left"/>
      <w:pPr>
        <w:ind w:left="2089" w:hanging="440"/>
      </w:pPr>
    </w:lvl>
    <w:lvl w:ilvl="4" w:tplc="FFFFFFFF" w:tentative="1">
      <w:start w:val="1"/>
      <w:numFmt w:val="upperLetter"/>
      <w:lvlText w:val="%5."/>
      <w:lvlJc w:val="left"/>
      <w:pPr>
        <w:ind w:left="2529" w:hanging="440"/>
      </w:pPr>
    </w:lvl>
    <w:lvl w:ilvl="5" w:tplc="FFFFFFFF" w:tentative="1">
      <w:start w:val="1"/>
      <w:numFmt w:val="lowerRoman"/>
      <w:lvlText w:val="%6."/>
      <w:lvlJc w:val="right"/>
      <w:pPr>
        <w:ind w:left="2969" w:hanging="440"/>
      </w:pPr>
    </w:lvl>
    <w:lvl w:ilvl="6" w:tplc="FFFFFFFF" w:tentative="1">
      <w:start w:val="1"/>
      <w:numFmt w:val="decimal"/>
      <w:lvlText w:val="%7."/>
      <w:lvlJc w:val="left"/>
      <w:pPr>
        <w:ind w:left="3409" w:hanging="440"/>
      </w:pPr>
    </w:lvl>
    <w:lvl w:ilvl="7" w:tplc="FFFFFFFF" w:tentative="1">
      <w:start w:val="1"/>
      <w:numFmt w:val="upperLetter"/>
      <w:lvlText w:val="%8."/>
      <w:lvlJc w:val="left"/>
      <w:pPr>
        <w:ind w:left="3849" w:hanging="440"/>
      </w:pPr>
    </w:lvl>
    <w:lvl w:ilvl="8" w:tplc="FFFFFFFF" w:tentative="1">
      <w:start w:val="1"/>
      <w:numFmt w:val="lowerRoman"/>
      <w:lvlText w:val="%9."/>
      <w:lvlJc w:val="right"/>
      <w:pPr>
        <w:ind w:left="4289" w:hanging="440"/>
      </w:pPr>
    </w:lvl>
  </w:abstractNum>
  <w:abstractNum w:abstractNumId="60" w15:restartNumberingAfterBreak="0">
    <w:nsid w:val="64514BF4"/>
    <w:multiLevelType w:val="hybridMultilevel"/>
    <w:tmpl w:val="2FE830D8"/>
    <w:lvl w:ilvl="0" w:tplc="689486F6">
      <w:start w:val="1"/>
      <w:numFmt w:val="lowerLetter"/>
      <w:lvlText w:val="%1."/>
      <w:lvlJc w:val="left"/>
      <w:pPr>
        <w:ind w:left="-648" w:hanging="360"/>
      </w:pPr>
      <w:rPr>
        <w:rFonts w:ascii="Times New Roman" w:hAnsi="Times New Roman" w:cs="Times New Roman" w:hint="default"/>
        <w:b/>
      </w:rPr>
    </w:lvl>
    <w:lvl w:ilvl="1" w:tplc="04090019" w:tentative="1">
      <w:start w:val="1"/>
      <w:numFmt w:val="upperLetter"/>
      <w:lvlText w:val="%2."/>
      <w:lvlJc w:val="left"/>
      <w:pPr>
        <w:ind w:left="201" w:hanging="440"/>
      </w:pPr>
    </w:lvl>
    <w:lvl w:ilvl="2" w:tplc="0409001B" w:tentative="1">
      <w:start w:val="1"/>
      <w:numFmt w:val="lowerRoman"/>
      <w:lvlText w:val="%3."/>
      <w:lvlJc w:val="right"/>
      <w:pPr>
        <w:ind w:left="641" w:hanging="440"/>
      </w:pPr>
    </w:lvl>
    <w:lvl w:ilvl="3" w:tplc="0409000F" w:tentative="1">
      <w:start w:val="1"/>
      <w:numFmt w:val="decimal"/>
      <w:lvlText w:val="%4."/>
      <w:lvlJc w:val="left"/>
      <w:pPr>
        <w:ind w:left="1081" w:hanging="440"/>
      </w:pPr>
    </w:lvl>
    <w:lvl w:ilvl="4" w:tplc="04090019" w:tentative="1">
      <w:start w:val="1"/>
      <w:numFmt w:val="upperLetter"/>
      <w:lvlText w:val="%5."/>
      <w:lvlJc w:val="left"/>
      <w:pPr>
        <w:ind w:left="1521" w:hanging="440"/>
      </w:pPr>
    </w:lvl>
    <w:lvl w:ilvl="5" w:tplc="0409001B" w:tentative="1">
      <w:start w:val="1"/>
      <w:numFmt w:val="lowerRoman"/>
      <w:lvlText w:val="%6."/>
      <w:lvlJc w:val="right"/>
      <w:pPr>
        <w:ind w:left="1961" w:hanging="440"/>
      </w:pPr>
    </w:lvl>
    <w:lvl w:ilvl="6" w:tplc="0409000F" w:tentative="1">
      <w:start w:val="1"/>
      <w:numFmt w:val="decimal"/>
      <w:lvlText w:val="%7."/>
      <w:lvlJc w:val="left"/>
      <w:pPr>
        <w:ind w:left="2401" w:hanging="440"/>
      </w:pPr>
    </w:lvl>
    <w:lvl w:ilvl="7" w:tplc="04090019" w:tentative="1">
      <w:start w:val="1"/>
      <w:numFmt w:val="upperLetter"/>
      <w:lvlText w:val="%8."/>
      <w:lvlJc w:val="left"/>
      <w:pPr>
        <w:ind w:left="2841" w:hanging="440"/>
      </w:pPr>
    </w:lvl>
    <w:lvl w:ilvl="8" w:tplc="0409001B" w:tentative="1">
      <w:start w:val="1"/>
      <w:numFmt w:val="lowerRoman"/>
      <w:lvlText w:val="%9."/>
      <w:lvlJc w:val="right"/>
      <w:pPr>
        <w:ind w:left="3281" w:hanging="440"/>
      </w:pPr>
    </w:lvl>
  </w:abstractNum>
  <w:abstractNum w:abstractNumId="61" w15:restartNumberingAfterBreak="0">
    <w:nsid w:val="64764B7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62" w15:restartNumberingAfterBreak="0">
    <w:nsid w:val="653904CF"/>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63" w15:restartNumberingAfterBreak="0">
    <w:nsid w:val="6BBC4AA3"/>
    <w:multiLevelType w:val="hybridMultilevel"/>
    <w:tmpl w:val="2DD84288"/>
    <w:lvl w:ilvl="0" w:tplc="C14E73B6">
      <w:start w:val="1"/>
      <w:numFmt w:val="decimal"/>
      <w:lvlText w:val="%1."/>
      <w:lvlJc w:val="left"/>
      <w:pPr>
        <w:ind w:left="1565" w:hanging="567"/>
      </w:pPr>
      <w:rPr>
        <w:rFonts w:ascii="Times New Roman" w:eastAsia="Times New Roman" w:hAnsi="Times New Roman" w:cs="Times New Roman" w:hint="default"/>
        <w:b w:val="0"/>
        <w:bCs w:val="0"/>
        <w:i w:val="0"/>
        <w:iCs w:val="0"/>
        <w:spacing w:val="0"/>
        <w:w w:val="100"/>
        <w:sz w:val="22"/>
        <w:szCs w:val="22"/>
        <w:lang w:val="nl-NL" w:eastAsia="en-US" w:bidi="ar-SA"/>
      </w:rPr>
    </w:lvl>
    <w:lvl w:ilvl="1" w:tplc="78C0E0F0">
      <w:numFmt w:val="bullet"/>
      <w:lvlText w:val="•"/>
      <w:lvlJc w:val="left"/>
      <w:pPr>
        <w:ind w:left="2532" w:hanging="567"/>
      </w:pPr>
      <w:rPr>
        <w:rFonts w:hint="default"/>
        <w:lang w:val="nl-NL" w:eastAsia="en-US" w:bidi="ar-SA"/>
      </w:rPr>
    </w:lvl>
    <w:lvl w:ilvl="2" w:tplc="F586BEA2">
      <w:numFmt w:val="bullet"/>
      <w:lvlText w:val="•"/>
      <w:lvlJc w:val="left"/>
      <w:pPr>
        <w:ind w:left="3505" w:hanging="567"/>
      </w:pPr>
      <w:rPr>
        <w:rFonts w:hint="default"/>
        <w:lang w:val="nl-NL" w:eastAsia="en-US" w:bidi="ar-SA"/>
      </w:rPr>
    </w:lvl>
    <w:lvl w:ilvl="3" w:tplc="F9DABC6C">
      <w:numFmt w:val="bullet"/>
      <w:lvlText w:val="•"/>
      <w:lvlJc w:val="left"/>
      <w:pPr>
        <w:ind w:left="4477" w:hanging="567"/>
      </w:pPr>
      <w:rPr>
        <w:rFonts w:hint="default"/>
        <w:lang w:val="nl-NL" w:eastAsia="en-US" w:bidi="ar-SA"/>
      </w:rPr>
    </w:lvl>
    <w:lvl w:ilvl="4" w:tplc="0900B8DA">
      <w:numFmt w:val="bullet"/>
      <w:lvlText w:val="•"/>
      <w:lvlJc w:val="left"/>
      <w:pPr>
        <w:ind w:left="5450" w:hanging="567"/>
      </w:pPr>
      <w:rPr>
        <w:rFonts w:hint="default"/>
        <w:lang w:val="nl-NL" w:eastAsia="en-US" w:bidi="ar-SA"/>
      </w:rPr>
    </w:lvl>
    <w:lvl w:ilvl="5" w:tplc="1F5A033A">
      <w:numFmt w:val="bullet"/>
      <w:lvlText w:val="•"/>
      <w:lvlJc w:val="left"/>
      <w:pPr>
        <w:ind w:left="6423" w:hanging="567"/>
      </w:pPr>
      <w:rPr>
        <w:rFonts w:hint="default"/>
        <w:lang w:val="nl-NL" w:eastAsia="en-US" w:bidi="ar-SA"/>
      </w:rPr>
    </w:lvl>
    <w:lvl w:ilvl="6" w:tplc="41FA94D6">
      <w:numFmt w:val="bullet"/>
      <w:lvlText w:val="•"/>
      <w:lvlJc w:val="left"/>
      <w:pPr>
        <w:ind w:left="7395" w:hanging="567"/>
      </w:pPr>
      <w:rPr>
        <w:rFonts w:hint="default"/>
        <w:lang w:val="nl-NL" w:eastAsia="en-US" w:bidi="ar-SA"/>
      </w:rPr>
    </w:lvl>
    <w:lvl w:ilvl="7" w:tplc="59A6B550">
      <w:numFmt w:val="bullet"/>
      <w:lvlText w:val="•"/>
      <w:lvlJc w:val="left"/>
      <w:pPr>
        <w:ind w:left="8368" w:hanging="567"/>
      </w:pPr>
      <w:rPr>
        <w:rFonts w:hint="default"/>
        <w:lang w:val="nl-NL" w:eastAsia="en-US" w:bidi="ar-SA"/>
      </w:rPr>
    </w:lvl>
    <w:lvl w:ilvl="8" w:tplc="337EF6E6">
      <w:numFmt w:val="bullet"/>
      <w:lvlText w:val="•"/>
      <w:lvlJc w:val="left"/>
      <w:pPr>
        <w:ind w:left="9341" w:hanging="567"/>
      </w:pPr>
      <w:rPr>
        <w:rFonts w:hint="default"/>
        <w:lang w:val="nl-NL" w:eastAsia="en-US" w:bidi="ar-SA"/>
      </w:rPr>
    </w:lvl>
  </w:abstractNum>
  <w:abstractNum w:abstractNumId="64" w15:restartNumberingAfterBreak="0">
    <w:nsid w:val="6EDA6C1F"/>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65" w15:restartNumberingAfterBreak="0">
    <w:nsid w:val="70C03939"/>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66" w15:restartNumberingAfterBreak="0">
    <w:nsid w:val="72103019"/>
    <w:multiLevelType w:val="hybridMultilevel"/>
    <w:tmpl w:val="E3887164"/>
    <w:lvl w:ilvl="0" w:tplc="8788FE14">
      <w:start w:val="1"/>
      <w:numFmt w:val="decimal"/>
      <w:lvlText w:val="%1."/>
      <w:lvlJc w:val="left"/>
      <w:pPr>
        <w:ind w:left="1565" w:hanging="567"/>
      </w:pPr>
      <w:rPr>
        <w:rFonts w:ascii="Times New Roman" w:eastAsia="Times New Roman" w:hAnsi="Times New Roman" w:cs="Times New Roman" w:hint="default"/>
        <w:b w:val="0"/>
        <w:bCs w:val="0"/>
        <w:i w:val="0"/>
        <w:iCs w:val="0"/>
        <w:spacing w:val="0"/>
        <w:w w:val="100"/>
        <w:sz w:val="22"/>
        <w:szCs w:val="22"/>
        <w:lang w:val="nl-NL" w:eastAsia="en-US" w:bidi="ar-SA"/>
      </w:rPr>
    </w:lvl>
    <w:lvl w:ilvl="1" w:tplc="E2520F52">
      <w:numFmt w:val="bullet"/>
      <w:lvlText w:val="•"/>
      <w:lvlJc w:val="left"/>
      <w:pPr>
        <w:ind w:left="2532" w:hanging="567"/>
      </w:pPr>
      <w:rPr>
        <w:rFonts w:hint="default"/>
        <w:lang w:val="nl-NL" w:eastAsia="en-US" w:bidi="ar-SA"/>
      </w:rPr>
    </w:lvl>
    <w:lvl w:ilvl="2" w:tplc="1D7C7826">
      <w:numFmt w:val="bullet"/>
      <w:lvlText w:val="•"/>
      <w:lvlJc w:val="left"/>
      <w:pPr>
        <w:ind w:left="3505" w:hanging="567"/>
      </w:pPr>
      <w:rPr>
        <w:rFonts w:hint="default"/>
        <w:lang w:val="nl-NL" w:eastAsia="en-US" w:bidi="ar-SA"/>
      </w:rPr>
    </w:lvl>
    <w:lvl w:ilvl="3" w:tplc="ED5689C6">
      <w:numFmt w:val="bullet"/>
      <w:lvlText w:val="•"/>
      <w:lvlJc w:val="left"/>
      <w:pPr>
        <w:ind w:left="4477" w:hanging="567"/>
      </w:pPr>
      <w:rPr>
        <w:rFonts w:hint="default"/>
        <w:lang w:val="nl-NL" w:eastAsia="en-US" w:bidi="ar-SA"/>
      </w:rPr>
    </w:lvl>
    <w:lvl w:ilvl="4" w:tplc="FDB0D934">
      <w:numFmt w:val="bullet"/>
      <w:lvlText w:val="•"/>
      <w:lvlJc w:val="left"/>
      <w:pPr>
        <w:ind w:left="5450" w:hanging="567"/>
      </w:pPr>
      <w:rPr>
        <w:rFonts w:hint="default"/>
        <w:lang w:val="nl-NL" w:eastAsia="en-US" w:bidi="ar-SA"/>
      </w:rPr>
    </w:lvl>
    <w:lvl w:ilvl="5" w:tplc="637C2938">
      <w:numFmt w:val="bullet"/>
      <w:lvlText w:val="•"/>
      <w:lvlJc w:val="left"/>
      <w:pPr>
        <w:ind w:left="6423" w:hanging="567"/>
      </w:pPr>
      <w:rPr>
        <w:rFonts w:hint="default"/>
        <w:lang w:val="nl-NL" w:eastAsia="en-US" w:bidi="ar-SA"/>
      </w:rPr>
    </w:lvl>
    <w:lvl w:ilvl="6" w:tplc="95F2EB98">
      <w:numFmt w:val="bullet"/>
      <w:lvlText w:val="•"/>
      <w:lvlJc w:val="left"/>
      <w:pPr>
        <w:ind w:left="7395" w:hanging="567"/>
      </w:pPr>
      <w:rPr>
        <w:rFonts w:hint="default"/>
        <w:lang w:val="nl-NL" w:eastAsia="en-US" w:bidi="ar-SA"/>
      </w:rPr>
    </w:lvl>
    <w:lvl w:ilvl="7" w:tplc="D3E24208">
      <w:numFmt w:val="bullet"/>
      <w:lvlText w:val="•"/>
      <w:lvlJc w:val="left"/>
      <w:pPr>
        <w:ind w:left="8368" w:hanging="567"/>
      </w:pPr>
      <w:rPr>
        <w:rFonts w:hint="default"/>
        <w:lang w:val="nl-NL" w:eastAsia="en-US" w:bidi="ar-SA"/>
      </w:rPr>
    </w:lvl>
    <w:lvl w:ilvl="8" w:tplc="7BBEC418">
      <w:numFmt w:val="bullet"/>
      <w:lvlText w:val="•"/>
      <w:lvlJc w:val="left"/>
      <w:pPr>
        <w:ind w:left="9341" w:hanging="567"/>
      </w:pPr>
      <w:rPr>
        <w:rFonts w:hint="default"/>
        <w:lang w:val="nl-NL" w:eastAsia="en-US" w:bidi="ar-SA"/>
      </w:rPr>
    </w:lvl>
  </w:abstractNum>
  <w:abstractNum w:abstractNumId="67" w15:restartNumberingAfterBreak="0">
    <w:nsid w:val="73763AEB"/>
    <w:multiLevelType w:val="hybridMultilevel"/>
    <w:tmpl w:val="2528B996"/>
    <w:lvl w:ilvl="0" w:tplc="4994FF9E">
      <w:numFmt w:val="bullet"/>
      <w:lvlText w:val=""/>
      <w:lvlJc w:val="left"/>
      <w:pPr>
        <w:ind w:left="1564" w:hanging="567"/>
      </w:pPr>
      <w:rPr>
        <w:rFonts w:ascii="Symbol" w:eastAsia="Symbol" w:hAnsi="Symbol" w:cs="Symbol" w:hint="default"/>
        <w:b w:val="0"/>
        <w:bCs w:val="0"/>
        <w:i w:val="0"/>
        <w:iCs w:val="0"/>
        <w:spacing w:val="0"/>
        <w:w w:val="100"/>
        <w:sz w:val="22"/>
        <w:szCs w:val="22"/>
        <w:lang w:val="nl-NL" w:eastAsia="en-US" w:bidi="ar-SA"/>
      </w:rPr>
    </w:lvl>
    <w:lvl w:ilvl="1" w:tplc="D80AA50A">
      <w:numFmt w:val="bullet"/>
      <w:lvlText w:val="•"/>
      <w:lvlJc w:val="left"/>
      <w:pPr>
        <w:ind w:left="2532" w:hanging="567"/>
      </w:pPr>
      <w:rPr>
        <w:rFonts w:hint="default"/>
        <w:lang w:val="nl-NL" w:eastAsia="en-US" w:bidi="ar-SA"/>
      </w:rPr>
    </w:lvl>
    <w:lvl w:ilvl="2" w:tplc="DDACA1DA">
      <w:numFmt w:val="bullet"/>
      <w:lvlText w:val="•"/>
      <w:lvlJc w:val="left"/>
      <w:pPr>
        <w:ind w:left="3505" w:hanging="567"/>
      </w:pPr>
      <w:rPr>
        <w:rFonts w:hint="default"/>
        <w:lang w:val="nl-NL" w:eastAsia="en-US" w:bidi="ar-SA"/>
      </w:rPr>
    </w:lvl>
    <w:lvl w:ilvl="3" w:tplc="C4F441A8">
      <w:numFmt w:val="bullet"/>
      <w:lvlText w:val="•"/>
      <w:lvlJc w:val="left"/>
      <w:pPr>
        <w:ind w:left="4477" w:hanging="567"/>
      </w:pPr>
      <w:rPr>
        <w:rFonts w:hint="default"/>
        <w:lang w:val="nl-NL" w:eastAsia="en-US" w:bidi="ar-SA"/>
      </w:rPr>
    </w:lvl>
    <w:lvl w:ilvl="4" w:tplc="482C5692">
      <w:numFmt w:val="bullet"/>
      <w:lvlText w:val="•"/>
      <w:lvlJc w:val="left"/>
      <w:pPr>
        <w:ind w:left="5450" w:hanging="567"/>
      </w:pPr>
      <w:rPr>
        <w:rFonts w:hint="default"/>
        <w:lang w:val="nl-NL" w:eastAsia="en-US" w:bidi="ar-SA"/>
      </w:rPr>
    </w:lvl>
    <w:lvl w:ilvl="5" w:tplc="B810D188">
      <w:numFmt w:val="bullet"/>
      <w:lvlText w:val="•"/>
      <w:lvlJc w:val="left"/>
      <w:pPr>
        <w:ind w:left="6423" w:hanging="567"/>
      </w:pPr>
      <w:rPr>
        <w:rFonts w:hint="default"/>
        <w:lang w:val="nl-NL" w:eastAsia="en-US" w:bidi="ar-SA"/>
      </w:rPr>
    </w:lvl>
    <w:lvl w:ilvl="6" w:tplc="CDB4F462">
      <w:numFmt w:val="bullet"/>
      <w:lvlText w:val="•"/>
      <w:lvlJc w:val="left"/>
      <w:pPr>
        <w:ind w:left="7395" w:hanging="567"/>
      </w:pPr>
      <w:rPr>
        <w:rFonts w:hint="default"/>
        <w:lang w:val="nl-NL" w:eastAsia="en-US" w:bidi="ar-SA"/>
      </w:rPr>
    </w:lvl>
    <w:lvl w:ilvl="7" w:tplc="1436BC2E">
      <w:numFmt w:val="bullet"/>
      <w:lvlText w:val="•"/>
      <w:lvlJc w:val="left"/>
      <w:pPr>
        <w:ind w:left="8368" w:hanging="567"/>
      </w:pPr>
      <w:rPr>
        <w:rFonts w:hint="default"/>
        <w:lang w:val="nl-NL" w:eastAsia="en-US" w:bidi="ar-SA"/>
      </w:rPr>
    </w:lvl>
    <w:lvl w:ilvl="8" w:tplc="B2864B18">
      <w:numFmt w:val="bullet"/>
      <w:lvlText w:val="•"/>
      <w:lvlJc w:val="left"/>
      <w:pPr>
        <w:ind w:left="9341" w:hanging="567"/>
      </w:pPr>
      <w:rPr>
        <w:rFonts w:hint="default"/>
        <w:lang w:val="nl-NL" w:eastAsia="en-US" w:bidi="ar-SA"/>
      </w:rPr>
    </w:lvl>
  </w:abstractNum>
  <w:abstractNum w:abstractNumId="68" w15:restartNumberingAfterBreak="0">
    <w:nsid w:val="740820E1"/>
    <w:multiLevelType w:val="hybridMultilevel"/>
    <w:tmpl w:val="AC245350"/>
    <w:lvl w:ilvl="0" w:tplc="DFE84B9A">
      <w:start w:val="1"/>
      <w:numFmt w:val="bullet"/>
      <w:lvlText w:val="-"/>
      <w:lvlJc w:val="left"/>
      <w:pPr>
        <w:ind w:left="4613" w:hanging="360"/>
      </w:pPr>
      <w:rPr>
        <w:rFonts w:ascii="Times New Roman" w:eastAsia="SimSun" w:hAnsi="Times New Roman" w:cs="Times New Roman" w:hint="default"/>
        <w:b/>
      </w:rPr>
    </w:lvl>
    <w:lvl w:ilvl="1" w:tplc="04090003" w:tentative="1">
      <w:start w:val="1"/>
      <w:numFmt w:val="bullet"/>
      <w:lvlText w:val=""/>
      <w:lvlJc w:val="left"/>
      <w:pPr>
        <w:ind w:left="5133" w:hanging="440"/>
      </w:pPr>
      <w:rPr>
        <w:rFonts w:ascii="Wingdings" w:hAnsi="Wingdings" w:hint="default"/>
      </w:rPr>
    </w:lvl>
    <w:lvl w:ilvl="2" w:tplc="04090005" w:tentative="1">
      <w:start w:val="1"/>
      <w:numFmt w:val="bullet"/>
      <w:lvlText w:val=""/>
      <w:lvlJc w:val="left"/>
      <w:pPr>
        <w:ind w:left="5573" w:hanging="440"/>
      </w:pPr>
      <w:rPr>
        <w:rFonts w:ascii="Wingdings" w:hAnsi="Wingdings" w:hint="default"/>
      </w:rPr>
    </w:lvl>
    <w:lvl w:ilvl="3" w:tplc="04090001" w:tentative="1">
      <w:start w:val="1"/>
      <w:numFmt w:val="bullet"/>
      <w:lvlText w:val=""/>
      <w:lvlJc w:val="left"/>
      <w:pPr>
        <w:ind w:left="6013" w:hanging="440"/>
      </w:pPr>
      <w:rPr>
        <w:rFonts w:ascii="Wingdings" w:hAnsi="Wingdings" w:hint="default"/>
      </w:rPr>
    </w:lvl>
    <w:lvl w:ilvl="4" w:tplc="04090003" w:tentative="1">
      <w:start w:val="1"/>
      <w:numFmt w:val="bullet"/>
      <w:lvlText w:val=""/>
      <w:lvlJc w:val="left"/>
      <w:pPr>
        <w:ind w:left="6453" w:hanging="440"/>
      </w:pPr>
      <w:rPr>
        <w:rFonts w:ascii="Wingdings" w:hAnsi="Wingdings" w:hint="default"/>
      </w:rPr>
    </w:lvl>
    <w:lvl w:ilvl="5" w:tplc="04090005" w:tentative="1">
      <w:start w:val="1"/>
      <w:numFmt w:val="bullet"/>
      <w:lvlText w:val=""/>
      <w:lvlJc w:val="left"/>
      <w:pPr>
        <w:ind w:left="6893" w:hanging="440"/>
      </w:pPr>
      <w:rPr>
        <w:rFonts w:ascii="Wingdings" w:hAnsi="Wingdings" w:hint="default"/>
      </w:rPr>
    </w:lvl>
    <w:lvl w:ilvl="6" w:tplc="04090001" w:tentative="1">
      <w:start w:val="1"/>
      <w:numFmt w:val="bullet"/>
      <w:lvlText w:val=""/>
      <w:lvlJc w:val="left"/>
      <w:pPr>
        <w:ind w:left="7333" w:hanging="440"/>
      </w:pPr>
      <w:rPr>
        <w:rFonts w:ascii="Wingdings" w:hAnsi="Wingdings" w:hint="default"/>
      </w:rPr>
    </w:lvl>
    <w:lvl w:ilvl="7" w:tplc="04090003" w:tentative="1">
      <w:start w:val="1"/>
      <w:numFmt w:val="bullet"/>
      <w:lvlText w:val=""/>
      <w:lvlJc w:val="left"/>
      <w:pPr>
        <w:ind w:left="7773" w:hanging="440"/>
      </w:pPr>
      <w:rPr>
        <w:rFonts w:ascii="Wingdings" w:hAnsi="Wingdings" w:hint="default"/>
      </w:rPr>
    </w:lvl>
    <w:lvl w:ilvl="8" w:tplc="04090005" w:tentative="1">
      <w:start w:val="1"/>
      <w:numFmt w:val="bullet"/>
      <w:lvlText w:val=""/>
      <w:lvlJc w:val="left"/>
      <w:pPr>
        <w:ind w:left="8213" w:hanging="440"/>
      </w:pPr>
      <w:rPr>
        <w:rFonts w:ascii="Wingdings" w:hAnsi="Wingdings" w:hint="default"/>
      </w:rPr>
    </w:lvl>
  </w:abstractNum>
  <w:abstractNum w:abstractNumId="69" w15:restartNumberingAfterBreak="0">
    <w:nsid w:val="74B92B02"/>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70" w15:restartNumberingAfterBreak="0">
    <w:nsid w:val="77096C0A"/>
    <w:multiLevelType w:val="hybridMultilevel"/>
    <w:tmpl w:val="252A42AE"/>
    <w:lvl w:ilvl="0" w:tplc="87E60DF8">
      <w:numFmt w:val="bullet"/>
      <w:lvlText w:val=""/>
      <w:lvlJc w:val="left"/>
      <w:pPr>
        <w:ind w:left="1848" w:hanging="361"/>
      </w:pPr>
      <w:rPr>
        <w:rFonts w:ascii="Symbol" w:eastAsia="Symbol" w:hAnsi="Symbol" w:cs="Symbol" w:hint="default"/>
        <w:b w:val="0"/>
        <w:bCs w:val="0"/>
        <w:i w:val="0"/>
        <w:iCs w:val="0"/>
        <w:spacing w:val="0"/>
        <w:w w:val="100"/>
        <w:sz w:val="22"/>
        <w:szCs w:val="22"/>
        <w:lang w:val="nl-NL" w:eastAsia="en-US" w:bidi="ar-SA"/>
      </w:rPr>
    </w:lvl>
    <w:lvl w:ilvl="1" w:tplc="5702727A">
      <w:numFmt w:val="bullet"/>
      <w:lvlText w:val="•"/>
      <w:lvlJc w:val="left"/>
      <w:pPr>
        <w:ind w:left="2784" w:hanging="361"/>
      </w:pPr>
      <w:rPr>
        <w:rFonts w:hint="default"/>
        <w:lang w:val="nl-NL" w:eastAsia="en-US" w:bidi="ar-SA"/>
      </w:rPr>
    </w:lvl>
    <w:lvl w:ilvl="2" w:tplc="35CE6642">
      <w:numFmt w:val="bullet"/>
      <w:lvlText w:val="•"/>
      <w:lvlJc w:val="left"/>
      <w:pPr>
        <w:ind w:left="3729" w:hanging="361"/>
      </w:pPr>
      <w:rPr>
        <w:rFonts w:hint="default"/>
        <w:lang w:val="nl-NL" w:eastAsia="en-US" w:bidi="ar-SA"/>
      </w:rPr>
    </w:lvl>
    <w:lvl w:ilvl="3" w:tplc="927C1780">
      <w:numFmt w:val="bullet"/>
      <w:lvlText w:val="•"/>
      <w:lvlJc w:val="left"/>
      <w:pPr>
        <w:ind w:left="4673" w:hanging="361"/>
      </w:pPr>
      <w:rPr>
        <w:rFonts w:hint="default"/>
        <w:lang w:val="nl-NL" w:eastAsia="en-US" w:bidi="ar-SA"/>
      </w:rPr>
    </w:lvl>
    <w:lvl w:ilvl="4" w:tplc="07A45D6E">
      <w:numFmt w:val="bullet"/>
      <w:lvlText w:val="•"/>
      <w:lvlJc w:val="left"/>
      <w:pPr>
        <w:ind w:left="5618" w:hanging="361"/>
      </w:pPr>
      <w:rPr>
        <w:rFonts w:hint="default"/>
        <w:lang w:val="nl-NL" w:eastAsia="en-US" w:bidi="ar-SA"/>
      </w:rPr>
    </w:lvl>
    <w:lvl w:ilvl="5" w:tplc="AC04A388">
      <w:numFmt w:val="bullet"/>
      <w:lvlText w:val="•"/>
      <w:lvlJc w:val="left"/>
      <w:pPr>
        <w:ind w:left="6563" w:hanging="361"/>
      </w:pPr>
      <w:rPr>
        <w:rFonts w:hint="default"/>
        <w:lang w:val="nl-NL" w:eastAsia="en-US" w:bidi="ar-SA"/>
      </w:rPr>
    </w:lvl>
    <w:lvl w:ilvl="6" w:tplc="1540751E">
      <w:numFmt w:val="bullet"/>
      <w:lvlText w:val="•"/>
      <w:lvlJc w:val="left"/>
      <w:pPr>
        <w:ind w:left="7507" w:hanging="361"/>
      </w:pPr>
      <w:rPr>
        <w:rFonts w:hint="default"/>
        <w:lang w:val="nl-NL" w:eastAsia="en-US" w:bidi="ar-SA"/>
      </w:rPr>
    </w:lvl>
    <w:lvl w:ilvl="7" w:tplc="6B8C588E">
      <w:numFmt w:val="bullet"/>
      <w:lvlText w:val="•"/>
      <w:lvlJc w:val="left"/>
      <w:pPr>
        <w:ind w:left="8452" w:hanging="361"/>
      </w:pPr>
      <w:rPr>
        <w:rFonts w:hint="default"/>
        <w:lang w:val="nl-NL" w:eastAsia="en-US" w:bidi="ar-SA"/>
      </w:rPr>
    </w:lvl>
    <w:lvl w:ilvl="8" w:tplc="B96AA51E">
      <w:numFmt w:val="bullet"/>
      <w:lvlText w:val="•"/>
      <w:lvlJc w:val="left"/>
      <w:pPr>
        <w:ind w:left="9397" w:hanging="361"/>
      </w:pPr>
      <w:rPr>
        <w:rFonts w:hint="default"/>
        <w:lang w:val="nl-NL" w:eastAsia="en-US" w:bidi="ar-SA"/>
      </w:rPr>
    </w:lvl>
  </w:abstractNum>
  <w:abstractNum w:abstractNumId="71" w15:restartNumberingAfterBreak="0">
    <w:nsid w:val="77D8769B"/>
    <w:multiLevelType w:val="hybridMultilevel"/>
    <w:tmpl w:val="A8E01BA2"/>
    <w:lvl w:ilvl="0" w:tplc="8954F98C">
      <w:start w:val="1"/>
      <w:numFmt w:val="bullet"/>
      <w:lvlText w:val="-"/>
      <w:lvlJc w:val="left"/>
      <w:pPr>
        <w:ind w:left="1290" w:hanging="360"/>
      </w:pPr>
      <w:rPr>
        <w:rFonts w:ascii="Times New Roman" w:eastAsia="SimSun" w:hAnsi="Times New Roman" w:cs="Times New Roman" w:hint="default"/>
        <w:b w:val="0"/>
        <w:bCs/>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72" w15:restartNumberingAfterBreak="0">
    <w:nsid w:val="78D30273"/>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73" w15:restartNumberingAfterBreak="0">
    <w:nsid w:val="79545EAA"/>
    <w:multiLevelType w:val="hybridMultilevel"/>
    <w:tmpl w:val="DEE824C8"/>
    <w:lvl w:ilvl="0" w:tplc="611AADF0">
      <w:numFmt w:val="bullet"/>
      <w:lvlText w:val=""/>
      <w:lvlJc w:val="left"/>
      <w:pPr>
        <w:ind w:left="1711" w:hanging="356"/>
      </w:pPr>
      <w:rPr>
        <w:rFonts w:ascii="Symbol" w:eastAsia="Symbol" w:hAnsi="Symbol" w:cs="Symbol" w:hint="default"/>
        <w:b w:val="0"/>
        <w:bCs w:val="0"/>
        <w:i w:val="0"/>
        <w:iCs w:val="0"/>
        <w:spacing w:val="0"/>
        <w:w w:val="100"/>
        <w:sz w:val="22"/>
        <w:szCs w:val="22"/>
        <w:lang w:val="nl-NL" w:eastAsia="en-US" w:bidi="ar-SA"/>
      </w:rPr>
    </w:lvl>
    <w:lvl w:ilvl="1" w:tplc="73B0B51C">
      <w:numFmt w:val="bullet"/>
      <w:lvlText w:val="•"/>
      <w:lvlJc w:val="left"/>
      <w:pPr>
        <w:ind w:left="2676" w:hanging="356"/>
      </w:pPr>
      <w:rPr>
        <w:rFonts w:hint="default"/>
        <w:lang w:val="nl-NL" w:eastAsia="en-US" w:bidi="ar-SA"/>
      </w:rPr>
    </w:lvl>
    <w:lvl w:ilvl="2" w:tplc="6448A222">
      <w:numFmt w:val="bullet"/>
      <w:lvlText w:val="•"/>
      <w:lvlJc w:val="left"/>
      <w:pPr>
        <w:ind w:left="3633" w:hanging="356"/>
      </w:pPr>
      <w:rPr>
        <w:rFonts w:hint="default"/>
        <w:lang w:val="nl-NL" w:eastAsia="en-US" w:bidi="ar-SA"/>
      </w:rPr>
    </w:lvl>
    <w:lvl w:ilvl="3" w:tplc="95428D14">
      <w:numFmt w:val="bullet"/>
      <w:lvlText w:val="•"/>
      <w:lvlJc w:val="left"/>
      <w:pPr>
        <w:ind w:left="4589" w:hanging="356"/>
      </w:pPr>
      <w:rPr>
        <w:rFonts w:hint="default"/>
        <w:lang w:val="nl-NL" w:eastAsia="en-US" w:bidi="ar-SA"/>
      </w:rPr>
    </w:lvl>
    <w:lvl w:ilvl="4" w:tplc="9AF89A20">
      <w:numFmt w:val="bullet"/>
      <w:lvlText w:val="•"/>
      <w:lvlJc w:val="left"/>
      <w:pPr>
        <w:ind w:left="5546" w:hanging="356"/>
      </w:pPr>
      <w:rPr>
        <w:rFonts w:hint="default"/>
        <w:lang w:val="nl-NL" w:eastAsia="en-US" w:bidi="ar-SA"/>
      </w:rPr>
    </w:lvl>
    <w:lvl w:ilvl="5" w:tplc="302215EA">
      <w:numFmt w:val="bullet"/>
      <w:lvlText w:val="•"/>
      <w:lvlJc w:val="left"/>
      <w:pPr>
        <w:ind w:left="6503" w:hanging="356"/>
      </w:pPr>
      <w:rPr>
        <w:rFonts w:hint="default"/>
        <w:lang w:val="nl-NL" w:eastAsia="en-US" w:bidi="ar-SA"/>
      </w:rPr>
    </w:lvl>
    <w:lvl w:ilvl="6" w:tplc="0E701D14">
      <w:numFmt w:val="bullet"/>
      <w:lvlText w:val="•"/>
      <w:lvlJc w:val="left"/>
      <w:pPr>
        <w:ind w:left="7459" w:hanging="356"/>
      </w:pPr>
      <w:rPr>
        <w:rFonts w:hint="default"/>
        <w:lang w:val="nl-NL" w:eastAsia="en-US" w:bidi="ar-SA"/>
      </w:rPr>
    </w:lvl>
    <w:lvl w:ilvl="7" w:tplc="F38CFF02">
      <w:numFmt w:val="bullet"/>
      <w:lvlText w:val="•"/>
      <w:lvlJc w:val="left"/>
      <w:pPr>
        <w:ind w:left="8416" w:hanging="356"/>
      </w:pPr>
      <w:rPr>
        <w:rFonts w:hint="default"/>
        <w:lang w:val="nl-NL" w:eastAsia="en-US" w:bidi="ar-SA"/>
      </w:rPr>
    </w:lvl>
    <w:lvl w:ilvl="8" w:tplc="96F6D592">
      <w:numFmt w:val="bullet"/>
      <w:lvlText w:val="•"/>
      <w:lvlJc w:val="left"/>
      <w:pPr>
        <w:ind w:left="9373" w:hanging="356"/>
      </w:pPr>
      <w:rPr>
        <w:rFonts w:hint="default"/>
        <w:lang w:val="nl-NL" w:eastAsia="en-US" w:bidi="ar-SA"/>
      </w:rPr>
    </w:lvl>
  </w:abstractNum>
  <w:abstractNum w:abstractNumId="74" w15:restartNumberingAfterBreak="0">
    <w:nsid w:val="7BBA68EA"/>
    <w:multiLevelType w:val="hybridMultilevel"/>
    <w:tmpl w:val="41A23A60"/>
    <w:lvl w:ilvl="0" w:tplc="CBE49BF6">
      <w:numFmt w:val="bullet"/>
      <w:lvlText w:val="•"/>
      <w:lvlJc w:val="left"/>
      <w:pPr>
        <w:ind w:left="998" w:hanging="133"/>
      </w:pPr>
      <w:rPr>
        <w:rFonts w:ascii="Times New Roman" w:eastAsia="Times New Roman" w:hAnsi="Times New Roman" w:cs="Times New Roman" w:hint="default"/>
        <w:spacing w:val="0"/>
        <w:w w:val="100"/>
        <w:lang w:val="nl-NL" w:eastAsia="en-US" w:bidi="ar-SA"/>
      </w:rPr>
    </w:lvl>
    <w:lvl w:ilvl="1" w:tplc="ABAED6B8">
      <w:numFmt w:val="bullet"/>
      <w:lvlText w:val=""/>
      <w:lvlJc w:val="left"/>
      <w:pPr>
        <w:ind w:left="1718" w:hanging="361"/>
      </w:pPr>
      <w:rPr>
        <w:rFonts w:ascii="Symbol" w:eastAsia="Symbol" w:hAnsi="Symbol" w:cs="Symbol" w:hint="default"/>
        <w:b w:val="0"/>
        <w:bCs w:val="0"/>
        <w:i w:val="0"/>
        <w:iCs w:val="0"/>
        <w:spacing w:val="0"/>
        <w:w w:val="100"/>
        <w:sz w:val="22"/>
        <w:szCs w:val="22"/>
        <w:lang w:val="nl-NL" w:eastAsia="en-US" w:bidi="ar-SA"/>
      </w:rPr>
    </w:lvl>
    <w:lvl w:ilvl="2" w:tplc="ECBEEC28">
      <w:numFmt w:val="bullet"/>
      <w:lvlText w:val="•"/>
      <w:lvlJc w:val="left"/>
      <w:pPr>
        <w:ind w:left="2782" w:hanging="361"/>
      </w:pPr>
      <w:rPr>
        <w:rFonts w:hint="default"/>
        <w:lang w:val="nl-NL" w:eastAsia="en-US" w:bidi="ar-SA"/>
      </w:rPr>
    </w:lvl>
    <w:lvl w:ilvl="3" w:tplc="4FE0AECA">
      <w:numFmt w:val="bullet"/>
      <w:lvlText w:val="•"/>
      <w:lvlJc w:val="left"/>
      <w:pPr>
        <w:ind w:left="3845" w:hanging="361"/>
      </w:pPr>
      <w:rPr>
        <w:rFonts w:hint="default"/>
        <w:lang w:val="nl-NL" w:eastAsia="en-US" w:bidi="ar-SA"/>
      </w:rPr>
    </w:lvl>
    <w:lvl w:ilvl="4" w:tplc="04242180">
      <w:numFmt w:val="bullet"/>
      <w:lvlText w:val="•"/>
      <w:lvlJc w:val="left"/>
      <w:pPr>
        <w:ind w:left="4908" w:hanging="361"/>
      </w:pPr>
      <w:rPr>
        <w:rFonts w:hint="default"/>
        <w:lang w:val="nl-NL" w:eastAsia="en-US" w:bidi="ar-SA"/>
      </w:rPr>
    </w:lvl>
    <w:lvl w:ilvl="5" w:tplc="8B6E67C0">
      <w:numFmt w:val="bullet"/>
      <w:lvlText w:val="•"/>
      <w:lvlJc w:val="left"/>
      <w:pPr>
        <w:ind w:left="5971" w:hanging="361"/>
      </w:pPr>
      <w:rPr>
        <w:rFonts w:hint="default"/>
        <w:lang w:val="nl-NL" w:eastAsia="en-US" w:bidi="ar-SA"/>
      </w:rPr>
    </w:lvl>
    <w:lvl w:ilvl="6" w:tplc="964C8732">
      <w:numFmt w:val="bullet"/>
      <w:lvlText w:val="•"/>
      <w:lvlJc w:val="left"/>
      <w:pPr>
        <w:ind w:left="7034" w:hanging="361"/>
      </w:pPr>
      <w:rPr>
        <w:rFonts w:hint="default"/>
        <w:lang w:val="nl-NL" w:eastAsia="en-US" w:bidi="ar-SA"/>
      </w:rPr>
    </w:lvl>
    <w:lvl w:ilvl="7" w:tplc="165E6334">
      <w:numFmt w:val="bullet"/>
      <w:lvlText w:val="•"/>
      <w:lvlJc w:val="left"/>
      <w:pPr>
        <w:ind w:left="8097" w:hanging="361"/>
      </w:pPr>
      <w:rPr>
        <w:rFonts w:hint="default"/>
        <w:lang w:val="nl-NL" w:eastAsia="en-US" w:bidi="ar-SA"/>
      </w:rPr>
    </w:lvl>
    <w:lvl w:ilvl="8" w:tplc="2C229614">
      <w:numFmt w:val="bullet"/>
      <w:lvlText w:val="•"/>
      <w:lvlJc w:val="left"/>
      <w:pPr>
        <w:ind w:left="9160" w:hanging="361"/>
      </w:pPr>
      <w:rPr>
        <w:rFonts w:hint="default"/>
        <w:lang w:val="nl-NL" w:eastAsia="en-US" w:bidi="ar-SA"/>
      </w:rPr>
    </w:lvl>
  </w:abstractNum>
  <w:abstractNum w:abstractNumId="75" w15:restartNumberingAfterBreak="0">
    <w:nsid w:val="7CAD44CE"/>
    <w:multiLevelType w:val="hybridMultilevel"/>
    <w:tmpl w:val="8F10EEA6"/>
    <w:lvl w:ilvl="0" w:tplc="DCF2F25A">
      <w:start w:val="1"/>
      <w:numFmt w:val="upperLetter"/>
      <w:lvlText w:val="%1."/>
      <w:lvlJc w:val="left"/>
      <w:pPr>
        <w:ind w:left="1564" w:hanging="567"/>
      </w:pPr>
      <w:rPr>
        <w:rFonts w:ascii="Times New Roman" w:eastAsia="Times New Roman" w:hAnsi="Times New Roman" w:cs="Times New Roman" w:hint="default"/>
        <w:b/>
        <w:bCs/>
        <w:i w:val="0"/>
        <w:iCs w:val="0"/>
        <w:spacing w:val="-2"/>
        <w:w w:val="100"/>
        <w:sz w:val="22"/>
        <w:szCs w:val="22"/>
        <w:lang w:val="nl-NL" w:eastAsia="en-US" w:bidi="ar-SA"/>
      </w:rPr>
    </w:lvl>
    <w:lvl w:ilvl="1" w:tplc="1CF2D9E8">
      <w:numFmt w:val="bullet"/>
      <w:lvlText w:val="•"/>
      <w:lvlJc w:val="left"/>
      <w:pPr>
        <w:ind w:left="2532" w:hanging="567"/>
      </w:pPr>
      <w:rPr>
        <w:rFonts w:hint="default"/>
        <w:lang w:val="nl-NL" w:eastAsia="en-US" w:bidi="ar-SA"/>
      </w:rPr>
    </w:lvl>
    <w:lvl w:ilvl="2" w:tplc="3E34D83A">
      <w:numFmt w:val="bullet"/>
      <w:lvlText w:val="•"/>
      <w:lvlJc w:val="left"/>
      <w:pPr>
        <w:ind w:left="3505" w:hanging="567"/>
      </w:pPr>
      <w:rPr>
        <w:rFonts w:hint="default"/>
        <w:lang w:val="nl-NL" w:eastAsia="en-US" w:bidi="ar-SA"/>
      </w:rPr>
    </w:lvl>
    <w:lvl w:ilvl="3" w:tplc="B8BA49A6">
      <w:numFmt w:val="bullet"/>
      <w:lvlText w:val="•"/>
      <w:lvlJc w:val="left"/>
      <w:pPr>
        <w:ind w:left="4477" w:hanging="567"/>
      </w:pPr>
      <w:rPr>
        <w:rFonts w:hint="default"/>
        <w:lang w:val="nl-NL" w:eastAsia="en-US" w:bidi="ar-SA"/>
      </w:rPr>
    </w:lvl>
    <w:lvl w:ilvl="4" w:tplc="C848184C">
      <w:numFmt w:val="bullet"/>
      <w:lvlText w:val="•"/>
      <w:lvlJc w:val="left"/>
      <w:pPr>
        <w:ind w:left="5450" w:hanging="567"/>
      </w:pPr>
      <w:rPr>
        <w:rFonts w:hint="default"/>
        <w:lang w:val="nl-NL" w:eastAsia="en-US" w:bidi="ar-SA"/>
      </w:rPr>
    </w:lvl>
    <w:lvl w:ilvl="5" w:tplc="7FC4F7D0">
      <w:numFmt w:val="bullet"/>
      <w:lvlText w:val="•"/>
      <w:lvlJc w:val="left"/>
      <w:pPr>
        <w:ind w:left="6423" w:hanging="567"/>
      </w:pPr>
      <w:rPr>
        <w:rFonts w:hint="default"/>
        <w:lang w:val="nl-NL" w:eastAsia="en-US" w:bidi="ar-SA"/>
      </w:rPr>
    </w:lvl>
    <w:lvl w:ilvl="6" w:tplc="A808D978">
      <w:numFmt w:val="bullet"/>
      <w:lvlText w:val="•"/>
      <w:lvlJc w:val="left"/>
      <w:pPr>
        <w:ind w:left="7395" w:hanging="567"/>
      </w:pPr>
      <w:rPr>
        <w:rFonts w:hint="default"/>
        <w:lang w:val="nl-NL" w:eastAsia="en-US" w:bidi="ar-SA"/>
      </w:rPr>
    </w:lvl>
    <w:lvl w:ilvl="7" w:tplc="6EE0091C">
      <w:numFmt w:val="bullet"/>
      <w:lvlText w:val="•"/>
      <w:lvlJc w:val="left"/>
      <w:pPr>
        <w:ind w:left="8368" w:hanging="567"/>
      </w:pPr>
      <w:rPr>
        <w:rFonts w:hint="default"/>
        <w:lang w:val="nl-NL" w:eastAsia="en-US" w:bidi="ar-SA"/>
      </w:rPr>
    </w:lvl>
    <w:lvl w:ilvl="8" w:tplc="CB26F9C2">
      <w:numFmt w:val="bullet"/>
      <w:lvlText w:val="•"/>
      <w:lvlJc w:val="left"/>
      <w:pPr>
        <w:ind w:left="9341" w:hanging="567"/>
      </w:pPr>
      <w:rPr>
        <w:rFonts w:hint="default"/>
        <w:lang w:val="nl-NL" w:eastAsia="en-US" w:bidi="ar-SA"/>
      </w:rPr>
    </w:lvl>
  </w:abstractNum>
  <w:abstractNum w:abstractNumId="76" w15:restartNumberingAfterBreak="0">
    <w:nsid w:val="7DB729B1"/>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num w:numId="1" w16cid:durableId="31076162">
    <w:abstractNumId w:val="31"/>
  </w:num>
  <w:num w:numId="2" w16cid:durableId="2000769924">
    <w:abstractNumId w:val="28"/>
  </w:num>
  <w:num w:numId="3" w16cid:durableId="578910714">
    <w:abstractNumId w:val="17"/>
  </w:num>
  <w:num w:numId="4" w16cid:durableId="588776701">
    <w:abstractNumId w:val="63"/>
  </w:num>
  <w:num w:numId="5" w16cid:durableId="1711874356">
    <w:abstractNumId w:val="4"/>
  </w:num>
  <w:num w:numId="6" w16cid:durableId="1720977291">
    <w:abstractNumId w:val="74"/>
  </w:num>
  <w:num w:numId="7" w16cid:durableId="1306164408">
    <w:abstractNumId w:val="40"/>
  </w:num>
  <w:num w:numId="8" w16cid:durableId="1173029471">
    <w:abstractNumId w:val="12"/>
  </w:num>
  <w:num w:numId="9" w16cid:durableId="254827380">
    <w:abstractNumId w:val="25"/>
  </w:num>
  <w:num w:numId="10" w16cid:durableId="1283002515">
    <w:abstractNumId w:val="66"/>
  </w:num>
  <w:num w:numId="11" w16cid:durableId="930970358">
    <w:abstractNumId w:val="51"/>
  </w:num>
  <w:num w:numId="12" w16cid:durableId="1672683020">
    <w:abstractNumId w:val="70"/>
  </w:num>
  <w:num w:numId="13" w16cid:durableId="1555042323">
    <w:abstractNumId w:val="38"/>
  </w:num>
  <w:num w:numId="14" w16cid:durableId="126969694">
    <w:abstractNumId w:val="35"/>
  </w:num>
  <w:num w:numId="15" w16cid:durableId="1601646875">
    <w:abstractNumId w:val="33"/>
  </w:num>
  <w:num w:numId="16" w16cid:durableId="1547640154">
    <w:abstractNumId w:val="18"/>
  </w:num>
  <w:num w:numId="17" w16cid:durableId="1839727388">
    <w:abstractNumId w:val="52"/>
  </w:num>
  <w:num w:numId="18" w16cid:durableId="2104648180">
    <w:abstractNumId w:val="34"/>
  </w:num>
  <w:num w:numId="19" w16cid:durableId="401685119">
    <w:abstractNumId w:val="75"/>
  </w:num>
  <w:num w:numId="20" w16cid:durableId="1324312532">
    <w:abstractNumId w:val="7"/>
  </w:num>
  <w:num w:numId="21" w16cid:durableId="1453285663">
    <w:abstractNumId w:val="73"/>
  </w:num>
  <w:num w:numId="22" w16cid:durableId="2008440276">
    <w:abstractNumId w:val="15"/>
  </w:num>
  <w:num w:numId="23" w16cid:durableId="615987588">
    <w:abstractNumId w:val="56"/>
  </w:num>
  <w:num w:numId="24" w16cid:durableId="261961506">
    <w:abstractNumId w:val="19"/>
  </w:num>
  <w:num w:numId="25" w16cid:durableId="964889623">
    <w:abstractNumId w:val="67"/>
  </w:num>
  <w:num w:numId="26" w16cid:durableId="1181775408">
    <w:abstractNumId w:val="8"/>
  </w:num>
  <w:num w:numId="27" w16cid:durableId="881483182">
    <w:abstractNumId w:val="44"/>
  </w:num>
  <w:num w:numId="28" w16cid:durableId="1727291269">
    <w:abstractNumId w:val="0"/>
  </w:num>
  <w:num w:numId="29" w16cid:durableId="1158376004">
    <w:abstractNumId w:val="54"/>
  </w:num>
  <w:num w:numId="30" w16cid:durableId="474954426">
    <w:abstractNumId w:val="23"/>
  </w:num>
  <w:num w:numId="31" w16cid:durableId="2008826791">
    <w:abstractNumId w:val="39"/>
  </w:num>
  <w:num w:numId="32" w16cid:durableId="92865645">
    <w:abstractNumId w:val="53"/>
  </w:num>
  <w:num w:numId="33" w16cid:durableId="1196381844">
    <w:abstractNumId w:val="21"/>
  </w:num>
  <w:num w:numId="34" w16cid:durableId="811602140">
    <w:abstractNumId w:val="43"/>
  </w:num>
  <w:num w:numId="35" w16cid:durableId="192572545">
    <w:abstractNumId w:val="22"/>
  </w:num>
  <w:num w:numId="36" w16cid:durableId="265121402">
    <w:abstractNumId w:val="29"/>
  </w:num>
  <w:num w:numId="37" w16cid:durableId="216402464">
    <w:abstractNumId w:val="48"/>
  </w:num>
  <w:num w:numId="38" w16cid:durableId="1558084001">
    <w:abstractNumId w:val="20"/>
  </w:num>
  <w:num w:numId="39" w16cid:durableId="419760826">
    <w:abstractNumId w:val="60"/>
  </w:num>
  <w:num w:numId="40" w16cid:durableId="335425360">
    <w:abstractNumId w:val="36"/>
  </w:num>
  <w:num w:numId="41" w16cid:durableId="744424434">
    <w:abstractNumId w:val="62"/>
  </w:num>
  <w:num w:numId="42" w16cid:durableId="1430347731">
    <w:abstractNumId w:val="57"/>
  </w:num>
  <w:num w:numId="43" w16cid:durableId="839269670">
    <w:abstractNumId w:val="65"/>
  </w:num>
  <w:num w:numId="44" w16cid:durableId="1524900303">
    <w:abstractNumId w:val="2"/>
  </w:num>
  <w:num w:numId="45" w16cid:durableId="1712222246">
    <w:abstractNumId w:val="76"/>
  </w:num>
  <w:num w:numId="46" w16cid:durableId="1404837174">
    <w:abstractNumId w:val="68"/>
  </w:num>
  <w:num w:numId="47" w16cid:durableId="1410426275">
    <w:abstractNumId w:val="42"/>
  </w:num>
  <w:num w:numId="48" w16cid:durableId="1066994651">
    <w:abstractNumId w:val="61"/>
  </w:num>
  <w:num w:numId="49" w16cid:durableId="1353191916">
    <w:abstractNumId w:val="11"/>
  </w:num>
  <w:num w:numId="50" w16cid:durableId="1033963833">
    <w:abstractNumId w:val="13"/>
  </w:num>
  <w:num w:numId="51" w16cid:durableId="990986583">
    <w:abstractNumId w:val="37"/>
  </w:num>
  <w:num w:numId="52" w16cid:durableId="170923873">
    <w:abstractNumId w:val="72"/>
  </w:num>
  <w:num w:numId="53" w16cid:durableId="1957365970">
    <w:abstractNumId w:val="49"/>
  </w:num>
  <w:num w:numId="54" w16cid:durableId="1587226017">
    <w:abstractNumId w:val="9"/>
  </w:num>
  <w:num w:numId="55" w16cid:durableId="1871990018">
    <w:abstractNumId w:val="30"/>
  </w:num>
  <w:num w:numId="56" w16cid:durableId="1821341033">
    <w:abstractNumId w:val="16"/>
  </w:num>
  <w:num w:numId="57" w16cid:durableId="1350136032">
    <w:abstractNumId w:val="47"/>
  </w:num>
  <w:num w:numId="58" w16cid:durableId="908346725">
    <w:abstractNumId w:val="41"/>
  </w:num>
  <w:num w:numId="59" w16cid:durableId="2050102523">
    <w:abstractNumId w:val="69"/>
  </w:num>
  <w:num w:numId="60" w16cid:durableId="1479499492">
    <w:abstractNumId w:val="26"/>
  </w:num>
  <w:num w:numId="61" w16cid:durableId="629290231">
    <w:abstractNumId w:val="45"/>
  </w:num>
  <w:num w:numId="62" w16cid:durableId="169612230">
    <w:abstractNumId w:val="46"/>
  </w:num>
  <w:num w:numId="63" w16cid:durableId="795106167">
    <w:abstractNumId w:val="58"/>
  </w:num>
  <w:num w:numId="64" w16cid:durableId="1534613862">
    <w:abstractNumId w:val="50"/>
  </w:num>
  <w:num w:numId="65" w16cid:durableId="1706444519">
    <w:abstractNumId w:val="32"/>
  </w:num>
  <w:num w:numId="66" w16cid:durableId="440495350">
    <w:abstractNumId w:val="6"/>
  </w:num>
  <w:num w:numId="67" w16cid:durableId="183986537">
    <w:abstractNumId w:val="5"/>
  </w:num>
  <w:num w:numId="68" w16cid:durableId="1953367041">
    <w:abstractNumId w:val="59"/>
  </w:num>
  <w:num w:numId="69" w16cid:durableId="561793611">
    <w:abstractNumId w:val="27"/>
  </w:num>
  <w:num w:numId="70" w16cid:durableId="1012803440">
    <w:abstractNumId w:val="14"/>
  </w:num>
  <w:num w:numId="71" w16cid:durableId="1607344588">
    <w:abstractNumId w:val="10"/>
  </w:num>
  <w:num w:numId="72" w16cid:durableId="982395818">
    <w:abstractNumId w:val="64"/>
  </w:num>
  <w:num w:numId="73" w16cid:durableId="600332678">
    <w:abstractNumId w:val="3"/>
  </w:num>
  <w:num w:numId="74" w16cid:durableId="733283027">
    <w:abstractNumId w:val="1"/>
  </w:num>
  <w:num w:numId="75" w16cid:durableId="62071845">
    <w:abstractNumId w:val="71"/>
  </w:num>
  <w:num w:numId="76" w16cid:durableId="1706715005">
    <w:abstractNumId w:val="55"/>
  </w:num>
  <w:num w:numId="77" w16cid:durableId="2123722260">
    <w:abstractNumId w:val="39"/>
  </w:num>
  <w:num w:numId="78" w16cid:durableId="1111247865">
    <w:abstractNumId w:val="24"/>
  </w:num>
  <w:num w:numId="79" w16cid:durableId="1208032457">
    <w:abstractNumId w:val="39"/>
  </w:num>
  <w:num w:numId="80" w16cid:durableId="261495802">
    <w:abstractNumId w:val="39"/>
  </w:num>
  <w:num w:numId="81" w16cid:durableId="605963580">
    <w:abstractNumId w:val="3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hideSpellingErrors/>
  <w:hideGrammaticalErrors/>
  <w:proofState w:spelling="clean" w:grammar="clean"/>
  <w:trackRevisions/>
  <w:defaultTabStop w:val="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DAA"/>
    <w:rsid w:val="00001A1C"/>
    <w:rsid w:val="000030F7"/>
    <w:rsid w:val="000209B3"/>
    <w:rsid w:val="00022581"/>
    <w:rsid w:val="00023BFE"/>
    <w:rsid w:val="00026FE4"/>
    <w:rsid w:val="00027C2F"/>
    <w:rsid w:val="00032C7D"/>
    <w:rsid w:val="00033660"/>
    <w:rsid w:val="00036A47"/>
    <w:rsid w:val="0004281B"/>
    <w:rsid w:val="000433F9"/>
    <w:rsid w:val="0004439A"/>
    <w:rsid w:val="00045E49"/>
    <w:rsid w:val="00054A17"/>
    <w:rsid w:val="000571FE"/>
    <w:rsid w:val="00064917"/>
    <w:rsid w:val="00064F9F"/>
    <w:rsid w:val="00066333"/>
    <w:rsid w:val="00067BD8"/>
    <w:rsid w:val="00072297"/>
    <w:rsid w:val="00075521"/>
    <w:rsid w:val="00084752"/>
    <w:rsid w:val="000933C7"/>
    <w:rsid w:val="000A7E61"/>
    <w:rsid w:val="000B1A52"/>
    <w:rsid w:val="000B2126"/>
    <w:rsid w:val="000B3D65"/>
    <w:rsid w:val="000B504C"/>
    <w:rsid w:val="000B520A"/>
    <w:rsid w:val="000B521E"/>
    <w:rsid w:val="000C0699"/>
    <w:rsid w:val="000C21F2"/>
    <w:rsid w:val="000D5355"/>
    <w:rsid w:val="000E4D64"/>
    <w:rsid w:val="000E5726"/>
    <w:rsid w:val="000E7EAB"/>
    <w:rsid w:val="000F2820"/>
    <w:rsid w:val="00100C95"/>
    <w:rsid w:val="001017A1"/>
    <w:rsid w:val="001031F9"/>
    <w:rsid w:val="0010476C"/>
    <w:rsid w:val="00116862"/>
    <w:rsid w:val="00125B26"/>
    <w:rsid w:val="00126BDD"/>
    <w:rsid w:val="00132721"/>
    <w:rsid w:val="00132B61"/>
    <w:rsid w:val="00134FA7"/>
    <w:rsid w:val="00143A85"/>
    <w:rsid w:val="00144E79"/>
    <w:rsid w:val="001461E4"/>
    <w:rsid w:val="0014702F"/>
    <w:rsid w:val="00150AA8"/>
    <w:rsid w:val="00156935"/>
    <w:rsid w:val="00156D8E"/>
    <w:rsid w:val="001734EA"/>
    <w:rsid w:val="00185E04"/>
    <w:rsid w:val="00185EC0"/>
    <w:rsid w:val="0018660B"/>
    <w:rsid w:val="001B2322"/>
    <w:rsid w:val="001B3E1E"/>
    <w:rsid w:val="001B6C1C"/>
    <w:rsid w:val="001C035A"/>
    <w:rsid w:val="001C4855"/>
    <w:rsid w:val="001C7588"/>
    <w:rsid w:val="001C7652"/>
    <w:rsid w:val="001D0524"/>
    <w:rsid w:val="001D585D"/>
    <w:rsid w:val="001D5AA4"/>
    <w:rsid w:val="001D5F00"/>
    <w:rsid w:val="001D7B00"/>
    <w:rsid w:val="001E029C"/>
    <w:rsid w:val="001E1BB0"/>
    <w:rsid w:val="001E5ECF"/>
    <w:rsid w:val="001F2891"/>
    <w:rsid w:val="001F54AC"/>
    <w:rsid w:val="001F7E49"/>
    <w:rsid w:val="00202D75"/>
    <w:rsid w:val="002070FA"/>
    <w:rsid w:val="002149A1"/>
    <w:rsid w:val="0022026B"/>
    <w:rsid w:val="00221487"/>
    <w:rsid w:val="00222DE4"/>
    <w:rsid w:val="00231FD6"/>
    <w:rsid w:val="002328C5"/>
    <w:rsid w:val="002333BF"/>
    <w:rsid w:val="00233494"/>
    <w:rsid w:val="00235B53"/>
    <w:rsid w:val="00236347"/>
    <w:rsid w:val="002400EB"/>
    <w:rsid w:val="00247B0B"/>
    <w:rsid w:val="002511C8"/>
    <w:rsid w:val="00251917"/>
    <w:rsid w:val="002519BD"/>
    <w:rsid w:val="002534BD"/>
    <w:rsid w:val="00253BCA"/>
    <w:rsid w:val="002555BD"/>
    <w:rsid w:val="00260868"/>
    <w:rsid w:val="00263499"/>
    <w:rsid w:val="002655CB"/>
    <w:rsid w:val="00266D90"/>
    <w:rsid w:val="00273854"/>
    <w:rsid w:val="00273DDB"/>
    <w:rsid w:val="00283C93"/>
    <w:rsid w:val="00285720"/>
    <w:rsid w:val="00292BF5"/>
    <w:rsid w:val="002A3148"/>
    <w:rsid w:val="002A3490"/>
    <w:rsid w:val="002A4D6B"/>
    <w:rsid w:val="002A57D0"/>
    <w:rsid w:val="002B1B1E"/>
    <w:rsid w:val="002B21B8"/>
    <w:rsid w:val="002C3E0C"/>
    <w:rsid w:val="002C40DF"/>
    <w:rsid w:val="002C41D8"/>
    <w:rsid w:val="002C47AD"/>
    <w:rsid w:val="002D0ECE"/>
    <w:rsid w:val="002D1478"/>
    <w:rsid w:val="002E0E7D"/>
    <w:rsid w:val="002F66AC"/>
    <w:rsid w:val="002F717F"/>
    <w:rsid w:val="003003EB"/>
    <w:rsid w:val="00302AA0"/>
    <w:rsid w:val="00306EFC"/>
    <w:rsid w:val="00313CC1"/>
    <w:rsid w:val="00313FED"/>
    <w:rsid w:val="00315255"/>
    <w:rsid w:val="00316487"/>
    <w:rsid w:val="0032602F"/>
    <w:rsid w:val="00330234"/>
    <w:rsid w:val="00337850"/>
    <w:rsid w:val="00346605"/>
    <w:rsid w:val="00351577"/>
    <w:rsid w:val="0037203A"/>
    <w:rsid w:val="00374923"/>
    <w:rsid w:val="0037620A"/>
    <w:rsid w:val="0037682E"/>
    <w:rsid w:val="00377426"/>
    <w:rsid w:val="00377DCC"/>
    <w:rsid w:val="003872B5"/>
    <w:rsid w:val="00391FEC"/>
    <w:rsid w:val="00394BA1"/>
    <w:rsid w:val="00395EE6"/>
    <w:rsid w:val="003A2981"/>
    <w:rsid w:val="003A36E3"/>
    <w:rsid w:val="003B0DF7"/>
    <w:rsid w:val="003C342D"/>
    <w:rsid w:val="003C4B56"/>
    <w:rsid w:val="003C67C0"/>
    <w:rsid w:val="003D0396"/>
    <w:rsid w:val="003D0D31"/>
    <w:rsid w:val="003D3537"/>
    <w:rsid w:val="003D4DD5"/>
    <w:rsid w:val="003E3F61"/>
    <w:rsid w:val="003F1A5A"/>
    <w:rsid w:val="00405901"/>
    <w:rsid w:val="004103F6"/>
    <w:rsid w:val="00417CB3"/>
    <w:rsid w:val="00421CA6"/>
    <w:rsid w:val="00431C28"/>
    <w:rsid w:val="0043356F"/>
    <w:rsid w:val="004348EF"/>
    <w:rsid w:val="00435211"/>
    <w:rsid w:val="00436DAA"/>
    <w:rsid w:val="00441C02"/>
    <w:rsid w:val="00442002"/>
    <w:rsid w:val="00454EF1"/>
    <w:rsid w:val="00466E2F"/>
    <w:rsid w:val="00467A20"/>
    <w:rsid w:val="0047099E"/>
    <w:rsid w:val="00474CDA"/>
    <w:rsid w:val="0047797D"/>
    <w:rsid w:val="004851F4"/>
    <w:rsid w:val="00487CA5"/>
    <w:rsid w:val="00496122"/>
    <w:rsid w:val="004A3360"/>
    <w:rsid w:val="004A52F9"/>
    <w:rsid w:val="004A723A"/>
    <w:rsid w:val="004A769F"/>
    <w:rsid w:val="004B112B"/>
    <w:rsid w:val="004B78BE"/>
    <w:rsid w:val="004B7D2E"/>
    <w:rsid w:val="004C0949"/>
    <w:rsid w:val="004E6AC4"/>
    <w:rsid w:val="004F52C3"/>
    <w:rsid w:val="004F5587"/>
    <w:rsid w:val="00504D37"/>
    <w:rsid w:val="005067FF"/>
    <w:rsid w:val="00516DF8"/>
    <w:rsid w:val="00517633"/>
    <w:rsid w:val="0052141B"/>
    <w:rsid w:val="00522E64"/>
    <w:rsid w:val="00524F62"/>
    <w:rsid w:val="0052574F"/>
    <w:rsid w:val="005257B7"/>
    <w:rsid w:val="005328BF"/>
    <w:rsid w:val="00540190"/>
    <w:rsid w:val="005416ED"/>
    <w:rsid w:val="00543D98"/>
    <w:rsid w:val="00545170"/>
    <w:rsid w:val="00553A03"/>
    <w:rsid w:val="00556703"/>
    <w:rsid w:val="00557A5E"/>
    <w:rsid w:val="0056306E"/>
    <w:rsid w:val="00572E8B"/>
    <w:rsid w:val="00576195"/>
    <w:rsid w:val="00580327"/>
    <w:rsid w:val="00584208"/>
    <w:rsid w:val="00587C2F"/>
    <w:rsid w:val="00590A5B"/>
    <w:rsid w:val="00592DC5"/>
    <w:rsid w:val="00592E0A"/>
    <w:rsid w:val="0059371F"/>
    <w:rsid w:val="00597F7E"/>
    <w:rsid w:val="005A1150"/>
    <w:rsid w:val="005A191B"/>
    <w:rsid w:val="005A4B7E"/>
    <w:rsid w:val="005A695D"/>
    <w:rsid w:val="005A747B"/>
    <w:rsid w:val="005B3219"/>
    <w:rsid w:val="005C2DB7"/>
    <w:rsid w:val="005D3725"/>
    <w:rsid w:val="005D487A"/>
    <w:rsid w:val="005D65ED"/>
    <w:rsid w:val="005D74A9"/>
    <w:rsid w:val="005E3B5C"/>
    <w:rsid w:val="005F5C1C"/>
    <w:rsid w:val="006009A7"/>
    <w:rsid w:val="00601224"/>
    <w:rsid w:val="00610F48"/>
    <w:rsid w:val="006111DB"/>
    <w:rsid w:val="00612829"/>
    <w:rsid w:val="00614D2E"/>
    <w:rsid w:val="00616301"/>
    <w:rsid w:val="00620DE7"/>
    <w:rsid w:val="006240AA"/>
    <w:rsid w:val="00626A21"/>
    <w:rsid w:val="00631B32"/>
    <w:rsid w:val="00637618"/>
    <w:rsid w:val="006402AE"/>
    <w:rsid w:val="006535FE"/>
    <w:rsid w:val="0065408F"/>
    <w:rsid w:val="006542D9"/>
    <w:rsid w:val="00654AC0"/>
    <w:rsid w:val="006557B8"/>
    <w:rsid w:val="00661DC3"/>
    <w:rsid w:val="0066504E"/>
    <w:rsid w:val="006663F5"/>
    <w:rsid w:val="0067353C"/>
    <w:rsid w:val="00685449"/>
    <w:rsid w:val="00686C21"/>
    <w:rsid w:val="00687C55"/>
    <w:rsid w:val="006915EC"/>
    <w:rsid w:val="006924E3"/>
    <w:rsid w:val="00694B6D"/>
    <w:rsid w:val="0069785A"/>
    <w:rsid w:val="006A5B8B"/>
    <w:rsid w:val="006B7C9C"/>
    <w:rsid w:val="006C1CA8"/>
    <w:rsid w:val="006C314E"/>
    <w:rsid w:val="006C36FB"/>
    <w:rsid w:val="006C5760"/>
    <w:rsid w:val="006C6A70"/>
    <w:rsid w:val="006D0892"/>
    <w:rsid w:val="006D15F5"/>
    <w:rsid w:val="006D1A65"/>
    <w:rsid w:val="006D3DB3"/>
    <w:rsid w:val="006D7398"/>
    <w:rsid w:val="006E0FF7"/>
    <w:rsid w:val="006E3872"/>
    <w:rsid w:val="006E5982"/>
    <w:rsid w:val="006E5B37"/>
    <w:rsid w:val="006F7D8F"/>
    <w:rsid w:val="00703357"/>
    <w:rsid w:val="00705F20"/>
    <w:rsid w:val="00706606"/>
    <w:rsid w:val="00713F89"/>
    <w:rsid w:val="00714AA7"/>
    <w:rsid w:val="00714B42"/>
    <w:rsid w:val="007165C0"/>
    <w:rsid w:val="00720829"/>
    <w:rsid w:val="00724D33"/>
    <w:rsid w:val="00726A52"/>
    <w:rsid w:val="00731162"/>
    <w:rsid w:val="0073164A"/>
    <w:rsid w:val="00735F86"/>
    <w:rsid w:val="007408C4"/>
    <w:rsid w:val="0074134F"/>
    <w:rsid w:val="00753185"/>
    <w:rsid w:val="00761673"/>
    <w:rsid w:val="00765CA7"/>
    <w:rsid w:val="007669F1"/>
    <w:rsid w:val="00772B43"/>
    <w:rsid w:val="00790622"/>
    <w:rsid w:val="00793B26"/>
    <w:rsid w:val="00794DEC"/>
    <w:rsid w:val="0079783A"/>
    <w:rsid w:val="00797A8D"/>
    <w:rsid w:val="007A114F"/>
    <w:rsid w:val="007A197C"/>
    <w:rsid w:val="007A4220"/>
    <w:rsid w:val="007B5377"/>
    <w:rsid w:val="007B55B2"/>
    <w:rsid w:val="007C4042"/>
    <w:rsid w:val="007D136F"/>
    <w:rsid w:val="007D1A84"/>
    <w:rsid w:val="007D398F"/>
    <w:rsid w:val="007D6CC6"/>
    <w:rsid w:val="007E25AB"/>
    <w:rsid w:val="007E33FC"/>
    <w:rsid w:val="007E3481"/>
    <w:rsid w:val="007E3703"/>
    <w:rsid w:val="007E4ED1"/>
    <w:rsid w:val="007F1556"/>
    <w:rsid w:val="008037C1"/>
    <w:rsid w:val="00812683"/>
    <w:rsid w:val="00813A18"/>
    <w:rsid w:val="00824478"/>
    <w:rsid w:val="00827417"/>
    <w:rsid w:val="0082752D"/>
    <w:rsid w:val="00830D11"/>
    <w:rsid w:val="0084130A"/>
    <w:rsid w:val="00842367"/>
    <w:rsid w:val="008444AC"/>
    <w:rsid w:val="00844AE0"/>
    <w:rsid w:val="0084629C"/>
    <w:rsid w:val="00847290"/>
    <w:rsid w:val="00850AE4"/>
    <w:rsid w:val="0085217E"/>
    <w:rsid w:val="00856751"/>
    <w:rsid w:val="00862513"/>
    <w:rsid w:val="00863AF3"/>
    <w:rsid w:val="00873284"/>
    <w:rsid w:val="0088287E"/>
    <w:rsid w:val="00883EC4"/>
    <w:rsid w:val="008931E3"/>
    <w:rsid w:val="0089715D"/>
    <w:rsid w:val="008A40BC"/>
    <w:rsid w:val="008B0399"/>
    <w:rsid w:val="008B3DBB"/>
    <w:rsid w:val="008B4384"/>
    <w:rsid w:val="008B6147"/>
    <w:rsid w:val="008C1542"/>
    <w:rsid w:val="008C5F16"/>
    <w:rsid w:val="008D202D"/>
    <w:rsid w:val="008D723E"/>
    <w:rsid w:val="008E5A5D"/>
    <w:rsid w:val="008F06E4"/>
    <w:rsid w:val="008F108B"/>
    <w:rsid w:val="008F1910"/>
    <w:rsid w:val="008F6283"/>
    <w:rsid w:val="008F78E6"/>
    <w:rsid w:val="00901761"/>
    <w:rsid w:val="00902051"/>
    <w:rsid w:val="009070A9"/>
    <w:rsid w:val="00912446"/>
    <w:rsid w:val="00913B97"/>
    <w:rsid w:val="00913D4D"/>
    <w:rsid w:val="00921FA1"/>
    <w:rsid w:val="009236A5"/>
    <w:rsid w:val="0092587B"/>
    <w:rsid w:val="009309CC"/>
    <w:rsid w:val="00931D48"/>
    <w:rsid w:val="00932C13"/>
    <w:rsid w:val="00942609"/>
    <w:rsid w:val="009430E4"/>
    <w:rsid w:val="00947DA6"/>
    <w:rsid w:val="009512DC"/>
    <w:rsid w:val="00951BC1"/>
    <w:rsid w:val="009547AE"/>
    <w:rsid w:val="00955A68"/>
    <w:rsid w:val="00964B85"/>
    <w:rsid w:val="00964D89"/>
    <w:rsid w:val="0096677B"/>
    <w:rsid w:val="0097105B"/>
    <w:rsid w:val="00971E1F"/>
    <w:rsid w:val="00973022"/>
    <w:rsid w:val="00976350"/>
    <w:rsid w:val="009862D0"/>
    <w:rsid w:val="00987AB9"/>
    <w:rsid w:val="0099681E"/>
    <w:rsid w:val="009976A3"/>
    <w:rsid w:val="009A082E"/>
    <w:rsid w:val="009A46E5"/>
    <w:rsid w:val="009A5174"/>
    <w:rsid w:val="009B0E27"/>
    <w:rsid w:val="009B2969"/>
    <w:rsid w:val="009B2A72"/>
    <w:rsid w:val="009B4B8E"/>
    <w:rsid w:val="009B5BB9"/>
    <w:rsid w:val="009C3F98"/>
    <w:rsid w:val="009C51F2"/>
    <w:rsid w:val="009D30ED"/>
    <w:rsid w:val="009D3BAB"/>
    <w:rsid w:val="009D78EF"/>
    <w:rsid w:val="009E0237"/>
    <w:rsid w:val="009E0A4D"/>
    <w:rsid w:val="009E254C"/>
    <w:rsid w:val="00A018B9"/>
    <w:rsid w:val="00A0218A"/>
    <w:rsid w:val="00A14D1E"/>
    <w:rsid w:val="00A16C61"/>
    <w:rsid w:val="00A204AB"/>
    <w:rsid w:val="00A23B83"/>
    <w:rsid w:val="00A23EE1"/>
    <w:rsid w:val="00A24778"/>
    <w:rsid w:val="00A25A60"/>
    <w:rsid w:val="00A33CF6"/>
    <w:rsid w:val="00A35845"/>
    <w:rsid w:val="00A358A8"/>
    <w:rsid w:val="00A373C7"/>
    <w:rsid w:val="00A37720"/>
    <w:rsid w:val="00A404EE"/>
    <w:rsid w:val="00A43117"/>
    <w:rsid w:val="00A47E80"/>
    <w:rsid w:val="00A5278A"/>
    <w:rsid w:val="00A54BBC"/>
    <w:rsid w:val="00A65792"/>
    <w:rsid w:val="00A700A3"/>
    <w:rsid w:val="00A751CF"/>
    <w:rsid w:val="00A76DB6"/>
    <w:rsid w:val="00A77368"/>
    <w:rsid w:val="00A82C46"/>
    <w:rsid w:val="00A849DA"/>
    <w:rsid w:val="00A87E0D"/>
    <w:rsid w:val="00A9164A"/>
    <w:rsid w:val="00A9431A"/>
    <w:rsid w:val="00A952A8"/>
    <w:rsid w:val="00AA4894"/>
    <w:rsid w:val="00AB22A7"/>
    <w:rsid w:val="00AB2947"/>
    <w:rsid w:val="00AB2D06"/>
    <w:rsid w:val="00AC27DF"/>
    <w:rsid w:val="00AC5A5C"/>
    <w:rsid w:val="00AD1D5F"/>
    <w:rsid w:val="00AD35FF"/>
    <w:rsid w:val="00AD7399"/>
    <w:rsid w:val="00AE15A4"/>
    <w:rsid w:val="00AE6E68"/>
    <w:rsid w:val="00B01230"/>
    <w:rsid w:val="00B01EE1"/>
    <w:rsid w:val="00B05AED"/>
    <w:rsid w:val="00B07007"/>
    <w:rsid w:val="00B113A5"/>
    <w:rsid w:val="00B13378"/>
    <w:rsid w:val="00B14748"/>
    <w:rsid w:val="00B20208"/>
    <w:rsid w:val="00B248FB"/>
    <w:rsid w:val="00B340DD"/>
    <w:rsid w:val="00B344FD"/>
    <w:rsid w:val="00B354A8"/>
    <w:rsid w:val="00B428F3"/>
    <w:rsid w:val="00B431B0"/>
    <w:rsid w:val="00B445F7"/>
    <w:rsid w:val="00B45A37"/>
    <w:rsid w:val="00B55BA7"/>
    <w:rsid w:val="00B574C2"/>
    <w:rsid w:val="00B6214F"/>
    <w:rsid w:val="00B62C10"/>
    <w:rsid w:val="00B63E66"/>
    <w:rsid w:val="00B64629"/>
    <w:rsid w:val="00B666BC"/>
    <w:rsid w:val="00B92A7D"/>
    <w:rsid w:val="00B97880"/>
    <w:rsid w:val="00BB1ECC"/>
    <w:rsid w:val="00BC10AB"/>
    <w:rsid w:val="00BC1AE8"/>
    <w:rsid w:val="00BC2CD2"/>
    <w:rsid w:val="00BC513A"/>
    <w:rsid w:val="00BC700C"/>
    <w:rsid w:val="00BD109B"/>
    <w:rsid w:val="00BD193D"/>
    <w:rsid w:val="00BD73B1"/>
    <w:rsid w:val="00BE072F"/>
    <w:rsid w:val="00BE61BA"/>
    <w:rsid w:val="00BE7977"/>
    <w:rsid w:val="00BF06A5"/>
    <w:rsid w:val="00C0064D"/>
    <w:rsid w:val="00C01A27"/>
    <w:rsid w:val="00C02B52"/>
    <w:rsid w:val="00C07873"/>
    <w:rsid w:val="00C12DA1"/>
    <w:rsid w:val="00C1617C"/>
    <w:rsid w:val="00C20259"/>
    <w:rsid w:val="00C208B9"/>
    <w:rsid w:val="00C21540"/>
    <w:rsid w:val="00C2327F"/>
    <w:rsid w:val="00C23E17"/>
    <w:rsid w:val="00C26698"/>
    <w:rsid w:val="00C302F6"/>
    <w:rsid w:val="00C31A22"/>
    <w:rsid w:val="00C35F2E"/>
    <w:rsid w:val="00C37E57"/>
    <w:rsid w:val="00C4117D"/>
    <w:rsid w:val="00C42319"/>
    <w:rsid w:val="00C44D4F"/>
    <w:rsid w:val="00C46759"/>
    <w:rsid w:val="00C47886"/>
    <w:rsid w:val="00C52A60"/>
    <w:rsid w:val="00C53E1C"/>
    <w:rsid w:val="00C55107"/>
    <w:rsid w:val="00C6025C"/>
    <w:rsid w:val="00C63D73"/>
    <w:rsid w:val="00C7041D"/>
    <w:rsid w:val="00C70A99"/>
    <w:rsid w:val="00C75C6A"/>
    <w:rsid w:val="00C80362"/>
    <w:rsid w:val="00C80C05"/>
    <w:rsid w:val="00C82C3E"/>
    <w:rsid w:val="00C92AFC"/>
    <w:rsid w:val="00C92C2D"/>
    <w:rsid w:val="00C93DA5"/>
    <w:rsid w:val="00C94F07"/>
    <w:rsid w:val="00C97146"/>
    <w:rsid w:val="00CB0A60"/>
    <w:rsid w:val="00CB211A"/>
    <w:rsid w:val="00CB3964"/>
    <w:rsid w:val="00CB3CFA"/>
    <w:rsid w:val="00CB42FC"/>
    <w:rsid w:val="00CB797D"/>
    <w:rsid w:val="00CC2DE7"/>
    <w:rsid w:val="00CC4BB6"/>
    <w:rsid w:val="00CC5184"/>
    <w:rsid w:val="00CC583C"/>
    <w:rsid w:val="00CC6155"/>
    <w:rsid w:val="00CC7BB7"/>
    <w:rsid w:val="00CD0D3F"/>
    <w:rsid w:val="00CE0AC9"/>
    <w:rsid w:val="00CE6690"/>
    <w:rsid w:val="00CE6919"/>
    <w:rsid w:val="00CF25C2"/>
    <w:rsid w:val="00CF7C5D"/>
    <w:rsid w:val="00D03358"/>
    <w:rsid w:val="00D0345D"/>
    <w:rsid w:val="00D05BAF"/>
    <w:rsid w:val="00D06744"/>
    <w:rsid w:val="00D1666A"/>
    <w:rsid w:val="00D16739"/>
    <w:rsid w:val="00D16AF1"/>
    <w:rsid w:val="00D22BBA"/>
    <w:rsid w:val="00D25103"/>
    <w:rsid w:val="00D42637"/>
    <w:rsid w:val="00D436D2"/>
    <w:rsid w:val="00D43B20"/>
    <w:rsid w:val="00D50B2E"/>
    <w:rsid w:val="00D5552B"/>
    <w:rsid w:val="00D56811"/>
    <w:rsid w:val="00D635EC"/>
    <w:rsid w:val="00D72515"/>
    <w:rsid w:val="00D72FCC"/>
    <w:rsid w:val="00D7329C"/>
    <w:rsid w:val="00D73545"/>
    <w:rsid w:val="00D8505A"/>
    <w:rsid w:val="00D855DD"/>
    <w:rsid w:val="00D91375"/>
    <w:rsid w:val="00DA42F1"/>
    <w:rsid w:val="00DB17BC"/>
    <w:rsid w:val="00DB22D7"/>
    <w:rsid w:val="00DB767B"/>
    <w:rsid w:val="00DC160C"/>
    <w:rsid w:val="00DC2762"/>
    <w:rsid w:val="00DC33F5"/>
    <w:rsid w:val="00DC549F"/>
    <w:rsid w:val="00DC594B"/>
    <w:rsid w:val="00DC7F6F"/>
    <w:rsid w:val="00DD22DC"/>
    <w:rsid w:val="00DD3DC6"/>
    <w:rsid w:val="00DD4C0C"/>
    <w:rsid w:val="00DE23E0"/>
    <w:rsid w:val="00DE36C7"/>
    <w:rsid w:val="00DE4967"/>
    <w:rsid w:val="00DE4AB2"/>
    <w:rsid w:val="00DF1033"/>
    <w:rsid w:val="00DF5C27"/>
    <w:rsid w:val="00E06D93"/>
    <w:rsid w:val="00E13C5B"/>
    <w:rsid w:val="00E22894"/>
    <w:rsid w:val="00E27258"/>
    <w:rsid w:val="00E2773F"/>
    <w:rsid w:val="00E3005C"/>
    <w:rsid w:val="00E3464C"/>
    <w:rsid w:val="00E35F27"/>
    <w:rsid w:val="00E37B81"/>
    <w:rsid w:val="00E472EF"/>
    <w:rsid w:val="00E542A9"/>
    <w:rsid w:val="00E57613"/>
    <w:rsid w:val="00E6485E"/>
    <w:rsid w:val="00E672B0"/>
    <w:rsid w:val="00E701C7"/>
    <w:rsid w:val="00E704B5"/>
    <w:rsid w:val="00E848C4"/>
    <w:rsid w:val="00E903B5"/>
    <w:rsid w:val="00E913C4"/>
    <w:rsid w:val="00E9395D"/>
    <w:rsid w:val="00E97286"/>
    <w:rsid w:val="00EA45B5"/>
    <w:rsid w:val="00EA6C41"/>
    <w:rsid w:val="00EB11F3"/>
    <w:rsid w:val="00EB68BE"/>
    <w:rsid w:val="00ED01DA"/>
    <w:rsid w:val="00ED2966"/>
    <w:rsid w:val="00ED55AD"/>
    <w:rsid w:val="00ED6352"/>
    <w:rsid w:val="00EE3E55"/>
    <w:rsid w:val="00EE5B56"/>
    <w:rsid w:val="00EF1DF6"/>
    <w:rsid w:val="00EF2365"/>
    <w:rsid w:val="00EF331F"/>
    <w:rsid w:val="00EF54E2"/>
    <w:rsid w:val="00EF55F9"/>
    <w:rsid w:val="00EF6C9D"/>
    <w:rsid w:val="00F0028F"/>
    <w:rsid w:val="00F00A3B"/>
    <w:rsid w:val="00F020AC"/>
    <w:rsid w:val="00F02A7B"/>
    <w:rsid w:val="00F13595"/>
    <w:rsid w:val="00F20825"/>
    <w:rsid w:val="00F21655"/>
    <w:rsid w:val="00F226A8"/>
    <w:rsid w:val="00F233DE"/>
    <w:rsid w:val="00F242EE"/>
    <w:rsid w:val="00F26122"/>
    <w:rsid w:val="00F321E3"/>
    <w:rsid w:val="00F326C7"/>
    <w:rsid w:val="00F36C9F"/>
    <w:rsid w:val="00F373AA"/>
    <w:rsid w:val="00F4240D"/>
    <w:rsid w:val="00F47CA6"/>
    <w:rsid w:val="00F55A38"/>
    <w:rsid w:val="00F56DB0"/>
    <w:rsid w:val="00F62061"/>
    <w:rsid w:val="00F7019B"/>
    <w:rsid w:val="00F70E91"/>
    <w:rsid w:val="00F76AA1"/>
    <w:rsid w:val="00F76AA5"/>
    <w:rsid w:val="00F8516F"/>
    <w:rsid w:val="00F913C4"/>
    <w:rsid w:val="00F936B2"/>
    <w:rsid w:val="00F95BC0"/>
    <w:rsid w:val="00F97E25"/>
    <w:rsid w:val="00FA4119"/>
    <w:rsid w:val="00FA591D"/>
    <w:rsid w:val="00FA7AD1"/>
    <w:rsid w:val="00FB20D1"/>
    <w:rsid w:val="00FC70EB"/>
    <w:rsid w:val="00FC73F9"/>
    <w:rsid w:val="00FD316C"/>
    <w:rsid w:val="00FD4352"/>
    <w:rsid w:val="00FD772B"/>
    <w:rsid w:val="00FE2953"/>
    <w:rsid w:val="00FE2E4D"/>
    <w:rsid w:val="00FF3534"/>
    <w:rsid w:val="00FF38E0"/>
    <w:rsid w:val="00FF3CA3"/>
    <w:rsid w:val="00FF3F31"/>
    <w:rsid w:val="00FF51AE"/>
    <w:rsid w:val="00FF72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F8E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9"/>
    <w:qFormat/>
    <w:rsid w:val="001031F9"/>
    <w:pPr>
      <w:widowControl/>
      <w:ind w:left="567" w:hanging="567"/>
      <w:outlineLvl w:val="0"/>
    </w:pPr>
    <w:rPr>
      <w:b/>
      <w:bCs/>
    </w:rPr>
  </w:style>
  <w:style w:type="paragraph" w:styleId="2">
    <w:name w:val="heading 2"/>
    <w:basedOn w:val="a"/>
    <w:uiPriority w:val="9"/>
    <w:unhideWhenUsed/>
    <w:qFormat/>
    <w:rsid w:val="00BD109B"/>
    <w:pPr>
      <w:widowControl/>
      <w:ind w:left="567" w:hanging="567"/>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998"/>
    </w:pPr>
  </w:style>
  <w:style w:type="paragraph" w:styleId="a4">
    <w:name w:val="List Paragraph"/>
    <w:basedOn w:val="a"/>
    <w:uiPriority w:val="34"/>
    <w:qFormat/>
    <w:pPr>
      <w:ind w:left="1564" w:hanging="566"/>
    </w:pPr>
  </w:style>
  <w:style w:type="paragraph" w:customStyle="1" w:styleId="TableParagraph">
    <w:name w:val="Table Paragraph"/>
    <w:basedOn w:val="a"/>
    <w:uiPriority w:val="1"/>
    <w:qFormat/>
  </w:style>
  <w:style w:type="paragraph" w:styleId="a5">
    <w:name w:val="header"/>
    <w:basedOn w:val="a"/>
    <w:link w:val="Char"/>
    <w:uiPriority w:val="99"/>
    <w:unhideWhenUsed/>
    <w:rsid w:val="00EF55F9"/>
    <w:pPr>
      <w:tabs>
        <w:tab w:val="center" w:pos="4680"/>
        <w:tab w:val="right" w:pos="9360"/>
      </w:tabs>
    </w:pPr>
  </w:style>
  <w:style w:type="character" w:customStyle="1" w:styleId="Char">
    <w:name w:val="머리글 Char"/>
    <w:link w:val="a5"/>
    <w:uiPriority w:val="99"/>
    <w:rsid w:val="00EF55F9"/>
    <w:rPr>
      <w:rFonts w:ascii="Times New Roman" w:eastAsia="Times New Roman" w:hAnsi="Times New Roman" w:cs="Times New Roman"/>
      <w:lang w:val="nl-NL"/>
    </w:rPr>
  </w:style>
  <w:style w:type="paragraph" w:styleId="a6">
    <w:name w:val="footer"/>
    <w:basedOn w:val="a"/>
    <w:link w:val="Char0"/>
    <w:uiPriority w:val="99"/>
    <w:unhideWhenUsed/>
    <w:rsid w:val="00EF55F9"/>
    <w:pPr>
      <w:tabs>
        <w:tab w:val="center" w:pos="4680"/>
        <w:tab w:val="right" w:pos="9360"/>
      </w:tabs>
    </w:pPr>
    <w:rPr>
      <w:rFonts w:ascii="Arial" w:hAnsi="Arial"/>
      <w:sz w:val="16"/>
    </w:rPr>
  </w:style>
  <w:style w:type="character" w:customStyle="1" w:styleId="Char0">
    <w:name w:val="바닥글 Char"/>
    <w:link w:val="a6"/>
    <w:uiPriority w:val="99"/>
    <w:rsid w:val="00EF55F9"/>
    <w:rPr>
      <w:rFonts w:ascii="Arial" w:eastAsia="Times New Roman" w:hAnsi="Arial" w:cs="Times New Roman"/>
      <w:sz w:val="16"/>
      <w:lang w:val="nl-NL"/>
    </w:rPr>
  </w:style>
  <w:style w:type="paragraph" w:customStyle="1" w:styleId="Style1">
    <w:name w:val="Style1"/>
    <w:basedOn w:val="a"/>
    <w:qFormat/>
    <w:rsid w:val="00D43B20"/>
    <w:pPr>
      <w:ind w:left="567" w:hanging="567"/>
    </w:pPr>
    <w:rPr>
      <w:b/>
      <w:bCs/>
    </w:rPr>
  </w:style>
  <w:style w:type="paragraph" w:customStyle="1" w:styleId="bullet">
    <w:name w:val="bullet"/>
    <w:basedOn w:val="a4"/>
    <w:qFormat/>
    <w:rsid w:val="00C23E17"/>
    <w:pPr>
      <w:widowControl/>
      <w:numPr>
        <w:numId w:val="31"/>
      </w:numPr>
    </w:pPr>
  </w:style>
  <w:style w:type="paragraph" w:customStyle="1" w:styleId="Default">
    <w:name w:val="Default"/>
    <w:rsid w:val="001031F9"/>
    <w:pPr>
      <w:autoSpaceDE w:val="0"/>
      <w:autoSpaceDN w:val="0"/>
      <w:adjustRightInd w:val="0"/>
    </w:pPr>
    <w:rPr>
      <w:rFonts w:ascii="Times New Roman" w:hAnsi="Times New Roman" w:cs="Times New Roman"/>
      <w:color w:val="000000"/>
      <w:sz w:val="24"/>
      <w:szCs w:val="24"/>
      <w:lang w:val="en-US" w:eastAsia="en-US"/>
    </w:rPr>
  </w:style>
  <w:style w:type="paragraph" w:styleId="a7">
    <w:name w:val="Revision"/>
    <w:hidden/>
    <w:uiPriority w:val="99"/>
    <w:semiHidden/>
    <w:rsid w:val="005D487A"/>
    <w:rPr>
      <w:rFonts w:ascii="Times New Roman" w:eastAsia="Times New Roman" w:hAnsi="Times New Roman" w:cs="Times New Roman"/>
      <w:sz w:val="22"/>
      <w:szCs w:val="22"/>
      <w:lang w:eastAsia="en-US"/>
    </w:rPr>
  </w:style>
  <w:style w:type="character" w:styleId="a8">
    <w:name w:val="annotation reference"/>
    <w:uiPriority w:val="99"/>
    <w:semiHidden/>
    <w:unhideWhenUsed/>
    <w:rsid w:val="00D72FCC"/>
    <w:rPr>
      <w:sz w:val="16"/>
      <w:szCs w:val="16"/>
    </w:rPr>
  </w:style>
  <w:style w:type="paragraph" w:styleId="a9">
    <w:name w:val="annotation text"/>
    <w:basedOn w:val="a"/>
    <w:link w:val="Char1"/>
    <w:uiPriority w:val="99"/>
    <w:unhideWhenUsed/>
    <w:rsid w:val="00D72FCC"/>
    <w:rPr>
      <w:sz w:val="20"/>
      <w:szCs w:val="20"/>
    </w:rPr>
  </w:style>
  <w:style w:type="character" w:customStyle="1" w:styleId="Char1">
    <w:name w:val="메모 텍스트 Char"/>
    <w:link w:val="a9"/>
    <w:uiPriority w:val="99"/>
    <w:rsid w:val="00D72FCC"/>
    <w:rPr>
      <w:rFonts w:ascii="Times New Roman" w:eastAsia="Times New Roman" w:hAnsi="Times New Roman" w:cs="Times New Roman"/>
      <w:sz w:val="20"/>
      <w:szCs w:val="20"/>
      <w:lang w:val="nl-NL"/>
    </w:rPr>
  </w:style>
  <w:style w:type="paragraph" w:styleId="aa">
    <w:name w:val="annotation subject"/>
    <w:basedOn w:val="a9"/>
    <w:next w:val="a9"/>
    <w:link w:val="Char2"/>
    <w:uiPriority w:val="99"/>
    <w:semiHidden/>
    <w:unhideWhenUsed/>
    <w:rsid w:val="00D72FCC"/>
    <w:rPr>
      <w:b/>
      <w:bCs/>
    </w:rPr>
  </w:style>
  <w:style w:type="character" w:customStyle="1" w:styleId="Char2">
    <w:name w:val="메모 주제 Char"/>
    <w:link w:val="aa"/>
    <w:uiPriority w:val="99"/>
    <w:semiHidden/>
    <w:rsid w:val="00D72FCC"/>
    <w:rPr>
      <w:rFonts w:ascii="Times New Roman" w:eastAsia="Times New Roman" w:hAnsi="Times New Roman" w:cs="Times New Roman"/>
      <w:b/>
      <w:bCs/>
      <w:sz w:val="20"/>
      <w:szCs w:val="20"/>
      <w:lang w:val="nl-NL"/>
    </w:rPr>
  </w:style>
  <w:style w:type="character" w:styleId="ab">
    <w:name w:val="Hyperlink"/>
    <w:uiPriority w:val="99"/>
    <w:rsid w:val="003C342D"/>
    <w:rPr>
      <w:rFonts w:cs="Times New Roman"/>
      <w:color w:val="0000FF"/>
      <w:u w:val="single"/>
    </w:rPr>
  </w:style>
  <w:style w:type="paragraph" w:customStyle="1" w:styleId="Kop21">
    <w:name w:val="Kop 21"/>
    <w:basedOn w:val="a"/>
    <w:next w:val="a"/>
    <w:link w:val="Kop2Char"/>
    <w:uiPriority w:val="99"/>
    <w:qFormat/>
    <w:rsid w:val="00D855DD"/>
    <w:pPr>
      <w:keepNext/>
      <w:widowControl/>
      <w:suppressAutoHyphens/>
      <w:autoSpaceDE/>
      <w:autoSpaceDN/>
      <w:jc w:val="both"/>
      <w:outlineLvl w:val="1"/>
    </w:pPr>
    <w:rPr>
      <w:rFonts w:ascii="Cambria" w:hAnsi="Cambria"/>
      <w:b/>
      <w:bCs/>
      <w:i/>
      <w:iCs/>
      <w:sz w:val="28"/>
      <w:szCs w:val="28"/>
      <w:lang w:val="en-GB" w:eastAsia="zh-CN"/>
    </w:rPr>
  </w:style>
  <w:style w:type="character" w:customStyle="1" w:styleId="Kop2Char">
    <w:name w:val="Kop 2 Char"/>
    <w:link w:val="Kop21"/>
    <w:uiPriority w:val="99"/>
    <w:locked/>
    <w:rsid w:val="00D855DD"/>
    <w:rPr>
      <w:rFonts w:ascii="Cambria" w:eastAsia="Times New Roman" w:hAnsi="Cambria" w:cs="Times New Roman"/>
      <w:b/>
      <w:bCs/>
      <w:i/>
      <w:iCs/>
      <w:sz w:val="28"/>
      <w:szCs w:val="28"/>
      <w:lang w:val="en-GB" w:eastAsia="zh-CN"/>
    </w:rPr>
  </w:style>
  <w:style w:type="table" w:styleId="ac">
    <w:name w:val="Table Grid"/>
    <w:basedOn w:val="a1"/>
    <w:uiPriority w:val="39"/>
    <w:rsid w:val="00B97880"/>
    <w:pPr>
      <w:widowControl w:val="0"/>
    </w:pPr>
    <w:rPr>
      <w:rFonts w:ascii="새굴림" w:eastAsia="새굴림" w:hAnsi="새굴림" w:cs="새굴림"/>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확인되지 않은 멘션1"/>
    <w:uiPriority w:val="99"/>
    <w:semiHidden/>
    <w:unhideWhenUsed/>
    <w:rsid w:val="00B97880"/>
    <w:rPr>
      <w:color w:val="605E5C"/>
      <w:shd w:val="clear" w:color="auto" w:fill="E1DFDD"/>
    </w:rPr>
  </w:style>
  <w:style w:type="paragraph" w:customStyle="1" w:styleId="StyleArialNarrow8pts">
    <w:name w:val="_Style Arial Narrow 8 pts"/>
    <w:basedOn w:val="a"/>
    <w:qFormat/>
    <w:rsid w:val="0079783A"/>
    <w:pPr>
      <w:widowControl/>
      <w:tabs>
        <w:tab w:val="left" w:pos="567"/>
      </w:tabs>
      <w:autoSpaceDE/>
      <w:autoSpaceDN/>
    </w:pPr>
    <w:rPr>
      <w:rFonts w:ascii="Arial Narrow" w:eastAsia="PMingLiU" w:hAnsi="Arial Narrow"/>
      <w:sz w:val="16"/>
      <w:szCs w:val="16"/>
    </w:rPr>
  </w:style>
  <w:style w:type="character" w:styleId="ad">
    <w:name w:val="FollowedHyperlink"/>
    <w:uiPriority w:val="99"/>
    <w:semiHidden/>
    <w:unhideWhenUsed/>
    <w:rsid w:val="00A47E80"/>
    <w:rPr>
      <w:color w:val="800080"/>
      <w:u w:val="single"/>
    </w:rPr>
  </w:style>
  <w:style w:type="character" w:customStyle="1" w:styleId="20">
    <w:name w:val="확인되지 않은 멘션2"/>
    <w:basedOn w:val="a0"/>
    <w:uiPriority w:val="99"/>
    <w:semiHidden/>
    <w:unhideWhenUsed/>
    <w:rsid w:val="00D03358"/>
    <w:rPr>
      <w:color w:val="605E5C"/>
      <w:shd w:val="clear" w:color="auto" w:fill="E1DFDD"/>
    </w:rPr>
  </w:style>
  <w:style w:type="paragraph" w:styleId="ae">
    <w:name w:val="Balloon Text"/>
    <w:basedOn w:val="a"/>
    <w:link w:val="Char3"/>
    <w:uiPriority w:val="99"/>
    <w:semiHidden/>
    <w:unhideWhenUsed/>
    <w:rsid w:val="00A14D1E"/>
    <w:rPr>
      <w:rFonts w:asciiTheme="majorHAnsi" w:eastAsiaTheme="majorEastAsia" w:hAnsiTheme="majorHAnsi" w:cstheme="majorBidi"/>
      <w:sz w:val="18"/>
      <w:szCs w:val="18"/>
    </w:rPr>
  </w:style>
  <w:style w:type="character" w:customStyle="1" w:styleId="Char3">
    <w:name w:val="풍선 도움말 텍스트 Char"/>
    <w:basedOn w:val="a0"/>
    <w:link w:val="ae"/>
    <w:uiPriority w:val="99"/>
    <w:semiHidden/>
    <w:rsid w:val="00A14D1E"/>
    <w:rPr>
      <w:rFonts w:asciiTheme="majorHAnsi" w:eastAsiaTheme="majorEastAsia" w:hAnsiTheme="majorHAnsi" w:cstheme="majorBidi"/>
      <w:sz w:val="18"/>
      <w:szCs w:val="18"/>
      <w:lang w:eastAsia="en-US"/>
    </w:rPr>
  </w:style>
  <w:style w:type="paragraph" w:styleId="af">
    <w:name w:val="Normal (Web)"/>
    <w:basedOn w:val="a"/>
    <w:uiPriority w:val="99"/>
    <w:unhideWhenUsed/>
    <w:rsid w:val="00A14D1E"/>
    <w:pPr>
      <w:widowControl/>
      <w:autoSpaceDE/>
      <w:autoSpaceDN/>
      <w:spacing w:before="100" w:beforeAutospacing="1" w:after="100" w:afterAutospacing="1"/>
    </w:pPr>
    <w:rPr>
      <w:rFonts w:ascii="굴림" w:eastAsia="굴림" w:hAnsi="굴림" w:cs="굴림"/>
      <w:sz w:val="24"/>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228245">
      <w:bodyDiv w:val="1"/>
      <w:marLeft w:val="0"/>
      <w:marRight w:val="0"/>
      <w:marTop w:val="0"/>
      <w:marBottom w:val="0"/>
      <w:divBdr>
        <w:top w:val="none" w:sz="0" w:space="0" w:color="auto"/>
        <w:left w:val="none" w:sz="0" w:space="0" w:color="auto"/>
        <w:bottom w:val="none" w:sz="0" w:space="0" w:color="auto"/>
        <w:right w:val="none" w:sz="0" w:space="0" w:color="auto"/>
      </w:divBdr>
    </w:div>
    <w:div w:id="2050569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appendix-v-adverse-drug-reaction-reporting-details_en.doc" TargetMode="External"/><Relationship Id="rId18" Type="http://schemas.openxmlformats.org/officeDocument/2006/relationships/hyperlink" Target="https://www.ema.europa.eu." TargetMode="External"/><Relationship Id="rId26" Type="http://schemas.openxmlformats.org/officeDocument/2006/relationships/hyperlink" Target="mailto:NLinfo@celltrionhc.com" TargetMode="External"/><Relationship Id="rId39" Type="http://schemas.openxmlformats.org/officeDocument/2006/relationships/image" Target="media/image15.png"/><Relationship Id="rId21" Type="http://schemas.openxmlformats.org/officeDocument/2006/relationships/hyperlink" Target="https://www.ema.europa.eu/documents/template-form/appendix-v-adverse-drug-reaction-reporting-details_en.doc" TargetMode="External"/><Relationship Id="rId34" Type="http://schemas.openxmlformats.org/officeDocument/2006/relationships/image" Target="media/image10.png"/><Relationship Id="rId42" Type="http://schemas.openxmlformats.org/officeDocument/2006/relationships/hyperlink" Target="mailto:BEinfo@celltrionhc.com" TargetMode="External"/><Relationship Id="rId47" Type="http://schemas.openxmlformats.org/officeDocument/2006/relationships/image" Target="media/image17.png"/><Relationship Id="rId50" Type="http://schemas.openxmlformats.org/officeDocument/2006/relationships/image" Target="media/image20.png"/><Relationship Id="rId55" Type="http://schemas.openxmlformats.org/officeDocument/2006/relationships/image" Target="media/image25.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ma.europa.eu/documents/template-form/appendix-v-adverse-drug-reaction-reporting-details_en.doc" TargetMode="External"/><Relationship Id="rId29" Type="http://schemas.openxmlformats.org/officeDocument/2006/relationships/image" Target="media/image5.png"/><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hyperlink" Target="mailto:NLinfo@celltrionhc.com" TargetMode="External"/><Relationship Id="rId53" Type="http://schemas.openxmlformats.org/officeDocument/2006/relationships/image" Target="media/image23.png"/><Relationship Id="rId58" Type="http://schemas.openxmlformats.org/officeDocument/2006/relationships/image" Target="media/image28.png"/><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hyperlink" Target="https://www.ema.europa.eu/documents/template-form/appendix-v-adverse-drug-reaction-reporting-details_en.doc" TargetMode="External"/><Relationship Id="rId14" Type="http://schemas.openxmlformats.org/officeDocument/2006/relationships/hyperlink" Target="https://www.ema.europa.eu" TargetMode="External"/><Relationship Id="rId22" Type="http://schemas.openxmlformats.org/officeDocument/2006/relationships/hyperlink" Target="mailto:NLinfo@celltrionhc.com"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yperlink" Target="mailto:BEinfo@celltrionhc.com" TargetMode="External"/><Relationship Id="rId48" Type="http://schemas.openxmlformats.org/officeDocument/2006/relationships/image" Target="media/image18.png"/><Relationship Id="rId56" Type="http://schemas.openxmlformats.org/officeDocument/2006/relationships/image" Target="media/image26.png"/><Relationship Id="rId8" Type="http://schemas.openxmlformats.org/officeDocument/2006/relationships/settings" Target="settings.xml"/><Relationship Id="rId51" Type="http://schemas.openxmlformats.org/officeDocument/2006/relationships/image" Target="media/image21.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ema.europa.eu" TargetMode="External"/><Relationship Id="rId25" Type="http://schemas.openxmlformats.org/officeDocument/2006/relationships/hyperlink" Target="https://www.ema.europa.eu/documents/template-form/appendix-v-adverse-drug-reaction-reporting-details_en.doc"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hyperlink" Target="http://www.ema.europa.eu." TargetMode="External"/><Relationship Id="rId59" Type="http://schemas.openxmlformats.org/officeDocument/2006/relationships/footer" Target="footer1.xml"/><Relationship Id="rId20" Type="http://schemas.openxmlformats.org/officeDocument/2006/relationships/hyperlink" Target="https://www.ema.europa.eu" TargetMode="External"/><Relationship Id="rId41" Type="http://schemas.openxmlformats.org/officeDocument/2006/relationships/hyperlink" Target="https://www.ema.europa.eu/documents/template-form/appendix-v-adverse-drug-reaction-reporting-details_en.doc" TargetMode="External"/><Relationship Id="rId54"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hyperlink" Target="https://www.ema.europa.eu" TargetMode="Externa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image" Target="media/image19.png"/><Relationship Id="rId57" Type="http://schemas.openxmlformats.org/officeDocument/2006/relationships/image" Target="media/image27.png"/><Relationship Id="rId10" Type="http://schemas.openxmlformats.org/officeDocument/2006/relationships/footnotes" Target="footnotes.xml"/><Relationship Id="rId31" Type="http://schemas.openxmlformats.org/officeDocument/2006/relationships/image" Target="media/image7.png"/><Relationship Id="rId44" Type="http://schemas.openxmlformats.org/officeDocument/2006/relationships/hyperlink" Target="mailto:infoDE@celltrionhc.com" TargetMode="External"/><Relationship Id="rId52" Type="http://schemas.openxmlformats.org/officeDocument/2006/relationships/image" Target="media/image22.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EMADOC-1700519818-2467744</_dlc_DocId>
    <_dlc_DocIdUrl xmlns="a034c160-bfb7-45f5-8632-2eb7e0508071">
      <Url>https://euema.sharepoint.com/sites/CRM/_layouts/15/DocIdRedir.aspx?ID=EMADOC-1700519818-2467744</Url>
      <Description>EMADOC-1700519818-2467744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9E22A8-59F3-43E7-9B9D-F9A1315DED52}">
  <ds:schemaRefs>
    <ds:schemaRef ds:uri="http://schemas.microsoft.com/sharepoint/v3/contenttype/forms"/>
  </ds:schemaRefs>
</ds:datastoreItem>
</file>

<file path=customXml/itemProps2.xml><?xml version="1.0" encoding="utf-8"?>
<ds:datastoreItem xmlns:ds="http://schemas.openxmlformats.org/officeDocument/2006/customXml" ds:itemID="{45E46634-A334-4DE6-8EEA-ED98EDC1C674}">
  <ds:schemaRefs>
    <ds:schemaRef ds:uri="http://schemas.microsoft.com/office/2006/metadata/properties"/>
    <ds:schemaRef ds:uri="http://schemas.microsoft.com/office/infopath/2007/PartnerControls"/>
    <ds:schemaRef ds:uri="e1eef876-2644-4dc2-b8ea-c736ac46ca54"/>
    <ds:schemaRef ds:uri="a4d64e8f-e33f-435d-981f-c49545ae15b0"/>
  </ds:schemaRefs>
</ds:datastoreItem>
</file>

<file path=customXml/itemProps3.xml><?xml version="1.0" encoding="utf-8"?>
<ds:datastoreItem xmlns:ds="http://schemas.openxmlformats.org/officeDocument/2006/customXml" ds:itemID="{928CDC79-12CA-4FA3-864E-8AF1E54C83FE}"/>
</file>

<file path=customXml/itemProps4.xml><?xml version="1.0" encoding="utf-8"?>
<ds:datastoreItem xmlns:ds="http://schemas.openxmlformats.org/officeDocument/2006/customXml" ds:itemID="{46FA67C7-B914-4A0D-BB8C-2D250A17C805}">
  <ds:schemaRefs>
    <ds:schemaRef ds:uri="http://schemas.openxmlformats.org/officeDocument/2006/bibliography"/>
  </ds:schemaRefs>
</ds:datastoreItem>
</file>

<file path=customXml/itemProps5.xml><?xml version="1.0" encoding="utf-8"?>
<ds:datastoreItem xmlns:ds="http://schemas.openxmlformats.org/officeDocument/2006/customXml" ds:itemID="{8799B29E-F767-43BC-A7E3-B599AA33A68B}"/>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183</Pages>
  <Words>64473</Words>
  <Characters>381683</Characters>
  <Application>Microsoft Office Word</Application>
  <DocSecurity>0</DocSecurity>
  <Lines>23855</Lines>
  <Paragraphs>15384</Paragraphs>
  <ScaleCrop>false</ScaleCrop>
  <HeadingPairs>
    <vt:vector size="2" baseType="variant">
      <vt:variant>
        <vt:lpstr>제목</vt:lpstr>
      </vt:variant>
      <vt:variant>
        <vt:i4>1</vt:i4>
      </vt:variant>
    </vt:vector>
  </HeadingPairs>
  <TitlesOfParts>
    <vt:vector size="1" baseType="lpstr">
      <vt:lpstr>Avtozma, INN-tocilizumab</vt:lpstr>
    </vt:vector>
  </TitlesOfParts>
  <Manager/>
  <Company/>
  <LinksUpToDate>false</LinksUpToDate>
  <CharactersWithSpaces>430772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Avtozma, INN-tocilizumab</dc:title>
  <dc:subject>EPAR</dc:subject>
  <dc:creator/>
  <cp:keywords>Avtozma, INN-tocilizumab</cp:keywords>
  <dc:description/>
  <cp:lastModifiedBy/>
  <cp:revision>1</cp:revision>
  <dcterms:created xsi:type="dcterms:W3CDTF">2025-07-11T13:29:00Z</dcterms:created>
  <dcterms:modified xsi:type="dcterms:W3CDTF">2025-08-27T06:34:00Z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2024-11-14T00:00:00Z</vt:filetime>
  </property>
  <property fmtid="{D5CDD505-2E9C-101B-9397-08002B2CF9AE}" pid="3" name="MediaServiceImageTags">
    <vt:lpwstr/>
  </property>
  <property fmtid="{D5CDD505-2E9C-101B-9397-08002B2CF9AE}" pid="4" name="SourceModified">
    <vt:lpwstr>D:20231214051632</vt:lpwstr>
  </property>
  <property fmtid="{D5CDD505-2E9C-101B-9397-08002B2CF9AE}" pid="5" name="ContentTypeId">
    <vt:lpwstr>0x0101000DA6AD19014FF648A49316945EE786F90200176DED4FF78CD74995F64A0F46B59E48</vt:lpwstr>
  </property>
  <property fmtid="{D5CDD505-2E9C-101B-9397-08002B2CF9AE}" pid="6" name="Template Version">
    <vt:lpwstr>1.4</vt:lpwstr>
  </property>
  <property fmtid="{D5CDD505-2E9C-101B-9397-08002B2CF9AE}" pid="7" name="Creator">
    <vt:lpwstr>Acrobat PDFMaker 15 for Word</vt:lpwstr>
  </property>
  <property fmtid="{D5CDD505-2E9C-101B-9397-08002B2CF9AE}" pid="8" name="Producer">
    <vt:lpwstr>Adobe PDF Library 15.0</vt:lpwstr>
  </property>
  <property fmtid="{D5CDD505-2E9C-101B-9397-08002B2CF9AE}" pid="9" name="Created">
    <vt:filetime>2023-12-14T00:00:00Z</vt:filetime>
  </property>
  <property fmtid="{D5CDD505-2E9C-101B-9397-08002B2CF9AE}" pid="10" name="_dlc_DocIdItemGuid">
    <vt:lpwstr>408e7a78-52cc-466d-b4cc-cb2aef35f9f1</vt:lpwstr>
  </property>
</Properties>
</file>