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AEDC5" w14:textId="6E2EF1F6" w:rsidR="00EE240E" w:rsidRDefault="00EE240E" w:rsidP="00EE240E">
      <w:pPr>
        <w:pBdr>
          <w:top w:val="single" w:sz="4" w:space="1" w:color="auto"/>
          <w:left w:val="single" w:sz="4" w:space="4" w:color="auto"/>
          <w:bottom w:val="single" w:sz="4" w:space="1" w:color="auto"/>
          <w:right w:val="single" w:sz="4" w:space="4" w:color="auto"/>
        </w:pBdr>
      </w:pPr>
      <w:r>
        <w:t xml:space="preserve">Dit document is de goedgekeurde productinformatie voor </w:t>
      </w:r>
      <w:r>
        <w:t>Kefdensis</w:t>
      </w:r>
      <w:r>
        <w:t xml:space="preserve">, waarbij de wijzigingen in de productinformatie ten opzichte van de vorige procedure </w:t>
      </w:r>
      <w:r>
        <w:t>(EMEA/H/C/006490/0000)</w:t>
      </w:r>
      <w:r w:rsidRPr="00B46EC3">
        <w:t xml:space="preserve"> </w:t>
      </w:r>
      <w:r>
        <w:t>zijn gemarkeerd.</w:t>
      </w:r>
    </w:p>
    <w:p w14:paraId="3FA07DCD" w14:textId="77777777" w:rsidR="00EE240E" w:rsidRDefault="00EE240E" w:rsidP="00EE240E">
      <w:pPr>
        <w:pBdr>
          <w:top w:val="single" w:sz="4" w:space="1" w:color="auto"/>
          <w:left w:val="single" w:sz="4" w:space="4" w:color="auto"/>
          <w:bottom w:val="single" w:sz="4" w:space="1" w:color="auto"/>
          <w:right w:val="single" w:sz="4" w:space="4" w:color="auto"/>
        </w:pBdr>
      </w:pPr>
    </w:p>
    <w:p w14:paraId="0B06F625" w14:textId="0969B9FB" w:rsidR="00EE240E" w:rsidRDefault="00EE240E" w:rsidP="00EE240E">
      <w:pPr>
        <w:pBdr>
          <w:top w:val="single" w:sz="4" w:space="1" w:color="auto"/>
          <w:left w:val="single" w:sz="4" w:space="4" w:color="auto"/>
          <w:bottom w:val="single" w:sz="4" w:space="1" w:color="auto"/>
          <w:right w:val="single" w:sz="4" w:space="4" w:color="auto"/>
        </w:pBdr>
      </w:pPr>
      <w:r>
        <w:t xml:space="preserve">Zie voor meer informatie de website van het Europees Geneesmiddelenbureau: </w:t>
      </w:r>
      <w:hyperlink r:id="rId12" w:history="1">
        <w:r>
          <w:rPr>
            <w:rStyle w:val="Hyperlink"/>
          </w:rPr>
          <w:t>https://www.ema.europa.eu/en/medicines/human/epar/kefdensis</w:t>
        </w:r>
      </w:hyperlink>
    </w:p>
    <w:p w14:paraId="7472598D" w14:textId="77777777" w:rsidR="00951F81" w:rsidRPr="006320B0" w:rsidRDefault="00951F81" w:rsidP="00840536">
      <w:pPr>
        <w:widowControl w:val="0"/>
        <w:suppressAutoHyphens/>
        <w:jc w:val="center"/>
      </w:pPr>
    </w:p>
    <w:p w14:paraId="61E274ED" w14:textId="77777777" w:rsidR="00951F81" w:rsidRPr="006320B0" w:rsidRDefault="00951F81" w:rsidP="00840536">
      <w:pPr>
        <w:widowControl w:val="0"/>
        <w:suppressAutoHyphens/>
        <w:jc w:val="center"/>
      </w:pPr>
    </w:p>
    <w:p w14:paraId="47AC87EE" w14:textId="77777777" w:rsidR="00951F81" w:rsidRPr="006320B0" w:rsidRDefault="00951F81" w:rsidP="00840536">
      <w:pPr>
        <w:widowControl w:val="0"/>
        <w:suppressAutoHyphens/>
        <w:jc w:val="center"/>
      </w:pPr>
    </w:p>
    <w:p w14:paraId="40E79B83" w14:textId="77777777" w:rsidR="00951F81" w:rsidRPr="006320B0" w:rsidRDefault="00951F81" w:rsidP="00840536">
      <w:pPr>
        <w:widowControl w:val="0"/>
        <w:suppressAutoHyphens/>
        <w:jc w:val="center"/>
      </w:pPr>
    </w:p>
    <w:p w14:paraId="1045D991" w14:textId="77777777" w:rsidR="00951F81" w:rsidRPr="006320B0" w:rsidRDefault="00951F81" w:rsidP="00840536">
      <w:pPr>
        <w:widowControl w:val="0"/>
        <w:suppressAutoHyphens/>
        <w:jc w:val="center"/>
      </w:pPr>
    </w:p>
    <w:p w14:paraId="62B85582" w14:textId="77777777" w:rsidR="00951F81" w:rsidRPr="006320B0" w:rsidRDefault="00951F81" w:rsidP="00840536">
      <w:pPr>
        <w:widowControl w:val="0"/>
        <w:suppressAutoHyphens/>
        <w:jc w:val="center"/>
      </w:pPr>
    </w:p>
    <w:p w14:paraId="54B54127" w14:textId="77777777" w:rsidR="00951F81" w:rsidRPr="006320B0" w:rsidRDefault="00951F81" w:rsidP="00840536">
      <w:pPr>
        <w:widowControl w:val="0"/>
        <w:suppressAutoHyphens/>
        <w:jc w:val="center"/>
      </w:pPr>
    </w:p>
    <w:p w14:paraId="489168B5" w14:textId="77777777" w:rsidR="00951F81" w:rsidRPr="006320B0" w:rsidRDefault="00951F81" w:rsidP="00840536">
      <w:pPr>
        <w:widowControl w:val="0"/>
        <w:suppressAutoHyphens/>
        <w:jc w:val="center"/>
      </w:pPr>
    </w:p>
    <w:p w14:paraId="0D6AC50B" w14:textId="77777777" w:rsidR="00951F81" w:rsidRPr="006320B0" w:rsidRDefault="00951F81" w:rsidP="00840536">
      <w:pPr>
        <w:widowControl w:val="0"/>
        <w:suppressAutoHyphens/>
        <w:jc w:val="center"/>
        <w:rPr>
          <w:bCs/>
        </w:rPr>
      </w:pPr>
    </w:p>
    <w:p w14:paraId="5415EFF1" w14:textId="77777777" w:rsidR="00951F81" w:rsidRPr="006320B0" w:rsidRDefault="00951F81" w:rsidP="00840536">
      <w:pPr>
        <w:widowControl w:val="0"/>
        <w:suppressAutoHyphens/>
        <w:jc w:val="center"/>
        <w:rPr>
          <w:bCs/>
        </w:rPr>
      </w:pPr>
    </w:p>
    <w:p w14:paraId="68A2CC30" w14:textId="77777777" w:rsidR="00951F81" w:rsidRPr="006320B0" w:rsidRDefault="00951F81" w:rsidP="00840536">
      <w:pPr>
        <w:widowControl w:val="0"/>
        <w:suppressAutoHyphens/>
        <w:jc w:val="center"/>
        <w:rPr>
          <w:bCs/>
        </w:rPr>
      </w:pPr>
    </w:p>
    <w:p w14:paraId="48802CE5" w14:textId="77777777" w:rsidR="00951F81" w:rsidRPr="006320B0" w:rsidRDefault="00951F81" w:rsidP="00840536">
      <w:pPr>
        <w:widowControl w:val="0"/>
        <w:suppressAutoHyphens/>
        <w:jc w:val="center"/>
        <w:rPr>
          <w:bCs/>
        </w:rPr>
      </w:pPr>
    </w:p>
    <w:p w14:paraId="784736C3" w14:textId="77777777" w:rsidR="00951F81" w:rsidRPr="006320B0" w:rsidRDefault="00951F81" w:rsidP="00840536">
      <w:pPr>
        <w:widowControl w:val="0"/>
        <w:suppressAutoHyphens/>
        <w:jc w:val="center"/>
        <w:rPr>
          <w:bCs/>
        </w:rPr>
      </w:pPr>
    </w:p>
    <w:p w14:paraId="5F0CD46B" w14:textId="77777777" w:rsidR="00951F81" w:rsidRPr="006320B0" w:rsidRDefault="00951F81" w:rsidP="00840536">
      <w:pPr>
        <w:widowControl w:val="0"/>
        <w:suppressAutoHyphens/>
        <w:jc w:val="center"/>
        <w:rPr>
          <w:bCs/>
        </w:rPr>
      </w:pPr>
    </w:p>
    <w:p w14:paraId="0A3DF733" w14:textId="77777777" w:rsidR="00951F81" w:rsidRPr="006320B0" w:rsidRDefault="00951F81" w:rsidP="00840536">
      <w:pPr>
        <w:widowControl w:val="0"/>
        <w:suppressAutoHyphens/>
        <w:jc w:val="center"/>
        <w:rPr>
          <w:bCs/>
        </w:rPr>
      </w:pPr>
    </w:p>
    <w:p w14:paraId="06410957" w14:textId="77777777" w:rsidR="00951F81" w:rsidRPr="006320B0" w:rsidRDefault="00951F81" w:rsidP="00840536">
      <w:pPr>
        <w:widowControl w:val="0"/>
        <w:suppressAutoHyphens/>
        <w:jc w:val="center"/>
        <w:rPr>
          <w:bCs/>
        </w:rPr>
      </w:pPr>
    </w:p>
    <w:p w14:paraId="08100FB9" w14:textId="77777777" w:rsidR="00951F81" w:rsidRPr="006320B0" w:rsidRDefault="00951F81" w:rsidP="00840536">
      <w:pPr>
        <w:widowControl w:val="0"/>
        <w:suppressAutoHyphens/>
        <w:jc w:val="center"/>
        <w:rPr>
          <w:bCs/>
        </w:rPr>
      </w:pPr>
    </w:p>
    <w:p w14:paraId="6B37D9C3" w14:textId="77777777" w:rsidR="00951F81" w:rsidRPr="006320B0" w:rsidRDefault="00951F81" w:rsidP="00840536">
      <w:pPr>
        <w:widowControl w:val="0"/>
        <w:suppressAutoHyphens/>
        <w:jc w:val="center"/>
        <w:rPr>
          <w:bCs/>
        </w:rPr>
      </w:pPr>
    </w:p>
    <w:p w14:paraId="58A9F876" w14:textId="77777777" w:rsidR="00951F81" w:rsidRPr="006320B0" w:rsidRDefault="00951F81" w:rsidP="00840536">
      <w:pPr>
        <w:widowControl w:val="0"/>
        <w:suppressAutoHyphens/>
        <w:jc w:val="center"/>
        <w:rPr>
          <w:bCs/>
        </w:rPr>
      </w:pPr>
    </w:p>
    <w:p w14:paraId="0BADB2FE" w14:textId="77777777" w:rsidR="00951F81" w:rsidRPr="006320B0" w:rsidRDefault="00951F81" w:rsidP="00840536">
      <w:pPr>
        <w:widowControl w:val="0"/>
        <w:suppressAutoHyphens/>
        <w:jc w:val="center"/>
        <w:rPr>
          <w:bCs/>
        </w:rPr>
      </w:pPr>
    </w:p>
    <w:p w14:paraId="21B871DF" w14:textId="77777777" w:rsidR="00951F81" w:rsidRPr="006320B0" w:rsidRDefault="00951F81" w:rsidP="00840536">
      <w:pPr>
        <w:widowControl w:val="0"/>
        <w:suppressAutoHyphens/>
        <w:jc w:val="center"/>
        <w:rPr>
          <w:bCs/>
        </w:rPr>
      </w:pPr>
    </w:p>
    <w:p w14:paraId="3BF5494F" w14:textId="77777777" w:rsidR="00951F81" w:rsidRPr="006320B0" w:rsidRDefault="00951F81" w:rsidP="00840536">
      <w:pPr>
        <w:widowControl w:val="0"/>
        <w:suppressAutoHyphens/>
        <w:jc w:val="center"/>
        <w:rPr>
          <w:bCs/>
        </w:rPr>
      </w:pPr>
    </w:p>
    <w:p w14:paraId="4C0A389C" w14:textId="77777777" w:rsidR="00951F81" w:rsidRPr="006320B0" w:rsidRDefault="00951F81" w:rsidP="00840536">
      <w:pPr>
        <w:widowControl w:val="0"/>
        <w:suppressAutoHyphens/>
        <w:jc w:val="center"/>
        <w:rPr>
          <w:bCs/>
        </w:rPr>
      </w:pPr>
    </w:p>
    <w:p w14:paraId="3F2A9B81" w14:textId="77777777" w:rsidR="00951F81" w:rsidRPr="006320B0" w:rsidRDefault="00951F81" w:rsidP="00840536">
      <w:pPr>
        <w:widowControl w:val="0"/>
        <w:suppressAutoHyphens/>
        <w:jc w:val="center"/>
        <w:rPr>
          <w:b/>
          <w:bCs/>
        </w:rPr>
      </w:pPr>
      <w:r w:rsidRPr="006320B0">
        <w:rPr>
          <w:b/>
        </w:rPr>
        <w:t>BIJLAGE I</w:t>
      </w:r>
    </w:p>
    <w:p w14:paraId="609C6DBE" w14:textId="77777777" w:rsidR="00951F81" w:rsidRPr="006320B0" w:rsidRDefault="00951F81" w:rsidP="00840536">
      <w:pPr>
        <w:widowControl w:val="0"/>
        <w:suppressAutoHyphens/>
        <w:jc w:val="center"/>
        <w:rPr>
          <w:bCs/>
        </w:rPr>
      </w:pPr>
    </w:p>
    <w:p w14:paraId="6C2AEF9B" w14:textId="77777777" w:rsidR="00951F81" w:rsidRPr="006320B0" w:rsidRDefault="00951F81" w:rsidP="00840536">
      <w:pPr>
        <w:pStyle w:val="TitleA"/>
        <w:widowControl w:val="0"/>
        <w:suppressAutoHyphens/>
        <w:outlineLvl w:val="0"/>
      </w:pPr>
      <w:r w:rsidRPr="006320B0">
        <w:t>SAMENVATTING VAN DE PRODUCTKENMERKEN</w:t>
      </w:r>
    </w:p>
    <w:p w14:paraId="76DCFED0" w14:textId="5A521DDF" w:rsidR="00D67EA3" w:rsidRPr="006320B0" w:rsidRDefault="00884E6E" w:rsidP="00884E6E">
      <w:pPr>
        <w:keepNext/>
        <w:ind w:left="567" w:hanging="567"/>
      </w:pPr>
      <w:r w:rsidRPr="006320B0">
        <w:lastRenderedPageBreak/>
        <w:br w:type="page"/>
      </w:r>
    </w:p>
    <w:p w14:paraId="172857D8" w14:textId="021FAAE3" w:rsidR="00D67EA3" w:rsidRPr="006320B0" w:rsidRDefault="00D67EA3" w:rsidP="004274EA">
      <w:r w:rsidRPr="006320B0">
        <w:rPr>
          <w:noProof/>
          <w:lang w:eastAsia="en-GB"/>
        </w:rPr>
        <w:lastRenderedPageBreak/>
        <w:drawing>
          <wp:inline distT="0" distB="0" distL="0" distR="0" wp14:anchorId="56885D3C" wp14:editId="486DBD7C">
            <wp:extent cx="200025" cy="171450"/>
            <wp:effectExtent l="0" t="0" r="0" b="0"/>
            <wp:docPr id="1745421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01442"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6320B0">
        <w:t xml:space="preserve"> Dit geneesmiddel is onderworpen aan aanvullende monitoring. Daardoor kan snel nieuwe veiligheidsinformatie worden vastgesteld. Beroepsbeoefenaren in de gezondheidszorg wordt verzocht alle vermoedelijke bijwerkingen te melden. Zie rubriek 4.8 voor het rapporteren van bijwerkingen</w:t>
      </w:r>
      <w:r w:rsidRPr="006320B0">
        <w:rPr>
          <w:color w:val="00B050"/>
        </w:rPr>
        <w:t>.</w:t>
      </w:r>
    </w:p>
    <w:p w14:paraId="01BEAAB3" w14:textId="77777777" w:rsidR="00D67EA3" w:rsidRPr="006320B0" w:rsidRDefault="00D67EA3" w:rsidP="004274EA"/>
    <w:p w14:paraId="0AA75578" w14:textId="77777777" w:rsidR="00D67EA3" w:rsidRPr="006320B0" w:rsidRDefault="00D67EA3" w:rsidP="004274EA"/>
    <w:p w14:paraId="484D94ED" w14:textId="5086982A" w:rsidR="00951F81" w:rsidRPr="006320B0" w:rsidRDefault="00884E6E" w:rsidP="00840536">
      <w:pPr>
        <w:widowControl w:val="0"/>
        <w:suppressAutoHyphens/>
        <w:ind w:left="567" w:hanging="567"/>
      </w:pPr>
      <w:r w:rsidRPr="006320B0">
        <w:rPr>
          <w:b/>
        </w:rPr>
        <w:t>1.</w:t>
      </w:r>
      <w:r w:rsidRPr="006320B0">
        <w:rPr>
          <w:b/>
        </w:rPr>
        <w:tab/>
        <w:t>NAAM VAN HET GENEESMIDDEL</w:t>
      </w:r>
    </w:p>
    <w:p w14:paraId="6357290E" w14:textId="77777777" w:rsidR="00951F81" w:rsidRPr="006320B0" w:rsidRDefault="00951F81" w:rsidP="00840536">
      <w:pPr>
        <w:widowControl w:val="0"/>
        <w:suppressAutoHyphens/>
      </w:pPr>
    </w:p>
    <w:p w14:paraId="21CED993" w14:textId="0C57AD46" w:rsidR="00951F81" w:rsidRPr="006320B0" w:rsidRDefault="00D50235" w:rsidP="00840536">
      <w:pPr>
        <w:widowControl w:val="0"/>
        <w:suppressAutoHyphens/>
      </w:pPr>
      <w:r w:rsidRPr="006320B0">
        <w:t>Kefdensis</w:t>
      </w:r>
      <w:r w:rsidR="00951F81" w:rsidRPr="006320B0">
        <w:t xml:space="preserve"> 60 mg oplossing voor injectie in een voorgevulde spuit</w:t>
      </w:r>
    </w:p>
    <w:p w14:paraId="177DADED" w14:textId="77777777" w:rsidR="00951F81" w:rsidRPr="006320B0" w:rsidRDefault="00951F81" w:rsidP="00840536">
      <w:pPr>
        <w:widowControl w:val="0"/>
        <w:suppressAutoHyphens/>
      </w:pPr>
    </w:p>
    <w:p w14:paraId="4B86288D" w14:textId="77777777" w:rsidR="00951F81" w:rsidRPr="006320B0" w:rsidRDefault="00951F81" w:rsidP="00840536">
      <w:pPr>
        <w:widowControl w:val="0"/>
        <w:suppressAutoHyphens/>
      </w:pPr>
    </w:p>
    <w:p w14:paraId="74CE7FB0" w14:textId="77777777" w:rsidR="00951F81" w:rsidRPr="006320B0" w:rsidRDefault="00951F81" w:rsidP="00840536">
      <w:pPr>
        <w:widowControl w:val="0"/>
        <w:suppressAutoHyphens/>
        <w:ind w:left="567" w:hanging="567"/>
      </w:pPr>
      <w:r w:rsidRPr="006320B0">
        <w:rPr>
          <w:b/>
        </w:rPr>
        <w:t>2.</w:t>
      </w:r>
      <w:r w:rsidRPr="006320B0">
        <w:rPr>
          <w:b/>
        </w:rPr>
        <w:tab/>
        <w:t>KWALITATIEVE EN KWANTITATIEVE SAMENSTELLING</w:t>
      </w:r>
    </w:p>
    <w:p w14:paraId="3105744E" w14:textId="77777777" w:rsidR="00951F81" w:rsidRPr="006320B0" w:rsidRDefault="00951F81" w:rsidP="00840536">
      <w:pPr>
        <w:widowControl w:val="0"/>
        <w:suppressAutoHyphens/>
      </w:pPr>
    </w:p>
    <w:p w14:paraId="394BA76F" w14:textId="77777777" w:rsidR="00951F81" w:rsidRPr="006320B0" w:rsidRDefault="00951F81" w:rsidP="00840536">
      <w:pPr>
        <w:widowControl w:val="0"/>
        <w:suppressAutoHyphens/>
      </w:pPr>
      <w:r w:rsidRPr="006320B0">
        <w:t>Elke voorgevulde spuit bevat 60 mg denosumab in 1 ml oplossing (60 mg/ml).</w:t>
      </w:r>
    </w:p>
    <w:p w14:paraId="266311A9" w14:textId="77777777" w:rsidR="00951F81" w:rsidRPr="006320B0" w:rsidRDefault="00951F81" w:rsidP="00840536">
      <w:pPr>
        <w:widowControl w:val="0"/>
        <w:suppressAutoHyphens/>
      </w:pPr>
    </w:p>
    <w:p w14:paraId="41A94D0C" w14:textId="77777777" w:rsidR="00951F81" w:rsidRPr="006320B0" w:rsidRDefault="00951F81" w:rsidP="00840536">
      <w:pPr>
        <w:widowControl w:val="0"/>
        <w:suppressAutoHyphens/>
      </w:pPr>
      <w:r w:rsidRPr="006320B0">
        <w:t>Denosumab is een humaan monoklonaal IgG2</w:t>
      </w:r>
      <w:r w:rsidRPr="006320B0">
        <w:noBreakHyphen/>
        <w:t>antilichaam geproduceerd in een zoogdiercellijn (Chinese hamster ovariumcellen) via recombinant DNA</w:t>
      </w:r>
      <w:r w:rsidRPr="006320B0">
        <w:noBreakHyphen/>
        <w:t>technologie.</w:t>
      </w:r>
    </w:p>
    <w:p w14:paraId="16FD983C" w14:textId="77777777" w:rsidR="00951F81" w:rsidRPr="006320B0" w:rsidRDefault="00951F81" w:rsidP="00840536">
      <w:pPr>
        <w:widowControl w:val="0"/>
        <w:suppressAutoHyphens/>
      </w:pPr>
    </w:p>
    <w:p w14:paraId="41957CEC" w14:textId="77777777" w:rsidR="00951F81" w:rsidRPr="006320B0" w:rsidRDefault="00951F81" w:rsidP="00840536">
      <w:pPr>
        <w:widowControl w:val="0"/>
        <w:suppressAutoHyphens/>
      </w:pPr>
      <w:r w:rsidRPr="006320B0">
        <w:t>Voor de volledige lijst van hulpstoffen, zie rubriek 6.1.</w:t>
      </w:r>
    </w:p>
    <w:p w14:paraId="1EE635DD" w14:textId="77777777" w:rsidR="00951F81" w:rsidRPr="006320B0" w:rsidRDefault="00951F81" w:rsidP="00840536">
      <w:pPr>
        <w:widowControl w:val="0"/>
        <w:suppressAutoHyphens/>
      </w:pPr>
    </w:p>
    <w:p w14:paraId="00AD27BF" w14:textId="77777777" w:rsidR="00951F81" w:rsidRPr="006320B0" w:rsidRDefault="00951F81" w:rsidP="00AB3BF2">
      <w:pPr>
        <w:widowControl w:val="0"/>
        <w:suppressAutoHyphens/>
      </w:pPr>
    </w:p>
    <w:p w14:paraId="0DDA704E" w14:textId="77777777" w:rsidR="00951F81" w:rsidRPr="006320B0" w:rsidRDefault="00951F81" w:rsidP="00840536">
      <w:pPr>
        <w:widowControl w:val="0"/>
        <w:suppressAutoHyphens/>
        <w:ind w:left="567" w:hanging="567"/>
        <w:rPr>
          <w:b/>
        </w:rPr>
      </w:pPr>
      <w:r w:rsidRPr="006320B0">
        <w:rPr>
          <w:b/>
        </w:rPr>
        <w:t>3.</w:t>
      </w:r>
      <w:r w:rsidRPr="006320B0">
        <w:rPr>
          <w:b/>
        </w:rPr>
        <w:tab/>
        <w:t>FARMACEUTISCHE VORM</w:t>
      </w:r>
    </w:p>
    <w:p w14:paraId="1013105F" w14:textId="77777777" w:rsidR="00951F81" w:rsidRPr="006320B0" w:rsidRDefault="00951F81" w:rsidP="00840536">
      <w:pPr>
        <w:widowControl w:val="0"/>
        <w:suppressAutoHyphens/>
      </w:pPr>
    </w:p>
    <w:p w14:paraId="4667B5AF" w14:textId="77777777" w:rsidR="00951F81" w:rsidRPr="006320B0" w:rsidRDefault="00951F81" w:rsidP="00840536">
      <w:pPr>
        <w:widowControl w:val="0"/>
        <w:suppressAutoHyphens/>
      </w:pPr>
      <w:r w:rsidRPr="006320B0">
        <w:t>Oplossing voor injectie (injectievloeistof).</w:t>
      </w:r>
    </w:p>
    <w:p w14:paraId="13B1E05E" w14:textId="77777777" w:rsidR="00951F81" w:rsidRPr="006320B0" w:rsidRDefault="00951F81" w:rsidP="00840536">
      <w:pPr>
        <w:widowControl w:val="0"/>
        <w:suppressAutoHyphens/>
      </w:pPr>
    </w:p>
    <w:p w14:paraId="29F93397" w14:textId="040243C3" w:rsidR="00951F81" w:rsidRPr="006320B0" w:rsidRDefault="00951F81" w:rsidP="00840536">
      <w:pPr>
        <w:widowControl w:val="0"/>
        <w:suppressAutoHyphens/>
      </w:pPr>
      <w:r w:rsidRPr="006320B0">
        <w:t>Heldere, kleurloze tot lichtgele oplossing</w:t>
      </w:r>
      <w:bookmarkStart w:id="0" w:name="_Hlk189657448"/>
      <w:r w:rsidR="00D50235" w:rsidRPr="006320B0">
        <w:t>, met een pH van 5,9 - 6,5 en een osmolaliteit van 270 – 330 mOsm/kg</w:t>
      </w:r>
      <w:bookmarkEnd w:id="0"/>
      <w:r w:rsidRPr="006320B0">
        <w:t>.</w:t>
      </w:r>
    </w:p>
    <w:p w14:paraId="583CFF98" w14:textId="77777777" w:rsidR="00951F81" w:rsidRPr="006320B0" w:rsidRDefault="00951F81" w:rsidP="00840536">
      <w:pPr>
        <w:widowControl w:val="0"/>
        <w:suppressAutoHyphens/>
      </w:pPr>
    </w:p>
    <w:p w14:paraId="37265EF5" w14:textId="77777777" w:rsidR="00951F81" w:rsidRPr="006320B0" w:rsidRDefault="00951F81" w:rsidP="00840536">
      <w:pPr>
        <w:widowControl w:val="0"/>
        <w:suppressAutoHyphens/>
      </w:pPr>
    </w:p>
    <w:p w14:paraId="5615B6B1" w14:textId="77777777" w:rsidR="00951F81" w:rsidRPr="006320B0" w:rsidRDefault="00951F81" w:rsidP="00840536">
      <w:pPr>
        <w:widowControl w:val="0"/>
        <w:suppressAutoHyphens/>
        <w:ind w:left="567" w:hanging="567"/>
        <w:rPr>
          <w:b/>
        </w:rPr>
      </w:pPr>
      <w:r w:rsidRPr="006320B0">
        <w:rPr>
          <w:b/>
        </w:rPr>
        <w:t>4.</w:t>
      </w:r>
      <w:r w:rsidRPr="006320B0">
        <w:rPr>
          <w:b/>
        </w:rPr>
        <w:tab/>
        <w:t>KLINISCHE GEGEVENS</w:t>
      </w:r>
    </w:p>
    <w:p w14:paraId="1A0E8E67" w14:textId="77777777" w:rsidR="00951F81" w:rsidRPr="006320B0" w:rsidRDefault="00951F81" w:rsidP="00840536">
      <w:pPr>
        <w:widowControl w:val="0"/>
        <w:suppressAutoHyphens/>
      </w:pPr>
    </w:p>
    <w:p w14:paraId="3B79C0B0" w14:textId="5106B194" w:rsidR="00951F81" w:rsidRPr="006320B0" w:rsidRDefault="00951F81" w:rsidP="00840536">
      <w:pPr>
        <w:widowControl w:val="0"/>
        <w:tabs>
          <w:tab w:val="clear" w:pos="567"/>
        </w:tabs>
        <w:suppressAutoHyphens/>
        <w:ind w:left="567" w:hanging="567"/>
        <w:rPr>
          <w:b/>
        </w:rPr>
      </w:pPr>
      <w:r w:rsidRPr="006320B0">
        <w:rPr>
          <w:b/>
        </w:rPr>
        <w:t>4.1</w:t>
      </w:r>
      <w:r w:rsidRPr="006320B0">
        <w:rPr>
          <w:b/>
        </w:rPr>
        <w:tab/>
        <w:t>Therapeutische indicaties</w:t>
      </w:r>
    </w:p>
    <w:p w14:paraId="48E1ED6A" w14:textId="77777777" w:rsidR="00951F81" w:rsidRPr="006320B0" w:rsidRDefault="00951F81" w:rsidP="00840536">
      <w:pPr>
        <w:widowControl w:val="0"/>
        <w:suppressAutoHyphens/>
      </w:pPr>
    </w:p>
    <w:p w14:paraId="1E5DCE4E" w14:textId="1E150E09" w:rsidR="00951F81" w:rsidRPr="006320B0" w:rsidRDefault="00951F81" w:rsidP="00840536">
      <w:pPr>
        <w:widowControl w:val="0"/>
        <w:suppressAutoHyphens/>
      </w:pPr>
      <w:r w:rsidRPr="006320B0">
        <w:t xml:space="preserve">Behandeling van osteoporose bij postmenopauzale vrouwen en bij mannen met een verhoogd risico op fracturen. Bij postmenopauzale vrouwen vermindert </w:t>
      </w:r>
      <w:r w:rsidR="00D50235" w:rsidRPr="006320B0">
        <w:t>Kefdensis</w:t>
      </w:r>
      <w:r w:rsidRPr="006320B0">
        <w:t xml:space="preserve"> het risico op wervelfracturen, niet</w:t>
      </w:r>
      <w:r w:rsidRPr="006320B0">
        <w:noBreakHyphen/>
        <w:t>wervelfracturen en heupfracturen significant.</w:t>
      </w:r>
    </w:p>
    <w:p w14:paraId="0FC0552A" w14:textId="77777777" w:rsidR="00951F81" w:rsidRPr="006320B0" w:rsidRDefault="00951F81" w:rsidP="00840536">
      <w:pPr>
        <w:widowControl w:val="0"/>
        <w:suppressAutoHyphens/>
      </w:pPr>
    </w:p>
    <w:p w14:paraId="608FE307" w14:textId="28C825BF" w:rsidR="00951F81" w:rsidRPr="006320B0" w:rsidRDefault="00951F81" w:rsidP="00840536">
      <w:pPr>
        <w:widowControl w:val="0"/>
        <w:suppressAutoHyphens/>
      </w:pPr>
      <w:r w:rsidRPr="006320B0">
        <w:t xml:space="preserve">Behandeling van botverlies gerelateerd aan hormoonablatietherapie bij mannen met prostaatkanker die een verhoogd risico lopen op fracturen (zie rubriek 5.1). Bij mannen met prostaatkanker die hormoonablatietherapie ondergaan, vermindert </w:t>
      </w:r>
      <w:r w:rsidR="00D50235" w:rsidRPr="006320B0">
        <w:t>Kefdensis</w:t>
      </w:r>
      <w:r w:rsidRPr="006320B0">
        <w:t xml:space="preserve"> het risico op wervelfracturen significant.</w:t>
      </w:r>
    </w:p>
    <w:p w14:paraId="0B057B48" w14:textId="77777777" w:rsidR="00951F81" w:rsidRPr="006320B0" w:rsidRDefault="00951F81" w:rsidP="00840536">
      <w:pPr>
        <w:widowControl w:val="0"/>
        <w:suppressAutoHyphens/>
      </w:pPr>
    </w:p>
    <w:p w14:paraId="6C5736AC" w14:textId="259F92E9" w:rsidR="00951F81" w:rsidRPr="006320B0" w:rsidRDefault="00951F81" w:rsidP="00840536">
      <w:pPr>
        <w:widowControl w:val="0"/>
        <w:suppressAutoHyphens/>
      </w:pPr>
      <w:r w:rsidRPr="006320B0">
        <w:t>Behandeling van botverlies gerelateerd aan langdurige systemische glucocorticoïd therapie bij volwassen patiënten die een verhoogd risico lopen op fracturen (zie rubriek 5.1).</w:t>
      </w:r>
    </w:p>
    <w:p w14:paraId="68D94331" w14:textId="77777777" w:rsidR="00951F81" w:rsidRPr="006320B0" w:rsidRDefault="00951F81" w:rsidP="00840536">
      <w:pPr>
        <w:widowControl w:val="0"/>
        <w:suppressAutoHyphens/>
      </w:pPr>
    </w:p>
    <w:p w14:paraId="71F39F6A" w14:textId="06CAF9D2" w:rsidR="00951F81" w:rsidRPr="006320B0" w:rsidRDefault="00951F81" w:rsidP="00840536">
      <w:pPr>
        <w:widowControl w:val="0"/>
        <w:suppressAutoHyphens/>
        <w:ind w:left="567" w:hanging="567"/>
        <w:rPr>
          <w:b/>
        </w:rPr>
      </w:pPr>
      <w:r w:rsidRPr="006320B0">
        <w:rPr>
          <w:b/>
        </w:rPr>
        <w:t>4.2</w:t>
      </w:r>
      <w:r w:rsidRPr="006320B0">
        <w:rPr>
          <w:b/>
        </w:rPr>
        <w:tab/>
        <w:t>Dosering en wijze van toediening</w:t>
      </w:r>
    </w:p>
    <w:p w14:paraId="2A37A5F0" w14:textId="77777777" w:rsidR="00951F81" w:rsidRPr="006320B0" w:rsidRDefault="00951F81" w:rsidP="00840536">
      <w:pPr>
        <w:widowControl w:val="0"/>
        <w:suppressAutoHyphens/>
      </w:pPr>
    </w:p>
    <w:p w14:paraId="33E5A88D" w14:textId="77777777" w:rsidR="00951F81" w:rsidRPr="006320B0" w:rsidRDefault="00951F81" w:rsidP="00840536">
      <w:pPr>
        <w:widowControl w:val="0"/>
        <w:suppressAutoHyphens/>
        <w:rPr>
          <w:u w:val="single"/>
        </w:rPr>
      </w:pPr>
      <w:r w:rsidRPr="006320B0">
        <w:rPr>
          <w:u w:val="single"/>
        </w:rPr>
        <w:t>Dosering</w:t>
      </w:r>
    </w:p>
    <w:p w14:paraId="0C800430" w14:textId="42B5CC2D" w:rsidR="00951F81" w:rsidRPr="006320B0" w:rsidRDefault="00951F81" w:rsidP="00840536">
      <w:pPr>
        <w:widowControl w:val="0"/>
        <w:suppressAutoHyphens/>
      </w:pPr>
    </w:p>
    <w:p w14:paraId="262D6C8C" w14:textId="3A2B3175" w:rsidR="00951F81" w:rsidRPr="006320B0" w:rsidRDefault="00951F81" w:rsidP="00840536">
      <w:pPr>
        <w:widowControl w:val="0"/>
        <w:suppressAutoHyphens/>
      </w:pPr>
      <w:r w:rsidRPr="006320B0">
        <w:t>De aanbevolen dosis is 60 mg denosumab toegediend als enkelvoudige subcutane injectie eenmaal per zes maanden in dijbeen, buik of bovenarm.</w:t>
      </w:r>
    </w:p>
    <w:p w14:paraId="37A9F8CC" w14:textId="51DFB247" w:rsidR="00951F81" w:rsidRPr="006320B0" w:rsidRDefault="00951F81" w:rsidP="00840536">
      <w:pPr>
        <w:widowControl w:val="0"/>
        <w:suppressAutoHyphens/>
      </w:pPr>
    </w:p>
    <w:p w14:paraId="0EBA7DF5" w14:textId="3D0B765F" w:rsidR="00951F81" w:rsidRPr="006320B0" w:rsidRDefault="00951F81" w:rsidP="00840536">
      <w:pPr>
        <w:widowControl w:val="0"/>
        <w:suppressAutoHyphens/>
      </w:pPr>
      <w:r w:rsidRPr="006320B0">
        <w:t>Patiënten moeten voldoende calcium- en vitamine D</w:t>
      </w:r>
      <w:r w:rsidRPr="006320B0">
        <w:noBreakHyphen/>
        <w:t>bevattende supplementen krijgen (zie rubriek 4.4).</w:t>
      </w:r>
    </w:p>
    <w:p w14:paraId="237EDD4C" w14:textId="77777777" w:rsidR="00951F81" w:rsidRPr="006320B0" w:rsidRDefault="00951F81" w:rsidP="00840536">
      <w:pPr>
        <w:widowControl w:val="0"/>
        <w:suppressAutoHyphens/>
      </w:pPr>
    </w:p>
    <w:p w14:paraId="54FC766A" w14:textId="215CC5E3" w:rsidR="00951F81" w:rsidRPr="006320B0" w:rsidRDefault="00951F81" w:rsidP="00840536">
      <w:pPr>
        <w:widowControl w:val="0"/>
        <w:suppressAutoHyphens/>
      </w:pPr>
      <w:r w:rsidRPr="006320B0">
        <w:t xml:space="preserve">Patiënten die met </w:t>
      </w:r>
      <w:r w:rsidR="00D50235" w:rsidRPr="006320B0">
        <w:t>Kefdensis</w:t>
      </w:r>
      <w:r w:rsidRPr="006320B0">
        <w:t xml:space="preserve"> worden behandeld dienen zowel de bijsluiter als de herinneringskaart voor patiënten te ontvangen.</w:t>
      </w:r>
    </w:p>
    <w:p w14:paraId="7457971F" w14:textId="77777777" w:rsidR="00951F81" w:rsidRPr="006320B0" w:rsidRDefault="00951F81" w:rsidP="00840536">
      <w:pPr>
        <w:widowControl w:val="0"/>
        <w:suppressAutoHyphens/>
      </w:pPr>
    </w:p>
    <w:p w14:paraId="5F4D7F90" w14:textId="77777777" w:rsidR="00951F81" w:rsidRPr="006320B0" w:rsidRDefault="00951F81" w:rsidP="00840536">
      <w:pPr>
        <w:widowControl w:val="0"/>
        <w:suppressAutoHyphens/>
      </w:pPr>
      <w:r w:rsidRPr="006320B0">
        <w:t>De optimale totale duur van de behandeling van osteoporose met botresorptieremmers (waaronder zowel denosumab als bisfosfonaten) is niet vastgesteld. De noodzaak voor het voortzetten van de behandeling dient per patiënt periodiek opnieuw te worden bekeken op individuele basis gebaseerd op de voordelen en potentiële risico’s van denosumab, in het bijzonder na een gebruik van 5 jaar of meer (zie sectie 4.4).</w:t>
      </w:r>
    </w:p>
    <w:p w14:paraId="3B23A888" w14:textId="77777777" w:rsidR="00951F81" w:rsidRPr="006320B0" w:rsidRDefault="00951F81" w:rsidP="00840536">
      <w:pPr>
        <w:widowControl w:val="0"/>
        <w:suppressAutoHyphens/>
      </w:pPr>
    </w:p>
    <w:p w14:paraId="62052E7D" w14:textId="77777777" w:rsidR="00951F81" w:rsidRPr="006320B0" w:rsidRDefault="00951F81" w:rsidP="00840536">
      <w:pPr>
        <w:widowControl w:val="0"/>
        <w:tabs>
          <w:tab w:val="clear" w:pos="567"/>
        </w:tabs>
        <w:suppressAutoHyphens/>
        <w:rPr>
          <w:i/>
          <w:iCs/>
        </w:rPr>
      </w:pPr>
      <w:r w:rsidRPr="006320B0">
        <w:rPr>
          <w:i/>
        </w:rPr>
        <w:t>Ouderen (leeftijd ≥ 65)</w:t>
      </w:r>
    </w:p>
    <w:p w14:paraId="7BD55D61" w14:textId="77777777" w:rsidR="00951F81" w:rsidRPr="006320B0" w:rsidRDefault="00951F81" w:rsidP="00840536">
      <w:pPr>
        <w:widowControl w:val="0"/>
        <w:suppressAutoHyphens/>
      </w:pPr>
      <w:r w:rsidRPr="006320B0">
        <w:t>Voor ouderen is geen dosisaanpassing nodig.</w:t>
      </w:r>
    </w:p>
    <w:p w14:paraId="436C48A0" w14:textId="77777777" w:rsidR="00951F81" w:rsidRPr="006320B0" w:rsidRDefault="00951F81" w:rsidP="00840536">
      <w:pPr>
        <w:widowControl w:val="0"/>
        <w:suppressAutoHyphens/>
      </w:pPr>
    </w:p>
    <w:p w14:paraId="2C2AFBAA" w14:textId="77777777" w:rsidR="00951F81" w:rsidRPr="006320B0" w:rsidRDefault="00951F81" w:rsidP="00840536">
      <w:pPr>
        <w:widowControl w:val="0"/>
        <w:tabs>
          <w:tab w:val="clear" w:pos="567"/>
        </w:tabs>
        <w:suppressAutoHyphens/>
        <w:rPr>
          <w:i/>
          <w:iCs/>
        </w:rPr>
      </w:pPr>
      <w:r w:rsidRPr="006320B0">
        <w:rPr>
          <w:i/>
        </w:rPr>
        <w:t>Nierfunctiestoornis</w:t>
      </w:r>
    </w:p>
    <w:p w14:paraId="080584EC" w14:textId="77777777" w:rsidR="00951F81" w:rsidRPr="006320B0" w:rsidRDefault="00951F81" w:rsidP="00840536">
      <w:pPr>
        <w:widowControl w:val="0"/>
        <w:suppressAutoHyphens/>
      </w:pPr>
      <w:r w:rsidRPr="006320B0">
        <w:t>Voor patiënten met een nierfunctiestoornis is geen dosisaanpassing nodig (zie rubriek 4.4 voor aanbevelingen voor de monitoring van calcium).</w:t>
      </w:r>
    </w:p>
    <w:p w14:paraId="56C9153E" w14:textId="77777777" w:rsidR="00951F81" w:rsidRPr="006320B0" w:rsidRDefault="00951F81" w:rsidP="00840536">
      <w:pPr>
        <w:widowControl w:val="0"/>
        <w:suppressAutoHyphens/>
      </w:pPr>
    </w:p>
    <w:p w14:paraId="7B40DE9C" w14:textId="545D2430" w:rsidR="00951F81" w:rsidRPr="006320B0" w:rsidRDefault="00951F81" w:rsidP="00840536">
      <w:pPr>
        <w:widowControl w:val="0"/>
        <w:suppressAutoHyphens/>
      </w:pPr>
      <w:r w:rsidRPr="006320B0">
        <w:t xml:space="preserve">Er zijn geen gegevens beschikbaar over patiënten met langdurige systemische glucocorticoïd therapie en een </w:t>
      </w:r>
      <w:r w:rsidR="00832837" w:rsidRPr="006320B0">
        <w:t>ernstige nierfunctiestoornis (</w:t>
      </w:r>
      <w:r w:rsidR="004F7040" w:rsidRPr="006320B0">
        <w:t xml:space="preserve">glomerulaire filtratiesnelheid, </w:t>
      </w:r>
      <w:r w:rsidR="00832837" w:rsidRPr="006320B0">
        <w:t>GFR &lt; 30 ml/min).</w:t>
      </w:r>
    </w:p>
    <w:p w14:paraId="02A906E1" w14:textId="77777777" w:rsidR="00951F81" w:rsidRPr="006320B0" w:rsidRDefault="00951F81" w:rsidP="00840536">
      <w:pPr>
        <w:widowControl w:val="0"/>
        <w:suppressAutoHyphens/>
      </w:pPr>
    </w:p>
    <w:p w14:paraId="29799120" w14:textId="77777777" w:rsidR="00951F81" w:rsidRPr="006320B0" w:rsidRDefault="00951F81" w:rsidP="00840536">
      <w:pPr>
        <w:widowControl w:val="0"/>
        <w:tabs>
          <w:tab w:val="clear" w:pos="567"/>
        </w:tabs>
        <w:suppressAutoHyphens/>
        <w:rPr>
          <w:i/>
          <w:iCs/>
        </w:rPr>
      </w:pPr>
      <w:r w:rsidRPr="006320B0">
        <w:rPr>
          <w:i/>
        </w:rPr>
        <w:t>Leverfunctiestoornis</w:t>
      </w:r>
    </w:p>
    <w:p w14:paraId="37C1329F" w14:textId="77777777" w:rsidR="00951F81" w:rsidRPr="006320B0" w:rsidRDefault="00951F81" w:rsidP="00840536">
      <w:pPr>
        <w:widowControl w:val="0"/>
        <w:suppressAutoHyphens/>
      </w:pPr>
      <w:r w:rsidRPr="006320B0">
        <w:t>De veiligheid en werkzaamheid van denosumab bij patiënten met een leverfunctiestoornis zijn niet onderzocht (zie rubriek 5.2).</w:t>
      </w:r>
    </w:p>
    <w:p w14:paraId="09BFDEDF" w14:textId="77777777" w:rsidR="00951F81" w:rsidRPr="006320B0" w:rsidRDefault="00951F81" w:rsidP="00840536">
      <w:pPr>
        <w:widowControl w:val="0"/>
        <w:suppressAutoHyphens/>
      </w:pPr>
    </w:p>
    <w:p w14:paraId="20D5D413" w14:textId="77777777" w:rsidR="00951F81" w:rsidRPr="006320B0" w:rsidRDefault="00951F81" w:rsidP="00840536">
      <w:pPr>
        <w:widowControl w:val="0"/>
        <w:tabs>
          <w:tab w:val="clear" w:pos="567"/>
        </w:tabs>
        <w:suppressAutoHyphens/>
        <w:rPr>
          <w:i/>
          <w:iCs/>
        </w:rPr>
      </w:pPr>
      <w:r w:rsidRPr="006320B0">
        <w:rPr>
          <w:i/>
        </w:rPr>
        <w:t>Pediatrische patiënten</w:t>
      </w:r>
    </w:p>
    <w:p w14:paraId="4635A62F" w14:textId="1894A972" w:rsidR="00951F81" w:rsidRPr="006320B0" w:rsidRDefault="00D50235" w:rsidP="00840536">
      <w:pPr>
        <w:widowControl w:val="0"/>
        <w:suppressAutoHyphens/>
      </w:pPr>
      <w:r w:rsidRPr="006320B0">
        <w:t>Kefdensis</w:t>
      </w:r>
      <w:r w:rsidR="00951F81" w:rsidRPr="006320B0">
        <w:t xml:space="preserve"> mag niet worden gebruikt bij kinderen in de leeftijd van &lt; 18 jaar wegens veiligheidsrisico's op ernstige hypercalciëmie en mogelijke remming van de botgroei en de tanddoorbraak (zie rubriek 4.4 en 5.3). De momenteel beschikbare gegevens over kinderen van 2 tot 17 jaar worden beschreven in rubriek 5.1 en 5.2.</w:t>
      </w:r>
    </w:p>
    <w:p w14:paraId="13352548" w14:textId="77777777" w:rsidR="00951F81" w:rsidRPr="006320B0" w:rsidRDefault="00951F81" w:rsidP="00840536">
      <w:pPr>
        <w:widowControl w:val="0"/>
        <w:suppressAutoHyphens/>
      </w:pPr>
    </w:p>
    <w:p w14:paraId="78E3E437" w14:textId="77777777" w:rsidR="00951F81" w:rsidRPr="006320B0" w:rsidRDefault="00951F81" w:rsidP="00840536">
      <w:pPr>
        <w:widowControl w:val="0"/>
        <w:suppressAutoHyphens/>
        <w:rPr>
          <w:u w:val="single"/>
        </w:rPr>
      </w:pPr>
      <w:r w:rsidRPr="006320B0">
        <w:rPr>
          <w:u w:val="single"/>
        </w:rPr>
        <w:t>Wijze van toediening</w:t>
      </w:r>
    </w:p>
    <w:p w14:paraId="59B70080" w14:textId="77777777" w:rsidR="00951F81" w:rsidRPr="006320B0" w:rsidRDefault="00951F81" w:rsidP="00840536">
      <w:pPr>
        <w:widowControl w:val="0"/>
        <w:suppressAutoHyphens/>
      </w:pPr>
    </w:p>
    <w:p w14:paraId="5C9B0557" w14:textId="77777777" w:rsidR="00951F81" w:rsidRPr="006320B0" w:rsidRDefault="00951F81" w:rsidP="00840536">
      <w:pPr>
        <w:widowControl w:val="0"/>
        <w:suppressAutoHyphens/>
      </w:pPr>
      <w:r w:rsidRPr="006320B0">
        <w:t>Voor subcutaan gebruik.</w:t>
      </w:r>
    </w:p>
    <w:p w14:paraId="4228C873" w14:textId="77777777" w:rsidR="00951F81" w:rsidRPr="006320B0" w:rsidRDefault="00951F81" w:rsidP="00840536">
      <w:pPr>
        <w:widowControl w:val="0"/>
        <w:suppressAutoHyphens/>
      </w:pPr>
    </w:p>
    <w:p w14:paraId="319EC88F" w14:textId="77777777" w:rsidR="00951F81" w:rsidRPr="006320B0" w:rsidRDefault="00951F81" w:rsidP="00840536">
      <w:pPr>
        <w:widowControl w:val="0"/>
        <w:suppressAutoHyphens/>
      </w:pPr>
      <w:r w:rsidRPr="006320B0">
        <w:t>Toediening dient te geschieden door iemand die voldoende is getraind in het geven van injecties.</w:t>
      </w:r>
    </w:p>
    <w:p w14:paraId="3380D531" w14:textId="77777777" w:rsidR="00951F81" w:rsidRPr="006320B0" w:rsidRDefault="00951F81" w:rsidP="00840536">
      <w:pPr>
        <w:widowControl w:val="0"/>
        <w:suppressAutoHyphens/>
      </w:pPr>
    </w:p>
    <w:p w14:paraId="707F77F6" w14:textId="77777777" w:rsidR="00951F81" w:rsidRPr="006320B0" w:rsidRDefault="00951F81" w:rsidP="00840536">
      <w:pPr>
        <w:widowControl w:val="0"/>
        <w:suppressAutoHyphens/>
      </w:pPr>
      <w:r w:rsidRPr="006320B0">
        <w:t>Voor instructies over het gebruik, de toediening en de verwijdering, zie rubriek 6.6.</w:t>
      </w:r>
    </w:p>
    <w:p w14:paraId="652A1D4A" w14:textId="77777777" w:rsidR="00951F81" w:rsidRPr="006320B0" w:rsidRDefault="00951F81" w:rsidP="00840536">
      <w:pPr>
        <w:widowControl w:val="0"/>
        <w:suppressAutoHyphens/>
      </w:pPr>
    </w:p>
    <w:p w14:paraId="1BB282B7" w14:textId="77777777" w:rsidR="00951F81" w:rsidRPr="006320B0" w:rsidRDefault="00951F81" w:rsidP="00840536">
      <w:pPr>
        <w:widowControl w:val="0"/>
        <w:suppressAutoHyphens/>
        <w:ind w:left="567" w:hanging="567"/>
        <w:rPr>
          <w:b/>
        </w:rPr>
      </w:pPr>
      <w:r w:rsidRPr="006320B0">
        <w:rPr>
          <w:b/>
        </w:rPr>
        <w:t>4.3</w:t>
      </w:r>
      <w:r w:rsidRPr="006320B0">
        <w:rPr>
          <w:b/>
        </w:rPr>
        <w:tab/>
        <w:t>Contra</w:t>
      </w:r>
      <w:r w:rsidRPr="006320B0">
        <w:rPr>
          <w:b/>
        </w:rPr>
        <w:noBreakHyphen/>
        <w:t>indicaties</w:t>
      </w:r>
    </w:p>
    <w:p w14:paraId="2A4D705D" w14:textId="77777777" w:rsidR="00951F81" w:rsidRPr="006320B0" w:rsidRDefault="00951F81" w:rsidP="00840536">
      <w:pPr>
        <w:widowControl w:val="0"/>
        <w:suppressAutoHyphens/>
      </w:pPr>
    </w:p>
    <w:p w14:paraId="77DC5701" w14:textId="77777777" w:rsidR="00951F81" w:rsidRPr="006320B0" w:rsidRDefault="00951F81" w:rsidP="00840536">
      <w:pPr>
        <w:widowControl w:val="0"/>
        <w:suppressAutoHyphens/>
      </w:pPr>
      <w:r w:rsidRPr="006320B0">
        <w:t>Overgevoeligheid voor de werkzame stof of voor een van de in rubriek 6.1 vermelde hulpstoffen.</w:t>
      </w:r>
    </w:p>
    <w:p w14:paraId="5B02BC8B" w14:textId="77777777" w:rsidR="00951F81" w:rsidRPr="006320B0" w:rsidRDefault="00951F81" w:rsidP="00840536">
      <w:pPr>
        <w:widowControl w:val="0"/>
        <w:suppressAutoHyphens/>
      </w:pPr>
    </w:p>
    <w:p w14:paraId="13081204" w14:textId="77777777" w:rsidR="00951F81" w:rsidRPr="006320B0" w:rsidRDefault="00951F81" w:rsidP="00840536">
      <w:pPr>
        <w:widowControl w:val="0"/>
        <w:suppressAutoHyphens/>
      </w:pPr>
      <w:r w:rsidRPr="006320B0">
        <w:t>Hypocalciëmie (zie rubriek 4.4).</w:t>
      </w:r>
    </w:p>
    <w:p w14:paraId="37A7DE0C" w14:textId="77777777" w:rsidR="00951F81" w:rsidRPr="006320B0" w:rsidRDefault="00951F81" w:rsidP="00840536">
      <w:pPr>
        <w:widowControl w:val="0"/>
        <w:suppressAutoHyphens/>
      </w:pPr>
    </w:p>
    <w:p w14:paraId="3DFE4DD9" w14:textId="77777777" w:rsidR="00951F81" w:rsidRPr="006320B0" w:rsidRDefault="00951F81" w:rsidP="00840536">
      <w:pPr>
        <w:widowControl w:val="0"/>
        <w:suppressAutoHyphens/>
        <w:ind w:left="567" w:hanging="567"/>
        <w:rPr>
          <w:b/>
        </w:rPr>
      </w:pPr>
      <w:r w:rsidRPr="006320B0">
        <w:rPr>
          <w:b/>
        </w:rPr>
        <w:t>4.4</w:t>
      </w:r>
      <w:r w:rsidRPr="006320B0">
        <w:rPr>
          <w:b/>
        </w:rPr>
        <w:tab/>
        <w:t>Bijzondere waarschuwingen en voorzorgen bij gebruik</w:t>
      </w:r>
    </w:p>
    <w:p w14:paraId="5FFD4F5A" w14:textId="77777777" w:rsidR="00951F81" w:rsidRPr="006320B0" w:rsidRDefault="00951F81" w:rsidP="00840536">
      <w:pPr>
        <w:widowControl w:val="0"/>
        <w:suppressAutoHyphens/>
      </w:pPr>
    </w:p>
    <w:p w14:paraId="13DA2184" w14:textId="77777777" w:rsidR="00951F81" w:rsidRPr="006320B0" w:rsidRDefault="00951F81" w:rsidP="00840536">
      <w:pPr>
        <w:pStyle w:val="Style11ptunderlined"/>
        <w:keepNext w:val="0"/>
        <w:widowControl w:val="0"/>
        <w:suppressAutoHyphens/>
      </w:pPr>
      <w:r w:rsidRPr="006320B0">
        <w:t>Terugvinden herkomst</w:t>
      </w:r>
    </w:p>
    <w:p w14:paraId="3244750F" w14:textId="77777777" w:rsidR="00951F81" w:rsidRPr="006320B0" w:rsidRDefault="00951F81" w:rsidP="00840536">
      <w:pPr>
        <w:widowControl w:val="0"/>
        <w:suppressAutoHyphens/>
      </w:pPr>
    </w:p>
    <w:p w14:paraId="074B8B75" w14:textId="77777777" w:rsidR="00951F81" w:rsidRPr="006320B0" w:rsidRDefault="00951F81" w:rsidP="00840536">
      <w:pPr>
        <w:widowControl w:val="0"/>
        <w:suppressAutoHyphens/>
      </w:pPr>
      <w:r w:rsidRPr="006320B0">
        <w:t>Om het terugvinden van de herkomst van biologicals te verbeteren moeten de naam en het batchnummer van het toegediende product goed geregistreerd worden.</w:t>
      </w:r>
    </w:p>
    <w:p w14:paraId="7831B428" w14:textId="77777777" w:rsidR="00951F81" w:rsidRPr="006320B0" w:rsidRDefault="00951F81" w:rsidP="00840536">
      <w:pPr>
        <w:widowControl w:val="0"/>
        <w:suppressAutoHyphens/>
      </w:pPr>
    </w:p>
    <w:p w14:paraId="25D96CA0" w14:textId="77777777" w:rsidR="00951F81" w:rsidRPr="006320B0" w:rsidRDefault="00951F81" w:rsidP="00840536">
      <w:pPr>
        <w:widowControl w:val="0"/>
        <w:suppressAutoHyphens/>
        <w:rPr>
          <w:u w:val="single"/>
        </w:rPr>
      </w:pPr>
      <w:r w:rsidRPr="006320B0">
        <w:rPr>
          <w:u w:val="single"/>
        </w:rPr>
        <w:t>Calcium- en vitamine D</w:t>
      </w:r>
      <w:r w:rsidRPr="006320B0">
        <w:rPr>
          <w:u w:val="single"/>
        </w:rPr>
        <w:noBreakHyphen/>
        <w:t>suppletie</w:t>
      </w:r>
    </w:p>
    <w:p w14:paraId="212906FA" w14:textId="3A4ED9B1" w:rsidR="00951F81" w:rsidRPr="006320B0" w:rsidRDefault="00951F81" w:rsidP="00840536">
      <w:pPr>
        <w:widowControl w:val="0"/>
        <w:suppressAutoHyphens/>
      </w:pPr>
    </w:p>
    <w:p w14:paraId="3DFD57EC" w14:textId="01540682" w:rsidR="00951F81" w:rsidRPr="006320B0" w:rsidRDefault="00951F81" w:rsidP="00840536">
      <w:pPr>
        <w:widowControl w:val="0"/>
        <w:suppressAutoHyphens/>
      </w:pPr>
      <w:r w:rsidRPr="006320B0">
        <w:t>Voldoende inname van calcium en vitamine D is belangrijk voor alle patiënten.</w:t>
      </w:r>
    </w:p>
    <w:p w14:paraId="3B22CDEE" w14:textId="49BC82E0" w:rsidR="00951F81" w:rsidRPr="006320B0" w:rsidRDefault="00951F81" w:rsidP="00840536">
      <w:pPr>
        <w:widowControl w:val="0"/>
        <w:suppressAutoHyphens/>
      </w:pPr>
    </w:p>
    <w:p w14:paraId="4142EB18" w14:textId="7E22DCB3" w:rsidR="00951F81" w:rsidRPr="006320B0" w:rsidRDefault="00951F81" w:rsidP="00840536">
      <w:pPr>
        <w:widowControl w:val="0"/>
        <w:suppressAutoHyphens/>
        <w:rPr>
          <w:u w:val="single"/>
        </w:rPr>
      </w:pPr>
      <w:r w:rsidRPr="006320B0">
        <w:rPr>
          <w:u w:val="single"/>
        </w:rPr>
        <w:t>Voorzorgsmaatregelen voor gebruik</w:t>
      </w:r>
    </w:p>
    <w:p w14:paraId="3F41C412" w14:textId="227A8BD5" w:rsidR="00951F81" w:rsidRPr="006320B0" w:rsidRDefault="00951F81" w:rsidP="00840536">
      <w:pPr>
        <w:widowControl w:val="0"/>
        <w:suppressAutoHyphens/>
      </w:pPr>
    </w:p>
    <w:p w14:paraId="590BC3E6" w14:textId="77777777" w:rsidR="00951F81" w:rsidRPr="006320B0" w:rsidRDefault="00951F81" w:rsidP="00840536">
      <w:pPr>
        <w:widowControl w:val="0"/>
        <w:tabs>
          <w:tab w:val="clear" w:pos="567"/>
        </w:tabs>
        <w:suppressAutoHyphens/>
        <w:rPr>
          <w:i/>
          <w:iCs/>
        </w:rPr>
      </w:pPr>
      <w:r w:rsidRPr="006320B0">
        <w:rPr>
          <w:i/>
        </w:rPr>
        <w:t>Hypocalciëmie</w:t>
      </w:r>
    </w:p>
    <w:p w14:paraId="336734D5" w14:textId="591A1C27" w:rsidR="00951F81" w:rsidRPr="006320B0" w:rsidRDefault="00951F81" w:rsidP="00840536">
      <w:pPr>
        <w:widowControl w:val="0"/>
        <w:suppressAutoHyphens/>
      </w:pPr>
      <w:r w:rsidRPr="006320B0">
        <w:t>Het is belangrijk patiënten met een verhoogd risico op hypocalciëmie te identificeren. Hypocalciëmie dient voordat met de behandeling wordt begonnen te worden gecorrigeerd door middel van inname van calcium en vitamine D. Klinische controle van de calciumspiegel wordt aanbevolen vóór elke toediening, en voor patiënten die gepredisponeerd zijn voor hypocalciëmie binnen twee weken na de eerste toediening. Als een patiënt tijdens de behandeling symptomen vertoont die kunnen duiden op hypocalciëmie (zie rubriek 4.8 voor de symptomen), dient de calciumspiegel te worden gecontroleerd. Patiënten moeten worden gestimuleerd om symptomen te melden die kenmerkend zijn voor hypocalciëmie.</w:t>
      </w:r>
    </w:p>
    <w:p w14:paraId="1962A6E6" w14:textId="77777777" w:rsidR="00951F81" w:rsidRPr="006320B0" w:rsidRDefault="00951F81" w:rsidP="00840536">
      <w:pPr>
        <w:widowControl w:val="0"/>
        <w:suppressAutoHyphens/>
      </w:pPr>
    </w:p>
    <w:p w14:paraId="78A97F06" w14:textId="5F4F726F" w:rsidR="00951F81" w:rsidRPr="006320B0" w:rsidRDefault="00951F81" w:rsidP="00840536">
      <w:pPr>
        <w:widowControl w:val="0"/>
        <w:suppressAutoHyphens/>
      </w:pPr>
      <w:r w:rsidRPr="006320B0">
        <w:t>In de postmarketingsetting is ernstige symptomatische hypocalciëmie (resulterend in ziekenhuisopname, levensbedreigende voorvallen en fatale gevallen) gerapporteerd. Hoewel de meeste gevallen zich voordeden in de eerste weken van de behandeling, kunnen de symptomen ook later optreden.</w:t>
      </w:r>
    </w:p>
    <w:p w14:paraId="1C38938F" w14:textId="77777777" w:rsidR="00951F81" w:rsidRPr="006320B0" w:rsidRDefault="00951F81" w:rsidP="00840536">
      <w:pPr>
        <w:widowControl w:val="0"/>
        <w:suppressAutoHyphens/>
      </w:pPr>
    </w:p>
    <w:p w14:paraId="4181A8B8" w14:textId="77777777" w:rsidR="00951F81" w:rsidRPr="006320B0" w:rsidRDefault="00951F81" w:rsidP="00840536">
      <w:pPr>
        <w:widowControl w:val="0"/>
        <w:suppressAutoHyphens/>
      </w:pPr>
      <w:r w:rsidRPr="006320B0">
        <w:t>Een gelijktijdige behandeling met glucocorticoïden vormt een extra risicofactor voor hypocalciëmie.</w:t>
      </w:r>
    </w:p>
    <w:p w14:paraId="26327788" w14:textId="77777777" w:rsidR="00951F81" w:rsidRPr="006320B0" w:rsidRDefault="00951F81" w:rsidP="00840536">
      <w:pPr>
        <w:widowControl w:val="0"/>
        <w:suppressAutoHyphens/>
      </w:pPr>
    </w:p>
    <w:p w14:paraId="79206A54" w14:textId="77777777" w:rsidR="00951F81" w:rsidRPr="006320B0" w:rsidRDefault="00951F81" w:rsidP="00840536">
      <w:pPr>
        <w:widowControl w:val="0"/>
        <w:tabs>
          <w:tab w:val="clear" w:pos="567"/>
        </w:tabs>
        <w:suppressAutoHyphens/>
        <w:rPr>
          <w:i/>
          <w:iCs/>
        </w:rPr>
      </w:pPr>
      <w:r w:rsidRPr="006320B0">
        <w:rPr>
          <w:i/>
        </w:rPr>
        <w:t>Nierfunctiestoornis</w:t>
      </w:r>
    </w:p>
    <w:p w14:paraId="6B9C151E" w14:textId="77777777" w:rsidR="00951F81" w:rsidRPr="006320B0" w:rsidRDefault="00951F81" w:rsidP="00840536">
      <w:pPr>
        <w:widowControl w:val="0"/>
        <w:suppressAutoHyphens/>
      </w:pPr>
      <w:r w:rsidRPr="006320B0">
        <w:t>Patiënten met een ernstige nierfunctiestoornis (creatinineklaring &lt; 30 ml/min) en patiënten die worden gedialyseerd, lopen meer risico op het ontwikkelen van hypocalciëmie. De risico's op de ontwikkeling van hypocalciëmie en bijbehorende verhogingen van het parathyroïdhormoon stijgen met de vermindering van de nierfunctie. Ernstige en fatale gevallen zijn gerapporteerd. Een adequate inname van calcium, vitamine D en regelmatige controle van de calciumspiegels is met name bij deze patiënten belangrijk, zie hierboven.</w:t>
      </w:r>
    </w:p>
    <w:p w14:paraId="5DE322CC" w14:textId="77777777" w:rsidR="00951F81" w:rsidRPr="006320B0" w:rsidRDefault="00951F81" w:rsidP="00840536">
      <w:pPr>
        <w:widowControl w:val="0"/>
        <w:suppressAutoHyphens/>
      </w:pPr>
    </w:p>
    <w:p w14:paraId="6DBAD289" w14:textId="77777777" w:rsidR="00951F81" w:rsidRPr="006320B0" w:rsidRDefault="00951F81" w:rsidP="00840536">
      <w:pPr>
        <w:widowControl w:val="0"/>
        <w:tabs>
          <w:tab w:val="clear" w:pos="567"/>
        </w:tabs>
        <w:suppressAutoHyphens/>
        <w:rPr>
          <w:i/>
          <w:iCs/>
        </w:rPr>
      </w:pPr>
      <w:r w:rsidRPr="006320B0">
        <w:rPr>
          <w:i/>
        </w:rPr>
        <w:t>Huidinfecties</w:t>
      </w:r>
    </w:p>
    <w:p w14:paraId="332BB739" w14:textId="77777777" w:rsidR="00951F81" w:rsidRPr="006320B0" w:rsidRDefault="00951F81" w:rsidP="00840536">
      <w:pPr>
        <w:widowControl w:val="0"/>
        <w:suppressAutoHyphens/>
      </w:pPr>
      <w:r w:rsidRPr="006320B0">
        <w:t>Patiënten die denosumab krijgen, kunnen huidinfecties (voornamelijk cellulitis) ontwikkelen die kunnen leiden tot een ziekenhuisopname (zie rubriek 4.8). Patiënten moet worden geadviseerd onmiddellijk medische hulp te zoeken als zich bij hen symptomen van cellulitis ontwikkelen.</w:t>
      </w:r>
    </w:p>
    <w:p w14:paraId="2F20DD73" w14:textId="77777777" w:rsidR="00951F81" w:rsidRPr="006320B0" w:rsidRDefault="00951F81" w:rsidP="00840536">
      <w:pPr>
        <w:widowControl w:val="0"/>
        <w:suppressAutoHyphens/>
      </w:pPr>
    </w:p>
    <w:p w14:paraId="1ADC5328" w14:textId="77777777" w:rsidR="00951F81" w:rsidRPr="006320B0" w:rsidRDefault="00951F81" w:rsidP="00840536">
      <w:pPr>
        <w:widowControl w:val="0"/>
        <w:tabs>
          <w:tab w:val="clear" w:pos="567"/>
        </w:tabs>
        <w:suppressAutoHyphens/>
        <w:rPr>
          <w:i/>
          <w:iCs/>
        </w:rPr>
      </w:pPr>
      <w:r w:rsidRPr="006320B0">
        <w:rPr>
          <w:i/>
        </w:rPr>
        <w:t>Osteonecrose van de kaak (ONJ)</w:t>
      </w:r>
    </w:p>
    <w:p w14:paraId="116ED8DC" w14:textId="1A352C65" w:rsidR="00951F81" w:rsidRPr="006320B0" w:rsidRDefault="00951F81" w:rsidP="00840536">
      <w:pPr>
        <w:widowControl w:val="0"/>
        <w:suppressAutoHyphens/>
      </w:pPr>
      <w:r w:rsidRPr="006320B0">
        <w:t xml:space="preserve">Er zijn zelden gevallen van ONJ gemeld bij patiënten die </w:t>
      </w:r>
      <w:r w:rsidR="00AF1274" w:rsidRPr="006320B0">
        <w:t>denosumab</w:t>
      </w:r>
      <w:r w:rsidRPr="006320B0">
        <w:t xml:space="preserve"> kregen toegediend voor osteoporose (zie rubriek 4.8).</w:t>
      </w:r>
    </w:p>
    <w:p w14:paraId="648233A8" w14:textId="77777777" w:rsidR="00951F81" w:rsidRPr="006320B0" w:rsidRDefault="00951F81" w:rsidP="00840536">
      <w:pPr>
        <w:widowControl w:val="0"/>
        <w:suppressAutoHyphens/>
      </w:pPr>
    </w:p>
    <w:p w14:paraId="720495A9" w14:textId="77777777" w:rsidR="00951F81" w:rsidRPr="006320B0" w:rsidRDefault="00951F81" w:rsidP="00840536">
      <w:pPr>
        <w:widowControl w:val="0"/>
        <w:suppressAutoHyphens/>
      </w:pPr>
      <w:r w:rsidRPr="006320B0">
        <w:t>De start van de behandeling/nieuwe kuur moet worden uitgesteld bij patiënten met niet</w:t>
      </w:r>
      <w:r w:rsidRPr="006320B0">
        <w:noBreakHyphen/>
        <w:t>genezen open beschadigingen van zachte weefsels in de mond. Voorafgaand aan de behandeling met denosumab wordt een tandheelkundig onderzoek met een preventieve tandheelkundige behandeling en een individuele risico</w:t>
      </w:r>
      <w:r w:rsidRPr="006320B0">
        <w:noBreakHyphen/>
        <w:t>batenbeoordeling aanbevolen bij patiënten met bijkomende risicofactoren.</w:t>
      </w:r>
    </w:p>
    <w:p w14:paraId="34EE683C" w14:textId="77777777" w:rsidR="00951F81" w:rsidRPr="006320B0" w:rsidRDefault="00951F81" w:rsidP="00840536">
      <w:pPr>
        <w:widowControl w:val="0"/>
        <w:suppressAutoHyphens/>
      </w:pPr>
    </w:p>
    <w:p w14:paraId="392198BE" w14:textId="77777777" w:rsidR="00951F81" w:rsidRPr="006320B0" w:rsidRDefault="00951F81" w:rsidP="00840536">
      <w:pPr>
        <w:widowControl w:val="0"/>
        <w:suppressAutoHyphens/>
      </w:pPr>
      <w:r w:rsidRPr="006320B0">
        <w:t>De volgende risicofactoren moeten worden overwogen bij de beoordeling van het risico op het ontwikkelen van ONJ bij een patiënt:</w:t>
      </w:r>
    </w:p>
    <w:p w14:paraId="58ED8DC9" w14:textId="77777777" w:rsidR="00951F81" w:rsidRPr="006320B0" w:rsidRDefault="00951F81" w:rsidP="00840536">
      <w:pPr>
        <w:widowControl w:val="0"/>
        <w:numPr>
          <w:ilvl w:val="0"/>
          <w:numId w:val="54"/>
        </w:numPr>
        <w:tabs>
          <w:tab w:val="clear" w:pos="567"/>
        </w:tabs>
        <w:suppressAutoHyphens/>
        <w:ind w:left="567" w:hanging="567"/>
      </w:pPr>
      <w:r w:rsidRPr="006320B0">
        <w:t>potentie van het geneesmiddel dat de botresorptie remt (hoger risico bij zeer krachtige middelen), toedieningsweg (hoger risico bij parenterale toediening) en de cumulatieve dosis van botresorptietherapie.</w:t>
      </w:r>
    </w:p>
    <w:p w14:paraId="2C652CEA" w14:textId="77777777" w:rsidR="00951F81" w:rsidRPr="006320B0" w:rsidRDefault="00951F81" w:rsidP="00840536">
      <w:pPr>
        <w:widowControl w:val="0"/>
        <w:numPr>
          <w:ilvl w:val="0"/>
          <w:numId w:val="54"/>
        </w:numPr>
        <w:tabs>
          <w:tab w:val="clear" w:pos="567"/>
        </w:tabs>
        <w:suppressAutoHyphens/>
        <w:ind w:left="567" w:hanging="567"/>
      </w:pPr>
      <w:r w:rsidRPr="006320B0">
        <w:t>kanker, comorbiditeiten (bijv. bloedarmoede, stollingsstoornis, infectie), roken.</w:t>
      </w:r>
    </w:p>
    <w:p w14:paraId="4078DF21" w14:textId="77777777" w:rsidR="00951F81" w:rsidRPr="006320B0" w:rsidRDefault="00951F81" w:rsidP="00840536">
      <w:pPr>
        <w:widowControl w:val="0"/>
        <w:numPr>
          <w:ilvl w:val="0"/>
          <w:numId w:val="54"/>
        </w:numPr>
        <w:tabs>
          <w:tab w:val="clear" w:pos="567"/>
        </w:tabs>
        <w:suppressAutoHyphens/>
        <w:ind w:left="567" w:hanging="567"/>
      </w:pPr>
      <w:r w:rsidRPr="006320B0">
        <w:t>gelijktijdige behandelingen: corticosteroïden, chemotherapie, angiogeneseremmers, radiotherapie aan hoofd en nek.</w:t>
      </w:r>
    </w:p>
    <w:p w14:paraId="7814D1D2" w14:textId="77777777" w:rsidR="00951F81" w:rsidRPr="006320B0" w:rsidRDefault="00951F81" w:rsidP="00840536">
      <w:pPr>
        <w:widowControl w:val="0"/>
        <w:numPr>
          <w:ilvl w:val="0"/>
          <w:numId w:val="54"/>
        </w:numPr>
        <w:tabs>
          <w:tab w:val="clear" w:pos="567"/>
        </w:tabs>
        <w:suppressAutoHyphens/>
        <w:ind w:left="567" w:hanging="567"/>
      </w:pPr>
      <w:r w:rsidRPr="006320B0">
        <w:t>slechte mondhygiëne, parodontitis, slecht passend kunstgebit, geschiedenis van tandheelkundige aandoeningen, invasieve tandheelkundige ingrepen (bijv. het trekken van een tand of kies).</w:t>
      </w:r>
    </w:p>
    <w:p w14:paraId="51C26784" w14:textId="77777777" w:rsidR="00951F81" w:rsidRPr="006320B0" w:rsidRDefault="00951F81" w:rsidP="00840536">
      <w:pPr>
        <w:widowControl w:val="0"/>
        <w:suppressAutoHyphens/>
      </w:pPr>
    </w:p>
    <w:p w14:paraId="2A0A011B" w14:textId="77777777" w:rsidR="00951F81" w:rsidRPr="006320B0" w:rsidRDefault="00951F81" w:rsidP="00840536">
      <w:pPr>
        <w:widowControl w:val="0"/>
        <w:suppressAutoHyphens/>
      </w:pPr>
      <w:r w:rsidRPr="006320B0">
        <w:t>Alle patiënten dienen te worden gestimuleerd om goede mondhygiëne te handhaven, regelmatig voor controle naar de tandarts te gaan en onmiddellijk melding te maken van eventuele problemen in de mond zoals mobiliteit van gebitselementen, pijn of zwelling, of niet</w:t>
      </w:r>
      <w:r w:rsidRPr="006320B0">
        <w:noBreakHyphen/>
        <w:t>genezende zweren of pusafscheiding tijdens de behandeling met denosumab. Tijdens de behandeling moeten invasieve tandheelkundige ingrepen alleen na zorgvuldige overweging worden uitgevoerd en moet de ingreep niet kort voor of na het toedienen van denosumab plaatsvinden.</w:t>
      </w:r>
    </w:p>
    <w:p w14:paraId="5CD92D97" w14:textId="77777777" w:rsidR="00951F81" w:rsidRPr="006320B0" w:rsidRDefault="00951F81" w:rsidP="00840536">
      <w:pPr>
        <w:widowControl w:val="0"/>
        <w:suppressAutoHyphens/>
      </w:pPr>
    </w:p>
    <w:p w14:paraId="12B6F052" w14:textId="0BCBDE9F" w:rsidR="00951F81" w:rsidRPr="006320B0" w:rsidRDefault="00951F81" w:rsidP="00840536">
      <w:pPr>
        <w:widowControl w:val="0"/>
        <w:suppressAutoHyphens/>
      </w:pPr>
      <w:r w:rsidRPr="006320B0">
        <w:t>Het behandelingsplan van de patiënten bij wie ONJ optreedt, moet worden opgesteld in nauwe samenwerking tussen de behandelende arts en een tandarts of kaakchirurg die deskundig is op het gebied van ONJ. Een tijdelijke onderbreking van de behandeling moet worden overwogen tot de aandoening verdwijnt en bijkomende risicofactoren waar mogelijk zijn verminderd.</w:t>
      </w:r>
    </w:p>
    <w:p w14:paraId="0F2E33F0" w14:textId="77777777" w:rsidR="00951F81" w:rsidRPr="006320B0" w:rsidRDefault="00951F81" w:rsidP="00840536">
      <w:pPr>
        <w:widowControl w:val="0"/>
        <w:suppressAutoHyphens/>
      </w:pPr>
    </w:p>
    <w:p w14:paraId="7A8B2FDD" w14:textId="77777777" w:rsidR="00951F81" w:rsidRPr="006320B0" w:rsidRDefault="00951F81" w:rsidP="00840536">
      <w:pPr>
        <w:widowControl w:val="0"/>
        <w:tabs>
          <w:tab w:val="clear" w:pos="567"/>
        </w:tabs>
        <w:suppressAutoHyphens/>
        <w:rPr>
          <w:i/>
          <w:iCs/>
        </w:rPr>
      </w:pPr>
      <w:r w:rsidRPr="006320B0">
        <w:rPr>
          <w:i/>
        </w:rPr>
        <w:t>Osteonecrose van de uitwendige gehoorgang</w:t>
      </w:r>
    </w:p>
    <w:p w14:paraId="48B81B89" w14:textId="34724B11" w:rsidR="00951F81" w:rsidRPr="006320B0" w:rsidRDefault="00951F81" w:rsidP="00840536">
      <w:pPr>
        <w:widowControl w:val="0"/>
        <w:suppressAutoHyphens/>
      </w:pPr>
      <w:r w:rsidRPr="006320B0">
        <w:t>Osteonecrose van de uitwendige gehoorgang is gemeld bij gebruik van denosumab. Mogelijke risicofactoren voor osteonecrose van de uitwendige gehoorgang zijn onder andere gebruik van steroïden en chemotherapie en/of lokale risicofactoren zoals infectie of trauma. Er dient rekening te worden gehouden met de mogelijkheid van osteonecrose van de uitwendige gehoorgang bij patiënten die denosumab toegediend krijgen en bij wie oorsymptomen optreden, waaronder chronische oorinfecties.</w:t>
      </w:r>
    </w:p>
    <w:p w14:paraId="5A052020" w14:textId="77777777" w:rsidR="00951F81" w:rsidRPr="006320B0" w:rsidRDefault="00951F81" w:rsidP="00840536">
      <w:pPr>
        <w:widowControl w:val="0"/>
        <w:suppressAutoHyphens/>
      </w:pPr>
    </w:p>
    <w:p w14:paraId="11AE3ECC" w14:textId="77777777" w:rsidR="00951F81" w:rsidRPr="006320B0" w:rsidRDefault="00951F81" w:rsidP="00840536">
      <w:pPr>
        <w:widowControl w:val="0"/>
        <w:tabs>
          <w:tab w:val="clear" w:pos="567"/>
        </w:tabs>
        <w:suppressAutoHyphens/>
        <w:rPr>
          <w:i/>
          <w:iCs/>
        </w:rPr>
      </w:pPr>
      <w:r w:rsidRPr="006320B0">
        <w:rPr>
          <w:i/>
        </w:rPr>
        <w:t>Atypische femurfracturen</w:t>
      </w:r>
    </w:p>
    <w:p w14:paraId="64ABE369" w14:textId="77777777" w:rsidR="00951F81" w:rsidRPr="006320B0" w:rsidRDefault="00951F81" w:rsidP="00840536">
      <w:pPr>
        <w:widowControl w:val="0"/>
        <w:suppressAutoHyphens/>
      </w:pPr>
      <w:r w:rsidRPr="006320B0">
        <w:t>Atypische femurfracturen zijn gerapporteerd bij patiënten die worden behandeld met denosumab (zie rubriek 4.8). Atypische femurfracturen, gelokaliseerd in de subtrochantaire en de diafyseregio, kunnen na een minimaal trauma of zonder trauma optreden. Deze fracturen worden gekarakteriseerd door specifieke radiografische beelden. Atypische femurfracturen zijn tevens gerapporteerd bij patiënten met bepaalde comorbiditeiten (bijv. vitamine D</w:t>
      </w:r>
      <w:r w:rsidRPr="006320B0">
        <w:noBreakHyphen/>
        <w:t>deficiëntie, reumatoïde artritis, hypofosfatasemie) en bij patiënten die behandeld zijn met bepaalde geneesmiddelen (bijv. bisfosfonaten, glucocorticoïden, protonpompremmers). Deze fracturen zijn ook opgetreden zonder antiresorptieve therapie. Soortgelijke gerapporteerde fracturen die geassocieerd worden met bisfosfonaten zijn vaak bilateraal; daarom dient het contralaterale femur te worden onderzocht bij patiënten die een femurschachtfractuur hebben gehad en worden behandeld met denosumab. Indien een atypische femurfractuur bij een patiënt vermoed wordt, dient het staken van de therapie met denosumab te worden overwogen in afwachting van de op de individuele risico</w:t>
      </w:r>
      <w:r w:rsidRPr="006320B0">
        <w:noBreakHyphen/>
        <w:t>batenbalans gebaseerde evaluatie van de patiënt. Tijdens de behandeling met denosumab dienen patiënten te worden geadviseerd om nieuwe of ongebruikelijke pijn in het dijbeen, de heup of de lies te melden. Patiënten met deze symptomen moeten worden onderzocht op een onvolledige femurfractuur.</w:t>
      </w:r>
    </w:p>
    <w:p w14:paraId="3140220A" w14:textId="77777777" w:rsidR="00951F81" w:rsidRPr="006320B0" w:rsidRDefault="00951F81" w:rsidP="00840536">
      <w:pPr>
        <w:widowControl w:val="0"/>
        <w:suppressAutoHyphens/>
      </w:pPr>
    </w:p>
    <w:p w14:paraId="0466ACE2" w14:textId="77777777" w:rsidR="00951F81" w:rsidRPr="006320B0" w:rsidRDefault="00951F81" w:rsidP="00840536">
      <w:pPr>
        <w:widowControl w:val="0"/>
        <w:tabs>
          <w:tab w:val="clear" w:pos="567"/>
        </w:tabs>
        <w:suppressAutoHyphens/>
        <w:rPr>
          <w:i/>
          <w:iCs/>
        </w:rPr>
      </w:pPr>
      <w:r w:rsidRPr="006320B0">
        <w:rPr>
          <w:i/>
        </w:rPr>
        <w:t>Langdurige behandeling met botresorptieremmers</w:t>
      </w:r>
    </w:p>
    <w:p w14:paraId="72030602" w14:textId="77777777" w:rsidR="00951F81" w:rsidRPr="006320B0" w:rsidRDefault="00951F81" w:rsidP="00840536">
      <w:pPr>
        <w:widowControl w:val="0"/>
        <w:suppressAutoHyphens/>
      </w:pPr>
      <w:r w:rsidRPr="006320B0">
        <w:t>Langdurige behandeling met botresorptieremmers (waaronder zowel denosumab als bisfosfonaten) kan bijdragen aan een verhoogd risico op ongewenste uitkomsten, zoals osteonecrose van de kaak en atypische femurfracturen door een significante onderdrukking van de hermodellering van het bot (zie sectie 4.2).</w:t>
      </w:r>
    </w:p>
    <w:p w14:paraId="790A657F" w14:textId="77777777" w:rsidR="00951F81" w:rsidRPr="006320B0" w:rsidRDefault="00951F81" w:rsidP="00840536">
      <w:pPr>
        <w:widowControl w:val="0"/>
        <w:suppressAutoHyphens/>
      </w:pPr>
    </w:p>
    <w:p w14:paraId="2E6A04A1" w14:textId="1E4DFE08" w:rsidR="3A5A3A2F" w:rsidRPr="006320B0" w:rsidRDefault="3A5A3A2F" w:rsidP="072C1CC4">
      <w:pPr>
        <w:widowControl w:val="0"/>
        <w:rPr>
          <w:i/>
          <w:iCs/>
        </w:rPr>
      </w:pPr>
      <w:r w:rsidRPr="006320B0">
        <w:rPr>
          <w:i/>
          <w:iCs/>
        </w:rPr>
        <w:t xml:space="preserve">Stopzetting van de behandeling </w:t>
      </w:r>
    </w:p>
    <w:p w14:paraId="53597B06" w14:textId="33DE45DE" w:rsidR="3A5A3A2F" w:rsidRPr="006320B0" w:rsidRDefault="3A5A3A2F" w:rsidP="072C1CC4">
      <w:pPr>
        <w:widowControl w:val="0"/>
      </w:pPr>
      <w:r w:rsidRPr="006320B0">
        <w:t>Na het stopzetten van denosumab wordt een afname van de botmineraaldichtheid (BMD) verwacht (zie rubriek 5.1), wat leidt tot een verhoogd risico op fracturen. Daarom wordt aanbevolen om de BMD te monitoren en moet een alternatieve behandeling worden overwogen volgens de klinische richtlijnen.</w:t>
      </w:r>
    </w:p>
    <w:p w14:paraId="134BAA1D" w14:textId="4C5189EF" w:rsidR="072C1CC4" w:rsidRPr="006320B0" w:rsidRDefault="072C1CC4" w:rsidP="072C1CC4">
      <w:pPr>
        <w:widowControl w:val="0"/>
      </w:pPr>
    </w:p>
    <w:p w14:paraId="1EE4B332" w14:textId="77777777" w:rsidR="00951F81" w:rsidRPr="006320B0" w:rsidRDefault="00951F81" w:rsidP="00840536">
      <w:pPr>
        <w:widowControl w:val="0"/>
        <w:tabs>
          <w:tab w:val="clear" w:pos="567"/>
        </w:tabs>
        <w:suppressAutoHyphens/>
        <w:rPr>
          <w:i/>
          <w:iCs/>
        </w:rPr>
      </w:pPr>
      <w:r w:rsidRPr="006320B0">
        <w:rPr>
          <w:i/>
        </w:rPr>
        <w:t>Gelijktijdige behandeling met andere denosumab</w:t>
      </w:r>
      <w:r w:rsidRPr="006320B0">
        <w:rPr>
          <w:i/>
        </w:rPr>
        <w:noBreakHyphen/>
        <w:t>bevattende geneesmiddelen</w:t>
      </w:r>
    </w:p>
    <w:p w14:paraId="46BB5AF5" w14:textId="77777777" w:rsidR="00951F81" w:rsidRPr="006320B0" w:rsidRDefault="00951F81" w:rsidP="00840536">
      <w:pPr>
        <w:widowControl w:val="0"/>
        <w:suppressAutoHyphens/>
      </w:pPr>
      <w:r w:rsidRPr="006320B0">
        <w:t>Patiënten die met denosumab worden behandeld, mogen niet tegelijkertijd worden behandeld met andere denosumab</w:t>
      </w:r>
      <w:r w:rsidRPr="006320B0">
        <w:noBreakHyphen/>
        <w:t>bevattende geneesmiddelen (ter preventie van botcomplicaties bij volwassenen met botmetastasen van solide tumoren).</w:t>
      </w:r>
    </w:p>
    <w:p w14:paraId="1C9D4205" w14:textId="77777777" w:rsidR="00951F81" w:rsidRPr="006320B0" w:rsidRDefault="00951F81" w:rsidP="00840536">
      <w:pPr>
        <w:widowControl w:val="0"/>
        <w:suppressAutoHyphens/>
      </w:pPr>
    </w:p>
    <w:p w14:paraId="57FA8B90" w14:textId="77777777" w:rsidR="00951F81" w:rsidRPr="006320B0" w:rsidRDefault="00951F81" w:rsidP="00840536">
      <w:pPr>
        <w:widowControl w:val="0"/>
        <w:suppressAutoHyphens/>
        <w:rPr>
          <w:i/>
          <w:iCs/>
        </w:rPr>
      </w:pPr>
      <w:r w:rsidRPr="006320B0">
        <w:rPr>
          <w:i/>
        </w:rPr>
        <w:t>Hypercalciëmie bij kinderen</w:t>
      </w:r>
    </w:p>
    <w:p w14:paraId="41C8F3AC" w14:textId="04F4D817" w:rsidR="00951F81" w:rsidRPr="006320B0" w:rsidRDefault="00D50235" w:rsidP="00840536">
      <w:pPr>
        <w:widowControl w:val="0"/>
        <w:suppressAutoHyphens/>
      </w:pPr>
      <w:r w:rsidRPr="006320B0">
        <w:t>Kefdensis</w:t>
      </w:r>
      <w:r w:rsidR="00951F81" w:rsidRPr="006320B0">
        <w:t xml:space="preserve"> mag niet worden gebruikt bij kinderen (in de leeftijd van &lt; 18). Ernstige hypercalciëmie is gemeld. In enkele gevallen in klinisch onderzoek trad acuut nierfalen op.</w:t>
      </w:r>
    </w:p>
    <w:p w14:paraId="5538D796" w14:textId="77777777" w:rsidR="00951F81" w:rsidRPr="006320B0" w:rsidRDefault="00951F81" w:rsidP="00840536">
      <w:pPr>
        <w:widowControl w:val="0"/>
        <w:suppressAutoHyphens/>
      </w:pPr>
    </w:p>
    <w:p w14:paraId="3135E4C5" w14:textId="77777777" w:rsidR="00951F81" w:rsidRPr="006320B0" w:rsidRDefault="00951F81" w:rsidP="00840536">
      <w:pPr>
        <w:widowControl w:val="0"/>
        <w:suppressAutoHyphens/>
        <w:ind w:left="567" w:hanging="567"/>
        <w:rPr>
          <w:b/>
        </w:rPr>
      </w:pPr>
      <w:r w:rsidRPr="006320B0">
        <w:rPr>
          <w:b/>
        </w:rPr>
        <w:t>4.5</w:t>
      </w:r>
      <w:r w:rsidRPr="006320B0">
        <w:rPr>
          <w:b/>
        </w:rPr>
        <w:tab/>
        <w:t>Interacties met andere geneesmiddelen en andere vormen van interactie</w:t>
      </w:r>
    </w:p>
    <w:p w14:paraId="7B9639FF" w14:textId="77777777" w:rsidR="00951F81" w:rsidRPr="006320B0" w:rsidRDefault="00951F81" w:rsidP="00840536">
      <w:pPr>
        <w:widowControl w:val="0"/>
        <w:suppressAutoHyphens/>
      </w:pPr>
    </w:p>
    <w:p w14:paraId="4D3BE312" w14:textId="5E37B308" w:rsidR="00951F81" w:rsidRPr="006320B0" w:rsidRDefault="00951F81" w:rsidP="00840536">
      <w:pPr>
        <w:widowControl w:val="0"/>
        <w:suppressAutoHyphens/>
      </w:pPr>
      <w:r w:rsidRPr="006320B0">
        <w:t>In een onderzoek naar interacties had denosumab geen invloed op de farmacokinetiek van midazolam, dat gemetaboliseerd wordt door cytochroom P450 3A4 (CYP3A4). Dit geeft aan dat denosumab de farmacokinetiek van geneesmiddelen die worden gemetaboliseerd door CYP3A4 waarschijnlijk niet verandert.</w:t>
      </w:r>
    </w:p>
    <w:p w14:paraId="0D831810" w14:textId="77777777" w:rsidR="00951F81" w:rsidRPr="006320B0" w:rsidRDefault="00951F81" w:rsidP="00840536">
      <w:pPr>
        <w:widowControl w:val="0"/>
        <w:suppressAutoHyphens/>
      </w:pPr>
    </w:p>
    <w:p w14:paraId="793ECE37" w14:textId="018F3FDF" w:rsidR="00951F81" w:rsidRPr="006320B0" w:rsidRDefault="00951F81" w:rsidP="00840536">
      <w:pPr>
        <w:widowControl w:val="0"/>
        <w:suppressAutoHyphens/>
      </w:pPr>
      <w:r w:rsidRPr="006320B0">
        <w:t>Er zijn geen klinische gegevens beschikbaar over de gelijktijdige toediening van denosumab en hormoonsuppletietherapie (oestrogenen), maar het risico op een farmacodynamische interactie wordt als gering beschouwd.</w:t>
      </w:r>
    </w:p>
    <w:p w14:paraId="7979FADB" w14:textId="2E86CBAC" w:rsidR="00951F81" w:rsidRPr="006320B0" w:rsidRDefault="00951F81" w:rsidP="00840536">
      <w:pPr>
        <w:widowControl w:val="0"/>
        <w:suppressAutoHyphens/>
      </w:pPr>
    </w:p>
    <w:p w14:paraId="57998C88" w14:textId="552DF54B" w:rsidR="00951F81" w:rsidRPr="006320B0" w:rsidRDefault="00951F81" w:rsidP="00840536">
      <w:pPr>
        <w:widowControl w:val="0"/>
        <w:suppressAutoHyphens/>
      </w:pPr>
      <w:r w:rsidRPr="006320B0">
        <w:t>Uit gegevens van een cross</w:t>
      </w:r>
      <w:r w:rsidRPr="006320B0">
        <w:noBreakHyphen/>
        <w:t>over onderzoek bij postmenopauzale vrouwen met osteoporose (van alendroninezuur naar denosumab), blijkt dat de farmacokinetische en farmacodynamische eigenschappen van denosumab niet veranderden door een voorafgaande behandeling met alendroninezuur.</w:t>
      </w:r>
    </w:p>
    <w:p w14:paraId="38B129AE" w14:textId="68426F18" w:rsidR="00951F81" w:rsidRPr="006320B0" w:rsidRDefault="00951F81" w:rsidP="00840536">
      <w:pPr>
        <w:widowControl w:val="0"/>
        <w:suppressAutoHyphens/>
      </w:pPr>
    </w:p>
    <w:p w14:paraId="7F98BDBE" w14:textId="44E3750B" w:rsidR="00951F81" w:rsidRPr="006320B0" w:rsidRDefault="00951F81" w:rsidP="00840536">
      <w:pPr>
        <w:widowControl w:val="0"/>
        <w:suppressAutoHyphens/>
        <w:ind w:left="567" w:hanging="567"/>
        <w:rPr>
          <w:b/>
        </w:rPr>
      </w:pPr>
      <w:r w:rsidRPr="006320B0">
        <w:rPr>
          <w:b/>
        </w:rPr>
        <w:t>4.6</w:t>
      </w:r>
      <w:r w:rsidRPr="006320B0">
        <w:rPr>
          <w:b/>
        </w:rPr>
        <w:tab/>
        <w:t>Vruchtbaarheid, zwangerschap en borstvoeding</w:t>
      </w:r>
    </w:p>
    <w:p w14:paraId="21B41172" w14:textId="77777777" w:rsidR="00951F81" w:rsidRPr="006320B0" w:rsidRDefault="00951F81" w:rsidP="00840536">
      <w:pPr>
        <w:widowControl w:val="0"/>
        <w:suppressAutoHyphens/>
      </w:pPr>
    </w:p>
    <w:p w14:paraId="140DF9CA" w14:textId="77777777" w:rsidR="00951F81" w:rsidRPr="006320B0" w:rsidRDefault="00951F81" w:rsidP="00840536">
      <w:pPr>
        <w:widowControl w:val="0"/>
        <w:suppressAutoHyphens/>
        <w:rPr>
          <w:u w:val="single"/>
        </w:rPr>
      </w:pPr>
      <w:r w:rsidRPr="006320B0">
        <w:rPr>
          <w:u w:val="single"/>
        </w:rPr>
        <w:t>Zwangerschap</w:t>
      </w:r>
    </w:p>
    <w:p w14:paraId="773476C6" w14:textId="77777777" w:rsidR="00951F81" w:rsidRPr="006320B0" w:rsidRDefault="00951F81" w:rsidP="00840536">
      <w:pPr>
        <w:widowControl w:val="0"/>
        <w:suppressAutoHyphens/>
      </w:pPr>
    </w:p>
    <w:p w14:paraId="32BD7335" w14:textId="77777777" w:rsidR="00951F81" w:rsidRPr="006320B0" w:rsidRDefault="00951F81" w:rsidP="00840536">
      <w:pPr>
        <w:widowControl w:val="0"/>
        <w:suppressAutoHyphens/>
      </w:pPr>
      <w:r w:rsidRPr="006320B0">
        <w:t>Er zijn geen of een beperkte hoeveelheid gegevens over het gebruik van denosumab bij zwangere vrouwen. Uit dieronderzoek is reproductietoxiciteit gebleken (zie rubriek 5.3).</w:t>
      </w:r>
    </w:p>
    <w:p w14:paraId="28F973AC" w14:textId="77777777" w:rsidR="00951F81" w:rsidRPr="006320B0" w:rsidRDefault="00951F81" w:rsidP="00840536">
      <w:pPr>
        <w:widowControl w:val="0"/>
        <w:suppressAutoHyphens/>
      </w:pPr>
    </w:p>
    <w:p w14:paraId="04D768E7" w14:textId="3639C91D" w:rsidR="00951F81" w:rsidRPr="006320B0" w:rsidRDefault="00D50235" w:rsidP="00840536">
      <w:pPr>
        <w:widowControl w:val="0"/>
        <w:suppressAutoHyphens/>
      </w:pPr>
      <w:r w:rsidRPr="006320B0">
        <w:t>Kefdensis</w:t>
      </w:r>
      <w:r w:rsidR="00951F81" w:rsidRPr="006320B0">
        <w:t xml:space="preserve"> wordt niet aanbevolen voor gebruik tijdens de zwangerschap en bij vrouwen die zwanger kunnen worden en geen anticonceptie toepassen. Vrouwen moeten worden geadviseerd niet zwanger te worden tijdens en ten minste 5 maanden na een behandeling met denosumab. De effecten van denosumab zijn waarschijnlijk meer uitgesproken tijdens het tweede en het derde trimester van de zwangerschap aangezien de monoklonale antilichamen lineair worden getransporteerd door de placenta naarmate de zwangerschap vordert, met de grootste hoeveelheid tijdens het derde trimester.</w:t>
      </w:r>
    </w:p>
    <w:p w14:paraId="56E00A1B" w14:textId="77777777" w:rsidR="00951F81" w:rsidRPr="006320B0" w:rsidRDefault="00951F81" w:rsidP="00840536">
      <w:pPr>
        <w:widowControl w:val="0"/>
        <w:suppressAutoHyphens/>
      </w:pPr>
    </w:p>
    <w:p w14:paraId="6BF0A3BE" w14:textId="77777777" w:rsidR="00951F81" w:rsidRPr="006320B0" w:rsidRDefault="00951F81" w:rsidP="00840536">
      <w:pPr>
        <w:widowControl w:val="0"/>
        <w:suppressAutoHyphens/>
        <w:rPr>
          <w:u w:val="single"/>
        </w:rPr>
      </w:pPr>
      <w:r w:rsidRPr="006320B0">
        <w:rPr>
          <w:u w:val="single"/>
        </w:rPr>
        <w:t>Borstvoeding</w:t>
      </w:r>
    </w:p>
    <w:p w14:paraId="09C6AC7C" w14:textId="77777777" w:rsidR="00951F81" w:rsidRPr="006320B0" w:rsidRDefault="00951F81" w:rsidP="00840536">
      <w:pPr>
        <w:widowControl w:val="0"/>
        <w:suppressAutoHyphens/>
      </w:pPr>
    </w:p>
    <w:p w14:paraId="25D3B949" w14:textId="015638E2" w:rsidR="00951F81" w:rsidRPr="006320B0" w:rsidRDefault="00951F81" w:rsidP="00840536">
      <w:pPr>
        <w:widowControl w:val="0"/>
        <w:suppressAutoHyphens/>
      </w:pPr>
      <w:r w:rsidRPr="006320B0">
        <w:t>Het is niet bekend of denosumab in de moedermelk wordt uitgescheiden. Bij genetisch gemanipuleerde muizen waarbij RANKL uitgeschakeld is door het gen te verwijderen (een "knockout</w:t>
      </w:r>
      <w:r w:rsidRPr="006320B0">
        <w:noBreakHyphen/>
        <w:t xml:space="preserve">muis"), suggereren onderzoeken dat de afwezigheid van RANKL (het target van denosumab, zie rubriek 5.1) gedurende de zwangerschap de ontwikkeling van de borstklieren kan belemmeren, wat postpartum leidt tot een verstoorde lactatie (zie rubriek 5.3). Er moet worden besloten of borstvoeding moet worden gestaakt of dat behandeling met denosumab niet moet worden ingesteld, waarbij het voordeel van borstvoeding voor het kind en het voordeel van behandeling met </w:t>
      </w:r>
      <w:r w:rsidR="00AF1274" w:rsidRPr="006320B0">
        <w:t>denosumab</w:t>
      </w:r>
      <w:r w:rsidRPr="006320B0">
        <w:t xml:space="preserve"> voor de vrouw in overweging moet worden genomen.</w:t>
      </w:r>
    </w:p>
    <w:p w14:paraId="4677EDC0" w14:textId="77777777" w:rsidR="00951F81" w:rsidRPr="006320B0" w:rsidRDefault="00951F81" w:rsidP="00840536">
      <w:pPr>
        <w:widowControl w:val="0"/>
        <w:suppressAutoHyphens/>
      </w:pPr>
    </w:p>
    <w:p w14:paraId="01E8BC7D" w14:textId="77777777" w:rsidR="00951F81" w:rsidRPr="006320B0" w:rsidRDefault="00951F81" w:rsidP="00840536">
      <w:pPr>
        <w:widowControl w:val="0"/>
        <w:suppressAutoHyphens/>
        <w:rPr>
          <w:u w:val="single"/>
        </w:rPr>
      </w:pPr>
      <w:r w:rsidRPr="006320B0">
        <w:rPr>
          <w:u w:val="single"/>
        </w:rPr>
        <w:t>Vruchtbaarheid</w:t>
      </w:r>
    </w:p>
    <w:p w14:paraId="5893C3CD" w14:textId="77777777" w:rsidR="00951F81" w:rsidRPr="006320B0" w:rsidRDefault="00951F81" w:rsidP="00840536">
      <w:pPr>
        <w:widowControl w:val="0"/>
        <w:suppressAutoHyphens/>
      </w:pPr>
    </w:p>
    <w:p w14:paraId="37CB78C0" w14:textId="77777777" w:rsidR="00951F81" w:rsidRPr="006320B0" w:rsidRDefault="00951F81" w:rsidP="00840536">
      <w:pPr>
        <w:widowControl w:val="0"/>
        <w:suppressAutoHyphens/>
      </w:pPr>
      <w:r w:rsidRPr="006320B0">
        <w:t>Er zijn geen gegevens beschikbaar over het effect van denosumab op de vruchtbaarheid van de mens. Experimenteel onderzoek bij dieren wijst geen directe of indirecte schadelijke effecten uit voor de vruchtbaarheid (zie rubriek 5.3).</w:t>
      </w:r>
    </w:p>
    <w:p w14:paraId="13E43019" w14:textId="77777777" w:rsidR="00951F81" w:rsidRPr="006320B0" w:rsidRDefault="00951F81" w:rsidP="00840536">
      <w:pPr>
        <w:widowControl w:val="0"/>
        <w:suppressAutoHyphens/>
      </w:pPr>
    </w:p>
    <w:p w14:paraId="3415FA76" w14:textId="77777777" w:rsidR="00951F81" w:rsidRPr="006320B0" w:rsidRDefault="00951F81" w:rsidP="00840536">
      <w:pPr>
        <w:widowControl w:val="0"/>
        <w:suppressAutoHyphens/>
        <w:ind w:left="567" w:hanging="567"/>
        <w:rPr>
          <w:b/>
        </w:rPr>
      </w:pPr>
      <w:r w:rsidRPr="006320B0">
        <w:rPr>
          <w:b/>
        </w:rPr>
        <w:t>4.7</w:t>
      </w:r>
      <w:r w:rsidRPr="006320B0">
        <w:rPr>
          <w:b/>
        </w:rPr>
        <w:tab/>
        <w:t>Beïnvloeding van de rijvaardigheid en het vermogen om machines te bedienen</w:t>
      </w:r>
    </w:p>
    <w:p w14:paraId="4A36505E" w14:textId="77777777" w:rsidR="00951F81" w:rsidRPr="006320B0" w:rsidRDefault="00951F81" w:rsidP="00840536">
      <w:pPr>
        <w:widowControl w:val="0"/>
        <w:suppressAutoHyphens/>
      </w:pPr>
    </w:p>
    <w:p w14:paraId="20B5F546" w14:textId="63D0F783" w:rsidR="00951F81" w:rsidRPr="006320B0" w:rsidRDefault="00AF1274" w:rsidP="00840536">
      <w:pPr>
        <w:widowControl w:val="0"/>
        <w:suppressAutoHyphens/>
      </w:pPr>
      <w:r w:rsidRPr="006320B0">
        <w:t>Denosumab</w:t>
      </w:r>
      <w:r w:rsidR="00951F81" w:rsidRPr="006320B0">
        <w:t xml:space="preserve"> heeft geen of verwaarloosbare invloed op de rijvaardigheid en op het vermogen om machines te bedienen.</w:t>
      </w:r>
    </w:p>
    <w:p w14:paraId="7F8F5112" w14:textId="77777777" w:rsidR="00951F81" w:rsidRPr="006320B0" w:rsidRDefault="00951F81" w:rsidP="00840536">
      <w:pPr>
        <w:widowControl w:val="0"/>
        <w:suppressAutoHyphens/>
      </w:pPr>
    </w:p>
    <w:p w14:paraId="38262D28" w14:textId="77777777" w:rsidR="00951F81" w:rsidRPr="006320B0" w:rsidRDefault="00951F81" w:rsidP="00840536">
      <w:pPr>
        <w:widowControl w:val="0"/>
        <w:suppressAutoHyphens/>
        <w:ind w:left="567" w:hanging="567"/>
        <w:rPr>
          <w:b/>
        </w:rPr>
      </w:pPr>
      <w:r w:rsidRPr="006320B0">
        <w:rPr>
          <w:b/>
        </w:rPr>
        <w:t>4.8</w:t>
      </w:r>
      <w:r w:rsidRPr="006320B0">
        <w:rPr>
          <w:b/>
        </w:rPr>
        <w:tab/>
        <w:t>Bijwerkingen</w:t>
      </w:r>
    </w:p>
    <w:p w14:paraId="2B9F16B3" w14:textId="77777777" w:rsidR="00951F81" w:rsidRPr="006320B0" w:rsidRDefault="00951F81" w:rsidP="00840536">
      <w:pPr>
        <w:widowControl w:val="0"/>
        <w:suppressAutoHyphens/>
      </w:pPr>
    </w:p>
    <w:p w14:paraId="1136893A" w14:textId="77777777" w:rsidR="00951F81" w:rsidRPr="006320B0" w:rsidRDefault="00951F81" w:rsidP="00840536">
      <w:pPr>
        <w:widowControl w:val="0"/>
        <w:suppressAutoHyphens/>
        <w:rPr>
          <w:u w:val="single"/>
        </w:rPr>
      </w:pPr>
      <w:r w:rsidRPr="006320B0">
        <w:rPr>
          <w:u w:val="single"/>
        </w:rPr>
        <w:t>Samenvatting van het veiligheidsprofiel</w:t>
      </w:r>
    </w:p>
    <w:p w14:paraId="743B3262" w14:textId="77777777" w:rsidR="00951F81" w:rsidRPr="006320B0" w:rsidRDefault="00951F81" w:rsidP="00840536">
      <w:pPr>
        <w:widowControl w:val="0"/>
        <w:suppressAutoHyphens/>
      </w:pPr>
    </w:p>
    <w:p w14:paraId="1E08E246" w14:textId="77777777" w:rsidR="00951F81" w:rsidRPr="006320B0" w:rsidRDefault="00951F81" w:rsidP="00840536">
      <w:pPr>
        <w:widowControl w:val="0"/>
        <w:suppressAutoHyphens/>
      </w:pPr>
      <w:r w:rsidRPr="006320B0">
        <w:t>De meest voorkomende bijwerkingen van denosumab (voorkomend bij meer dan een op de tien patiënten) zijn skeletspierstelselpijn en pijn in de extremiteiten. Bij patiënten die denosumab gebruiken zijn soms gevallen van cellulitis en zelden gevallen van hypocalciëmie, overgevoeligheid, osteonecrose van de kaak en atypische femurfracturen waargenomen (zie rubrieken 4.4 en 4.8 - beschrijving van geselecteerde bijwerkingen).</w:t>
      </w:r>
    </w:p>
    <w:p w14:paraId="55DD56E5" w14:textId="77777777" w:rsidR="00951F81" w:rsidRPr="006320B0" w:rsidRDefault="00951F81" w:rsidP="00840536">
      <w:pPr>
        <w:widowControl w:val="0"/>
        <w:suppressAutoHyphens/>
      </w:pPr>
    </w:p>
    <w:p w14:paraId="275B6343" w14:textId="77777777" w:rsidR="00951F81" w:rsidRPr="006320B0" w:rsidRDefault="00951F81" w:rsidP="00840536">
      <w:pPr>
        <w:widowControl w:val="0"/>
        <w:suppressAutoHyphens/>
        <w:rPr>
          <w:u w:val="single"/>
        </w:rPr>
      </w:pPr>
      <w:r w:rsidRPr="006320B0">
        <w:rPr>
          <w:u w:val="single"/>
        </w:rPr>
        <w:t>Getabelleerde lijst van bijwerkingen</w:t>
      </w:r>
    </w:p>
    <w:p w14:paraId="77FBD388" w14:textId="77777777" w:rsidR="00951F81" w:rsidRPr="006320B0" w:rsidRDefault="00951F81" w:rsidP="00840536">
      <w:pPr>
        <w:widowControl w:val="0"/>
        <w:suppressAutoHyphens/>
      </w:pPr>
    </w:p>
    <w:p w14:paraId="12EF1294" w14:textId="77777777" w:rsidR="00951F81" w:rsidRPr="006320B0" w:rsidRDefault="00951F81" w:rsidP="00840536">
      <w:pPr>
        <w:widowControl w:val="0"/>
        <w:suppressAutoHyphens/>
      </w:pPr>
      <w:r w:rsidRPr="006320B0">
        <w:t>De gegevens in de onderstaande tabel (tabel 1) beschrijven bijwerkingen gerapporteerd in klinische fase II- en fase III</w:t>
      </w:r>
      <w:r w:rsidRPr="006320B0">
        <w:noBreakHyphen/>
        <w:t>onderzoeken met patiënten met osteoporose en patiënten met borst- of prostaatkanker die hormoonablatietherapie kregen, en/of spontaan gemelde bijwerkingen.</w:t>
      </w:r>
    </w:p>
    <w:p w14:paraId="78A86924" w14:textId="77777777" w:rsidR="00951F81" w:rsidRPr="006320B0" w:rsidRDefault="00951F81" w:rsidP="00840536">
      <w:pPr>
        <w:widowControl w:val="0"/>
        <w:suppressAutoHyphens/>
      </w:pPr>
    </w:p>
    <w:p w14:paraId="6FD67ED0" w14:textId="77777777" w:rsidR="00951F81" w:rsidRPr="006320B0" w:rsidRDefault="00951F81" w:rsidP="00840536">
      <w:pPr>
        <w:widowControl w:val="0"/>
        <w:suppressAutoHyphens/>
      </w:pPr>
      <w:r w:rsidRPr="006320B0">
        <w:t>De volgende conventie is gebruikt voor de classificatie van de bijwerkingen (zie tabel 1): zeer vaak (≥ 1/10), vaak (≥ 1/100, &lt; 1/10), soms (≥ 1/1.000, &lt; 1/100), zelden (≥ 1/10.000, &lt; 1/1.000), zeer zelden (&lt; 1/10.000) en niet bekend (kan met de beschikbare gegevens niet worden bepaald). Binnen iedere frequentiegroep en systeem/orgaanklasse worden bijwerkingen gerangschikt naar afnemende ernst.</w:t>
      </w:r>
    </w:p>
    <w:p w14:paraId="12CBF1C5" w14:textId="77777777" w:rsidR="00951F81" w:rsidRPr="006320B0" w:rsidRDefault="00951F81" w:rsidP="00840536">
      <w:pPr>
        <w:widowControl w:val="0"/>
        <w:suppressAutoHyphens/>
      </w:pPr>
    </w:p>
    <w:p w14:paraId="3506BDF3" w14:textId="77777777" w:rsidR="00951F81" w:rsidRPr="006320B0" w:rsidRDefault="00951F81" w:rsidP="00840536">
      <w:pPr>
        <w:widowControl w:val="0"/>
        <w:suppressAutoHyphens/>
        <w:rPr>
          <w:b/>
          <w:bCs/>
        </w:rPr>
      </w:pPr>
      <w:r w:rsidRPr="006320B0">
        <w:rPr>
          <w:b/>
        </w:rPr>
        <w:t>Tabel 1. Bijwerkingen die zijn gemeld bij patiënten met osteoporose en patiënten met borst- of prostaatkanker die hormoonablatietherapie kregen</w:t>
      </w:r>
    </w:p>
    <w:p w14:paraId="5EB1F3A2" w14:textId="77777777" w:rsidR="00951F81" w:rsidRPr="006320B0" w:rsidRDefault="00951F81" w:rsidP="00840536">
      <w:pPr>
        <w:widowControl w:val="0"/>
        <w:suppressAutoHyphens/>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2466"/>
        <w:gridCol w:w="3455"/>
      </w:tblGrid>
      <w:tr w:rsidR="00951F81" w:rsidRPr="006320B0" w14:paraId="4967274B"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6BDC7E51" w14:textId="77777777" w:rsidR="00951F81" w:rsidRPr="006320B0" w:rsidRDefault="00951F81" w:rsidP="00840536">
            <w:pPr>
              <w:widowControl w:val="0"/>
              <w:suppressAutoHyphens/>
              <w:rPr>
                <w:rFonts w:eastAsia="MS Mincho"/>
                <w:b/>
              </w:rPr>
            </w:pPr>
            <w:r w:rsidRPr="006320B0">
              <w:rPr>
                <w:b/>
              </w:rPr>
              <w:t>MedDRA systeem/orgaanklasse</w:t>
            </w:r>
          </w:p>
        </w:tc>
        <w:tc>
          <w:tcPr>
            <w:tcW w:w="1393" w:type="pct"/>
            <w:tcBorders>
              <w:top w:val="single" w:sz="4" w:space="0" w:color="auto"/>
              <w:left w:val="single" w:sz="4" w:space="0" w:color="auto"/>
              <w:bottom w:val="single" w:sz="4" w:space="0" w:color="auto"/>
              <w:right w:val="single" w:sz="4" w:space="0" w:color="auto"/>
            </w:tcBorders>
          </w:tcPr>
          <w:p w14:paraId="04E6DBEC" w14:textId="77777777" w:rsidR="00951F81" w:rsidRPr="006320B0" w:rsidRDefault="00951F81" w:rsidP="00840536">
            <w:pPr>
              <w:widowControl w:val="0"/>
              <w:suppressAutoHyphens/>
              <w:rPr>
                <w:rFonts w:eastAsia="MS Mincho"/>
                <w:bCs/>
                <w:u w:val="single"/>
              </w:rPr>
            </w:pPr>
            <w:r w:rsidRPr="006320B0">
              <w:rPr>
                <w:b/>
              </w:rPr>
              <w:t>Frequentiegroep</w:t>
            </w:r>
          </w:p>
        </w:tc>
        <w:tc>
          <w:tcPr>
            <w:tcW w:w="1952" w:type="pct"/>
            <w:tcBorders>
              <w:top w:val="single" w:sz="4" w:space="0" w:color="auto"/>
              <w:left w:val="single" w:sz="4" w:space="0" w:color="auto"/>
              <w:bottom w:val="single" w:sz="4" w:space="0" w:color="auto"/>
              <w:right w:val="single" w:sz="4" w:space="0" w:color="auto"/>
            </w:tcBorders>
          </w:tcPr>
          <w:p w14:paraId="278F8ED4" w14:textId="77777777" w:rsidR="00951F81" w:rsidRPr="006320B0" w:rsidRDefault="00951F81" w:rsidP="00840536">
            <w:pPr>
              <w:widowControl w:val="0"/>
              <w:suppressAutoHyphens/>
              <w:rPr>
                <w:rFonts w:eastAsia="MS Mincho"/>
                <w:b/>
                <w:bCs/>
              </w:rPr>
            </w:pPr>
            <w:r w:rsidRPr="006320B0">
              <w:rPr>
                <w:b/>
              </w:rPr>
              <w:t>Bijwerking</w:t>
            </w:r>
          </w:p>
        </w:tc>
      </w:tr>
      <w:tr w:rsidR="00951F81" w:rsidRPr="006320B0" w14:paraId="75024CB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55B3EA4" w14:textId="77777777" w:rsidR="00951F81" w:rsidRPr="006320B0" w:rsidRDefault="00951F81" w:rsidP="00840536">
            <w:pPr>
              <w:widowControl w:val="0"/>
              <w:suppressAutoHyphens/>
            </w:pPr>
            <w:r w:rsidRPr="006320B0">
              <w:t>Infecties en parasitaire aandoeningen</w:t>
            </w:r>
          </w:p>
        </w:tc>
        <w:tc>
          <w:tcPr>
            <w:tcW w:w="1393" w:type="pct"/>
            <w:tcBorders>
              <w:top w:val="single" w:sz="4" w:space="0" w:color="auto"/>
              <w:left w:val="single" w:sz="4" w:space="0" w:color="auto"/>
              <w:bottom w:val="nil"/>
              <w:right w:val="single" w:sz="4" w:space="0" w:color="auto"/>
            </w:tcBorders>
          </w:tcPr>
          <w:p w14:paraId="687EDD9C" w14:textId="77777777" w:rsidR="00951F81" w:rsidRPr="006320B0" w:rsidRDefault="00951F81" w:rsidP="00840536">
            <w:pPr>
              <w:widowControl w:val="0"/>
              <w:suppressAutoHyphens/>
            </w:pPr>
            <w:r w:rsidRPr="006320B0">
              <w:t>Vaak</w:t>
            </w:r>
          </w:p>
        </w:tc>
        <w:tc>
          <w:tcPr>
            <w:tcW w:w="1952" w:type="pct"/>
            <w:tcBorders>
              <w:top w:val="single" w:sz="4" w:space="0" w:color="auto"/>
              <w:left w:val="single" w:sz="4" w:space="0" w:color="auto"/>
              <w:bottom w:val="nil"/>
              <w:right w:val="single" w:sz="4" w:space="0" w:color="auto"/>
            </w:tcBorders>
          </w:tcPr>
          <w:p w14:paraId="6608A72D" w14:textId="77777777" w:rsidR="00951F81" w:rsidRPr="006320B0" w:rsidRDefault="00951F81" w:rsidP="00840536">
            <w:pPr>
              <w:widowControl w:val="0"/>
              <w:suppressAutoHyphens/>
            </w:pPr>
            <w:r w:rsidRPr="006320B0">
              <w:t>Infectie van de urinewegen</w:t>
            </w:r>
          </w:p>
        </w:tc>
      </w:tr>
      <w:tr w:rsidR="00951F81" w:rsidRPr="006320B0" w14:paraId="46499A82" w14:textId="77777777" w:rsidTr="00884E6E">
        <w:trPr>
          <w:cantSplit/>
          <w:trHeight w:val="57"/>
        </w:trPr>
        <w:tc>
          <w:tcPr>
            <w:tcW w:w="1655" w:type="pct"/>
            <w:vMerge/>
            <w:tcBorders>
              <w:left w:val="single" w:sz="4" w:space="0" w:color="auto"/>
              <w:right w:val="single" w:sz="4" w:space="0" w:color="auto"/>
            </w:tcBorders>
          </w:tcPr>
          <w:p w14:paraId="744569AF" w14:textId="77777777" w:rsidR="00951F81" w:rsidRPr="006320B0" w:rsidRDefault="00951F81" w:rsidP="00840536">
            <w:pPr>
              <w:widowControl w:val="0"/>
              <w:suppressAutoHyphens/>
            </w:pPr>
          </w:p>
        </w:tc>
        <w:tc>
          <w:tcPr>
            <w:tcW w:w="1393" w:type="pct"/>
            <w:tcBorders>
              <w:top w:val="nil"/>
              <w:left w:val="single" w:sz="4" w:space="0" w:color="auto"/>
              <w:bottom w:val="nil"/>
              <w:right w:val="single" w:sz="4" w:space="0" w:color="auto"/>
            </w:tcBorders>
          </w:tcPr>
          <w:p w14:paraId="25F445C1" w14:textId="77777777" w:rsidR="00951F81" w:rsidRPr="006320B0" w:rsidRDefault="00951F81" w:rsidP="00840536">
            <w:pPr>
              <w:widowControl w:val="0"/>
              <w:suppressAutoHyphens/>
            </w:pPr>
            <w:r w:rsidRPr="006320B0">
              <w:t>Vaak</w:t>
            </w:r>
          </w:p>
        </w:tc>
        <w:tc>
          <w:tcPr>
            <w:tcW w:w="1952" w:type="pct"/>
            <w:tcBorders>
              <w:top w:val="nil"/>
              <w:left w:val="single" w:sz="4" w:space="0" w:color="auto"/>
              <w:bottom w:val="nil"/>
              <w:right w:val="single" w:sz="4" w:space="0" w:color="auto"/>
            </w:tcBorders>
          </w:tcPr>
          <w:p w14:paraId="2724B53D" w14:textId="77777777" w:rsidR="00951F81" w:rsidRPr="006320B0" w:rsidRDefault="00951F81" w:rsidP="00840536">
            <w:pPr>
              <w:widowControl w:val="0"/>
              <w:suppressAutoHyphens/>
            </w:pPr>
            <w:r w:rsidRPr="006320B0">
              <w:t>Infectie van de bovenste luchtwegen</w:t>
            </w:r>
          </w:p>
        </w:tc>
      </w:tr>
      <w:tr w:rsidR="00951F81" w:rsidRPr="006320B0" w14:paraId="726888FF" w14:textId="77777777" w:rsidTr="00884E6E">
        <w:trPr>
          <w:cantSplit/>
          <w:trHeight w:val="57"/>
        </w:trPr>
        <w:tc>
          <w:tcPr>
            <w:tcW w:w="1655" w:type="pct"/>
            <w:vMerge/>
            <w:tcBorders>
              <w:left w:val="single" w:sz="4" w:space="0" w:color="auto"/>
              <w:right w:val="single" w:sz="4" w:space="0" w:color="auto"/>
            </w:tcBorders>
          </w:tcPr>
          <w:p w14:paraId="10B953A8" w14:textId="77777777" w:rsidR="00951F81" w:rsidRPr="006320B0" w:rsidRDefault="00951F81" w:rsidP="00840536">
            <w:pPr>
              <w:widowControl w:val="0"/>
              <w:suppressAutoHyphens/>
            </w:pPr>
          </w:p>
        </w:tc>
        <w:tc>
          <w:tcPr>
            <w:tcW w:w="1393" w:type="pct"/>
            <w:tcBorders>
              <w:top w:val="nil"/>
              <w:left w:val="single" w:sz="4" w:space="0" w:color="auto"/>
              <w:bottom w:val="nil"/>
              <w:right w:val="single" w:sz="4" w:space="0" w:color="auto"/>
            </w:tcBorders>
          </w:tcPr>
          <w:p w14:paraId="30CB131F" w14:textId="77777777" w:rsidR="00951F81" w:rsidRPr="006320B0" w:rsidRDefault="00951F81" w:rsidP="00840536">
            <w:pPr>
              <w:widowControl w:val="0"/>
              <w:suppressAutoHyphens/>
            </w:pPr>
            <w:r w:rsidRPr="006320B0">
              <w:t>Soms</w:t>
            </w:r>
          </w:p>
        </w:tc>
        <w:tc>
          <w:tcPr>
            <w:tcW w:w="1952" w:type="pct"/>
            <w:tcBorders>
              <w:top w:val="nil"/>
              <w:left w:val="single" w:sz="4" w:space="0" w:color="auto"/>
              <w:bottom w:val="nil"/>
              <w:right w:val="single" w:sz="4" w:space="0" w:color="auto"/>
            </w:tcBorders>
          </w:tcPr>
          <w:p w14:paraId="79A963DA" w14:textId="77777777" w:rsidR="00951F81" w:rsidRPr="006320B0" w:rsidRDefault="00951F81" w:rsidP="00840536">
            <w:pPr>
              <w:widowControl w:val="0"/>
              <w:suppressAutoHyphens/>
            </w:pPr>
            <w:r w:rsidRPr="006320B0">
              <w:t>Diverticulitis</w:t>
            </w:r>
            <w:r w:rsidRPr="006320B0">
              <w:rPr>
                <w:vertAlign w:val="superscript"/>
              </w:rPr>
              <w:t>1</w:t>
            </w:r>
          </w:p>
        </w:tc>
      </w:tr>
      <w:tr w:rsidR="00951F81" w:rsidRPr="006320B0" w14:paraId="582125C5" w14:textId="77777777" w:rsidTr="00884E6E">
        <w:trPr>
          <w:cantSplit/>
          <w:trHeight w:val="57"/>
        </w:trPr>
        <w:tc>
          <w:tcPr>
            <w:tcW w:w="1655" w:type="pct"/>
            <w:vMerge/>
            <w:tcBorders>
              <w:left w:val="single" w:sz="4" w:space="0" w:color="auto"/>
              <w:right w:val="single" w:sz="4" w:space="0" w:color="auto"/>
            </w:tcBorders>
          </w:tcPr>
          <w:p w14:paraId="2F5C8092" w14:textId="77777777" w:rsidR="00951F81" w:rsidRPr="006320B0" w:rsidRDefault="00951F81" w:rsidP="00840536">
            <w:pPr>
              <w:widowControl w:val="0"/>
              <w:suppressAutoHyphens/>
            </w:pPr>
          </w:p>
        </w:tc>
        <w:tc>
          <w:tcPr>
            <w:tcW w:w="1393" w:type="pct"/>
            <w:tcBorders>
              <w:top w:val="nil"/>
              <w:left w:val="single" w:sz="4" w:space="0" w:color="auto"/>
              <w:bottom w:val="nil"/>
              <w:right w:val="single" w:sz="4" w:space="0" w:color="auto"/>
            </w:tcBorders>
          </w:tcPr>
          <w:p w14:paraId="0ABD241A" w14:textId="77777777" w:rsidR="00951F81" w:rsidRPr="006320B0" w:rsidRDefault="00951F81" w:rsidP="00840536">
            <w:pPr>
              <w:widowControl w:val="0"/>
              <w:suppressAutoHyphens/>
            </w:pPr>
            <w:r w:rsidRPr="006320B0">
              <w:t>Soms</w:t>
            </w:r>
          </w:p>
        </w:tc>
        <w:tc>
          <w:tcPr>
            <w:tcW w:w="1952" w:type="pct"/>
            <w:tcBorders>
              <w:top w:val="nil"/>
              <w:left w:val="single" w:sz="4" w:space="0" w:color="auto"/>
              <w:bottom w:val="nil"/>
              <w:right w:val="single" w:sz="4" w:space="0" w:color="auto"/>
            </w:tcBorders>
          </w:tcPr>
          <w:p w14:paraId="151EC2BA" w14:textId="77777777" w:rsidR="00951F81" w:rsidRPr="006320B0" w:rsidRDefault="00951F81" w:rsidP="00840536">
            <w:pPr>
              <w:widowControl w:val="0"/>
              <w:suppressAutoHyphens/>
            </w:pPr>
            <w:r w:rsidRPr="006320B0">
              <w:t>Cellulitis</w:t>
            </w:r>
            <w:r w:rsidRPr="006320B0">
              <w:rPr>
                <w:vertAlign w:val="superscript"/>
              </w:rPr>
              <w:t>1</w:t>
            </w:r>
          </w:p>
        </w:tc>
      </w:tr>
      <w:tr w:rsidR="00951F81" w:rsidRPr="006320B0" w14:paraId="3265694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0AB2EC5B" w14:textId="77777777" w:rsidR="00951F81" w:rsidRPr="006320B0" w:rsidRDefault="00951F81" w:rsidP="00840536">
            <w:pPr>
              <w:widowControl w:val="0"/>
              <w:suppressAutoHyphens/>
            </w:pPr>
          </w:p>
        </w:tc>
        <w:tc>
          <w:tcPr>
            <w:tcW w:w="1393" w:type="pct"/>
            <w:tcBorders>
              <w:top w:val="nil"/>
              <w:left w:val="single" w:sz="4" w:space="0" w:color="auto"/>
              <w:bottom w:val="single" w:sz="4" w:space="0" w:color="auto"/>
              <w:right w:val="single" w:sz="4" w:space="0" w:color="auto"/>
            </w:tcBorders>
          </w:tcPr>
          <w:p w14:paraId="0D222738" w14:textId="77777777" w:rsidR="00951F81" w:rsidRPr="006320B0" w:rsidRDefault="00951F81" w:rsidP="00840536">
            <w:pPr>
              <w:widowControl w:val="0"/>
              <w:suppressAutoHyphens/>
            </w:pPr>
            <w:r w:rsidRPr="006320B0">
              <w:t>Soms</w:t>
            </w:r>
          </w:p>
        </w:tc>
        <w:tc>
          <w:tcPr>
            <w:tcW w:w="1952" w:type="pct"/>
            <w:tcBorders>
              <w:top w:val="nil"/>
              <w:left w:val="single" w:sz="4" w:space="0" w:color="auto"/>
              <w:bottom w:val="single" w:sz="4" w:space="0" w:color="auto"/>
              <w:right w:val="single" w:sz="4" w:space="0" w:color="auto"/>
            </w:tcBorders>
          </w:tcPr>
          <w:p w14:paraId="72473FBF" w14:textId="77777777" w:rsidR="00951F81" w:rsidRPr="006320B0" w:rsidRDefault="00951F81" w:rsidP="00840536">
            <w:pPr>
              <w:widowControl w:val="0"/>
              <w:suppressAutoHyphens/>
            </w:pPr>
            <w:r w:rsidRPr="006320B0">
              <w:t>Oorinfectie</w:t>
            </w:r>
          </w:p>
        </w:tc>
      </w:tr>
      <w:tr w:rsidR="00951F81" w:rsidRPr="006320B0" w14:paraId="260EA276"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77841850" w14:textId="77777777" w:rsidR="00951F81" w:rsidRPr="006320B0" w:rsidRDefault="00951F81" w:rsidP="00840536">
            <w:pPr>
              <w:widowControl w:val="0"/>
              <w:suppressAutoHyphens/>
            </w:pPr>
            <w:r w:rsidRPr="006320B0">
              <w:t>Immuunsysteemaandoeningen</w:t>
            </w:r>
          </w:p>
        </w:tc>
        <w:tc>
          <w:tcPr>
            <w:tcW w:w="1393" w:type="pct"/>
            <w:tcBorders>
              <w:top w:val="single" w:sz="4" w:space="0" w:color="auto"/>
              <w:left w:val="single" w:sz="4" w:space="0" w:color="auto"/>
              <w:bottom w:val="nil"/>
              <w:right w:val="single" w:sz="4" w:space="0" w:color="auto"/>
            </w:tcBorders>
          </w:tcPr>
          <w:p w14:paraId="21A5A143" w14:textId="77777777" w:rsidR="00951F81" w:rsidRPr="006320B0" w:rsidRDefault="00951F81" w:rsidP="00840536">
            <w:pPr>
              <w:widowControl w:val="0"/>
              <w:suppressAutoHyphens/>
            </w:pPr>
            <w:r w:rsidRPr="006320B0">
              <w:t>Zelden</w:t>
            </w:r>
          </w:p>
        </w:tc>
        <w:tc>
          <w:tcPr>
            <w:tcW w:w="1952" w:type="pct"/>
            <w:tcBorders>
              <w:top w:val="single" w:sz="4" w:space="0" w:color="auto"/>
              <w:left w:val="single" w:sz="4" w:space="0" w:color="auto"/>
              <w:bottom w:val="nil"/>
              <w:right w:val="single" w:sz="4" w:space="0" w:color="auto"/>
            </w:tcBorders>
          </w:tcPr>
          <w:p w14:paraId="6A2845E7" w14:textId="77777777" w:rsidR="00951F81" w:rsidRPr="006320B0" w:rsidRDefault="00951F81" w:rsidP="00840536">
            <w:pPr>
              <w:widowControl w:val="0"/>
              <w:suppressAutoHyphens/>
            </w:pPr>
            <w:r w:rsidRPr="006320B0">
              <w:t>Geneesmiddelovergevoeligheid</w:t>
            </w:r>
            <w:r w:rsidRPr="006320B0">
              <w:rPr>
                <w:vertAlign w:val="superscript"/>
              </w:rPr>
              <w:t>1</w:t>
            </w:r>
          </w:p>
        </w:tc>
      </w:tr>
      <w:tr w:rsidR="00951F81" w:rsidRPr="006320B0" w14:paraId="15F892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1A7B3FCB" w14:textId="77777777" w:rsidR="00951F81" w:rsidRPr="006320B0" w:rsidRDefault="00951F81" w:rsidP="00840536">
            <w:pPr>
              <w:widowControl w:val="0"/>
              <w:suppressAutoHyphens/>
            </w:pPr>
          </w:p>
        </w:tc>
        <w:tc>
          <w:tcPr>
            <w:tcW w:w="1393" w:type="pct"/>
            <w:tcBorders>
              <w:top w:val="nil"/>
              <w:left w:val="single" w:sz="4" w:space="0" w:color="auto"/>
              <w:bottom w:val="single" w:sz="4" w:space="0" w:color="auto"/>
              <w:right w:val="single" w:sz="4" w:space="0" w:color="auto"/>
            </w:tcBorders>
          </w:tcPr>
          <w:p w14:paraId="054B07B2" w14:textId="77777777" w:rsidR="00951F81" w:rsidRPr="006320B0" w:rsidRDefault="00951F81" w:rsidP="00840536">
            <w:pPr>
              <w:widowControl w:val="0"/>
              <w:suppressAutoHyphens/>
            </w:pPr>
            <w:r w:rsidRPr="006320B0">
              <w:t>Zelden</w:t>
            </w:r>
          </w:p>
        </w:tc>
        <w:tc>
          <w:tcPr>
            <w:tcW w:w="1952" w:type="pct"/>
            <w:tcBorders>
              <w:top w:val="nil"/>
              <w:left w:val="single" w:sz="4" w:space="0" w:color="auto"/>
              <w:bottom w:val="single" w:sz="4" w:space="0" w:color="auto"/>
              <w:right w:val="single" w:sz="4" w:space="0" w:color="auto"/>
            </w:tcBorders>
          </w:tcPr>
          <w:p w14:paraId="2A72ECF1" w14:textId="77777777" w:rsidR="00951F81" w:rsidRPr="006320B0" w:rsidRDefault="00951F81" w:rsidP="00840536">
            <w:pPr>
              <w:widowControl w:val="0"/>
              <w:suppressAutoHyphens/>
            </w:pPr>
            <w:r w:rsidRPr="006320B0">
              <w:t>Anafylactische reactie</w:t>
            </w:r>
            <w:r w:rsidRPr="006320B0">
              <w:rPr>
                <w:vertAlign w:val="superscript"/>
              </w:rPr>
              <w:t>1</w:t>
            </w:r>
          </w:p>
        </w:tc>
      </w:tr>
      <w:tr w:rsidR="00951F81" w:rsidRPr="006320B0" w14:paraId="4E7C5B16"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7C1EAD83" w14:textId="77777777" w:rsidR="00951F81" w:rsidRPr="006320B0" w:rsidRDefault="00951F81" w:rsidP="00840536">
            <w:pPr>
              <w:widowControl w:val="0"/>
              <w:suppressAutoHyphens/>
            </w:pPr>
            <w:r w:rsidRPr="006320B0">
              <w:t>Voedings- en stofwisselingsstoornissen</w:t>
            </w:r>
          </w:p>
        </w:tc>
        <w:tc>
          <w:tcPr>
            <w:tcW w:w="1393" w:type="pct"/>
            <w:tcBorders>
              <w:top w:val="single" w:sz="4" w:space="0" w:color="auto"/>
              <w:left w:val="single" w:sz="4" w:space="0" w:color="auto"/>
              <w:bottom w:val="single" w:sz="4" w:space="0" w:color="auto"/>
              <w:right w:val="single" w:sz="4" w:space="0" w:color="auto"/>
            </w:tcBorders>
          </w:tcPr>
          <w:p w14:paraId="3FF3782C" w14:textId="77777777" w:rsidR="00951F81" w:rsidRPr="006320B0" w:rsidRDefault="00951F81" w:rsidP="00840536">
            <w:pPr>
              <w:widowControl w:val="0"/>
              <w:suppressAutoHyphens/>
            </w:pPr>
            <w:r w:rsidRPr="006320B0">
              <w:t>Zelden</w:t>
            </w:r>
          </w:p>
        </w:tc>
        <w:tc>
          <w:tcPr>
            <w:tcW w:w="1952" w:type="pct"/>
            <w:tcBorders>
              <w:top w:val="single" w:sz="4" w:space="0" w:color="auto"/>
              <w:left w:val="single" w:sz="4" w:space="0" w:color="auto"/>
              <w:bottom w:val="single" w:sz="4" w:space="0" w:color="auto"/>
              <w:right w:val="single" w:sz="4" w:space="0" w:color="auto"/>
            </w:tcBorders>
          </w:tcPr>
          <w:p w14:paraId="7A55F3F1" w14:textId="77777777" w:rsidR="00951F81" w:rsidRPr="006320B0" w:rsidRDefault="00951F81" w:rsidP="00840536">
            <w:pPr>
              <w:widowControl w:val="0"/>
              <w:suppressAutoHyphens/>
            </w:pPr>
            <w:r w:rsidRPr="006320B0">
              <w:t>Hypocalciëmie</w:t>
            </w:r>
            <w:r w:rsidRPr="006320B0">
              <w:rPr>
                <w:vertAlign w:val="superscript"/>
              </w:rPr>
              <w:t>1</w:t>
            </w:r>
          </w:p>
        </w:tc>
      </w:tr>
      <w:tr w:rsidR="00951F81" w:rsidRPr="006320B0" w14:paraId="00985113"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13BF429F" w14:textId="77777777" w:rsidR="00951F81" w:rsidRPr="006320B0" w:rsidRDefault="00951F81" w:rsidP="00840536">
            <w:pPr>
              <w:widowControl w:val="0"/>
              <w:suppressAutoHyphens/>
            </w:pPr>
            <w:r w:rsidRPr="006320B0">
              <w:t>Zenuwstelselaandoeningen</w:t>
            </w:r>
          </w:p>
        </w:tc>
        <w:tc>
          <w:tcPr>
            <w:tcW w:w="1393" w:type="pct"/>
            <w:tcBorders>
              <w:top w:val="single" w:sz="4" w:space="0" w:color="auto"/>
              <w:left w:val="single" w:sz="4" w:space="0" w:color="auto"/>
              <w:bottom w:val="single" w:sz="4" w:space="0" w:color="auto"/>
              <w:right w:val="single" w:sz="4" w:space="0" w:color="auto"/>
            </w:tcBorders>
          </w:tcPr>
          <w:p w14:paraId="2B6B8942" w14:textId="77777777" w:rsidR="00951F81" w:rsidRPr="006320B0" w:rsidRDefault="00951F81" w:rsidP="00840536">
            <w:pPr>
              <w:widowControl w:val="0"/>
              <w:suppressAutoHyphens/>
            </w:pPr>
            <w:r w:rsidRPr="006320B0">
              <w:t>Vaak</w:t>
            </w:r>
          </w:p>
        </w:tc>
        <w:tc>
          <w:tcPr>
            <w:tcW w:w="1952" w:type="pct"/>
            <w:tcBorders>
              <w:top w:val="single" w:sz="4" w:space="0" w:color="auto"/>
              <w:left w:val="single" w:sz="4" w:space="0" w:color="auto"/>
              <w:bottom w:val="single" w:sz="4" w:space="0" w:color="auto"/>
              <w:right w:val="single" w:sz="4" w:space="0" w:color="auto"/>
            </w:tcBorders>
          </w:tcPr>
          <w:p w14:paraId="577D64FE" w14:textId="77777777" w:rsidR="00951F81" w:rsidRPr="006320B0" w:rsidRDefault="00951F81" w:rsidP="00840536">
            <w:pPr>
              <w:widowControl w:val="0"/>
              <w:suppressAutoHyphens/>
            </w:pPr>
            <w:r w:rsidRPr="006320B0">
              <w:t>Ischias</w:t>
            </w:r>
          </w:p>
        </w:tc>
      </w:tr>
      <w:tr w:rsidR="00951F81" w:rsidRPr="006320B0" w14:paraId="766C33CF"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6E6AEF7C" w14:textId="77777777" w:rsidR="00951F81" w:rsidRPr="006320B0" w:rsidRDefault="00951F81" w:rsidP="00840536">
            <w:pPr>
              <w:widowControl w:val="0"/>
              <w:suppressAutoHyphens/>
            </w:pPr>
            <w:r w:rsidRPr="006320B0">
              <w:t>Maagdarmstelselaandoeningen</w:t>
            </w:r>
          </w:p>
        </w:tc>
        <w:tc>
          <w:tcPr>
            <w:tcW w:w="1393" w:type="pct"/>
            <w:tcBorders>
              <w:top w:val="single" w:sz="4" w:space="0" w:color="auto"/>
              <w:left w:val="single" w:sz="4" w:space="0" w:color="auto"/>
              <w:bottom w:val="nil"/>
              <w:right w:val="single" w:sz="4" w:space="0" w:color="auto"/>
            </w:tcBorders>
          </w:tcPr>
          <w:p w14:paraId="177260FC" w14:textId="77777777" w:rsidR="00951F81" w:rsidRPr="006320B0" w:rsidRDefault="00951F81" w:rsidP="00840536">
            <w:pPr>
              <w:widowControl w:val="0"/>
              <w:suppressAutoHyphens/>
            </w:pPr>
            <w:r w:rsidRPr="006320B0">
              <w:t>Vaak</w:t>
            </w:r>
          </w:p>
        </w:tc>
        <w:tc>
          <w:tcPr>
            <w:tcW w:w="1952" w:type="pct"/>
            <w:tcBorders>
              <w:top w:val="single" w:sz="4" w:space="0" w:color="auto"/>
              <w:left w:val="single" w:sz="4" w:space="0" w:color="auto"/>
              <w:bottom w:val="nil"/>
              <w:right w:val="single" w:sz="4" w:space="0" w:color="auto"/>
            </w:tcBorders>
          </w:tcPr>
          <w:p w14:paraId="19FF6902" w14:textId="77777777" w:rsidR="00951F81" w:rsidRPr="006320B0" w:rsidRDefault="00951F81" w:rsidP="00840536">
            <w:pPr>
              <w:widowControl w:val="0"/>
              <w:suppressAutoHyphens/>
            </w:pPr>
            <w:r w:rsidRPr="006320B0">
              <w:t>Obstipatie</w:t>
            </w:r>
          </w:p>
        </w:tc>
      </w:tr>
      <w:tr w:rsidR="00951F81" w:rsidRPr="006320B0" w14:paraId="6CE110FE"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300C9458" w14:textId="77777777" w:rsidR="00951F81" w:rsidRPr="006320B0" w:rsidRDefault="00951F81" w:rsidP="00840536">
            <w:pPr>
              <w:widowControl w:val="0"/>
              <w:suppressAutoHyphens/>
            </w:pPr>
          </w:p>
        </w:tc>
        <w:tc>
          <w:tcPr>
            <w:tcW w:w="1393" w:type="pct"/>
            <w:tcBorders>
              <w:top w:val="nil"/>
              <w:left w:val="single" w:sz="4" w:space="0" w:color="auto"/>
              <w:bottom w:val="single" w:sz="4" w:space="0" w:color="auto"/>
              <w:right w:val="single" w:sz="4" w:space="0" w:color="auto"/>
            </w:tcBorders>
          </w:tcPr>
          <w:p w14:paraId="6DA3CF74" w14:textId="77777777" w:rsidR="00951F81" w:rsidRPr="006320B0" w:rsidRDefault="00951F81" w:rsidP="00840536">
            <w:pPr>
              <w:widowControl w:val="0"/>
              <w:suppressAutoHyphens/>
            </w:pPr>
            <w:r w:rsidRPr="006320B0">
              <w:t>Vaak</w:t>
            </w:r>
          </w:p>
        </w:tc>
        <w:tc>
          <w:tcPr>
            <w:tcW w:w="1952" w:type="pct"/>
            <w:tcBorders>
              <w:top w:val="nil"/>
              <w:left w:val="single" w:sz="4" w:space="0" w:color="auto"/>
              <w:bottom w:val="single" w:sz="4" w:space="0" w:color="auto"/>
              <w:right w:val="single" w:sz="4" w:space="0" w:color="auto"/>
            </w:tcBorders>
          </w:tcPr>
          <w:p w14:paraId="405A8D07" w14:textId="77777777" w:rsidR="00951F81" w:rsidRPr="006320B0" w:rsidRDefault="00951F81" w:rsidP="00840536">
            <w:pPr>
              <w:widowControl w:val="0"/>
              <w:suppressAutoHyphens/>
            </w:pPr>
            <w:r w:rsidRPr="006320B0">
              <w:t>Buikklachten</w:t>
            </w:r>
          </w:p>
        </w:tc>
      </w:tr>
      <w:tr w:rsidR="00951F81" w:rsidRPr="006320B0" w14:paraId="48EAA8A4"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155DD1B" w14:textId="77777777" w:rsidR="00951F81" w:rsidRPr="006320B0" w:rsidRDefault="00951F81" w:rsidP="00840536">
            <w:pPr>
              <w:widowControl w:val="0"/>
              <w:suppressAutoHyphens/>
            </w:pPr>
            <w:r w:rsidRPr="006320B0">
              <w:t>Huid- en onderhuidaandoeningen</w:t>
            </w:r>
          </w:p>
        </w:tc>
        <w:tc>
          <w:tcPr>
            <w:tcW w:w="1393" w:type="pct"/>
            <w:tcBorders>
              <w:top w:val="single" w:sz="4" w:space="0" w:color="auto"/>
              <w:left w:val="single" w:sz="4" w:space="0" w:color="auto"/>
              <w:bottom w:val="nil"/>
              <w:right w:val="single" w:sz="4" w:space="0" w:color="auto"/>
            </w:tcBorders>
          </w:tcPr>
          <w:p w14:paraId="26101FF7" w14:textId="77777777" w:rsidR="00951F81" w:rsidRPr="006320B0" w:rsidRDefault="00951F81" w:rsidP="00840536">
            <w:pPr>
              <w:widowControl w:val="0"/>
              <w:suppressAutoHyphens/>
            </w:pPr>
            <w:r w:rsidRPr="006320B0">
              <w:t>Vaak</w:t>
            </w:r>
          </w:p>
        </w:tc>
        <w:tc>
          <w:tcPr>
            <w:tcW w:w="1952" w:type="pct"/>
            <w:tcBorders>
              <w:top w:val="single" w:sz="4" w:space="0" w:color="auto"/>
              <w:left w:val="single" w:sz="4" w:space="0" w:color="auto"/>
              <w:bottom w:val="nil"/>
              <w:right w:val="single" w:sz="4" w:space="0" w:color="auto"/>
            </w:tcBorders>
          </w:tcPr>
          <w:p w14:paraId="53A70153" w14:textId="77777777" w:rsidR="00951F81" w:rsidRPr="006320B0" w:rsidRDefault="00951F81" w:rsidP="00840536">
            <w:pPr>
              <w:widowControl w:val="0"/>
              <w:suppressAutoHyphens/>
            </w:pPr>
            <w:r w:rsidRPr="006320B0">
              <w:t>Huiduitslag</w:t>
            </w:r>
          </w:p>
        </w:tc>
      </w:tr>
      <w:tr w:rsidR="00951F81" w:rsidRPr="006320B0" w14:paraId="51AC380E" w14:textId="77777777" w:rsidTr="00884E6E">
        <w:trPr>
          <w:cantSplit/>
          <w:trHeight w:val="57"/>
        </w:trPr>
        <w:tc>
          <w:tcPr>
            <w:tcW w:w="1655" w:type="pct"/>
            <w:vMerge/>
            <w:tcBorders>
              <w:left w:val="single" w:sz="4" w:space="0" w:color="auto"/>
              <w:right w:val="single" w:sz="4" w:space="0" w:color="auto"/>
            </w:tcBorders>
          </w:tcPr>
          <w:p w14:paraId="6D546D19" w14:textId="77777777" w:rsidR="00951F81" w:rsidRPr="006320B0" w:rsidRDefault="00951F81" w:rsidP="00840536">
            <w:pPr>
              <w:widowControl w:val="0"/>
              <w:suppressAutoHyphens/>
            </w:pPr>
          </w:p>
        </w:tc>
        <w:tc>
          <w:tcPr>
            <w:tcW w:w="1393" w:type="pct"/>
            <w:tcBorders>
              <w:top w:val="nil"/>
              <w:left w:val="single" w:sz="4" w:space="0" w:color="auto"/>
              <w:bottom w:val="nil"/>
              <w:right w:val="single" w:sz="4" w:space="0" w:color="auto"/>
            </w:tcBorders>
          </w:tcPr>
          <w:p w14:paraId="5AEA49E6" w14:textId="77777777" w:rsidR="00951F81" w:rsidRPr="006320B0" w:rsidRDefault="00951F81" w:rsidP="00840536">
            <w:pPr>
              <w:widowControl w:val="0"/>
              <w:suppressAutoHyphens/>
            </w:pPr>
            <w:r w:rsidRPr="006320B0">
              <w:t>Vaak</w:t>
            </w:r>
          </w:p>
        </w:tc>
        <w:tc>
          <w:tcPr>
            <w:tcW w:w="1952" w:type="pct"/>
            <w:tcBorders>
              <w:top w:val="nil"/>
              <w:left w:val="single" w:sz="4" w:space="0" w:color="auto"/>
              <w:bottom w:val="nil"/>
              <w:right w:val="single" w:sz="4" w:space="0" w:color="auto"/>
            </w:tcBorders>
          </w:tcPr>
          <w:p w14:paraId="6921D318" w14:textId="77777777" w:rsidR="00951F81" w:rsidRPr="006320B0" w:rsidRDefault="00951F81" w:rsidP="00840536">
            <w:pPr>
              <w:widowControl w:val="0"/>
              <w:suppressAutoHyphens/>
            </w:pPr>
            <w:r w:rsidRPr="006320B0">
              <w:t>Eczeem</w:t>
            </w:r>
          </w:p>
        </w:tc>
      </w:tr>
      <w:tr w:rsidR="00951F81" w:rsidRPr="006320B0" w14:paraId="77341C9F" w14:textId="77777777" w:rsidTr="00884E6E">
        <w:trPr>
          <w:cantSplit/>
          <w:trHeight w:val="57"/>
        </w:trPr>
        <w:tc>
          <w:tcPr>
            <w:tcW w:w="1655" w:type="pct"/>
            <w:vMerge/>
            <w:tcBorders>
              <w:left w:val="single" w:sz="4" w:space="0" w:color="auto"/>
              <w:right w:val="single" w:sz="4" w:space="0" w:color="auto"/>
            </w:tcBorders>
          </w:tcPr>
          <w:p w14:paraId="56EF3FFC" w14:textId="77777777" w:rsidR="00951F81" w:rsidRPr="006320B0" w:rsidRDefault="00951F81" w:rsidP="00840536">
            <w:pPr>
              <w:widowControl w:val="0"/>
              <w:suppressAutoHyphens/>
            </w:pPr>
          </w:p>
        </w:tc>
        <w:tc>
          <w:tcPr>
            <w:tcW w:w="1393" w:type="pct"/>
            <w:tcBorders>
              <w:top w:val="nil"/>
              <w:left w:val="single" w:sz="4" w:space="0" w:color="auto"/>
              <w:bottom w:val="nil"/>
              <w:right w:val="single" w:sz="4" w:space="0" w:color="auto"/>
            </w:tcBorders>
          </w:tcPr>
          <w:p w14:paraId="33768AA7" w14:textId="77777777" w:rsidR="00951F81" w:rsidRPr="006320B0" w:rsidRDefault="00951F81" w:rsidP="00840536">
            <w:pPr>
              <w:widowControl w:val="0"/>
              <w:suppressAutoHyphens/>
            </w:pPr>
            <w:r w:rsidRPr="006320B0">
              <w:t>Vaak</w:t>
            </w:r>
          </w:p>
        </w:tc>
        <w:tc>
          <w:tcPr>
            <w:tcW w:w="1952" w:type="pct"/>
            <w:tcBorders>
              <w:top w:val="nil"/>
              <w:left w:val="single" w:sz="4" w:space="0" w:color="auto"/>
              <w:bottom w:val="nil"/>
              <w:right w:val="single" w:sz="4" w:space="0" w:color="auto"/>
            </w:tcBorders>
          </w:tcPr>
          <w:p w14:paraId="65B1F5EB" w14:textId="77777777" w:rsidR="00951F81" w:rsidRPr="006320B0" w:rsidRDefault="00951F81" w:rsidP="00840536">
            <w:pPr>
              <w:widowControl w:val="0"/>
              <w:suppressAutoHyphens/>
            </w:pPr>
            <w:r w:rsidRPr="006320B0">
              <w:t>Alopecia</w:t>
            </w:r>
          </w:p>
        </w:tc>
      </w:tr>
      <w:tr w:rsidR="00951F81" w:rsidRPr="006320B0" w14:paraId="5E8640F7" w14:textId="77777777" w:rsidTr="00884E6E">
        <w:trPr>
          <w:cantSplit/>
          <w:trHeight w:val="57"/>
        </w:trPr>
        <w:tc>
          <w:tcPr>
            <w:tcW w:w="1655" w:type="pct"/>
            <w:vMerge/>
            <w:tcBorders>
              <w:left w:val="single" w:sz="4" w:space="0" w:color="auto"/>
              <w:right w:val="single" w:sz="4" w:space="0" w:color="auto"/>
            </w:tcBorders>
          </w:tcPr>
          <w:p w14:paraId="253B0151" w14:textId="77777777" w:rsidR="00951F81" w:rsidRPr="006320B0" w:rsidRDefault="00951F81" w:rsidP="00840536">
            <w:pPr>
              <w:widowControl w:val="0"/>
              <w:suppressAutoHyphens/>
            </w:pPr>
          </w:p>
        </w:tc>
        <w:tc>
          <w:tcPr>
            <w:tcW w:w="1393" w:type="pct"/>
            <w:tcBorders>
              <w:top w:val="nil"/>
              <w:left w:val="single" w:sz="4" w:space="0" w:color="auto"/>
              <w:bottom w:val="nil"/>
              <w:right w:val="single" w:sz="4" w:space="0" w:color="auto"/>
            </w:tcBorders>
          </w:tcPr>
          <w:p w14:paraId="63AE3626" w14:textId="77777777" w:rsidR="00951F81" w:rsidRPr="006320B0" w:rsidRDefault="00951F81" w:rsidP="00840536">
            <w:pPr>
              <w:widowControl w:val="0"/>
              <w:suppressAutoHyphens/>
            </w:pPr>
            <w:r w:rsidRPr="006320B0">
              <w:t>Soms</w:t>
            </w:r>
          </w:p>
        </w:tc>
        <w:tc>
          <w:tcPr>
            <w:tcW w:w="1952" w:type="pct"/>
            <w:tcBorders>
              <w:top w:val="nil"/>
              <w:left w:val="single" w:sz="4" w:space="0" w:color="auto"/>
              <w:bottom w:val="nil"/>
              <w:right w:val="single" w:sz="4" w:space="0" w:color="auto"/>
            </w:tcBorders>
          </w:tcPr>
          <w:p w14:paraId="2D6032B6" w14:textId="77777777" w:rsidR="00951F81" w:rsidRPr="006320B0" w:rsidRDefault="00951F81" w:rsidP="00840536">
            <w:pPr>
              <w:widowControl w:val="0"/>
              <w:suppressAutoHyphens/>
            </w:pPr>
            <w:r w:rsidRPr="006320B0">
              <w:t>Lichenoïde reacties door medicijngebruik</w:t>
            </w:r>
            <w:r w:rsidRPr="006320B0">
              <w:rPr>
                <w:vertAlign w:val="superscript"/>
              </w:rPr>
              <w:t>1</w:t>
            </w:r>
          </w:p>
        </w:tc>
      </w:tr>
      <w:tr w:rsidR="00951F81" w:rsidRPr="006320B0" w14:paraId="69734E70" w14:textId="77777777" w:rsidTr="00884E6E">
        <w:trPr>
          <w:cantSplit/>
          <w:trHeight w:val="57"/>
        </w:trPr>
        <w:tc>
          <w:tcPr>
            <w:tcW w:w="1655" w:type="pct"/>
            <w:vMerge/>
            <w:tcBorders>
              <w:left w:val="single" w:sz="4" w:space="0" w:color="auto"/>
              <w:right w:val="single" w:sz="4" w:space="0" w:color="auto"/>
            </w:tcBorders>
          </w:tcPr>
          <w:p w14:paraId="5F771D31" w14:textId="77777777" w:rsidR="00951F81" w:rsidRPr="006320B0" w:rsidRDefault="00951F81" w:rsidP="00840536">
            <w:pPr>
              <w:widowControl w:val="0"/>
              <w:suppressAutoHyphens/>
            </w:pPr>
          </w:p>
        </w:tc>
        <w:tc>
          <w:tcPr>
            <w:tcW w:w="1393" w:type="pct"/>
            <w:tcBorders>
              <w:top w:val="nil"/>
              <w:left w:val="single" w:sz="4" w:space="0" w:color="auto"/>
              <w:bottom w:val="single" w:sz="4" w:space="0" w:color="auto"/>
              <w:right w:val="single" w:sz="4" w:space="0" w:color="auto"/>
            </w:tcBorders>
          </w:tcPr>
          <w:p w14:paraId="77A7DC5B" w14:textId="77777777" w:rsidR="00951F81" w:rsidRPr="006320B0" w:rsidRDefault="00951F81" w:rsidP="00840536">
            <w:pPr>
              <w:widowControl w:val="0"/>
              <w:suppressAutoHyphens/>
            </w:pPr>
            <w:r w:rsidRPr="006320B0">
              <w:t>Zeer zelden</w:t>
            </w:r>
          </w:p>
        </w:tc>
        <w:tc>
          <w:tcPr>
            <w:tcW w:w="1952" w:type="pct"/>
            <w:tcBorders>
              <w:top w:val="nil"/>
              <w:left w:val="single" w:sz="4" w:space="0" w:color="auto"/>
              <w:bottom w:val="single" w:sz="4" w:space="0" w:color="auto"/>
              <w:right w:val="single" w:sz="4" w:space="0" w:color="auto"/>
            </w:tcBorders>
          </w:tcPr>
          <w:p w14:paraId="7DBD7D0D" w14:textId="77777777" w:rsidR="00951F81" w:rsidRPr="006320B0" w:rsidRDefault="00951F81" w:rsidP="00840536">
            <w:pPr>
              <w:widowControl w:val="0"/>
              <w:suppressAutoHyphens/>
            </w:pPr>
            <w:r w:rsidRPr="006320B0">
              <w:t>Overgevoeligheidsvasculitis</w:t>
            </w:r>
          </w:p>
        </w:tc>
      </w:tr>
      <w:tr w:rsidR="00951F81" w:rsidRPr="006320B0" w14:paraId="27D3980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794FC20" w14:textId="77777777" w:rsidR="00951F81" w:rsidRPr="006320B0" w:rsidRDefault="00951F81" w:rsidP="00840536">
            <w:pPr>
              <w:widowControl w:val="0"/>
              <w:suppressAutoHyphens/>
            </w:pPr>
            <w:r w:rsidRPr="006320B0">
              <w:t>Skeletspierstelsel- en bindweefselaandoeningen</w:t>
            </w:r>
          </w:p>
        </w:tc>
        <w:tc>
          <w:tcPr>
            <w:tcW w:w="1393" w:type="pct"/>
            <w:tcBorders>
              <w:top w:val="single" w:sz="4" w:space="0" w:color="auto"/>
              <w:left w:val="single" w:sz="4" w:space="0" w:color="auto"/>
              <w:bottom w:val="nil"/>
              <w:right w:val="single" w:sz="4" w:space="0" w:color="auto"/>
            </w:tcBorders>
          </w:tcPr>
          <w:p w14:paraId="79991E81" w14:textId="77777777" w:rsidR="00951F81" w:rsidRPr="006320B0" w:rsidRDefault="00951F81" w:rsidP="00840536">
            <w:pPr>
              <w:widowControl w:val="0"/>
              <w:suppressAutoHyphens/>
            </w:pPr>
            <w:r w:rsidRPr="006320B0">
              <w:t>Zeer vaak</w:t>
            </w:r>
          </w:p>
        </w:tc>
        <w:tc>
          <w:tcPr>
            <w:tcW w:w="1952" w:type="pct"/>
            <w:tcBorders>
              <w:top w:val="single" w:sz="4" w:space="0" w:color="auto"/>
              <w:left w:val="single" w:sz="4" w:space="0" w:color="auto"/>
              <w:bottom w:val="nil"/>
              <w:right w:val="single" w:sz="4" w:space="0" w:color="auto"/>
            </w:tcBorders>
          </w:tcPr>
          <w:p w14:paraId="023434A0" w14:textId="77777777" w:rsidR="00951F81" w:rsidRPr="006320B0" w:rsidRDefault="00951F81" w:rsidP="00840536">
            <w:pPr>
              <w:widowControl w:val="0"/>
              <w:suppressAutoHyphens/>
            </w:pPr>
            <w:r w:rsidRPr="006320B0">
              <w:t>Pijn in de extremiteiten</w:t>
            </w:r>
          </w:p>
        </w:tc>
      </w:tr>
      <w:tr w:rsidR="00951F81" w:rsidRPr="006320B0" w14:paraId="2C623969" w14:textId="77777777" w:rsidTr="00884E6E">
        <w:trPr>
          <w:cantSplit/>
          <w:trHeight w:val="57"/>
        </w:trPr>
        <w:tc>
          <w:tcPr>
            <w:tcW w:w="1655" w:type="pct"/>
            <w:vMerge/>
            <w:tcBorders>
              <w:left w:val="single" w:sz="4" w:space="0" w:color="auto"/>
              <w:right w:val="single" w:sz="4" w:space="0" w:color="auto"/>
            </w:tcBorders>
          </w:tcPr>
          <w:p w14:paraId="7B7CC77F" w14:textId="77777777" w:rsidR="00951F81" w:rsidRPr="006320B0" w:rsidRDefault="00951F81" w:rsidP="00840536">
            <w:pPr>
              <w:widowControl w:val="0"/>
              <w:suppressAutoHyphens/>
            </w:pPr>
          </w:p>
        </w:tc>
        <w:tc>
          <w:tcPr>
            <w:tcW w:w="1393" w:type="pct"/>
            <w:tcBorders>
              <w:top w:val="nil"/>
              <w:left w:val="single" w:sz="4" w:space="0" w:color="auto"/>
              <w:bottom w:val="nil"/>
              <w:right w:val="single" w:sz="4" w:space="0" w:color="auto"/>
            </w:tcBorders>
          </w:tcPr>
          <w:p w14:paraId="7CFE3A62" w14:textId="77777777" w:rsidR="00951F81" w:rsidRPr="006320B0" w:rsidRDefault="00951F81" w:rsidP="00840536">
            <w:pPr>
              <w:widowControl w:val="0"/>
              <w:suppressAutoHyphens/>
            </w:pPr>
            <w:r w:rsidRPr="006320B0">
              <w:t>Zeer vaak</w:t>
            </w:r>
          </w:p>
        </w:tc>
        <w:tc>
          <w:tcPr>
            <w:tcW w:w="1952" w:type="pct"/>
            <w:tcBorders>
              <w:top w:val="nil"/>
              <w:left w:val="single" w:sz="4" w:space="0" w:color="auto"/>
              <w:bottom w:val="nil"/>
              <w:right w:val="single" w:sz="4" w:space="0" w:color="auto"/>
            </w:tcBorders>
          </w:tcPr>
          <w:p w14:paraId="4012CD7E" w14:textId="77777777" w:rsidR="00951F81" w:rsidRPr="006320B0" w:rsidRDefault="00951F81" w:rsidP="00840536">
            <w:pPr>
              <w:widowControl w:val="0"/>
              <w:suppressAutoHyphens/>
            </w:pPr>
            <w:r w:rsidRPr="006320B0">
              <w:t>Skeletspierstelselpijn</w:t>
            </w:r>
            <w:r w:rsidRPr="006320B0">
              <w:rPr>
                <w:vertAlign w:val="superscript"/>
              </w:rPr>
              <w:t>1</w:t>
            </w:r>
          </w:p>
        </w:tc>
      </w:tr>
      <w:tr w:rsidR="00951F81" w:rsidRPr="006320B0" w14:paraId="2202457E" w14:textId="77777777" w:rsidTr="00884E6E">
        <w:trPr>
          <w:cantSplit/>
          <w:trHeight w:val="57"/>
        </w:trPr>
        <w:tc>
          <w:tcPr>
            <w:tcW w:w="1655" w:type="pct"/>
            <w:vMerge/>
            <w:tcBorders>
              <w:left w:val="single" w:sz="4" w:space="0" w:color="auto"/>
              <w:right w:val="single" w:sz="4" w:space="0" w:color="auto"/>
            </w:tcBorders>
          </w:tcPr>
          <w:p w14:paraId="4F41346E" w14:textId="77777777" w:rsidR="00951F81" w:rsidRPr="006320B0" w:rsidRDefault="00951F81" w:rsidP="00840536">
            <w:pPr>
              <w:widowControl w:val="0"/>
              <w:suppressAutoHyphens/>
            </w:pPr>
          </w:p>
        </w:tc>
        <w:tc>
          <w:tcPr>
            <w:tcW w:w="1393" w:type="pct"/>
            <w:tcBorders>
              <w:top w:val="nil"/>
              <w:left w:val="single" w:sz="4" w:space="0" w:color="auto"/>
              <w:bottom w:val="nil"/>
              <w:right w:val="single" w:sz="4" w:space="0" w:color="auto"/>
            </w:tcBorders>
          </w:tcPr>
          <w:p w14:paraId="13853E26" w14:textId="77777777" w:rsidR="00951F81" w:rsidRPr="006320B0" w:rsidRDefault="00951F81" w:rsidP="00840536">
            <w:pPr>
              <w:widowControl w:val="0"/>
              <w:suppressAutoHyphens/>
            </w:pPr>
            <w:r w:rsidRPr="006320B0">
              <w:t>Zelden</w:t>
            </w:r>
          </w:p>
        </w:tc>
        <w:tc>
          <w:tcPr>
            <w:tcW w:w="1952" w:type="pct"/>
            <w:tcBorders>
              <w:top w:val="nil"/>
              <w:left w:val="single" w:sz="4" w:space="0" w:color="auto"/>
              <w:bottom w:val="nil"/>
              <w:right w:val="single" w:sz="4" w:space="0" w:color="auto"/>
            </w:tcBorders>
          </w:tcPr>
          <w:p w14:paraId="79ADF7A4" w14:textId="77777777" w:rsidR="00951F81" w:rsidRPr="006320B0" w:rsidRDefault="00951F81" w:rsidP="00840536">
            <w:pPr>
              <w:widowControl w:val="0"/>
              <w:suppressAutoHyphens/>
            </w:pPr>
            <w:r w:rsidRPr="006320B0">
              <w:t>Osteonecrose van de kaak</w:t>
            </w:r>
            <w:r w:rsidRPr="006320B0">
              <w:rPr>
                <w:vertAlign w:val="superscript"/>
              </w:rPr>
              <w:t>1</w:t>
            </w:r>
          </w:p>
        </w:tc>
      </w:tr>
      <w:tr w:rsidR="00951F81" w:rsidRPr="006320B0" w14:paraId="1C4D166E" w14:textId="77777777" w:rsidTr="00884E6E">
        <w:trPr>
          <w:cantSplit/>
          <w:trHeight w:val="57"/>
        </w:trPr>
        <w:tc>
          <w:tcPr>
            <w:tcW w:w="1655" w:type="pct"/>
            <w:vMerge/>
            <w:tcBorders>
              <w:left w:val="single" w:sz="4" w:space="0" w:color="auto"/>
              <w:right w:val="single" w:sz="4" w:space="0" w:color="auto"/>
            </w:tcBorders>
          </w:tcPr>
          <w:p w14:paraId="4C30B070" w14:textId="77777777" w:rsidR="00951F81" w:rsidRPr="006320B0" w:rsidRDefault="00951F81" w:rsidP="00840536">
            <w:pPr>
              <w:widowControl w:val="0"/>
              <w:suppressAutoHyphens/>
            </w:pPr>
          </w:p>
        </w:tc>
        <w:tc>
          <w:tcPr>
            <w:tcW w:w="1393" w:type="pct"/>
            <w:tcBorders>
              <w:top w:val="nil"/>
              <w:left w:val="single" w:sz="4" w:space="0" w:color="auto"/>
              <w:bottom w:val="nil"/>
              <w:right w:val="single" w:sz="4" w:space="0" w:color="auto"/>
            </w:tcBorders>
          </w:tcPr>
          <w:p w14:paraId="02EDA556" w14:textId="77777777" w:rsidR="00951F81" w:rsidRPr="006320B0" w:rsidRDefault="00951F81" w:rsidP="00840536">
            <w:pPr>
              <w:widowControl w:val="0"/>
              <w:suppressAutoHyphens/>
            </w:pPr>
            <w:r w:rsidRPr="006320B0">
              <w:t>Zelden</w:t>
            </w:r>
          </w:p>
        </w:tc>
        <w:tc>
          <w:tcPr>
            <w:tcW w:w="1952" w:type="pct"/>
            <w:tcBorders>
              <w:top w:val="nil"/>
              <w:left w:val="single" w:sz="4" w:space="0" w:color="auto"/>
              <w:bottom w:val="nil"/>
              <w:right w:val="single" w:sz="4" w:space="0" w:color="auto"/>
            </w:tcBorders>
          </w:tcPr>
          <w:p w14:paraId="71EC9640" w14:textId="77777777" w:rsidR="00951F81" w:rsidRPr="006320B0" w:rsidRDefault="00951F81" w:rsidP="00840536">
            <w:pPr>
              <w:widowControl w:val="0"/>
              <w:suppressAutoHyphens/>
            </w:pPr>
            <w:r w:rsidRPr="006320B0">
              <w:t>Atypische femurfracturen</w:t>
            </w:r>
            <w:r w:rsidRPr="006320B0">
              <w:rPr>
                <w:vertAlign w:val="superscript"/>
              </w:rPr>
              <w:t>1</w:t>
            </w:r>
          </w:p>
        </w:tc>
      </w:tr>
      <w:tr w:rsidR="00951F81" w:rsidRPr="006320B0" w14:paraId="555FEC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54624A35" w14:textId="77777777" w:rsidR="00951F81" w:rsidRPr="006320B0" w:rsidRDefault="00951F81" w:rsidP="00840536">
            <w:pPr>
              <w:widowControl w:val="0"/>
              <w:suppressAutoHyphens/>
            </w:pPr>
          </w:p>
        </w:tc>
        <w:tc>
          <w:tcPr>
            <w:tcW w:w="1393" w:type="pct"/>
            <w:tcBorders>
              <w:top w:val="nil"/>
              <w:left w:val="single" w:sz="4" w:space="0" w:color="auto"/>
              <w:bottom w:val="single" w:sz="4" w:space="0" w:color="auto"/>
              <w:right w:val="single" w:sz="4" w:space="0" w:color="auto"/>
            </w:tcBorders>
          </w:tcPr>
          <w:p w14:paraId="59C5C1B2" w14:textId="77777777" w:rsidR="00951F81" w:rsidRPr="006320B0" w:rsidRDefault="00951F81" w:rsidP="00840536">
            <w:pPr>
              <w:widowControl w:val="0"/>
              <w:suppressAutoHyphens/>
            </w:pPr>
            <w:r w:rsidRPr="006320B0">
              <w:t>Niet bekend</w:t>
            </w:r>
          </w:p>
        </w:tc>
        <w:tc>
          <w:tcPr>
            <w:tcW w:w="1952" w:type="pct"/>
            <w:tcBorders>
              <w:top w:val="nil"/>
              <w:left w:val="single" w:sz="4" w:space="0" w:color="auto"/>
              <w:bottom w:val="single" w:sz="4" w:space="0" w:color="auto"/>
              <w:right w:val="single" w:sz="4" w:space="0" w:color="auto"/>
            </w:tcBorders>
          </w:tcPr>
          <w:p w14:paraId="12A4BFD4" w14:textId="77777777" w:rsidR="00951F81" w:rsidRPr="006320B0" w:rsidRDefault="00951F81" w:rsidP="00840536">
            <w:pPr>
              <w:widowControl w:val="0"/>
              <w:suppressAutoHyphens/>
            </w:pPr>
            <w:r w:rsidRPr="006320B0">
              <w:t>Osteonecrose van de uitwendige gehoorgang</w:t>
            </w:r>
            <w:r w:rsidRPr="006320B0">
              <w:rPr>
                <w:vertAlign w:val="superscript"/>
              </w:rPr>
              <w:t>2</w:t>
            </w:r>
          </w:p>
        </w:tc>
      </w:tr>
    </w:tbl>
    <w:p w14:paraId="5C0684D4" w14:textId="77777777" w:rsidR="00951F81" w:rsidRPr="006320B0" w:rsidRDefault="00951F81" w:rsidP="00840536">
      <w:pPr>
        <w:widowControl w:val="0"/>
        <w:suppressAutoHyphens/>
        <w:rPr>
          <w:sz w:val="20"/>
          <w:szCs w:val="20"/>
        </w:rPr>
      </w:pPr>
      <w:r w:rsidRPr="006320B0">
        <w:rPr>
          <w:sz w:val="20"/>
          <w:vertAlign w:val="superscript"/>
        </w:rPr>
        <w:t>1</w:t>
      </w:r>
      <w:r w:rsidRPr="006320B0">
        <w:rPr>
          <w:sz w:val="20"/>
        </w:rPr>
        <w:t xml:space="preserve"> Zie rubriek Beschrijving van geselecteerde bijwerkingen.</w:t>
      </w:r>
    </w:p>
    <w:p w14:paraId="0122A1C5" w14:textId="77777777" w:rsidR="00951F81" w:rsidRPr="006320B0" w:rsidRDefault="00951F81" w:rsidP="00840536">
      <w:pPr>
        <w:widowControl w:val="0"/>
        <w:suppressAutoHyphens/>
        <w:rPr>
          <w:sz w:val="20"/>
          <w:szCs w:val="20"/>
        </w:rPr>
      </w:pPr>
      <w:r w:rsidRPr="006320B0">
        <w:rPr>
          <w:sz w:val="20"/>
          <w:vertAlign w:val="superscript"/>
        </w:rPr>
        <w:t xml:space="preserve">2 </w:t>
      </w:r>
      <w:r w:rsidRPr="006320B0">
        <w:rPr>
          <w:sz w:val="20"/>
        </w:rPr>
        <w:t>Zie rubriek 4.4.</w:t>
      </w:r>
    </w:p>
    <w:p w14:paraId="28A4B37F" w14:textId="77777777" w:rsidR="00951F81" w:rsidRPr="006320B0" w:rsidRDefault="00951F81" w:rsidP="00840536">
      <w:pPr>
        <w:pStyle w:val="CommentText"/>
        <w:widowControl w:val="0"/>
        <w:suppressAutoHyphens/>
        <w:rPr>
          <w:sz w:val="22"/>
        </w:rPr>
      </w:pPr>
    </w:p>
    <w:p w14:paraId="5186DA11" w14:textId="77777777" w:rsidR="00951F81" w:rsidRPr="006320B0" w:rsidRDefault="00951F81" w:rsidP="00840536">
      <w:pPr>
        <w:widowControl w:val="0"/>
        <w:suppressAutoHyphens/>
      </w:pPr>
      <w:r w:rsidRPr="006320B0">
        <w:t>In een gepoolde analyse van data van alle fase II en III placebogecontroleerde onderzoeken werd een influenza</w:t>
      </w:r>
      <w:r w:rsidRPr="006320B0">
        <w:noBreakHyphen/>
        <w:t>achtige ziekte gerapporteerd met een ruwe incidentie van 1,2% voor denosumab en 0,7% voor placebo. Hoewel deze onbalans waargenomen werd in een gepoolde analyse, is dit niet waargenomen in een gestratificeerde analyse.</w:t>
      </w:r>
    </w:p>
    <w:p w14:paraId="3D6895BB" w14:textId="77777777" w:rsidR="00951F81" w:rsidRPr="006320B0" w:rsidRDefault="00951F81" w:rsidP="00840536">
      <w:pPr>
        <w:widowControl w:val="0"/>
        <w:suppressAutoHyphens/>
      </w:pPr>
    </w:p>
    <w:p w14:paraId="7044F71B" w14:textId="77777777" w:rsidR="00951F81" w:rsidRPr="006320B0" w:rsidRDefault="00951F81" w:rsidP="00840536">
      <w:pPr>
        <w:widowControl w:val="0"/>
        <w:suppressAutoHyphens/>
        <w:rPr>
          <w:u w:val="single"/>
        </w:rPr>
      </w:pPr>
      <w:r w:rsidRPr="006320B0">
        <w:rPr>
          <w:u w:val="single"/>
        </w:rPr>
        <w:t>Beschrijving van geselecteerde bijwerkingen</w:t>
      </w:r>
    </w:p>
    <w:p w14:paraId="20C8AE49" w14:textId="77777777" w:rsidR="00951F81" w:rsidRPr="006320B0" w:rsidRDefault="00951F81" w:rsidP="00840536">
      <w:pPr>
        <w:widowControl w:val="0"/>
        <w:suppressAutoHyphens/>
      </w:pPr>
    </w:p>
    <w:p w14:paraId="4DD2FA83" w14:textId="77777777" w:rsidR="00951F81" w:rsidRPr="006320B0" w:rsidRDefault="00951F81" w:rsidP="00840536">
      <w:pPr>
        <w:widowControl w:val="0"/>
        <w:tabs>
          <w:tab w:val="clear" w:pos="567"/>
        </w:tabs>
        <w:suppressAutoHyphens/>
        <w:rPr>
          <w:i/>
          <w:iCs/>
        </w:rPr>
      </w:pPr>
      <w:r w:rsidRPr="006320B0">
        <w:rPr>
          <w:i/>
        </w:rPr>
        <w:t>Hypocalciëmie</w:t>
      </w:r>
    </w:p>
    <w:p w14:paraId="31E1652F" w14:textId="62B44C62" w:rsidR="00951F81" w:rsidRPr="006320B0" w:rsidRDefault="00951F81" w:rsidP="00840536">
      <w:pPr>
        <w:widowControl w:val="0"/>
        <w:suppressAutoHyphens/>
      </w:pPr>
      <w:r w:rsidRPr="006320B0">
        <w:t xml:space="preserve">In twee fase III placebogecontroleerde klinische onderzoeken bij postmenopauzale vrouwen met osteoporose, had na toediening van </w:t>
      </w:r>
      <w:r w:rsidR="00AF1274" w:rsidRPr="006320B0">
        <w:t>denosumab</w:t>
      </w:r>
      <w:r w:rsidRPr="006320B0">
        <w:t xml:space="preserve"> ongeveer 0,05% (2 van de 4.050) van de patiënten een daling van de serumcalciumspiegel (minder dan 1,88 mmol/l). Daling van de serumcalciumspiegel (minder dan 1,88 mmol/l) werd niet gemeld bij de twee fase III placebogecontroleerde klinische onderzoeken bij patiënten die hormoonablatietherapie kregen en ook niet bij het fase III placebogecontroleerde klinische onderzoek bij mannen met osteoporose.</w:t>
      </w:r>
    </w:p>
    <w:p w14:paraId="2FB6F939" w14:textId="77777777" w:rsidR="006079AB" w:rsidRPr="006320B0" w:rsidRDefault="006079AB" w:rsidP="00840536">
      <w:pPr>
        <w:widowControl w:val="0"/>
        <w:suppressAutoHyphens/>
      </w:pPr>
    </w:p>
    <w:p w14:paraId="4E27AD95" w14:textId="522017DF" w:rsidR="00951F81" w:rsidRPr="006320B0" w:rsidRDefault="00951F81" w:rsidP="00840536">
      <w:pPr>
        <w:widowControl w:val="0"/>
        <w:suppressAutoHyphens/>
      </w:pPr>
      <w:r w:rsidRPr="006320B0">
        <w:t>In de postmarketingsetting zijn zeldzame gevallen gerapporteerd van ernstige symptomatische hypocalciëmie resulterend in ziekenhuisopname, levensbedreigende voorvallen en fatale gevallen, voornamelijk bij patiënten met een verhoogd risico op hypocalciëmie die denosumab toegediend kregen, waarbij de meeste gevallen zich voordeden in de eerste weken na instelling van de behandeling. Voorbeelden van de klinische manifestaties van ernstige symptomatische hypocalciëmie waren onder meer verlenging van het QT</w:t>
      </w:r>
      <w:r w:rsidRPr="006320B0">
        <w:noBreakHyphen/>
        <w:t>interval, tetanie, epileptische aanvallen en veranderde mentale toestand (zie rubriek 4.4). Symptomen van hypocalciëmie in klinische onderzoeken met denosumab waren onder meer paresthesieën of spierstijfheid, spiertrekkingen, spasmen en spierkrampen.</w:t>
      </w:r>
    </w:p>
    <w:p w14:paraId="633AFF06" w14:textId="77777777" w:rsidR="00951F81" w:rsidRPr="006320B0" w:rsidRDefault="00951F81" w:rsidP="00840536">
      <w:pPr>
        <w:widowControl w:val="0"/>
        <w:suppressAutoHyphens/>
      </w:pPr>
    </w:p>
    <w:p w14:paraId="6494E8F3" w14:textId="77777777" w:rsidR="00951F81" w:rsidRPr="006320B0" w:rsidRDefault="00951F81" w:rsidP="00840536">
      <w:pPr>
        <w:widowControl w:val="0"/>
        <w:tabs>
          <w:tab w:val="clear" w:pos="567"/>
        </w:tabs>
        <w:suppressAutoHyphens/>
        <w:rPr>
          <w:i/>
          <w:iCs/>
        </w:rPr>
      </w:pPr>
      <w:r w:rsidRPr="006320B0">
        <w:rPr>
          <w:i/>
        </w:rPr>
        <w:t>Huidinfecties</w:t>
      </w:r>
    </w:p>
    <w:p w14:paraId="3FB99A0E" w14:textId="561A6BE2" w:rsidR="00951F81" w:rsidRPr="006320B0" w:rsidRDefault="00951F81" w:rsidP="00840536">
      <w:pPr>
        <w:widowControl w:val="0"/>
        <w:suppressAutoHyphens/>
      </w:pPr>
      <w:r w:rsidRPr="006320B0">
        <w:t xml:space="preserve">In fase III placebogecontroleerde klinische onderzoeken, bleek de totale incidentie van huidinfecties in de placebo- en de denosumab groep vergelijkbaar: bij postmenopauzale vrouwen met osteoporose (placebo [1,2%, 50 van de 4.041] versus </w:t>
      </w:r>
      <w:r w:rsidR="00AF1274" w:rsidRPr="006320B0">
        <w:t>denosumab</w:t>
      </w:r>
      <w:r w:rsidRPr="006320B0">
        <w:t xml:space="preserve"> [1,5%, 59 van de 4.050]); bij mannen met osteoporose (placebo [0,8%, 1 van de 120] versus </w:t>
      </w:r>
      <w:r w:rsidR="00AF1274" w:rsidRPr="006320B0">
        <w:t>denosumab</w:t>
      </w:r>
      <w:r w:rsidRPr="006320B0">
        <w:t xml:space="preserve"> [0%, 0 van de 120]); bij borst- en prostaatkankerpatiënten die hormoonablatietherapie kregen (placebo [1,7%, 14 van de 845] versus </w:t>
      </w:r>
      <w:r w:rsidR="00AF1274" w:rsidRPr="006320B0">
        <w:t>denosumab</w:t>
      </w:r>
      <w:r w:rsidRPr="006320B0">
        <w:t xml:space="preserve"> [1,4%, 12 van de 860]). Huidinfecties die leidden tot ziekenhuisopname werden gemeld bij 0,1% (3 van de 4.041) van de postmenopauzale vrouwen met osteoporose die placebo kregen versus 0,4% (16 van de 4.050) van deze vrouwen die </w:t>
      </w:r>
      <w:r w:rsidR="00AF1274" w:rsidRPr="006320B0">
        <w:t>denosumab</w:t>
      </w:r>
      <w:r w:rsidRPr="006320B0">
        <w:t xml:space="preserve"> kregen. Deze voorvallen betroffen voornamelijk cellulitis. Huidinfecties die werden gemeld als ernstige bijwerkingen in onderzoeken bij patiënten met borst- of prostaatkanker bleken een vergelijkbare frequentie te vertonen in de placebogroep (0,6%, 5 van de 845) en de </w:t>
      </w:r>
      <w:r w:rsidR="00AF1274" w:rsidRPr="006320B0">
        <w:t>denosumab</w:t>
      </w:r>
      <w:r w:rsidRPr="006320B0">
        <w:t>groep (0,6%, 5 van de 860).</w:t>
      </w:r>
    </w:p>
    <w:p w14:paraId="4E57D484" w14:textId="77777777" w:rsidR="00951F81" w:rsidRPr="006320B0" w:rsidRDefault="00951F81" w:rsidP="00840536">
      <w:pPr>
        <w:widowControl w:val="0"/>
        <w:suppressAutoHyphens/>
      </w:pPr>
    </w:p>
    <w:p w14:paraId="1A80A618" w14:textId="77777777" w:rsidR="00951F81" w:rsidRPr="006320B0" w:rsidRDefault="00951F81" w:rsidP="00840536">
      <w:pPr>
        <w:widowControl w:val="0"/>
        <w:tabs>
          <w:tab w:val="clear" w:pos="567"/>
        </w:tabs>
        <w:suppressAutoHyphens/>
        <w:rPr>
          <w:i/>
          <w:iCs/>
        </w:rPr>
      </w:pPr>
      <w:r w:rsidRPr="006320B0">
        <w:rPr>
          <w:i/>
        </w:rPr>
        <w:t>Osteonecrose van de kaak</w:t>
      </w:r>
    </w:p>
    <w:p w14:paraId="5470ADE6" w14:textId="77777777" w:rsidR="00951F81" w:rsidRPr="006320B0" w:rsidRDefault="00951F81" w:rsidP="00840536">
      <w:pPr>
        <w:widowControl w:val="0"/>
        <w:suppressAutoHyphens/>
      </w:pPr>
      <w:r w:rsidRPr="006320B0">
        <w:t>ONJ is zelden gemeld, bij 16 patiënten, in klinische onderzoeken bij patiënten met osteoporose en patiënten met borst- of prostaatkanker die hormoonablatietherapie kregen waaraan in totaal 23.148 patiënten meededen (zie rubriek 4.4). Dertien van deze gevallen van ONJ deden zich voor bij postmenopauzale vrouwen met osteoporose tijdens het klinische fase III</w:t>
      </w:r>
      <w:r w:rsidRPr="006320B0">
        <w:noBreakHyphen/>
        <w:t>extensieonderzoek na behandeling met denosumab voor een periode tot 10 jaar. De incidentie van ONJ was 0,04% na 3 jaar, 0,06% na 5 jaar en 0,44% na 10 jaar behandeling met denosumab. Het risico op ONJ nam toe met de duur van de blootstelling aan denosumab.</w:t>
      </w:r>
    </w:p>
    <w:p w14:paraId="5770F1E8" w14:textId="77777777" w:rsidR="00D67D34" w:rsidRPr="006320B0" w:rsidRDefault="00D67D34" w:rsidP="00840536">
      <w:pPr>
        <w:widowControl w:val="0"/>
        <w:suppressAutoHyphens/>
      </w:pPr>
    </w:p>
    <w:p w14:paraId="01C71654" w14:textId="4EA9A2EE" w:rsidR="004D1912" w:rsidRPr="006320B0" w:rsidRDefault="004D1912" w:rsidP="00840536">
      <w:pPr>
        <w:widowControl w:val="0"/>
        <w:suppressAutoHyphens/>
        <w:rPr>
          <w:rFonts w:cs="Verdana"/>
          <w:i/>
          <w:iCs/>
          <w:color w:val="000000"/>
        </w:rPr>
      </w:pPr>
      <w:r w:rsidRPr="006320B0">
        <w:t xml:space="preserve">Het risico op ONJ is ook beoordeeld in een retrospectief cohortonderzoek onder 76.192 postmenopauzale vrouwen die net </w:t>
      </w:r>
      <w:r w:rsidR="00BC67C3" w:rsidRPr="006320B0">
        <w:t xml:space="preserve">waren </w:t>
      </w:r>
      <w:r w:rsidRPr="006320B0">
        <w:t xml:space="preserve">begonnen met de behandeling met </w:t>
      </w:r>
      <w:r w:rsidR="00AF1274" w:rsidRPr="006320B0">
        <w:t>denosumab</w:t>
      </w:r>
      <w:r w:rsidRPr="006320B0">
        <w:t>. De incidentie van ONJ was 0,32% (95%</w:t>
      </w:r>
      <w:r w:rsidR="00BC67C3" w:rsidRPr="006320B0">
        <w:t>-</w:t>
      </w:r>
      <w:r w:rsidRPr="006320B0">
        <w:t>betrouwbaarheidsinterval [BI]: 0,26</w:t>
      </w:r>
      <w:r w:rsidR="00BC67C3" w:rsidRPr="006320B0">
        <w:t>;</w:t>
      </w:r>
      <w:r w:rsidRPr="006320B0">
        <w:t xml:space="preserve"> 0,39) onder patiënten die denosumab tot 3 jaar </w:t>
      </w:r>
      <w:r w:rsidR="00BC67C3" w:rsidRPr="006320B0">
        <w:t xml:space="preserve">lang gebruikten </w:t>
      </w:r>
      <w:r w:rsidRPr="006320B0">
        <w:t>en 0,51% (95%</w:t>
      </w:r>
      <w:r w:rsidRPr="006320B0">
        <w:noBreakHyphen/>
        <w:t>BI: 0,39</w:t>
      </w:r>
      <w:r w:rsidR="00BC67C3" w:rsidRPr="006320B0">
        <w:t>;</w:t>
      </w:r>
      <w:r w:rsidRPr="006320B0">
        <w:t> 0,65) onder patiënten die denosumab tot 5 jaar</w:t>
      </w:r>
      <w:r w:rsidR="00BC67C3" w:rsidRPr="006320B0">
        <w:t xml:space="preserve"> lang gebruikten in het kader van</w:t>
      </w:r>
      <w:r w:rsidRPr="006320B0">
        <w:t xml:space="preserve"> follow</w:t>
      </w:r>
      <w:r w:rsidRPr="006320B0">
        <w:noBreakHyphen/>
        <w:t>up.</w:t>
      </w:r>
    </w:p>
    <w:p w14:paraId="01CC3FD4" w14:textId="77777777" w:rsidR="00951F81" w:rsidRPr="006320B0" w:rsidRDefault="00951F81" w:rsidP="00840536">
      <w:pPr>
        <w:widowControl w:val="0"/>
        <w:suppressAutoHyphens/>
      </w:pPr>
    </w:p>
    <w:p w14:paraId="13B95161" w14:textId="77777777" w:rsidR="00951F81" w:rsidRPr="006320B0" w:rsidRDefault="00951F81" w:rsidP="00840536">
      <w:pPr>
        <w:widowControl w:val="0"/>
        <w:tabs>
          <w:tab w:val="clear" w:pos="567"/>
        </w:tabs>
        <w:suppressAutoHyphens/>
        <w:rPr>
          <w:i/>
          <w:iCs/>
        </w:rPr>
      </w:pPr>
      <w:r w:rsidRPr="006320B0">
        <w:rPr>
          <w:i/>
        </w:rPr>
        <w:t>Atypische femurfracturen</w:t>
      </w:r>
    </w:p>
    <w:p w14:paraId="4773B3E8" w14:textId="0DCAC086" w:rsidR="00951F81" w:rsidRPr="006320B0" w:rsidRDefault="00951F81" w:rsidP="00840536">
      <w:pPr>
        <w:widowControl w:val="0"/>
        <w:suppressAutoHyphens/>
      </w:pPr>
      <w:r w:rsidRPr="006320B0">
        <w:t>In het klinisch onderzoeksprogramma bij osteoporose zijn zelden atypische femurfracturen gerapporteerd bij patiënten die behandeld werden met denosumab (zie rubriek 4.4).</w:t>
      </w:r>
    </w:p>
    <w:p w14:paraId="3CC9A891" w14:textId="77777777" w:rsidR="00951F81" w:rsidRPr="006320B0" w:rsidRDefault="00951F81" w:rsidP="00840536">
      <w:pPr>
        <w:widowControl w:val="0"/>
        <w:suppressAutoHyphens/>
      </w:pPr>
    </w:p>
    <w:p w14:paraId="1F54A1FD" w14:textId="77777777" w:rsidR="00951F81" w:rsidRPr="006320B0" w:rsidRDefault="00951F81" w:rsidP="00840536">
      <w:pPr>
        <w:widowControl w:val="0"/>
        <w:tabs>
          <w:tab w:val="clear" w:pos="567"/>
        </w:tabs>
        <w:suppressAutoHyphens/>
        <w:rPr>
          <w:i/>
          <w:iCs/>
        </w:rPr>
      </w:pPr>
      <w:r w:rsidRPr="006320B0">
        <w:rPr>
          <w:i/>
        </w:rPr>
        <w:t>Diverticulitis</w:t>
      </w:r>
    </w:p>
    <w:p w14:paraId="0CD71C30" w14:textId="77777777" w:rsidR="00951F81" w:rsidRPr="006320B0" w:rsidRDefault="00951F81" w:rsidP="00840536">
      <w:pPr>
        <w:widowControl w:val="0"/>
        <w:suppressAutoHyphens/>
      </w:pPr>
      <w:r w:rsidRPr="006320B0">
        <w:t>In één fase III placebogecontroleerd klinisch onderzoek bij patiënten met prostaatkanker die androgeendeprivatietherapie (ADT) kregen, werd een onbalans waargenomen in de frequentie van diverticulitis (1,2% denosumab, 0% placebo). De incidentie van diverticulitis was vergelijkbaar tussen de twee behandelde groepen bij postmenopauzale vrouwen of mannen met osteoporose en vrouwen met niet</w:t>
      </w:r>
      <w:r w:rsidRPr="006320B0">
        <w:noBreakHyphen/>
        <w:t>gemetastaseerde borstkanker die met een aromataseremmer behandeld werden.</w:t>
      </w:r>
    </w:p>
    <w:p w14:paraId="33611689" w14:textId="77777777" w:rsidR="00951F81" w:rsidRPr="006320B0" w:rsidRDefault="00951F81" w:rsidP="00840536">
      <w:pPr>
        <w:widowControl w:val="0"/>
        <w:suppressAutoHyphens/>
      </w:pPr>
    </w:p>
    <w:p w14:paraId="2EAA48FB" w14:textId="77777777" w:rsidR="00951F81" w:rsidRPr="006320B0" w:rsidRDefault="00951F81" w:rsidP="00840536">
      <w:pPr>
        <w:widowControl w:val="0"/>
        <w:tabs>
          <w:tab w:val="clear" w:pos="567"/>
        </w:tabs>
        <w:suppressAutoHyphens/>
        <w:rPr>
          <w:i/>
          <w:iCs/>
        </w:rPr>
      </w:pPr>
      <w:r w:rsidRPr="006320B0">
        <w:rPr>
          <w:i/>
        </w:rPr>
        <w:t>Geneesmiddelgerelateerde overgevoeligheidsreacties</w:t>
      </w:r>
    </w:p>
    <w:p w14:paraId="55BE9C66" w14:textId="5CDC5887" w:rsidR="00951F81" w:rsidRPr="006320B0" w:rsidRDefault="00951F81" w:rsidP="00840536">
      <w:pPr>
        <w:widowControl w:val="0"/>
        <w:suppressAutoHyphens/>
      </w:pPr>
      <w:r w:rsidRPr="006320B0">
        <w:t xml:space="preserve">In de postmarketingsetting zijn bij patiënten die </w:t>
      </w:r>
      <w:r w:rsidR="00AF1274" w:rsidRPr="006320B0">
        <w:t>denosumab</w:t>
      </w:r>
      <w:r w:rsidRPr="006320B0">
        <w:t xml:space="preserve"> kregen zeldzame gevallen van geneesmiddelgerelateerde overgevoeligheid gemeld, waaronder huiduitslag, urticaria, zwelling van het gelaat, erytheem en anafylactische reacties.</w:t>
      </w:r>
    </w:p>
    <w:p w14:paraId="0C82DF62" w14:textId="77777777" w:rsidR="00951F81" w:rsidRPr="006320B0" w:rsidRDefault="00951F81" w:rsidP="00840536">
      <w:pPr>
        <w:widowControl w:val="0"/>
        <w:suppressAutoHyphens/>
      </w:pPr>
    </w:p>
    <w:p w14:paraId="13C05C6A" w14:textId="77777777" w:rsidR="00951F81" w:rsidRPr="006320B0" w:rsidRDefault="00951F81" w:rsidP="00840536">
      <w:pPr>
        <w:widowControl w:val="0"/>
        <w:tabs>
          <w:tab w:val="clear" w:pos="567"/>
        </w:tabs>
        <w:suppressAutoHyphens/>
        <w:rPr>
          <w:i/>
          <w:iCs/>
        </w:rPr>
      </w:pPr>
      <w:r w:rsidRPr="006320B0">
        <w:rPr>
          <w:i/>
        </w:rPr>
        <w:t>Skeletspierstelselpijn</w:t>
      </w:r>
    </w:p>
    <w:p w14:paraId="55A60F9F" w14:textId="0C3D2B9B" w:rsidR="00951F81" w:rsidRPr="006320B0" w:rsidRDefault="00951F81" w:rsidP="00840536">
      <w:pPr>
        <w:widowControl w:val="0"/>
        <w:suppressAutoHyphens/>
      </w:pPr>
      <w:r w:rsidRPr="006320B0">
        <w:t xml:space="preserve">Skeletspierstelselpijn, inclusief ernstige gevallen, is gemeld bij patiënten die </w:t>
      </w:r>
      <w:r w:rsidR="00AF1274" w:rsidRPr="006320B0">
        <w:t>denosumab</w:t>
      </w:r>
      <w:r w:rsidRPr="006320B0">
        <w:t xml:space="preserve"> kregen in de postmarketingsetting. In klinische onderzoeken kwam skeletspierstelselpijn zeer vaak voor in zowel de groep met denosumab als die met placebo. Skeletspierstelselpijn die leidde tot stopzetting van de onderzoeksmedicatie kwam soms voor.</w:t>
      </w:r>
    </w:p>
    <w:p w14:paraId="5EB21AAE" w14:textId="77777777" w:rsidR="00951F81" w:rsidRPr="006320B0" w:rsidRDefault="00951F81" w:rsidP="00840536">
      <w:pPr>
        <w:widowControl w:val="0"/>
        <w:suppressAutoHyphens/>
      </w:pPr>
    </w:p>
    <w:p w14:paraId="71B66FD5" w14:textId="77777777" w:rsidR="00951F81" w:rsidRPr="006320B0" w:rsidRDefault="00951F81" w:rsidP="00840536">
      <w:pPr>
        <w:widowControl w:val="0"/>
        <w:tabs>
          <w:tab w:val="clear" w:pos="567"/>
        </w:tabs>
        <w:suppressAutoHyphens/>
        <w:rPr>
          <w:i/>
          <w:iCs/>
        </w:rPr>
      </w:pPr>
      <w:r w:rsidRPr="006320B0">
        <w:rPr>
          <w:i/>
        </w:rPr>
        <w:t>Lichenoïde reacties door medicijngebruik</w:t>
      </w:r>
    </w:p>
    <w:p w14:paraId="7EED2A6C" w14:textId="77777777" w:rsidR="00951F81" w:rsidRPr="006320B0" w:rsidRDefault="00951F81" w:rsidP="00840536">
      <w:pPr>
        <w:widowControl w:val="0"/>
        <w:suppressAutoHyphens/>
      </w:pPr>
      <w:r w:rsidRPr="006320B0">
        <w:t>Lichenoïde reacties door medicijngebruik (bijvoorbeeld reacties die lijken op lichen planus) zijn gemeld bij patiënten in de postmarketingsetting.</w:t>
      </w:r>
    </w:p>
    <w:p w14:paraId="6B816EBD" w14:textId="77777777" w:rsidR="00951F81" w:rsidRPr="006320B0" w:rsidRDefault="00951F81" w:rsidP="00840536">
      <w:pPr>
        <w:widowControl w:val="0"/>
        <w:suppressAutoHyphens/>
      </w:pPr>
    </w:p>
    <w:p w14:paraId="5F822C17" w14:textId="77777777" w:rsidR="00951F81" w:rsidRPr="006320B0" w:rsidRDefault="00951F81" w:rsidP="00840536">
      <w:pPr>
        <w:widowControl w:val="0"/>
        <w:suppressAutoHyphens/>
        <w:rPr>
          <w:u w:val="single"/>
        </w:rPr>
      </w:pPr>
      <w:r w:rsidRPr="006320B0">
        <w:rPr>
          <w:u w:val="single"/>
        </w:rPr>
        <w:t>Andere speciale populaties</w:t>
      </w:r>
    </w:p>
    <w:p w14:paraId="1FE249B2" w14:textId="77777777" w:rsidR="00951F81" w:rsidRPr="006320B0" w:rsidRDefault="00951F81" w:rsidP="00840536">
      <w:pPr>
        <w:widowControl w:val="0"/>
        <w:suppressAutoHyphens/>
      </w:pPr>
    </w:p>
    <w:p w14:paraId="4731F540" w14:textId="77777777" w:rsidR="00951F81" w:rsidRPr="006320B0" w:rsidRDefault="00951F81" w:rsidP="00840536">
      <w:pPr>
        <w:widowControl w:val="0"/>
        <w:suppressAutoHyphens/>
        <w:rPr>
          <w:i/>
          <w:iCs/>
        </w:rPr>
      </w:pPr>
      <w:r w:rsidRPr="006320B0">
        <w:rPr>
          <w:i/>
        </w:rPr>
        <w:t>Pediatrische patiënten</w:t>
      </w:r>
    </w:p>
    <w:p w14:paraId="629A6BF1" w14:textId="21BE96C1" w:rsidR="00951F81" w:rsidRPr="006320B0" w:rsidRDefault="00D50235" w:rsidP="00840536">
      <w:pPr>
        <w:widowControl w:val="0"/>
        <w:suppressAutoHyphens/>
      </w:pPr>
      <w:r w:rsidRPr="006320B0">
        <w:t>Kefdensis</w:t>
      </w:r>
      <w:r w:rsidR="00951F81" w:rsidRPr="006320B0">
        <w:t xml:space="preserve"> mag niet worden gebruikt bij kinderen (in de leeftijd van &lt; 18). Ernstige hypercalciëmie is gemeld (zie rubriek 5.1). In enkele gevallen in klinisch onderzoek trad acuut nierfalen op.</w:t>
      </w:r>
    </w:p>
    <w:p w14:paraId="592BF8A1" w14:textId="77777777" w:rsidR="00951F81" w:rsidRPr="006320B0" w:rsidRDefault="00951F81" w:rsidP="00840536">
      <w:pPr>
        <w:widowControl w:val="0"/>
        <w:suppressAutoHyphens/>
      </w:pPr>
    </w:p>
    <w:p w14:paraId="06EE30E7" w14:textId="77777777" w:rsidR="00951F81" w:rsidRPr="006320B0" w:rsidRDefault="00951F81" w:rsidP="00840536">
      <w:pPr>
        <w:widowControl w:val="0"/>
        <w:tabs>
          <w:tab w:val="clear" w:pos="567"/>
        </w:tabs>
        <w:suppressAutoHyphens/>
        <w:rPr>
          <w:i/>
          <w:iCs/>
        </w:rPr>
      </w:pPr>
      <w:r w:rsidRPr="006320B0">
        <w:rPr>
          <w:i/>
        </w:rPr>
        <w:t>Nierfunctiestoornis</w:t>
      </w:r>
    </w:p>
    <w:p w14:paraId="7AD6BD6B" w14:textId="77777777" w:rsidR="00951F81" w:rsidRPr="006320B0" w:rsidRDefault="00951F81" w:rsidP="00840536">
      <w:pPr>
        <w:widowControl w:val="0"/>
        <w:suppressAutoHyphens/>
      </w:pPr>
      <w:r w:rsidRPr="006320B0">
        <w:t>Bij klinische onderzoeken bleek dat patiënten met een ernstige nierfunctiestoornis (creatinineklaring &lt; 30 ml/min) of patiënten die werden gedialyseerd, zonder calciumsuppletie een groter risico liepen op het ontwikkelen van hypocalciëmie. Een voldoende inname van calcium en vitamine D is belangrijk voor patiënten met een ernstige nierfunctiestoornis en voor patiënten die worden gedialyseerd (zie rubriek 4.4).</w:t>
      </w:r>
    </w:p>
    <w:p w14:paraId="1B2DB838" w14:textId="77777777" w:rsidR="00951F81" w:rsidRPr="006320B0" w:rsidRDefault="00951F81" w:rsidP="00840536">
      <w:pPr>
        <w:widowControl w:val="0"/>
        <w:suppressAutoHyphens/>
      </w:pPr>
    </w:p>
    <w:p w14:paraId="44010A0B" w14:textId="77777777" w:rsidR="00951F81" w:rsidRPr="006320B0" w:rsidRDefault="00951F81" w:rsidP="00840536">
      <w:pPr>
        <w:widowControl w:val="0"/>
        <w:suppressAutoHyphens/>
        <w:rPr>
          <w:u w:val="single"/>
        </w:rPr>
      </w:pPr>
      <w:r w:rsidRPr="006320B0">
        <w:rPr>
          <w:u w:val="single"/>
        </w:rPr>
        <w:t>Melding van vermoedelijke bijwerkingen</w:t>
      </w:r>
    </w:p>
    <w:p w14:paraId="76EB2FB2" w14:textId="77777777" w:rsidR="00951F81" w:rsidRPr="006320B0" w:rsidRDefault="00951F81" w:rsidP="00840536">
      <w:pPr>
        <w:widowControl w:val="0"/>
        <w:tabs>
          <w:tab w:val="clear" w:pos="567"/>
        </w:tabs>
        <w:suppressAutoHyphens/>
        <w:autoSpaceDE w:val="0"/>
        <w:autoSpaceDN w:val="0"/>
        <w:adjustRightInd w:val="0"/>
        <w:rPr>
          <w:u w:val="single"/>
          <w:lang w:eastAsia="en-GB"/>
        </w:rPr>
      </w:pPr>
    </w:p>
    <w:p w14:paraId="3791A87D" w14:textId="42A9F76D" w:rsidR="00951F81" w:rsidRPr="006320B0" w:rsidRDefault="00951F81" w:rsidP="00840536">
      <w:pPr>
        <w:widowControl w:val="0"/>
        <w:suppressAutoHyphens/>
      </w:pPr>
      <w:r w:rsidRPr="006320B0">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6320B0">
        <w:rPr>
          <w:highlight w:val="lightGray"/>
        </w:rPr>
        <w:t xml:space="preserve">het nationale meldsysteem zoals vermeld in </w:t>
      </w:r>
      <w:hyperlink r:id="rId14" w:history="1">
        <w:r w:rsidRPr="006320B0">
          <w:rPr>
            <w:rStyle w:val="Hyperlink"/>
            <w:highlight w:val="lightGray"/>
          </w:rPr>
          <w:t>aanhangsel V</w:t>
        </w:r>
      </w:hyperlink>
      <w:r w:rsidRPr="006320B0">
        <w:t>.</w:t>
      </w:r>
    </w:p>
    <w:p w14:paraId="69F9A1BE" w14:textId="77777777" w:rsidR="00951F81" w:rsidRPr="006320B0" w:rsidRDefault="00951F81" w:rsidP="00840536">
      <w:pPr>
        <w:widowControl w:val="0"/>
        <w:suppressAutoHyphens/>
      </w:pPr>
    </w:p>
    <w:p w14:paraId="28BEEA2A" w14:textId="77777777" w:rsidR="00951F81" w:rsidRPr="006320B0" w:rsidRDefault="00951F81" w:rsidP="00840536">
      <w:pPr>
        <w:widowControl w:val="0"/>
        <w:suppressAutoHyphens/>
        <w:ind w:left="567" w:hanging="567"/>
        <w:rPr>
          <w:b/>
        </w:rPr>
      </w:pPr>
      <w:r w:rsidRPr="006320B0">
        <w:rPr>
          <w:b/>
        </w:rPr>
        <w:t>4.9</w:t>
      </w:r>
      <w:r w:rsidRPr="006320B0">
        <w:rPr>
          <w:b/>
        </w:rPr>
        <w:tab/>
        <w:t>Overdosering</w:t>
      </w:r>
    </w:p>
    <w:p w14:paraId="3F2A1590" w14:textId="77777777" w:rsidR="00951F81" w:rsidRPr="006320B0" w:rsidRDefault="00951F81" w:rsidP="00840536">
      <w:pPr>
        <w:widowControl w:val="0"/>
        <w:suppressAutoHyphens/>
      </w:pPr>
    </w:p>
    <w:p w14:paraId="4C8A1A04" w14:textId="0D76C715" w:rsidR="00951F81" w:rsidRPr="006320B0" w:rsidRDefault="00951F81" w:rsidP="00840536">
      <w:pPr>
        <w:widowControl w:val="0"/>
        <w:suppressAutoHyphens/>
      </w:pPr>
      <w:r w:rsidRPr="006320B0">
        <w:t>In klinische onderzoeken is geen ervaring opgedaan met overdosering. Denosumab is in klinische onderzoeken toegediend in doseringen tot 180 mg per 4 weken (cumulatieve doses tot 1.080 mg in 6 maanden) en hierbij zijn geen additionele bijwerkingen waargenomen.</w:t>
      </w:r>
    </w:p>
    <w:p w14:paraId="6914EA16" w14:textId="77777777" w:rsidR="00951F81" w:rsidRPr="006320B0" w:rsidRDefault="00951F81" w:rsidP="00840536">
      <w:pPr>
        <w:widowControl w:val="0"/>
        <w:suppressAutoHyphens/>
      </w:pPr>
    </w:p>
    <w:p w14:paraId="626537A4" w14:textId="77777777" w:rsidR="00951F81" w:rsidRPr="006320B0" w:rsidRDefault="00951F81" w:rsidP="00840536">
      <w:pPr>
        <w:widowControl w:val="0"/>
        <w:suppressAutoHyphens/>
      </w:pPr>
    </w:p>
    <w:p w14:paraId="60146CC3" w14:textId="77777777" w:rsidR="00951F81" w:rsidRPr="006320B0" w:rsidRDefault="00951F81" w:rsidP="00840536">
      <w:pPr>
        <w:widowControl w:val="0"/>
        <w:suppressAutoHyphens/>
        <w:ind w:left="567" w:hanging="567"/>
        <w:rPr>
          <w:b/>
        </w:rPr>
      </w:pPr>
      <w:r w:rsidRPr="006320B0">
        <w:rPr>
          <w:b/>
        </w:rPr>
        <w:t>5.</w:t>
      </w:r>
      <w:r w:rsidRPr="006320B0">
        <w:rPr>
          <w:b/>
        </w:rPr>
        <w:tab/>
        <w:t>FARMACOLOGISCHE EIGENSCHAPPEN</w:t>
      </w:r>
    </w:p>
    <w:p w14:paraId="0A9D5B0C" w14:textId="77777777" w:rsidR="00951F81" w:rsidRPr="006320B0" w:rsidRDefault="00951F81" w:rsidP="00840536">
      <w:pPr>
        <w:widowControl w:val="0"/>
        <w:suppressAutoHyphens/>
      </w:pPr>
    </w:p>
    <w:p w14:paraId="51BA858B" w14:textId="77777777" w:rsidR="00951F81" w:rsidRPr="006320B0" w:rsidRDefault="00951F81" w:rsidP="00840536">
      <w:pPr>
        <w:widowControl w:val="0"/>
        <w:suppressAutoHyphens/>
        <w:ind w:left="567" w:hanging="567"/>
        <w:rPr>
          <w:b/>
        </w:rPr>
      </w:pPr>
      <w:r w:rsidRPr="006320B0">
        <w:rPr>
          <w:b/>
        </w:rPr>
        <w:t>5.1</w:t>
      </w:r>
      <w:r w:rsidRPr="006320B0">
        <w:rPr>
          <w:b/>
        </w:rPr>
        <w:tab/>
        <w:t>Farmacodynamische eigenschappen</w:t>
      </w:r>
    </w:p>
    <w:p w14:paraId="7BA20972" w14:textId="77777777" w:rsidR="00951F81" w:rsidRPr="006320B0" w:rsidRDefault="00951F81" w:rsidP="00840536">
      <w:pPr>
        <w:widowControl w:val="0"/>
        <w:suppressAutoHyphens/>
      </w:pPr>
    </w:p>
    <w:p w14:paraId="12516675" w14:textId="77777777" w:rsidR="00951F81" w:rsidRPr="006320B0" w:rsidRDefault="00951F81" w:rsidP="00840536">
      <w:pPr>
        <w:widowControl w:val="0"/>
        <w:suppressAutoHyphens/>
      </w:pPr>
      <w:r w:rsidRPr="006320B0">
        <w:t>Farmacotherapeutische categorie: geneesmiddelen voor behandeling van botziekten – andere geneesmiddelen die de botstructuur en mineralisatie beïnvloeden, ATC</w:t>
      </w:r>
      <w:r w:rsidRPr="006320B0">
        <w:noBreakHyphen/>
        <w:t>code: M05BX04</w:t>
      </w:r>
    </w:p>
    <w:p w14:paraId="57D45CB6" w14:textId="77777777" w:rsidR="00951F81" w:rsidRPr="006320B0" w:rsidRDefault="00951F81" w:rsidP="00840536">
      <w:pPr>
        <w:widowControl w:val="0"/>
        <w:suppressAutoHyphens/>
      </w:pPr>
    </w:p>
    <w:p w14:paraId="35B0901C" w14:textId="77777777" w:rsidR="00ED5676" w:rsidRPr="006320B0" w:rsidRDefault="00ED5676" w:rsidP="00F565D8">
      <w:r w:rsidRPr="006320B0">
        <w:t xml:space="preserve">Kefdensis is een biosimilar. Gedetailleerde informatie is beschikbaar op de website van het Europees Geneesmiddelenbureau </w:t>
      </w:r>
      <w:hyperlink r:id="rId15" w:history="1">
        <w:r w:rsidRPr="006320B0">
          <w:rPr>
            <w:rStyle w:val="Hyperlink"/>
          </w:rPr>
          <w:t>https://www.ema.europa.eu</w:t>
        </w:r>
      </w:hyperlink>
      <w:r w:rsidRPr="006320B0">
        <w:rPr>
          <w:color w:val="0000FF"/>
        </w:rPr>
        <w:t>.</w:t>
      </w:r>
    </w:p>
    <w:p w14:paraId="51954E73" w14:textId="77777777" w:rsidR="00ED5676" w:rsidRPr="006320B0" w:rsidRDefault="00ED5676" w:rsidP="00951F81"/>
    <w:p w14:paraId="08F59387" w14:textId="77777777" w:rsidR="00951F81" w:rsidRPr="006320B0" w:rsidRDefault="00951F81" w:rsidP="00840536">
      <w:pPr>
        <w:widowControl w:val="0"/>
        <w:suppressAutoHyphens/>
        <w:rPr>
          <w:u w:val="single"/>
        </w:rPr>
      </w:pPr>
      <w:r w:rsidRPr="006320B0">
        <w:rPr>
          <w:u w:val="single"/>
        </w:rPr>
        <w:t>Werkingsmechanisme</w:t>
      </w:r>
    </w:p>
    <w:p w14:paraId="50295A9D" w14:textId="77777777" w:rsidR="00951F81" w:rsidRPr="006320B0" w:rsidRDefault="00951F81" w:rsidP="00840536">
      <w:pPr>
        <w:widowControl w:val="0"/>
        <w:suppressAutoHyphens/>
        <w:rPr>
          <w:u w:val="single"/>
        </w:rPr>
      </w:pPr>
    </w:p>
    <w:p w14:paraId="5D861831" w14:textId="77777777" w:rsidR="00951F81" w:rsidRPr="006320B0" w:rsidRDefault="00951F81" w:rsidP="00840536">
      <w:pPr>
        <w:widowControl w:val="0"/>
        <w:suppressAutoHyphens/>
      </w:pPr>
      <w:r w:rsidRPr="006320B0">
        <w:t>Denosumab is een humaan monoklonaal antilichaam (IgG2) dat zich met grote affiniteit en specificiteit op RANKL richt en zich eraan bindt. Activering van de RANK</w:t>
      </w:r>
      <w:r w:rsidRPr="006320B0">
        <w:noBreakHyphen/>
        <w:t>receptor op het oppervlak van de osteoclastprecursors en osteoclasten wordt hierdoor voorkomen. Het voorkomen van de RANKL/RANK</w:t>
      </w:r>
      <w:r w:rsidRPr="006320B0">
        <w:noBreakHyphen/>
        <w:t>interactie remt de vorming, functie en overleving van osteoclasten, waardoor de botresorptie in corticaal en trabeculair bot wordt verminderd.</w:t>
      </w:r>
    </w:p>
    <w:p w14:paraId="7C5B03DD" w14:textId="77777777" w:rsidR="00951F81" w:rsidRPr="006320B0" w:rsidRDefault="00951F81" w:rsidP="00840536">
      <w:pPr>
        <w:widowControl w:val="0"/>
        <w:suppressAutoHyphens/>
      </w:pPr>
    </w:p>
    <w:p w14:paraId="4AB01CFC" w14:textId="77777777" w:rsidR="00951F81" w:rsidRPr="006320B0" w:rsidRDefault="00951F81" w:rsidP="00840536">
      <w:pPr>
        <w:widowControl w:val="0"/>
        <w:suppressAutoHyphens/>
        <w:rPr>
          <w:u w:val="single"/>
        </w:rPr>
      </w:pPr>
      <w:r w:rsidRPr="006320B0">
        <w:rPr>
          <w:u w:val="single"/>
        </w:rPr>
        <w:t>Farmacodynamische effecten</w:t>
      </w:r>
    </w:p>
    <w:p w14:paraId="6154D85F" w14:textId="77777777" w:rsidR="00951F81" w:rsidRPr="006320B0" w:rsidRDefault="00951F81" w:rsidP="00840536">
      <w:pPr>
        <w:widowControl w:val="0"/>
        <w:suppressAutoHyphens/>
      </w:pPr>
    </w:p>
    <w:p w14:paraId="0EFD92C6" w14:textId="43ED7F26" w:rsidR="00951F81" w:rsidRPr="006320B0" w:rsidRDefault="00951F81" w:rsidP="00840536">
      <w:pPr>
        <w:widowControl w:val="0"/>
        <w:suppressAutoHyphens/>
      </w:pPr>
      <w:r w:rsidRPr="006320B0">
        <w:t xml:space="preserve">Behandeling met </w:t>
      </w:r>
      <w:r w:rsidR="00AF1274" w:rsidRPr="006320B0">
        <w:t>denosumab</w:t>
      </w:r>
      <w:r w:rsidRPr="006320B0">
        <w:t xml:space="preserve"> verminderde snel de mate van bot</w:t>
      </w:r>
      <w:r w:rsidRPr="006320B0">
        <w:noBreakHyphen/>
        <w:t>turnover. Een minimale waarde voor de botresorptie</w:t>
      </w:r>
      <w:r w:rsidRPr="006320B0">
        <w:noBreakHyphen/>
        <w:t>merker serum type 1 C</w:t>
      </w:r>
      <w:r w:rsidRPr="006320B0">
        <w:noBreakHyphen/>
        <w:t>telopeptiden (CTX) wordt na drie dagen bereikt (85% reductie), met een verlaging die gedurende het doseringsinterval behouden blijft. Aan het einde van ieder doseringsinterval was de reductie van CTX gedeeltelijk afgenomen van een maximale reductie van ≥ 87% tot ongeveer ≥ 45% (bereik 45</w:t>
      </w:r>
      <w:r w:rsidRPr="006320B0">
        <w:noBreakHyphen/>
        <w:t xml:space="preserve">80%). Dit reflecteert de omkeerbaarheid van de effecten van </w:t>
      </w:r>
      <w:r w:rsidR="00AF1274" w:rsidRPr="006320B0">
        <w:t>denosumab</w:t>
      </w:r>
      <w:r w:rsidRPr="006320B0">
        <w:t xml:space="preserve"> op de hermodellering van bot wanneer de serumspiegels afnemen. Deze effecten waren blijvend bij voortzetting van de behandeling. De botmarkers bereikten in het algemeen binnen 9 maanden na de laatste dosis de concentraties van vóór de behandeling. Na het herstarten waren de reducties van CTX door denosumab vergelijkbaar met de reducties die werden waargenomen bij patiënten die voor het eerst een primaire behandeling met denosumab ondergingen.</w:t>
      </w:r>
    </w:p>
    <w:p w14:paraId="30F47CBD" w14:textId="77777777" w:rsidR="00951F81" w:rsidRPr="006320B0" w:rsidRDefault="00951F81" w:rsidP="00840536">
      <w:pPr>
        <w:widowControl w:val="0"/>
        <w:suppressAutoHyphens/>
      </w:pPr>
    </w:p>
    <w:p w14:paraId="2E622B17" w14:textId="77777777" w:rsidR="00951F81" w:rsidRPr="006320B0" w:rsidRDefault="00951F81" w:rsidP="00840536">
      <w:pPr>
        <w:widowControl w:val="0"/>
        <w:suppressAutoHyphens/>
        <w:rPr>
          <w:u w:val="single"/>
        </w:rPr>
      </w:pPr>
      <w:r w:rsidRPr="006320B0">
        <w:rPr>
          <w:u w:val="single"/>
        </w:rPr>
        <w:t>Immunogeniciteit</w:t>
      </w:r>
    </w:p>
    <w:p w14:paraId="071BCF53" w14:textId="77777777" w:rsidR="00951F81" w:rsidRPr="006320B0" w:rsidRDefault="00951F81" w:rsidP="00840536">
      <w:pPr>
        <w:widowControl w:val="0"/>
        <w:suppressAutoHyphens/>
      </w:pPr>
    </w:p>
    <w:p w14:paraId="50ED5EF2" w14:textId="5468FA02" w:rsidR="00951F81" w:rsidRPr="006320B0" w:rsidRDefault="00ED5676" w:rsidP="00840536">
      <w:pPr>
        <w:widowControl w:val="0"/>
        <w:suppressAutoHyphens/>
      </w:pPr>
      <w:r w:rsidRPr="006320B0">
        <w:t>Anti-denosumab-</w:t>
      </w:r>
      <w:r w:rsidR="00951F81" w:rsidRPr="006320B0">
        <w:t xml:space="preserve">antilichamen </w:t>
      </w:r>
      <w:r w:rsidRPr="006320B0">
        <w:t xml:space="preserve">kunnen zich ontwikkelen tijdens </w:t>
      </w:r>
      <w:r w:rsidR="00951F81" w:rsidRPr="006320B0">
        <w:t xml:space="preserve">de </w:t>
      </w:r>
      <w:r w:rsidRPr="006320B0">
        <w:t>behandeling</w:t>
      </w:r>
      <w:r w:rsidR="00951F81" w:rsidRPr="006320B0">
        <w:t xml:space="preserve"> met denosumab</w:t>
      </w:r>
      <w:r w:rsidRPr="006320B0">
        <w:t xml:space="preserve">. Er is geen duidelijke correlatie </w:t>
      </w:r>
      <w:r w:rsidR="005B4E04" w:rsidRPr="006320B0">
        <w:t xml:space="preserve">waargenomen </w:t>
      </w:r>
      <w:r w:rsidR="00EE39C1">
        <w:t>tussen</w:t>
      </w:r>
      <w:r w:rsidR="00EE39C1" w:rsidRPr="006320B0">
        <w:t xml:space="preserve"> </w:t>
      </w:r>
      <w:r w:rsidRPr="006320B0">
        <w:t xml:space="preserve">de ontwikkeling van </w:t>
      </w:r>
      <w:r w:rsidR="00951F81" w:rsidRPr="006320B0">
        <w:t>antilichamen</w:t>
      </w:r>
      <w:r w:rsidRPr="006320B0">
        <w:t xml:space="preserve"> </w:t>
      </w:r>
      <w:r w:rsidR="00EE39C1">
        <w:t xml:space="preserve">en </w:t>
      </w:r>
      <w:r w:rsidR="00951F81" w:rsidRPr="006320B0">
        <w:t>farmacokinetiek, klinische respons</w:t>
      </w:r>
      <w:r w:rsidRPr="006320B0">
        <w:t xml:space="preserve"> of bijwerking</w:t>
      </w:r>
      <w:r w:rsidR="00CC7348">
        <w:t>en</w:t>
      </w:r>
      <w:r w:rsidRPr="006320B0">
        <w:t>.</w:t>
      </w:r>
    </w:p>
    <w:p w14:paraId="3D6041CE" w14:textId="77777777" w:rsidR="00951F81" w:rsidRPr="006320B0" w:rsidRDefault="00951F81" w:rsidP="00840536">
      <w:pPr>
        <w:widowControl w:val="0"/>
        <w:suppressAutoHyphens/>
      </w:pPr>
    </w:p>
    <w:p w14:paraId="30C95826" w14:textId="77777777" w:rsidR="00951F81" w:rsidRPr="006320B0" w:rsidRDefault="00951F81" w:rsidP="00840536">
      <w:pPr>
        <w:widowControl w:val="0"/>
        <w:suppressAutoHyphens/>
        <w:rPr>
          <w:u w:val="single"/>
        </w:rPr>
      </w:pPr>
      <w:r w:rsidRPr="006320B0">
        <w:rPr>
          <w:u w:val="single"/>
        </w:rPr>
        <w:t>Klinische werkzaamheid en veiligheid bij postmenopauzale vrouwen met osteoporose</w:t>
      </w:r>
    </w:p>
    <w:p w14:paraId="37477B41" w14:textId="77777777" w:rsidR="00951F81" w:rsidRPr="006320B0" w:rsidRDefault="00951F81" w:rsidP="00840536">
      <w:pPr>
        <w:widowControl w:val="0"/>
        <w:suppressAutoHyphens/>
      </w:pPr>
    </w:p>
    <w:p w14:paraId="4C503119" w14:textId="4F720581" w:rsidR="00951F81" w:rsidRPr="006320B0" w:rsidRDefault="00951F81" w:rsidP="00840536">
      <w:pPr>
        <w:widowControl w:val="0"/>
        <w:suppressAutoHyphens/>
      </w:pPr>
      <w:r w:rsidRPr="006320B0">
        <w:t>De werkzaamheid en veiligheid van denosumab, eenmaal per 6 maanden toegediend gedurende 3 jaar, zijn onderzocht bij postmenopauzale vrouwen (7.808 vrouwen met een leeftijd van 60 tot 91 jaar, waarvan 23,6% een prevalente wervelfractuur had) met baseline botmineraaldichtheid (BMD) T</w:t>
      </w:r>
      <w:r w:rsidRPr="006320B0">
        <w:noBreakHyphen/>
        <w:t>scores in de lumbale wervelkolom of de totale heup tussen -2,5 en -4,0 en een gemiddeld absoluut 10</w:t>
      </w:r>
      <w:r w:rsidRPr="006320B0">
        <w:noBreakHyphen/>
        <w:t>jaar fractuurrisico van 18,60% (decielen: 7,9</w:t>
      </w:r>
      <w:r w:rsidRPr="006320B0">
        <w:noBreakHyphen/>
        <w:t>32,4%) voor een ernstige osteoporotische fractuur en 7,22% (decielen: 1,4</w:t>
      </w:r>
      <w:r w:rsidRPr="006320B0">
        <w:noBreakHyphen/>
        <w:t>14,9%) voor een heupfractuur. Vrouwen met andere ziekten of behandelingen die effect kunnen hebben op de botten werden uitgesloten van dit onderzoek. De vrouwen kregen dagelijks supplementen calcium (ten minste 1.000 mg) en vitamine D (ten minste 400 IE).</w:t>
      </w:r>
    </w:p>
    <w:p w14:paraId="3B7866AC" w14:textId="77777777" w:rsidR="00951F81" w:rsidRPr="006320B0" w:rsidRDefault="00951F81" w:rsidP="00840536">
      <w:pPr>
        <w:widowControl w:val="0"/>
        <w:suppressAutoHyphens/>
      </w:pPr>
    </w:p>
    <w:p w14:paraId="15079F1E" w14:textId="77777777" w:rsidR="00951F81" w:rsidRPr="006320B0" w:rsidRDefault="00951F81" w:rsidP="00840536">
      <w:pPr>
        <w:widowControl w:val="0"/>
        <w:tabs>
          <w:tab w:val="clear" w:pos="567"/>
        </w:tabs>
        <w:suppressAutoHyphens/>
        <w:rPr>
          <w:i/>
          <w:iCs/>
        </w:rPr>
      </w:pPr>
      <w:r w:rsidRPr="006320B0">
        <w:rPr>
          <w:i/>
        </w:rPr>
        <w:t>Effect op wervelfracturen</w:t>
      </w:r>
    </w:p>
    <w:p w14:paraId="606FF213" w14:textId="37731D8F" w:rsidR="00951F81" w:rsidRPr="006320B0" w:rsidRDefault="00AF1274" w:rsidP="00840536">
      <w:pPr>
        <w:widowControl w:val="0"/>
        <w:suppressAutoHyphens/>
      </w:pPr>
      <w:r w:rsidRPr="006320B0">
        <w:t>Denosumab</w:t>
      </w:r>
      <w:r w:rsidR="00951F81" w:rsidRPr="006320B0">
        <w:t xml:space="preserve"> verminderde het risico op nieuwe wervelfracturen significant na 1, 2 en 3 jaar (p &lt; 0,0001) (zie tabel 2).</w:t>
      </w:r>
    </w:p>
    <w:p w14:paraId="41A6BB3D" w14:textId="77777777" w:rsidR="00951F81" w:rsidRPr="006320B0" w:rsidRDefault="00951F81" w:rsidP="00840536">
      <w:pPr>
        <w:widowControl w:val="0"/>
        <w:suppressAutoHyphens/>
      </w:pPr>
    </w:p>
    <w:p w14:paraId="3469E210" w14:textId="5641D2CF" w:rsidR="00951F81" w:rsidRPr="006320B0" w:rsidRDefault="00951F81" w:rsidP="00840536">
      <w:pPr>
        <w:widowControl w:val="0"/>
        <w:suppressAutoHyphens/>
        <w:rPr>
          <w:b/>
          <w:bCs/>
        </w:rPr>
      </w:pPr>
      <w:r w:rsidRPr="006320B0">
        <w:rPr>
          <w:b/>
        </w:rPr>
        <w:t xml:space="preserve">Tabel 2. Het effect van </w:t>
      </w:r>
      <w:r w:rsidR="00AF1274" w:rsidRPr="006320B0">
        <w:rPr>
          <w:b/>
        </w:rPr>
        <w:t>denosumab</w:t>
      </w:r>
      <w:r w:rsidRPr="006320B0">
        <w:rPr>
          <w:b/>
        </w:rPr>
        <w:t xml:space="preserve"> op het risico op nieuwe wervelfracturen</w:t>
      </w:r>
    </w:p>
    <w:p w14:paraId="5D123D8D" w14:textId="77777777" w:rsidR="00951F81" w:rsidRPr="006320B0" w:rsidRDefault="00951F81" w:rsidP="00840536">
      <w:pPr>
        <w:widowControl w:val="0"/>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951F81" w:rsidRPr="006320B0" w14:paraId="44A8A2D0" w14:textId="77777777" w:rsidTr="006172AE">
        <w:trPr>
          <w:cantSplit/>
          <w:trHeight w:val="57"/>
          <w:tblHeader/>
        </w:trPr>
        <w:tc>
          <w:tcPr>
            <w:tcW w:w="694" w:type="pct"/>
            <w:vMerge w:val="restart"/>
          </w:tcPr>
          <w:p w14:paraId="1FD03DD7" w14:textId="77777777" w:rsidR="00951F81" w:rsidRPr="006320B0" w:rsidRDefault="00951F81" w:rsidP="00840536">
            <w:pPr>
              <w:widowControl w:val="0"/>
              <w:suppressAutoHyphens/>
            </w:pPr>
          </w:p>
        </w:tc>
        <w:tc>
          <w:tcPr>
            <w:tcW w:w="2202" w:type="pct"/>
            <w:gridSpan w:val="2"/>
          </w:tcPr>
          <w:p w14:paraId="12E11F00" w14:textId="77777777" w:rsidR="00951F81" w:rsidRPr="006320B0" w:rsidRDefault="00951F81" w:rsidP="00840536">
            <w:pPr>
              <w:widowControl w:val="0"/>
              <w:suppressAutoHyphens/>
              <w:jc w:val="center"/>
            </w:pPr>
            <w:r w:rsidRPr="006320B0">
              <w:t>Aandeel van vrouwen met een fractuur (%)</w:t>
            </w:r>
          </w:p>
        </w:tc>
        <w:tc>
          <w:tcPr>
            <w:tcW w:w="1052" w:type="pct"/>
            <w:vMerge w:val="restart"/>
          </w:tcPr>
          <w:p w14:paraId="616EF7D3" w14:textId="77777777" w:rsidR="00951F81" w:rsidRPr="006320B0" w:rsidRDefault="00951F81" w:rsidP="00840536">
            <w:pPr>
              <w:widowControl w:val="0"/>
              <w:suppressAutoHyphens/>
            </w:pPr>
            <w:r w:rsidRPr="006320B0">
              <w:t>Reductie absolute risico (%)</w:t>
            </w:r>
          </w:p>
          <w:p w14:paraId="792635A9" w14:textId="68043D84" w:rsidR="00951F81" w:rsidRPr="006320B0" w:rsidRDefault="00951F81" w:rsidP="00840536">
            <w:pPr>
              <w:widowControl w:val="0"/>
              <w:suppressAutoHyphens/>
            </w:pPr>
            <w:r w:rsidRPr="006320B0">
              <w:t>(95%</w:t>
            </w:r>
            <w:r w:rsidR="00BC67C3" w:rsidRPr="006320B0">
              <w:t>-</w:t>
            </w:r>
            <w:r w:rsidRPr="006320B0">
              <w:t>BI)</w:t>
            </w:r>
          </w:p>
        </w:tc>
        <w:tc>
          <w:tcPr>
            <w:tcW w:w="1052" w:type="pct"/>
            <w:vMerge w:val="restart"/>
          </w:tcPr>
          <w:p w14:paraId="49E596B2" w14:textId="77777777" w:rsidR="00951F81" w:rsidRPr="006320B0" w:rsidRDefault="00951F81" w:rsidP="00840536">
            <w:pPr>
              <w:widowControl w:val="0"/>
              <w:suppressAutoHyphens/>
            </w:pPr>
            <w:r w:rsidRPr="006320B0">
              <w:t>Reductie relatieve risico (%)</w:t>
            </w:r>
          </w:p>
          <w:p w14:paraId="07D2FFB6" w14:textId="1E56D344" w:rsidR="00951F81" w:rsidRPr="006320B0" w:rsidRDefault="00951F81" w:rsidP="00840536">
            <w:pPr>
              <w:widowControl w:val="0"/>
              <w:suppressAutoHyphens/>
            </w:pPr>
            <w:r w:rsidRPr="006320B0">
              <w:t>(95%</w:t>
            </w:r>
            <w:r w:rsidR="00BC67C3" w:rsidRPr="006320B0">
              <w:t>-</w:t>
            </w:r>
            <w:r w:rsidRPr="006320B0">
              <w:t>BI)</w:t>
            </w:r>
          </w:p>
        </w:tc>
      </w:tr>
      <w:tr w:rsidR="00951F81" w:rsidRPr="006320B0" w14:paraId="1F2C013D" w14:textId="77777777" w:rsidTr="006172AE">
        <w:trPr>
          <w:cantSplit/>
          <w:trHeight w:val="57"/>
          <w:tblHeader/>
        </w:trPr>
        <w:tc>
          <w:tcPr>
            <w:tcW w:w="694" w:type="pct"/>
            <w:vMerge/>
          </w:tcPr>
          <w:p w14:paraId="147ADA29" w14:textId="77777777" w:rsidR="00951F81" w:rsidRPr="006320B0" w:rsidRDefault="00951F81" w:rsidP="00840536">
            <w:pPr>
              <w:widowControl w:val="0"/>
              <w:suppressAutoHyphens/>
            </w:pPr>
          </w:p>
        </w:tc>
        <w:tc>
          <w:tcPr>
            <w:tcW w:w="1101" w:type="pct"/>
          </w:tcPr>
          <w:p w14:paraId="48100D24" w14:textId="77777777" w:rsidR="00951F81" w:rsidRPr="006320B0" w:rsidRDefault="00951F81" w:rsidP="00840536">
            <w:pPr>
              <w:widowControl w:val="0"/>
              <w:suppressAutoHyphens/>
              <w:jc w:val="center"/>
            </w:pPr>
            <w:r w:rsidRPr="006320B0">
              <w:t>Placebo</w:t>
            </w:r>
          </w:p>
          <w:p w14:paraId="2AD50B66" w14:textId="760641D9" w:rsidR="00951F81" w:rsidRPr="006320B0" w:rsidRDefault="00951F81" w:rsidP="00840536">
            <w:pPr>
              <w:widowControl w:val="0"/>
              <w:suppressAutoHyphens/>
              <w:jc w:val="center"/>
            </w:pPr>
            <w:r w:rsidRPr="006320B0">
              <w:t>n = 3.906</w:t>
            </w:r>
          </w:p>
        </w:tc>
        <w:tc>
          <w:tcPr>
            <w:tcW w:w="1101" w:type="pct"/>
          </w:tcPr>
          <w:p w14:paraId="7B439C4C" w14:textId="77777777" w:rsidR="00951F81" w:rsidRPr="006320B0" w:rsidRDefault="00AF1274" w:rsidP="006172AE">
            <w:pPr>
              <w:keepNext/>
              <w:jc w:val="center"/>
            </w:pPr>
            <w:r w:rsidRPr="006320B0">
              <w:t>Denosumab</w:t>
            </w:r>
          </w:p>
          <w:p w14:paraId="40EC3EF5" w14:textId="078A4942" w:rsidR="00951F81" w:rsidRPr="006320B0" w:rsidRDefault="00951F81" w:rsidP="00840536">
            <w:pPr>
              <w:widowControl w:val="0"/>
              <w:suppressAutoHyphens/>
              <w:jc w:val="center"/>
            </w:pPr>
            <w:r w:rsidRPr="006320B0">
              <w:t>n = 3.902</w:t>
            </w:r>
          </w:p>
        </w:tc>
        <w:tc>
          <w:tcPr>
            <w:tcW w:w="1052" w:type="pct"/>
            <w:vMerge/>
          </w:tcPr>
          <w:p w14:paraId="42381FE9" w14:textId="77777777" w:rsidR="00951F81" w:rsidRPr="006320B0" w:rsidRDefault="00951F81" w:rsidP="00840536">
            <w:pPr>
              <w:widowControl w:val="0"/>
              <w:suppressAutoHyphens/>
            </w:pPr>
          </w:p>
        </w:tc>
        <w:tc>
          <w:tcPr>
            <w:tcW w:w="1052" w:type="pct"/>
            <w:vMerge/>
          </w:tcPr>
          <w:p w14:paraId="7E2CFE7D" w14:textId="77777777" w:rsidR="00951F81" w:rsidRPr="006320B0" w:rsidRDefault="00951F81" w:rsidP="00840536">
            <w:pPr>
              <w:widowControl w:val="0"/>
              <w:suppressAutoHyphens/>
            </w:pPr>
          </w:p>
        </w:tc>
      </w:tr>
      <w:tr w:rsidR="00951F81" w:rsidRPr="006320B0" w14:paraId="1AFD2607" w14:textId="77777777" w:rsidTr="006172AE">
        <w:trPr>
          <w:cantSplit/>
          <w:trHeight w:val="57"/>
        </w:trPr>
        <w:tc>
          <w:tcPr>
            <w:tcW w:w="694" w:type="pct"/>
          </w:tcPr>
          <w:p w14:paraId="76385680" w14:textId="77777777" w:rsidR="00951F81" w:rsidRPr="006320B0" w:rsidRDefault="00951F81" w:rsidP="00840536">
            <w:pPr>
              <w:widowControl w:val="0"/>
              <w:suppressAutoHyphens/>
            </w:pPr>
            <w:r w:rsidRPr="006320B0">
              <w:t>0</w:t>
            </w:r>
            <w:r w:rsidRPr="006320B0">
              <w:noBreakHyphen/>
              <w:t>1 jaar</w:t>
            </w:r>
          </w:p>
        </w:tc>
        <w:tc>
          <w:tcPr>
            <w:tcW w:w="1101" w:type="pct"/>
          </w:tcPr>
          <w:p w14:paraId="6A5B686E" w14:textId="77777777" w:rsidR="00951F81" w:rsidRPr="006320B0" w:rsidRDefault="00951F81" w:rsidP="00840536">
            <w:pPr>
              <w:widowControl w:val="0"/>
              <w:suppressAutoHyphens/>
              <w:jc w:val="center"/>
            </w:pPr>
            <w:r w:rsidRPr="006320B0">
              <w:t>2,2</w:t>
            </w:r>
          </w:p>
        </w:tc>
        <w:tc>
          <w:tcPr>
            <w:tcW w:w="1101" w:type="pct"/>
          </w:tcPr>
          <w:p w14:paraId="4FC22E95" w14:textId="77777777" w:rsidR="00951F81" w:rsidRPr="006320B0" w:rsidRDefault="00951F81" w:rsidP="00840536">
            <w:pPr>
              <w:widowControl w:val="0"/>
              <w:suppressAutoHyphens/>
              <w:jc w:val="center"/>
            </w:pPr>
            <w:r w:rsidRPr="006320B0">
              <w:t>0,9</w:t>
            </w:r>
          </w:p>
        </w:tc>
        <w:tc>
          <w:tcPr>
            <w:tcW w:w="1052" w:type="pct"/>
          </w:tcPr>
          <w:p w14:paraId="6781F62C" w14:textId="77777777" w:rsidR="00951F81" w:rsidRPr="006320B0" w:rsidRDefault="00951F81" w:rsidP="00840536">
            <w:pPr>
              <w:widowControl w:val="0"/>
              <w:suppressAutoHyphens/>
            </w:pPr>
            <w:r w:rsidRPr="006320B0">
              <w:t>1,4 (0,8; 1,9)</w:t>
            </w:r>
          </w:p>
        </w:tc>
        <w:tc>
          <w:tcPr>
            <w:tcW w:w="1052" w:type="pct"/>
          </w:tcPr>
          <w:p w14:paraId="7FCDF356" w14:textId="77777777" w:rsidR="00951F81" w:rsidRPr="006320B0" w:rsidRDefault="00951F81" w:rsidP="00840536">
            <w:pPr>
              <w:widowControl w:val="0"/>
              <w:suppressAutoHyphens/>
            </w:pPr>
            <w:r w:rsidRPr="006320B0">
              <w:t>61 (42; 74)**</w:t>
            </w:r>
          </w:p>
        </w:tc>
      </w:tr>
      <w:tr w:rsidR="00951F81" w:rsidRPr="006320B0" w14:paraId="0F1324AD" w14:textId="77777777" w:rsidTr="006172AE">
        <w:trPr>
          <w:cantSplit/>
          <w:trHeight w:val="57"/>
        </w:trPr>
        <w:tc>
          <w:tcPr>
            <w:tcW w:w="694" w:type="pct"/>
          </w:tcPr>
          <w:p w14:paraId="7CA890B6" w14:textId="77777777" w:rsidR="00951F81" w:rsidRPr="006320B0" w:rsidRDefault="00951F81" w:rsidP="00840536">
            <w:pPr>
              <w:widowControl w:val="0"/>
              <w:suppressAutoHyphens/>
            </w:pPr>
            <w:r w:rsidRPr="006320B0">
              <w:t>0</w:t>
            </w:r>
            <w:r w:rsidRPr="006320B0">
              <w:noBreakHyphen/>
              <w:t>2 jaar</w:t>
            </w:r>
          </w:p>
        </w:tc>
        <w:tc>
          <w:tcPr>
            <w:tcW w:w="1101" w:type="pct"/>
          </w:tcPr>
          <w:p w14:paraId="69C4A2D5" w14:textId="77777777" w:rsidR="00951F81" w:rsidRPr="006320B0" w:rsidRDefault="00951F81" w:rsidP="00840536">
            <w:pPr>
              <w:widowControl w:val="0"/>
              <w:suppressAutoHyphens/>
              <w:jc w:val="center"/>
            </w:pPr>
            <w:r w:rsidRPr="006320B0">
              <w:t>5,0</w:t>
            </w:r>
          </w:p>
        </w:tc>
        <w:tc>
          <w:tcPr>
            <w:tcW w:w="1101" w:type="pct"/>
          </w:tcPr>
          <w:p w14:paraId="37A7A404" w14:textId="77777777" w:rsidR="00951F81" w:rsidRPr="006320B0" w:rsidRDefault="00951F81" w:rsidP="00840536">
            <w:pPr>
              <w:widowControl w:val="0"/>
              <w:suppressAutoHyphens/>
              <w:jc w:val="center"/>
            </w:pPr>
            <w:r w:rsidRPr="006320B0">
              <w:t>1,4</w:t>
            </w:r>
          </w:p>
        </w:tc>
        <w:tc>
          <w:tcPr>
            <w:tcW w:w="1052" w:type="pct"/>
          </w:tcPr>
          <w:p w14:paraId="354BF0BD" w14:textId="77777777" w:rsidR="00951F81" w:rsidRPr="006320B0" w:rsidRDefault="00951F81" w:rsidP="00840536">
            <w:pPr>
              <w:widowControl w:val="0"/>
              <w:suppressAutoHyphens/>
            </w:pPr>
            <w:r w:rsidRPr="006320B0">
              <w:t>3,5 (2,7; 4,3)</w:t>
            </w:r>
          </w:p>
        </w:tc>
        <w:tc>
          <w:tcPr>
            <w:tcW w:w="1052" w:type="pct"/>
          </w:tcPr>
          <w:p w14:paraId="3D5F60D8" w14:textId="77777777" w:rsidR="00951F81" w:rsidRPr="006320B0" w:rsidRDefault="00951F81" w:rsidP="00840536">
            <w:pPr>
              <w:widowControl w:val="0"/>
              <w:suppressAutoHyphens/>
            </w:pPr>
            <w:r w:rsidRPr="006320B0">
              <w:t>71 (61; 79)**</w:t>
            </w:r>
          </w:p>
        </w:tc>
      </w:tr>
      <w:tr w:rsidR="00951F81" w:rsidRPr="006320B0" w14:paraId="187411EE" w14:textId="77777777" w:rsidTr="006172AE">
        <w:trPr>
          <w:cantSplit/>
          <w:trHeight w:val="57"/>
        </w:trPr>
        <w:tc>
          <w:tcPr>
            <w:tcW w:w="694" w:type="pct"/>
          </w:tcPr>
          <w:p w14:paraId="6C72AB08" w14:textId="77777777" w:rsidR="00951F81" w:rsidRPr="006320B0" w:rsidRDefault="00951F81" w:rsidP="00840536">
            <w:pPr>
              <w:widowControl w:val="0"/>
              <w:suppressAutoHyphens/>
            </w:pPr>
            <w:r w:rsidRPr="006320B0">
              <w:t>0</w:t>
            </w:r>
            <w:r w:rsidRPr="006320B0">
              <w:noBreakHyphen/>
              <w:t>3 jaar</w:t>
            </w:r>
          </w:p>
        </w:tc>
        <w:tc>
          <w:tcPr>
            <w:tcW w:w="1101" w:type="pct"/>
          </w:tcPr>
          <w:p w14:paraId="061835DD" w14:textId="77777777" w:rsidR="00951F81" w:rsidRPr="006320B0" w:rsidRDefault="00951F81" w:rsidP="00840536">
            <w:pPr>
              <w:widowControl w:val="0"/>
              <w:suppressAutoHyphens/>
              <w:jc w:val="center"/>
            </w:pPr>
            <w:r w:rsidRPr="006320B0">
              <w:t>7,2</w:t>
            </w:r>
          </w:p>
        </w:tc>
        <w:tc>
          <w:tcPr>
            <w:tcW w:w="1101" w:type="pct"/>
          </w:tcPr>
          <w:p w14:paraId="69D71EBF" w14:textId="77777777" w:rsidR="00951F81" w:rsidRPr="006320B0" w:rsidRDefault="00951F81" w:rsidP="00840536">
            <w:pPr>
              <w:widowControl w:val="0"/>
              <w:suppressAutoHyphens/>
              <w:jc w:val="center"/>
            </w:pPr>
            <w:r w:rsidRPr="006320B0">
              <w:t>2,3</w:t>
            </w:r>
          </w:p>
        </w:tc>
        <w:tc>
          <w:tcPr>
            <w:tcW w:w="1052" w:type="pct"/>
          </w:tcPr>
          <w:p w14:paraId="7CC37FD1" w14:textId="77777777" w:rsidR="00951F81" w:rsidRPr="006320B0" w:rsidRDefault="00951F81" w:rsidP="00840536">
            <w:pPr>
              <w:widowControl w:val="0"/>
              <w:suppressAutoHyphens/>
            </w:pPr>
            <w:r w:rsidRPr="006320B0">
              <w:t>4,8 (3,9; 5,8)</w:t>
            </w:r>
          </w:p>
        </w:tc>
        <w:tc>
          <w:tcPr>
            <w:tcW w:w="1052" w:type="pct"/>
          </w:tcPr>
          <w:p w14:paraId="730B6D7C" w14:textId="77777777" w:rsidR="00951F81" w:rsidRPr="006320B0" w:rsidRDefault="00951F81" w:rsidP="00840536">
            <w:pPr>
              <w:widowControl w:val="0"/>
              <w:suppressAutoHyphens/>
            </w:pPr>
            <w:r w:rsidRPr="006320B0">
              <w:t>68 (59; 74)*</w:t>
            </w:r>
          </w:p>
        </w:tc>
      </w:tr>
    </w:tbl>
    <w:p w14:paraId="37E08FE2" w14:textId="77777777" w:rsidR="00951F81" w:rsidRPr="006320B0" w:rsidRDefault="00951F81" w:rsidP="00840536">
      <w:pPr>
        <w:widowControl w:val="0"/>
        <w:suppressAutoHyphens/>
        <w:rPr>
          <w:sz w:val="20"/>
          <w:szCs w:val="20"/>
        </w:rPr>
      </w:pPr>
      <w:r w:rsidRPr="006320B0">
        <w:rPr>
          <w:sz w:val="20"/>
        </w:rPr>
        <w:t>*p &lt; 0,0001, **p &lt; 0,0001 – exploratieve analyse</w:t>
      </w:r>
    </w:p>
    <w:p w14:paraId="3CFCA253" w14:textId="77777777" w:rsidR="00951F81" w:rsidRPr="006320B0" w:rsidRDefault="00951F81" w:rsidP="00840536">
      <w:pPr>
        <w:widowControl w:val="0"/>
        <w:suppressAutoHyphens/>
      </w:pPr>
    </w:p>
    <w:p w14:paraId="42EC2018" w14:textId="77777777" w:rsidR="00951F81" w:rsidRPr="006320B0" w:rsidRDefault="00951F81" w:rsidP="00840536">
      <w:pPr>
        <w:widowControl w:val="0"/>
        <w:tabs>
          <w:tab w:val="clear" w:pos="567"/>
        </w:tabs>
        <w:suppressAutoHyphens/>
        <w:rPr>
          <w:i/>
          <w:iCs/>
        </w:rPr>
      </w:pPr>
      <w:r w:rsidRPr="006320B0">
        <w:rPr>
          <w:i/>
        </w:rPr>
        <w:t>Effect op heupfracturen</w:t>
      </w:r>
    </w:p>
    <w:p w14:paraId="77981FAB" w14:textId="581E9505" w:rsidR="00951F81" w:rsidRPr="006320B0" w:rsidRDefault="0065298A" w:rsidP="00840536">
      <w:pPr>
        <w:widowControl w:val="0"/>
        <w:suppressAutoHyphens/>
      </w:pPr>
      <w:r w:rsidRPr="006320B0">
        <w:t>D</w:t>
      </w:r>
      <w:r w:rsidR="00AF1274" w:rsidRPr="006320B0">
        <w:t>enosumab</w:t>
      </w:r>
      <w:r w:rsidR="00951F81" w:rsidRPr="006320B0">
        <w:t xml:space="preserve"> liet een 40% relatieve reductie zien (0,5% reductie absolute risico) voor het risico op een heupfractuur gedurende 3 jaar (p &lt; 0,05). De incidentie van een heupfractuur was na 3 jaar 1,2% in de placebogroep in vergelijking met 0,7% in de </w:t>
      </w:r>
      <w:r w:rsidR="00AF1274" w:rsidRPr="006320B0">
        <w:t>denosumab</w:t>
      </w:r>
      <w:r w:rsidR="00951F81" w:rsidRPr="006320B0">
        <w:t>groep.</w:t>
      </w:r>
    </w:p>
    <w:p w14:paraId="2203D2FE" w14:textId="77777777" w:rsidR="00951F81" w:rsidRPr="006320B0" w:rsidRDefault="00951F81" w:rsidP="00840536">
      <w:pPr>
        <w:widowControl w:val="0"/>
        <w:suppressAutoHyphens/>
      </w:pPr>
    </w:p>
    <w:p w14:paraId="07C21519" w14:textId="2847C094" w:rsidR="00951F81" w:rsidRPr="006320B0" w:rsidRDefault="00951F81" w:rsidP="00840536">
      <w:pPr>
        <w:widowControl w:val="0"/>
        <w:suppressAutoHyphens/>
      </w:pPr>
      <w:r w:rsidRPr="006320B0">
        <w:t>Bij een post</w:t>
      </w:r>
      <w:r w:rsidRPr="006320B0">
        <w:noBreakHyphen/>
        <w:t>hoc</w:t>
      </w:r>
      <w:r w:rsidRPr="006320B0">
        <w:noBreakHyphen/>
        <w:t xml:space="preserve">analyse bij vrouwen &gt; 75 jaar, werd een reductie van het relatieve risico van 62% waargenomen met </w:t>
      </w:r>
      <w:r w:rsidR="00AF1274" w:rsidRPr="006320B0">
        <w:t>denosumab</w:t>
      </w:r>
      <w:r w:rsidRPr="006320B0">
        <w:t xml:space="preserve"> (1,4% reductie absolute risico, p &lt; 0,01).</w:t>
      </w:r>
    </w:p>
    <w:p w14:paraId="3BB003C0" w14:textId="77777777" w:rsidR="00951F81" w:rsidRPr="006320B0" w:rsidRDefault="00951F81" w:rsidP="00840536">
      <w:pPr>
        <w:widowControl w:val="0"/>
        <w:suppressAutoHyphens/>
      </w:pPr>
    </w:p>
    <w:p w14:paraId="6A8CA1E8" w14:textId="77777777" w:rsidR="00951F81" w:rsidRPr="006320B0" w:rsidRDefault="00951F81" w:rsidP="00840536">
      <w:pPr>
        <w:widowControl w:val="0"/>
        <w:tabs>
          <w:tab w:val="clear" w:pos="567"/>
        </w:tabs>
        <w:suppressAutoHyphens/>
        <w:rPr>
          <w:i/>
          <w:iCs/>
        </w:rPr>
      </w:pPr>
      <w:r w:rsidRPr="006320B0">
        <w:rPr>
          <w:i/>
        </w:rPr>
        <w:t>Effect op alle klinische fracturen</w:t>
      </w:r>
    </w:p>
    <w:p w14:paraId="302C3439" w14:textId="63B3B1F3" w:rsidR="00951F81" w:rsidRPr="006320B0" w:rsidRDefault="0065298A" w:rsidP="00840536">
      <w:pPr>
        <w:widowControl w:val="0"/>
        <w:suppressAutoHyphens/>
      </w:pPr>
      <w:r w:rsidRPr="006320B0">
        <w:t>D</w:t>
      </w:r>
      <w:r w:rsidR="00AF1274" w:rsidRPr="006320B0">
        <w:t>enosumab</w:t>
      </w:r>
      <w:r w:rsidR="00951F81" w:rsidRPr="006320B0">
        <w:t xml:space="preserve"> verminderde significant de fracturen van alle typen/groepen (zie tabel 3).</w:t>
      </w:r>
    </w:p>
    <w:p w14:paraId="2ADC3A9C" w14:textId="77777777" w:rsidR="00951F81" w:rsidRPr="006320B0" w:rsidRDefault="00951F81" w:rsidP="00840536">
      <w:pPr>
        <w:widowControl w:val="0"/>
        <w:suppressAutoHyphens/>
      </w:pPr>
    </w:p>
    <w:p w14:paraId="5DC14C96" w14:textId="7FBE9C5A" w:rsidR="00951F81" w:rsidRPr="006320B0" w:rsidRDefault="00951F81" w:rsidP="00840536">
      <w:pPr>
        <w:pStyle w:val="Text"/>
        <w:widowControl w:val="0"/>
        <w:tabs>
          <w:tab w:val="left" w:pos="567"/>
        </w:tabs>
        <w:suppressAutoHyphens/>
        <w:spacing w:before="0" w:beforeAutospacing="0" w:after="0" w:afterAutospacing="0" w:line="240" w:lineRule="auto"/>
        <w:ind w:left="0"/>
        <w:rPr>
          <w:rFonts w:ascii="Times New Roman" w:hAnsi="Times New Roman" w:cs="Times New Roman"/>
          <w:b/>
          <w:color w:val="auto"/>
          <w:sz w:val="22"/>
          <w:szCs w:val="22"/>
        </w:rPr>
      </w:pPr>
      <w:r w:rsidRPr="006320B0">
        <w:rPr>
          <w:rFonts w:ascii="Times New Roman" w:hAnsi="Times New Roman"/>
          <w:b/>
          <w:color w:val="auto"/>
          <w:sz w:val="22"/>
        </w:rPr>
        <w:t xml:space="preserve">Tabel 3. Het effect van </w:t>
      </w:r>
      <w:r w:rsidR="00AF1274" w:rsidRPr="006320B0">
        <w:rPr>
          <w:rFonts w:ascii="Times New Roman" w:hAnsi="Times New Roman"/>
          <w:b/>
          <w:color w:val="auto"/>
          <w:sz w:val="22"/>
        </w:rPr>
        <w:t>denosumab</w:t>
      </w:r>
      <w:r w:rsidRPr="006320B0">
        <w:rPr>
          <w:rFonts w:ascii="Times New Roman" w:hAnsi="Times New Roman"/>
          <w:b/>
          <w:color w:val="auto"/>
          <w:sz w:val="22"/>
        </w:rPr>
        <w:t xml:space="preserve"> op het risico op klinische fracturen gedurende 3 jaar</w:t>
      </w:r>
    </w:p>
    <w:p w14:paraId="5BA3EF22" w14:textId="77777777" w:rsidR="00951F81" w:rsidRPr="006320B0" w:rsidRDefault="00951F81" w:rsidP="00840536">
      <w:pPr>
        <w:widowControl w:val="0"/>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6"/>
        <w:gridCol w:w="1405"/>
        <w:gridCol w:w="1756"/>
        <w:gridCol w:w="1494"/>
        <w:gridCol w:w="1492"/>
      </w:tblGrid>
      <w:tr w:rsidR="00951F81" w:rsidRPr="006320B0" w14:paraId="0C12509D" w14:textId="77777777" w:rsidTr="006172AE">
        <w:trPr>
          <w:cantSplit/>
          <w:trHeight w:val="57"/>
          <w:tblHeader/>
        </w:trPr>
        <w:tc>
          <w:tcPr>
            <w:tcW w:w="1609" w:type="pct"/>
            <w:vMerge w:val="restart"/>
            <w:tcBorders>
              <w:top w:val="single" w:sz="4" w:space="0" w:color="auto"/>
              <w:left w:val="single" w:sz="4" w:space="0" w:color="auto"/>
              <w:right w:val="single" w:sz="4" w:space="0" w:color="auto"/>
            </w:tcBorders>
          </w:tcPr>
          <w:p w14:paraId="3B19C09F" w14:textId="77777777" w:rsidR="00951F81" w:rsidRPr="006320B0" w:rsidRDefault="00951F81" w:rsidP="00840536">
            <w:pPr>
              <w:pStyle w:val="lbltxt"/>
              <w:widowControl w:val="0"/>
              <w:suppressAutoHyphens/>
              <w:rPr>
                <w:noProof w:val="0"/>
              </w:rPr>
            </w:pPr>
          </w:p>
        </w:tc>
        <w:tc>
          <w:tcPr>
            <w:tcW w:w="1744" w:type="pct"/>
            <w:gridSpan w:val="2"/>
            <w:tcBorders>
              <w:top w:val="single" w:sz="4" w:space="0" w:color="auto"/>
              <w:left w:val="single" w:sz="4" w:space="0" w:color="auto"/>
              <w:bottom w:val="single" w:sz="4" w:space="0" w:color="auto"/>
              <w:right w:val="single" w:sz="4" w:space="0" w:color="auto"/>
            </w:tcBorders>
          </w:tcPr>
          <w:p w14:paraId="65FF625C" w14:textId="77777777" w:rsidR="00951F81" w:rsidRPr="006320B0" w:rsidRDefault="00951F81" w:rsidP="00840536">
            <w:pPr>
              <w:widowControl w:val="0"/>
              <w:suppressAutoHyphens/>
              <w:jc w:val="center"/>
            </w:pPr>
            <w:r w:rsidRPr="006320B0">
              <w:t>Aandeel van vrouwen met een fractuur (%)</w:t>
            </w:r>
            <w:r w:rsidRPr="006320B0">
              <w:rPr>
                <w:vertAlign w:val="superscript"/>
              </w:rPr>
              <w:t>+</w:t>
            </w:r>
          </w:p>
        </w:tc>
        <w:tc>
          <w:tcPr>
            <w:tcW w:w="824" w:type="pct"/>
            <w:vMerge w:val="restart"/>
            <w:tcBorders>
              <w:top w:val="single" w:sz="4" w:space="0" w:color="auto"/>
              <w:left w:val="single" w:sz="4" w:space="0" w:color="auto"/>
              <w:bottom w:val="single" w:sz="4" w:space="0" w:color="auto"/>
              <w:right w:val="single" w:sz="4" w:space="0" w:color="auto"/>
            </w:tcBorders>
          </w:tcPr>
          <w:p w14:paraId="116D5205" w14:textId="77777777" w:rsidR="00951F81" w:rsidRPr="006320B0" w:rsidRDefault="00951F81" w:rsidP="00840536">
            <w:pPr>
              <w:widowControl w:val="0"/>
              <w:suppressAutoHyphens/>
            </w:pPr>
            <w:r w:rsidRPr="006320B0">
              <w:t>Reductie absolute risico (%)</w:t>
            </w:r>
          </w:p>
          <w:p w14:paraId="29F04131" w14:textId="308E3CA0" w:rsidR="00951F81" w:rsidRPr="006320B0" w:rsidRDefault="00951F81" w:rsidP="00840536">
            <w:pPr>
              <w:widowControl w:val="0"/>
              <w:suppressAutoHyphens/>
            </w:pPr>
            <w:r w:rsidRPr="006320B0">
              <w:t>(95%</w:t>
            </w:r>
            <w:r w:rsidR="00BC67C3" w:rsidRPr="006320B0">
              <w:t>-</w:t>
            </w:r>
            <w:r w:rsidRPr="006320B0">
              <w:t>BI)</w:t>
            </w:r>
          </w:p>
        </w:tc>
        <w:tc>
          <w:tcPr>
            <w:tcW w:w="823" w:type="pct"/>
            <w:vMerge w:val="restart"/>
            <w:tcBorders>
              <w:top w:val="single" w:sz="4" w:space="0" w:color="auto"/>
              <w:left w:val="single" w:sz="4" w:space="0" w:color="auto"/>
              <w:bottom w:val="single" w:sz="4" w:space="0" w:color="auto"/>
              <w:right w:val="single" w:sz="4" w:space="0" w:color="auto"/>
            </w:tcBorders>
          </w:tcPr>
          <w:p w14:paraId="0101B132" w14:textId="77777777" w:rsidR="00951F81" w:rsidRPr="006320B0" w:rsidRDefault="00951F81" w:rsidP="00840536">
            <w:pPr>
              <w:widowControl w:val="0"/>
              <w:suppressAutoHyphens/>
            </w:pPr>
            <w:r w:rsidRPr="006320B0">
              <w:t>Reductie relatieve risico (%)</w:t>
            </w:r>
          </w:p>
          <w:p w14:paraId="38F78E13" w14:textId="54E35825" w:rsidR="00951F81" w:rsidRPr="006320B0" w:rsidRDefault="00951F81" w:rsidP="00840536">
            <w:pPr>
              <w:widowControl w:val="0"/>
              <w:suppressAutoHyphens/>
            </w:pPr>
            <w:r w:rsidRPr="006320B0">
              <w:t>(95%</w:t>
            </w:r>
            <w:r w:rsidR="00BC67C3" w:rsidRPr="006320B0">
              <w:t>-</w:t>
            </w:r>
            <w:r w:rsidRPr="006320B0">
              <w:t>BI)</w:t>
            </w:r>
          </w:p>
        </w:tc>
      </w:tr>
      <w:tr w:rsidR="00951F81" w:rsidRPr="006320B0" w14:paraId="1CBDBE21" w14:textId="77777777" w:rsidTr="006172AE">
        <w:trPr>
          <w:cantSplit/>
          <w:trHeight w:val="57"/>
          <w:tblHeader/>
        </w:trPr>
        <w:tc>
          <w:tcPr>
            <w:tcW w:w="1609" w:type="pct"/>
            <w:vMerge/>
            <w:tcBorders>
              <w:left w:val="single" w:sz="4" w:space="0" w:color="auto"/>
              <w:bottom w:val="single" w:sz="4" w:space="0" w:color="auto"/>
              <w:right w:val="single" w:sz="4" w:space="0" w:color="auto"/>
            </w:tcBorders>
          </w:tcPr>
          <w:p w14:paraId="35AB5095" w14:textId="77777777" w:rsidR="00951F81" w:rsidRPr="006320B0" w:rsidRDefault="00951F81" w:rsidP="00840536">
            <w:pPr>
              <w:widowControl w:val="0"/>
              <w:suppressAutoHyphens/>
            </w:pPr>
          </w:p>
        </w:tc>
        <w:tc>
          <w:tcPr>
            <w:tcW w:w="775" w:type="pct"/>
            <w:tcBorders>
              <w:top w:val="single" w:sz="4" w:space="0" w:color="auto"/>
              <w:left w:val="single" w:sz="4" w:space="0" w:color="auto"/>
              <w:bottom w:val="single" w:sz="4" w:space="0" w:color="auto"/>
              <w:right w:val="single" w:sz="4" w:space="0" w:color="auto"/>
            </w:tcBorders>
          </w:tcPr>
          <w:p w14:paraId="083F2ACA" w14:textId="77777777" w:rsidR="00951F81" w:rsidRPr="006320B0" w:rsidRDefault="00951F81" w:rsidP="00840536">
            <w:pPr>
              <w:widowControl w:val="0"/>
              <w:suppressAutoHyphens/>
              <w:jc w:val="center"/>
            </w:pPr>
            <w:r w:rsidRPr="006320B0">
              <w:t>Placebo</w:t>
            </w:r>
          </w:p>
          <w:p w14:paraId="7A5945DF" w14:textId="1DB15D70" w:rsidR="00951F81" w:rsidRPr="006320B0" w:rsidRDefault="00951F81" w:rsidP="00840536">
            <w:pPr>
              <w:widowControl w:val="0"/>
              <w:suppressAutoHyphens/>
              <w:jc w:val="center"/>
            </w:pPr>
            <w:r w:rsidRPr="006320B0">
              <w:t>n = 3.906</w:t>
            </w:r>
          </w:p>
        </w:tc>
        <w:tc>
          <w:tcPr>
            <w:tcW w:w="969" w:type="pct"/>
            <w:tcBorders>
              <w:top w:val="single" w:sz="4" w:space="0" w:color="auto"/>
              <w:left w:val="single" w:sz="4" w:space="0" w:color="auto"/>
              <w:bottom w:val="single" w:sz="4" w:space="0" w:color="auto"/>
              <w:right w:val="single" w:sz="4" w:space="0" w:color="auto"/>
            </w:tcBorders>
          </w:tcPr>
          <w:p w14:paraId="33A9E9B4" w14:textId="77777777" w:rsidR="00951F81" w:rsidRPr="006320B0" w:rsidRDefault="0065298A" w:rsidP="006172AE">
            <w:pPr>
              <w:jc w:val="center"/>
            </w:pPr>
            <w:r w:rsidRPr="006320B0">
              <w:t>D</w:t>
            </w:r>
            <w:r w:rsidR="00AF1274" w:rsidRPr="006320B0">
              <w:t>enosumab</w:t>
            </w:r>
          </w:p>
          <w:p w14:paraId="4EEAFD9C" w14:textId="33F957B8" w:rsidR="00951F81" w:rsidRPr="006320B0" w:rsidRDefault="00951F81" w:rsidP="00840536">
            <w:pPr>
              <w:widowControl w:val="0"/>
              <w:suppressAutoHyphens/>
              <w:jc w:val="center"/>
            </w:pPr>
            <w:r w:rsidRPr="006320B0">
              <w:t>n = 3.902</w:t>
            </w:r>
          </w:p>
        </w:tc>
        <w:tc>
          <w:tcPr>
            <w:tcW w:w="824" w:type="pct"/>
            <w:vMerge/>
            <w:tcBorders>
              <w:top w:val="single" w:sz="4" w:space="0" w:color="auto"/>
              <w:left w:val="single" w:sz="4" w:space="0" w:color="auto"/>
              <w:bottom w:val="single" w:sz="4" w:space="0" w:color="auto"/>
              <w:right w:val="single" w:sz="4" w:space="0" w:color="auto"/>
            </w:tcBorders>
            <w:vAlign w:val="center"/>
          </w:tcPr>
          <w:p w14:paraId="28102F93" w14:textId="77777777" w:rsidR="00951F81" w:rsidRPr="006320B0" w:rsidRDefault="00951F81" w:rsidP="00840536">
            <w:pPr>
              <w:widowControl w:val="0"/>
              <w:suppressAutoHyphens/>
            </w:pPr>
          </w:p>
        </w:tc>
        <w:tc>
          <w:tcPr>
            <w:tcW w:w="823" w:type="pct"/>
            <w:vMerge/>
            <w:tcBorders>
              <w:top w:val="single" w:sz="4" w:space="0" w:color="auto"/>
              <w:left w:val="single" w:sz="4" w:space="0" w:color="auto"/>
              <w:bottom w:val="single" w:sz="4" w:space="0" w:color="auto"/>
              <w:right w:val="single" w:sz="4" w:space="0" w:color="auto"/>
            </w:tcBorders>
            <w:vAlign w:val="center"/>
          </w:tcPr>
          <w:p w14:paraId="0FFDF572" w14:textId="77777777" w:rsidR="00951F81" w:rsidRPr="006320B0" w:rsidRDefault="00951F81" w:rsidP="00840536">
            <w:pPr>
              <w:widowControl w:val="0"/>
              <w:suppressAutoHyphens/>
            </w:pPr>
          </w:p>
        </w:tc>
      </w:tr>
      <w:tr w:rsidR="00951F81" w:rsidRPr="006320B0" w14:paraId="3465914E"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3633B5CE" w14:textId="77777777" w:rsidR="00951F81" w:rsidRPr="006320B0" w:rsidRDefault="00951F81" w:rsidP="00840536">
            <w:pPr>
              <w:widowControl w:val="0"/>
              <w:suppressAutoHyphens/>
            </w:pPr>
            <w:r w:rsidRPr="006320B0">
              <w:t>Een klinische fractuur</w:t>
            </w:r>
            <w:r w:rsidRPr="006320B0">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78D2740D" w14:textId="77777777" w:rsidR="00951F81" w:rsidRPr="006320B0" w:rsidRDefault="00951F81" w:rsidP="00840536">
            <w:pPr>
              <w:widowControl w:val="0"/>
              <w:suppressAutoHyphens/>
              <w:jc w:val="center"/>
            </w:pPr>
            <w:r w:rsidRPr="006320B0">
              <w:t>10,2</w:t>
            </w:r>
          </w:p>
        </w:tc>
        <w:tc>
          <w:tcPr>
            <w:tcW w:w="969" w:type="pct"/>
            <w:tcBorders>
              <w:top w:val="single" w:sz="4" w:space="0" w:color="auto"/>
              <w:left w:val="single" w:sz="4" w:space="0" w:color="auto"/>
              <w:bottom w:val="single" w:sz="4" w:space="0" w:color="auto"/>
              <w:right w:val="single" w:sz="4" w:space="0" w:color="auto"/>
            </w:tcBorders>
          </w:tcPr>
          <w:p w14:paraId="3CBB1D38" w14:textId="77777777" w:rsidR="00951F81" w:rsidRPr="006320B0" w:rsidRDefault="00951F81" w:rsidP="00840536">
            <w:pPr>
              <w:widowControl w:val="0"/>
              <w:suppressAutoHyphens/>
              <w:jc w:val="center"/>
            </w:pPr>
            <w:r w:rsidRPr="006320B0">
              <w:t>7,2</w:t>
            </w:r>
          </w:p>
        </w:tc>
        <w:tc>
          <w:tcPr>
            <w:tcW w:w="824" w:type="pct"/>
            <w:tcBorders>
              <w:top w:val="single" w:sz="4" w:space="0" w:color="auto"/>
              <w:left w:val="single" w:sz="4" w:space="0" w:color="auto"/>
              <w:bottom w:val="single" w:sz="4" w:space="0" w:color="auto"/>
              <w:right w:val="single" w:sz="4" w:space="0" w:color="auto"/>
            </w:tcBorders>
          </w:tcPr>
          <w:p w14:paraId="715CC8FA" w14:textId="77777777" w:rsidR="00951F81" w:rsidRPr="006320B0" w:rsidRDefault="00951F81" w:rsidP="00840536">
            <w:pPr>
              <w:widowControl w:val="0"/>
              <w:suppressAutoHyphens/>
            </w:pPr>
            <w:r w:rsidRPr="006320B0">
              <w:t>2,9 (1,6; 4,2)</w:t>
            </w:r>
          </w:p>
        </w:tc>
        <w:tc>
          <w:tcPr>
            <w:tcW w:w="823" w:type="pct"/>
            <w:tcBorders>
              <w:top w:val="single" w:sz="4" w:space="0" w:color="auto"/>
              <w:left w:val="single" w:sz="4" w:space="0" w:color="auto"/>
              <w:bottom w:val="single" w:sz="4" w:space="0" w:color="auto"/>
              <w:right w:val="single" w:sz="4" w:space="0" w:color="auto"/>
            </w:tcBorders>
          </w:tcPr>
          <w:p w14:paraId="0F9724A5" w14:textId="77777777" w:rsidR="00951F81" w:rsidRPr="006320B0" w:rsidRDefault="00951F81" w:rsidP="00840536">
            <w:pPr>
              <w:widowControl w:val="0"/>
              <w:suppressAutoHyphens/>
            </w:pPr>
            <w:r w:rsidRPr="006320B0">
              <w:t>30 (19; 41)***</w:t>
            </w:r>
          </w:p>
        </w:tc>
      </w:tr>
      <w:tr w:rsidR="00951F81" w:rsidRPr="006320B0" w14:paraId="30A9BC71"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37841C20" w14:textId="77777777" w:rsidR="00951F81" w:rsidRPr="006320B0" w:rsidRDefault="00951F81" w:rsidP="00840536">
            <w:pPr>
              <w:widowControl w:val="0"/>
              <w:suppressAutoHyphens/>
            </w:pPr>
            <w:r w:rsidRPr="006320B0">
              <w:t>Klinische wervelfractuur</w:t>
            </w:r>
          </w:p>
        </w:tc>
        <w:tc>
          <w:tcPr>
            <w:tcW w:w="775" w:type="pct"/>
            <w:tcBorders>
              <w:top w:val="single" w:sz="4" w:space="0" w:color="auto"/>
              <w:left w:val="single" w:sz="4" w:space="0" w:color="auto"/>
              <w:bottom w:val="single" w:sz="4" w:space="0" w:color="auto"/>
              <w:right w:val="single" w:sz="4" w:space="0" w:color="auto"/>
            </w:tcBorders>
          </w:tcPr>
          <w:p w14:paraId="6237D9B4" w14:textId="77777777" w:rsidR="00951F81" w:rsidRPr="006320B0" w:rsidRDefault="00951F81" w:rsidP="00840536">
            <w:pPr>
              <w:widowControl w:val="0"/>
              <w:suppressAutoHyphens/>
              <w:jc w:val="center"/>
            </w:pPr>
            <w:r w:rsidRPr="006320B0">
              <w:t>2,6</w:t>
            </w:r>
          </w:p>
        </w:tc>
        <w:tc>
          <w:tcPr>
            <w:tcW w:w="969" w:type="pct"/>
            <w:tcBorders>
              <w:top w:val="single" w:sz="4" w:space="0" w:color="auto"/>
              <w:left w:val="single" w:sz="4" w:space="0" w:color="auto"/>
              <w:bottom w:val="single" w:sz="4" w:space="0" w:color="auto"/>
              <w:right w:val="single" w:sz="4" w:space="0" w:color="auto"/>
            </w:tcBorders>
          </w:tcPr>
          <w:p w14:paraId="13A7C5AE" w14:textId="77777777" w:rsidR="00951F81" w:rsidRPr="006320B0" w:rsidRDefault="00951F81" w:rsidP="00840536">
            <w:pPr>
              <w:widowControl w:val="0"/>
              <w:suppressAutoHyphens/>
              <w:jc w:val="center"/>
            </w:pPr>
            <w:r w:rsidRPr="006320B0">
              <w:t>0,8</w:t>
            </w:r>
          </w:p>
        </w:tc>
        <w:tc>
          <w:tcPr>
            <w:tcW w:w="824" w:type="pct"/>
            <w:tcBorders>
              <w:top w:val="single" w:sz="4" w:space="0" w:color="auto"/>
              <w:left w:val="single" w:sz="4" w:space="0" w:color="auto"/>
              <w:bottom w:val="single" w:sz="4" w:space="0" w:color="auto"/>
              <w:right w:val="single" w:sz="4" w:space="0" w:color="auto"/>
            </w:tcBorders>
          </w:tcPr>
          <w:p w14:paraId="26575E48" w14:textId="77777777" w:rsidR="00951F81" w:rsidRPr="006320B0" w:rsidRDefault="00951F81" w:rsidP="00840536">
            <w:pPr>
              <w:widowControl w:val="0"/>
              <w:suppressAutoHyphens/>
            </w:pPr>
            <w:r w:rsidRPr="006320B0">
              <w:t>1,8 (1,2; 2,4)</w:t>
            </w:r>
          </w:p>
        </w:tc>
        <w:tc>
          <w:tcPr>
            <w:tcW w:w="823" w:type="pct"/>
            <w:tcBorders>
              <w:top w:val="single" w:sz="4" w:space="0" w:color="auto"/>
              <w:left w:val="single" w:sz="4" w:space="0" w:color="auto"/>
              <w:bottom w:val="single" w:sz="4" w:space="0" w:color="auto"/>
              <w:right w:val="single" w:sz="4" w:space="0" w:color="auto"/>
            </w:tcBorders>
          </w:tcPr>
          <w:p w14:paraId="00C8C13C" w14:textId="77777777" w:rsidR="00951F81" w:rsidRPr="006320B0" w:rsidRDefault="00951F81" w:rsidP="00840536">
            <w:pPr>
              <w:widowControl w:val="0"/>
              <w:suppressAutoHyphens/>
            </w:pPr>
            <w:r w:rsidRPr="006320B0">
              <w:t>69 (53; 80)***</w:t>
            </w:r>
          </w:p>
        </w:tc>
      </w:tr>
      <w:tr w:rsidR="00951F81" w:rsidRPr="006320B0" w14:paraId="277803C4"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7AAF03E1" w14:textId="77777777" w:rsidR="00951F81" w:rsidRPr="006320B0" w:rsidRDefault="00951F81" w:rsidP="00840536">
            <w:pPr>
              <w:widowControl w:val="0"/>
              <w:suppressAutoHyphens/>
            </w:pPr>
            <w:r w:rsidRPr="006320B0">
              <w:t>Niet</w:t>
            </w:r>
            <w:r w:rsidRPr="006320B0">
              <w:noBreakHyphen/>
              <w:t>wervelfractuur</w:t>
            </w:r>
            <w:r w:rsidRPr="006320B0">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2734C95C" w14:textId="77777777" w:rsidR="00951F81" w:rsidRPr="006320B0" w:rsidRDefault="00951F81" w:rsidP="00840536">
            <w:pPr>
              <w:widowControl w:val="0"/>
              <w:suppressAutoHyphens/>
              <w:jc w:val="center"/>
            </w:pPr>
            <w:r w:rsidRPr="006320B0">
              <w:t>8,0</w:t>
            </w:r>
          </w:p>
        </w:tc>
        <w:tc>
          <w:tcPr>
            <w:tcW w:w="969" w:type="pct"/>
            <w:tcBorders>
              <w:top w:val="single" w:sz="4" w:space="0" w:color="auto"/>
              <w:left w:val="single" w:sz="4" w:space="0" w:color="auto"/>
              <w:bottom w:val="single" w:sz="4" w:space="0" w:color="auto"/>
              <w:right w:val="single" w:sz="4" w:space="0" w:color="auto"/>
            </w:tcBorders>
          </w:tcPr>
          <w:p w14:paraId="2F1D9EF9" w14:textId="77777777" w:rsidR="00951F81" w:rsidRPr="006320B0" w:rsidRDefault="00951F81" w:rsidP="00840536">
            <w:pPr>
              <w:widowControl w:val="0"/>
              <w:suppressAutoHyphens/>
              <w:jc w:val="center"/>
            </w:pPr>
            <w:r w:rsidRPr="006320B0">
              <w:t>6,5</w:t>
            </w:r>
          </w:p>
        </w:tc>
        <w:tc>
          <w:tcPr>
            <w:tcW w:w="824" w:type="pct"/>
            <w:tcBorders>
              <w:top w:val="single" w:sz="4" w:space="0" w:color="auto"/>
              <w:left w:val="single" w:sz="4" w:space="0" w:color="auto"/>
              <w:bottom w:val="single" w:sz="4" w:space="0" w:color="auto"/>
              <w:right w:val="single" w:sz="4" w:space="0" w:color="auto"/>
            </w:tcBorders>
          </w:tcPr>
          <w:p w14:paraId="1E68740D" w14:textId="77777777" w:rsidR="00951F81" w:rsidRPr="006320B0" w:rsidRDefault="00951F81" w:rsidP="00840536">
            <w:pPr>
              <w:widowControl w:val="0"/>
              <w:suppressAutoHyphens/>
            </w:pPr>
            <w:r w:rsidRPr="006320B0">
              <w:t>1,5 (0,3; 2,7)</w:t>
            </w:r>
          </w:p>
        </w:tc>
        <w:tc>
          <w:tcPr>
            <w:tcW w:w="823" w:type="pct"/>
            <w:tcBorders>
              <w:top w:val="single" w:sz="4" w:space="0" w:color="auto"/>
              <w:left w:val="single" w:sz="4" w:space="0" w:color="auto"/>
              <w:bottom w:val="single" w:sz="4" w:space="0" w:color="auto"/>
              <w:right w:val="single" w:sz="4" w:space="0" w:color="auto"/>
            </w:tcBorders>
          </w:tcPr>
          <w:p w14:paraId="2838D60A" w14:textId="77777777" w:rsidR="00951F81" w:rsidRPr="006320B0" w:rsidRDefault="00951F81" w:rsidP="00840536">
            <w:pPr>
              <w:widowControl w:val="0"/>
              <w:suppressAutoHyphens/>
            </w:pPr>
            <w:r w:rsidRPr="006320B0">
              <w:t>20 (5; 33)**</w:t>
            </w:r>
          </w:p>
        </w:tc>
      </w:tr>
      <w:tr w:rsidR="00951F81" w:rsidRPr="006320B0" w14:paraId="452B3A71"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423550A4" w14:textId="77777777" w:rsidR="00951F81" w:rsidRPr="006320B0" w:rsidRDefault="00951F81" w:rsidP="00840536">
            <w:pPr>
              <w:widowControl w:val="0"/>
              <w:suppressAutoHyphens/>
            </w:pPr>
            <w:r w:rsidRPr="006320B0">
              <w:t>Ernstige niet</w:t>
            </w:r>
            <w:r w:rsidRPr="006320B0">
              <w:noBreakHyphen/>
              <w:t>wervelfractuur</w:t>
            </w:r>
            <w:r w:rsidRPr="006320B0">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26386A3" w14:textId="77777777" w:rsidR="00951F81" w:rsidRPr="006320B0" w:rsidRDefault="00951F81" w:rsidP="00840536">
            <w:pPr>
              <w:widowControl w:val="0"/>
              <w:suppressAutoHyphens/>
              <w:jc w:val="center"/>
            </w:pPr>
            <w:r w:rsidRPr="006320B0">
              <w:t>6,4</w:t>
            </w:r>
          </w:p>
        </w:tc>
        <w:tc>
          <w:tcPr>
            <w:tcW w:w="969" w:type="pct"/>
            <w:tcBorders>
              <w:top w:val="single" w:sz="4" w:space="0" w:color="auto"/>
              <w:left w:val="single" w:sz="4" w:space="0" w:color="auto"/>
              <w:bottom w:val="single" w:sz="4" w:space="0" w:color="auto"/>
              <w:right w:val="single" w:sz="4" w:space="0" w:color="auto"/>
            </w:tcBorders>
          </w:tcPr>
          <w:p w14:paraId="0F30D3A4" w14:textId="77777777" w:rsidR="00951F81" w:rsidRPr="006320B0" w:rsidRDefault="00951F81" w:rsidP="00840536">
            <w:pPr>
              <w:widowControl w:val="0"/>
              <w:suppressAutoHyphens/>
              <w:jc w:val="center"/>
            </w:pPr>
            <w:r w:rsidRPr="006320B0">
              <w:t>5,2</w:t>
            </w:r>
          </w:p>
        </w:tc>
        <w:tc>
          <w:tcPr>
            <w:tcW w:w="824" w:type="pct"/>
            <w:tcBorders>
              <w:top w:val="single" w:sz="4" w:space="0" w:color="auto"/>
              <w:left w:val="single" w:sz="4" w:space="0" w:color="auto"/>
              <w:bottom w:val="single" w:sz="4" w:space="0" w:color="auto"/>
              <w:right w:val="single" w:sz="4" w:space="0" w:color="auto"/>
            </w:tcBorders>
          </w:tcPr>
          <w:p w14:paraId="5F33E56F" w14:textId="77777777" w:rsidR="00951F81" w:rsidRPr="006320B0" w:rsidRDefault="00951F81" w:rsidP="00840536">
            <w:pPr>
              <w:widowControl w:val="0"/>
              <w:suppressAutoHyphens/>
            </w:pPr>
            <w:r w:rsidRPr="006320B0">
              <w:t>1,2 (0,1; 2,2)</w:t>
            </w:r>
          </w:p>
        </w:tc>
        <w:tc>
          <w:tcPr>
            <w:tcW w:w="823" w:type="pct"/>
            <w:tcBorders>
              <w:top w:val="single" w:sz="4" w:space="0" w:color="auto"/>
              <w:left w:val="single" w:sz="4" w:space="0" w:color="auto"/>
              <w:bottom w:val="single" w:sz="4" w:space="0" w:color="auto"/>
              <w:right w:val="single" w:sz="4" w:space="0" w:color="auto"/>
            </w:tcBorders>
          </w:tcPr>
          <w:p w14:paraId="64F5CFA1" w14:textId="77777777" w:rsidR="00951F81" w:rsidRPr="006320B0" w:rsidRDefault="00951F81" w:rsidP="00840536">
            <w:pPr>
              <w:widowControl w:val="0"/>
              <w:suppressAutoHyphens/>
            </w:pPr>
            <w:r w:rsidRPr="006320B0">
              <w:t>20 (3; 34)*</w:t>
            </w:r>
          </w:p>
        </w:tc>
      </w:tr>
      <w:tr w:rsidR="00951F81" w:rsidRPr="006320B0" w14:paraId="21B7D039" w14:textId="77777777" w:rsidTr="006172AE">
        <w:trPr>
          <w:cantSplit/>
          <w:trHeight w:val="57"/>
        </w:trPr>
        <w:tc>
          <w:tcPr>
            <w:tcW w:w="1609" w:type="pct"/>
            <w:tcBorders>
              <w:top w:val="single" w:sz="4" w:space="0" w:color="auto"/>
              <w:left w:val="single" w:sz="4" w:space="0" w:color="auto"/>
              <w:bottom w:val="single" w:sz="4" w:space="0" w:color="auto"/>
              <w:right w:val="single" w:sz="4" w:space="0" w:color="auto"/>
            </w:tcBorders>
          </w:tcPr>
          <w:p w14:paraId="266DCA8F" w14:textId="77777777" w:rsidR="00951F81" w:rsidRPr="006320B0" w:rsidRDefault="00951F81" w:rsidP="00840536">
            <w:pPr>
              <w:widowControl w:val="0"/>
              <w:suppressAutoHyphens/>
            </w:pPr>
            <w:r w:rsidRPr="006320B0">
              <w:t>Ernstige osteoporotische fractuur</w:t>
            </w:r>
            <w:r w:rsidRPr="006320B0">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5D008AB1" w14:textId="77777777" w:rsidR="00951F81" w:rsidRPr="006320B0" w:rsidRDefault="00951F81" w:rsidP="00840536">
            <w:pPr>
              <w:widowControl w:val="0"/>
              <w:suppressAutoHyphens/>
              <w:jc w:val="center"/>
            </w:pPr>
            <w:r w:rsidRPr="006320B0">
              <w:t>8,0</w:t>
            </w:r>
          </w:p>
        </w:tc>
        <w:tc>
          <w:tcPr>
            <w:tcW w:w="969" w:type="pct"/>
            <w:tcBorders>
              <w:top w:val="single" w:sz="4" w:space="0" w:color="auto"/>
              <w:left w:val="single" w:sz="4" w:space="0" w:color="auto"/>
              <w:bottom w:val="single" w:sz="4" w:space="0" w:color="auto"/>
              <w:right w:val="single" w:sz="4" w:space="0" w:color="auto"/>
            </w:tcBorders>
          </w:tcPr>
          <w:p w14:paraId="78D591B9" w14:textId="77777777" w:rsidR="00951F81" w:rsidRPr="006320B0" w:rsidRDefault="00951F81" w:rsidP="00840536">
            <w:pPr>
              <w:widowControl w:val="0"/>
              <w:suppressAutoHyphens/>
              <w:jc w:val="center"/>
            </w:pPr>
            <w:r w:rsidRPr="006320B0">
              <w:t>5,3</w:t>
            </w:r>
          </w:p>
        </w:tc>
        <w:tc>
          <w:tcPr>
            <w:tcW w:w="824" w:type="pct"/>
            <w:tcBorders>
              <w:top w:val="single" w:sz="4" w:space="0" w:color="auto"/>
              <w:left w:val="single" w:sz="4" w:space="0" w:color="auto"/>
              <w:bottom w:val="single" w:sz="4" w:space="0" w:color="auto"/>
              <w:right w:val="single" w:sz="4" w:space="0" w:color="auto"/>
            </w:tcBorders>
          </w:tcPr>
          <w:p w14:paraId="344455DA" w14:textId="77777777" w:rsidR="00951F81" w:rsidRPr="006320B0" w:rsidRDefault="00951F81" w:rsidP="00840536">
            <w:pPr>
              <w:widowControl w:val="0"/>
              <w:suppressAutoHyphens/>
            </w:pPr>
            <w:r w:rsidRPr="006320B0">
              <w:t>2,7 (1,6; 3,9)</w:t>
            </w:r>
          </w:p>
        </w:tc>
        <w:tc>
          <w:tcPr>
            <w:tcW w:w="823" w:type="pct"/>
            <w:tcBorders>
              <w:top w:val="single" w:sz="4" w:space="0" w:color="auto"/>
              <w:left w:val="single" w:sz="4" w:space="0" w:color="auto"/>
              <w:bottom w:val="single" w:sz="4" w:space="0" w:color="auto"/>
              <w:right w:val="single" w:sz="4" w:space="0" w:color="auto"/>
            </w:tcBorders>
          </w:tcPr>
          <w:p w14:paraId="3C9E588C" w14:textId="77777777" w:rsidR="00951F81" w:rsidRPr="006320B0" w:rsidRDefault="00951F81" w:rsidP="00840536">
            <w:pPr>
              <w:widowControl w:val="0"/>
              <w:suppressAutoHyphens/>
            </w:pPr>
            <w:r w:rsidRPr="006320B0">
              <w:t>35 (22; 45)***</w:t>
            </w:r>
          </w:p>
        </w:tc>
      </w:tr>
    </w:tbl>
    <w:p w14:paraId="23BBDA9F" w14:textId="77777777" w:rsidR="00951F81" w:rsidRPr="006320B0" w:rsidRDefault="00951F81" w:rsidP="00840536">
      <w:pPr>
        <w:widowControl w:val="0"/>
        <w:suppressAutoHyphens/>
        <w:rPr>
          <w:sz w:val="20"/>
          <w:szCs w:val="20"/>
        </w:rPr>
      </w:pPr>
      <w:r w:rsidRPr="006320B0">
        <w:rPr>
          <w:sz w:val="20"/>
        </w:rPr>
        <w:t xml:space="preserve">*p ≤ 0,05, **p = 0,0106 </w:t>
      </w:r>
      <w:r w:rsidRPr="006320B0">
        <w:rPr>
          <w:i/>
          <w:sz w:val="20"/>
        </w:rPr>
        <w:t>(secundair eindpunt opgenomen in correctie voor multipliciteit),</w:t>
      </w:r>
      <w:r w:rsidRPr="006320B0">
        <w:rPr>
          <w:sz w:val="20"/>
        </w:rPr>
        <w:t xml:space="preserve"> ***p ≤ 0,0001</w:t>
      </w:r>
    </w:p>
    <w:p w14:paraId="78BEDD46" w14:textId="77777777" w:rsidR="00951F81" w:rsidRPr="006320B0" w:rsidRDefault="00951F81" w:rsidP="00840536">
      <w:pPr>
        <w:widowControl w:val="0"/>
        <w:suppressAutoHyphens/>
        <w:rPr>
          <w:sz w:val="20"/>
          <w:szCs w:val="20"/>
        </w:rPr>
      </w:pPr>
      <w:r w:rsidRPr="006320B0">
        <w:rPr>
          <w:sz w:val="20"/>
          <w:vertAlign w:val="superscript"/>
        </w:rPr>
        <w:t>+</w:t>
      </w:r>
      <w:r w:rsidRPr="006320B0">
        <w:rPr>
          <w:sz w:val="20"/>
        </w:rPr>
        <w:t xml:space="preserve"> Event</w:t>
      </w:r>
      <w:r w:rsidRPr="006320B0">
        <w:rPr>
          <w:sz w:val="20"/>
        </w:rPr>
        <w:noBreakHyphen/>
        <w:t>cijfers op basis van Kaplan</w:t>
      </w:r>
      <w:r w:rsidRPr="006320B0">
        <w:rPr>
          <w:sz w:val="20"/>
        </w:rPr>
        <w:noBreakHyphen/>
        <w:t>Meier</w:t>
      </w:r>
      <w:r w:rsidRPr="006320B0">
        <w:rPr>
          <w:sz w:val="20"/>
        </w:rPr>
        <w:noBreakHyphen/>
        <w:t>schattingen na 3 jaar.</w:t>
      </w:r>
    </w:p>
    <w:p w14:paraId="4D3BCCA0" w14:textId="77777777" w:rsidR="00951F81" w:rsidRPr="006320B0" w:rsidRDefault="00951F81" w:rsidP="00840536">
      <w:pPr>
        <w:widowControl w:val="0"/>
        <w:suppressAutoHyphens/>
        <w:rPr>
          <w:sz w:val="20"/>
          <w:szCs w:val="20"/>
        </w:rPr>
      </w:pPr>
      <w:r w:rsidRPr="006320B0">
        <w:rPr>
          <w:sz w:val="20"/>
          <w:vertAlign w:val="superscript"/>
        </w:rPr>
        <w:t>1</w:t>
      </w:r>
      <w:r w:rsidRPr="006320B0">
        <w:rPr>
          <w:sz w:val="20"/>
        </w:rPr>
        <w:t xml:space="preserve"> Inclusief klinische wervelfracturen en niet</w:t>
      </w:r>
      <w:r w:rsidRPr="006320B0">
        <w:rPr>
          <w:sz w:val="20"/>
        </w:rPr>
        <w:noBreakHyphen/>
        <w:t>wervelfracturen.</w:t>
      </w:r>
    </w:p>
    <w:p w14:paraId="0A25FC42" w14:textId="77777777" w:rsidR="00951F81" w:rsidRPr="006320B0" w:rsidRDefault="00951F81" w:rsidP="00840536">
      <w:pPr>
        <w:widowControl w:val="0"/>
        <w:suppressAutoHyphens/>
        <w:rPr>
          <w:sz w:val="20"/>
          <w:szCs w:val="20"/>
        </w:rPr>
      </w:pPr>
      <w:r w:rsidRPr="006320B0">
        <w:rPr>
          <w:sz w:val="20"/>
          <w:vertAlign w:val="superscript"/>
        </w:rPr>
        <w:t>2</w:t>
      </w:r>
      <w:r w:rsidRPr="006320B0">
        <w:rPr>
          <w:sz w:val="20"/>
        </w:rPr>
        <w:t xml:space="preserve"> Exclusief fracturen van wervels, schedel, gezicht, mandibula, metacarpus en vinger- en teenkootjes.</w:t>
      </w:r>
    </w:p>
    <w:p w14:paraId="6E4B1331" w14:textId="77777777" w:rsidR="00951F81" w:rsidRPr="006320B0" w:rsidRDefault="00951F81" w:rsidP="00840536">
      <w:pPr>
        <w:widowControl w:val="0"/>
        <w:suppressAutoHyphens/>
        <w:rPr>
          <w:sz w:val="20"/>
          <w:szCs w:val="20"/>
        </w:rPr>
      </w:pPr>
      <w:r w:rsidRPr="006320B0">
        <w:rPr>
          <w:sz w:val="20"/>
          <w:vertAlign w:val="superscript"/>
        </w:rPr>
        <w:t>3</w:t>
      </w:r>
      <w:r w:rsidRPr="006320B0">
        <w:rPr>
          <w:sz w:val="20"/>
        </w:rPr>
        <w:t xml:space="preserve"> Inclusief pelvis, distale femur, proximale tibia, ribben, proximale humerus, onderarm en heup.</w:t>
      </w:r>
    </w:p>
    <w:p w14:paraId="512C26E0" w14:textId="77777777" w:rsidR="00951F81" w:rsidRPr="006320B0" w:rsidRDefault="00951F81" w:rsidP="00840536">
      <w:pPr>
        <w:widowControl w:val="0"/>
        <w:suppressAutoHyphens/>
        <w:rPr>
          <w:sz w:val="20"/>
          <w:szCs w:val="20"/>
        </w:rPr>
      </w:pPr>
      <w:r w:rsidRPr="006320B0">
        <w:rPr>
          <w:sz w:val="20"/>
          <w:vertAlign w:val="superscript"/>
        </w:rPr>
        <w:t>4</w:t>
      </w:r>
      <w:r w:rsidRPr="006320B0">
        <w:rPr>
          <w:sz w:val="20"/>
        </w:rPr>
        <w:t xml:space="preserve"> Inclusief klinische fracturen van wervels, heup, onderarm en humerus, zoals gedefinieerd door de WHO.</w:t>
      </w:r>
    </w:p>
    <w:p w14:paraId="25DC44C1" w14:textId="77777777" w:rsidR="00951F81" w:rsidRPr="006320B0" w:rsidRDefault="00951F81" w:rsidP="00840536">
      <w:pPr>
        <w:widowControl w:val="0"/>
        <w:suppressAutoHyphens/>
      </w:pPr>
    </w:p>
    <w:p w14:paraId="0E4670BD" w14:textId="4C3BAF07" w:rsidR="00951F81" w:rsidRPr="006320B0" w:rsidRDefault="00951F81" w:rsidP="00840536">
      <w:pPr>
        <w:widowControl w:val="0"/>
        <w:suppressAutoHyphens/>
      </w:pPr>
      <w:r w:rsidRPr="006320B0">
        <w:t>Bij vrouwen met een femurhals BMD ≤ </w:t>
      </w:r>
      <w:r w:rsidRPr="006320B0">
        <w:noBreakHyphen/>
        <w:t xml:space="preserve">2,5 op baseline, verminderde </w:t>
      </w:r>
      <w:r w:rsidR="00AF1274" w:rsidRPr="006320B0">
        <w:t>denosumab</w:t>
      </w:r>
      <w:r w:rsidRPr="006320B0">
        <w:t xml:space="preserve"> het risico op een niet</w:t>
      </w:r>
      <w:r w:rsidRPr="006320B0">
        <w:noBreakHyphen/>
        <w:t>wervel fractuur (35% reductie van het relatieve risico, 4,1% reductie van het absolute risico, p &lt; 0,001; exploratieve analyse).</w:t>
      </w:r>
    </w:p>
    <w:p w14:paraId="3F5FC738" w14:textId="77777777" w:rsidR="00951F81" w:rsidRPr="006320B0" w:rsidRDefault="00951F81" w:rsidP="00840536">
      <w:pPr>
        <w:widowControl w:val="0"/>
        <w:suppressAutoHyphens/>
      </w:pPr>
    </w:p>
    <w:p w14:paraId="586A90E6" w14:textId="28B67F9A" w:rsidR="00951F81" w:rsidRPr="006320B0" w:rsidRDefault="00951F81" w:rsidP="00840536">
      <w:pPr>
        <w:widowControl w:val="0"/>
        <w:suppressAutoHyphens/>
      </w:pPr>
      <w:r w:rsidRPr="006320B0">
        <w:t>De vermindering in de incidentie van nieuwe wervelfracturen, heupfracturen en niet</w:t>
      </w:r>
      <w:r w:rsidRPr="006320B0">
        <w:noBreakHyphen/>
        <w:t xml:space="preserve">wervelfracturen door </w:t>
      </w:r>
      <w:r w:rsidR="00AF1274" w:rsidRPr="006320B0">
        <w:t>denosumab</w:t>
      </w:r>
      <w:r w:rsidRPr="006320B0">
        <w:t xml:space="preserve"> gedurende 3 jaar waren consistent, ongeacht het 10</w:t>
      </w:r>
      <w:r w:rsidRPr="006320B0">
        <w:noBreakHyphen/>
        <w:t>jaars fractuurrisico bij baseline.</w:t>
      </w:r>
    </w:p>
    <w:p w14:paraId="0B45B46E" w14:textId="77777777" w:rsidR="00951F81" w:rsidRPr="006320B0" w:rsidRDefault="00951F81" w:rsidP="00840536">
      <w:pPr>
        <w:widowControl w:val="0"/>
        <w:suppressAutoHyphens/>
      </w:pPr>
    </w:p>
    <w:p w14:paraId="0C279085" w14:textId="77777777" w:rsidR="00951F81" w:rsidRPr="006320B0" w:rsidRDefault="00951F81" w:rsidP="00840536">
      <w:pPr>
        <w:widowControl w:val="0"/>
        <w:tabs>
          <w:tab w:val="clear" w:pos="567"/>
        </w:tabs>
        <w:suppressAutoHyphens/>
        <w:rPr>
          <w:i/>
          <w:iCs/>
        </w:rPr>
      </w:pPr>
      <w:r w:rsidRPr="006320B0">
        <w:rPr>
          <w:i/>
        </w:rPr>
        <w:t>Effect op de botmineraaldichtheid</w:t>
      </w:r>
    </w:p>
    <w:p w14:paraId="755E37FB" w14:textId="7C4A0B89" w:rsidR="00D67EA3" w:rsidRPr="006320B0" w:rsidRDefault="0065298A" w:rsidP="00951F81">
      <w:r w:rsidRPr="006320B0">
        <w:t>Denosumab</w:t>
      </w:r>
      <w:r w:rsidR="00951F81" w:rsidRPr="006320B0">
        <w:t xml:space="preserve"> verhoogde significant de BMD op alle gemeten klinische locaties ten opzichte van de placebogroep na 1, 2 en 3 jaar. </w:t>
      </w:r>
    </w:p>
    <w:p w14:paraId="64DFE667" w14:textId="3FA989BF" w:rsidR="00951F81" w:rsidRPr="006320B0" w:rsidRDefault="0065298A" w:rsidP="00840536">
      <w:pPr>
        <w:widowControl w:val="0"/>
        <w:suppressAutoHyphens/>
      </w:pPr>
      <w:r w:rsidRPr="006320B0">
        <w:t>D</w:t>
      </w:r>
      <w:r w:rsidR="00AF1274" w:rsidRPr="006320B0">
        <w:t>enosumab</w:t>
      </w:r>
      <w:r w:rsidR="00951F81" w:rsidRPr="006320B0">
        <w:t xml:space="preserve"> verhoogde de BMD met 9,2% in de lumbale wervelkolom, met 6,0% in de totale heup, met 4,8% in de femurhals, met 7,9% in de trochanter, met 3,5% in het distale 1/3 deel van de radius en met 4,1% in het gehele lichaam na 3 jaar (alle percentages p &lt; 0,0001).</w:t>
      </w:r>
    </w:p>
    <w:p w14:paraId="7C96DE12" w14:textId="77777777" w:rsidR="00951F81" w:rsidRPr="006320B0" w:rsidRDefault="00951F81" w:rsidP="00840536">
      <w:pPr>
        <w:widowControl w:val="0"/>
        <w:suppressAutoHyphens/>
      </w:pPr>
    </w:p>
    <w:p w14:paraId="42D264E1" w14:textId="77E8CFB5" w:rsidR="00951F81" w:rsidRPr="006320B0" w:rsidRDefault="00951F81" w:rsidP="00840536">
      <w:pPr>
        <w:widowControl w:val="0"/>
        <w:suppressAutoHyphens/>
      </w:pPr>
      <w:r w:rsidRPr="006320B0">
        <w:t xml:space="preserve">In klinische onderzoeken waarin de effecten van staken met </w:t>
      </w:r>
      <w:r w:rsidR="00AF1274" w:rsidRPr="006320B0">
        <w:t>denosumab</w:t>
      </w:r>
      <w:r w:rsidRPr="006320B0">
        <w:t xml:space="preserve"> werden onderzocht, keerde de BMD terug naar ongeveer de waarden van vóór de behandeling en bleven deze boven het niveau van de placebogroep, tot 18 maanden na toediening van de laatste dosis. Deze gegevens geven aan dat voortzetting van de behandeling met </w:t>
      </w:r>
      <w:r w:rsidR="00AF1274" w:rsidRPr="006320B0">
        <w:t>denosumab</w:t>
      </w:r>
      <w:r w:rsidRPr="006320B0">
        <w:t xml:space="preserve"> vereist is om het effect van het geneesmiddel in stand te houden. Opnieuw starten met </w:t>
      </w:r>
      <w:r w:rsidR="00AF1274" w:rsidRPr="006320B0">
        <w:t>denosumab</w:t>
      </w:r>
      <w:r w:rsidRPr="006320B0">
        <w:t xml:space="preserve"> resulteerde in een stijging van BMD die vergelijkbaar was met de stijging die werd bereikt bij de eerste toediening van </w:t>
      </w:r>
      <w:r w:rsidR="00AF1274" w:rsidRPr="006320B0">
        <w:t>denosumab</w:t>
      </w:r>
      <w:r w:rsidRPr="006320B0">
        <w:t>.</w:t>
      </w:r>
    </w:p>
    <w:p w14:paraId="1C74EDD2" w14:textId="77777777" w:rsidR="00951F81" w:rsidRPr="006320B0" w:rsidRDefault="00951F81" w:rsidP="00840536">
      <w:pPr>
        <w:widowControl w:val="0"/>
        <w:suppressAutoHyphens/>
      </w:pPr>
    </w:p>
    <w:p w14:paraId="4CD46236" w14:textId="77777777" w:rsidR="00951F81" w:rsidRPr="006320B0" w:rsidRDefault="00951F81" w:rsidP="00840536">
      <w:pPr>
        <w:widowControl w:val="0"/>
        <w:tabs>
          <w:tab w:val="clear" w:pos="567"/>
        </w:tabs>
        <w:suppressAutoHyphens/>
        <w:rPr>
          <w:i/>
          <w:iCs/>
        </w:rPr>
      </w:pPr>
      <w:r w:rsidRPr="006320B0">
        <w:rPr>
          <w:i/>
        </w:rPr>
        <w:t>Open</w:t>
      </w:r>
      <w:r w:rsidRPr="006320B0">
        <w:rPr>
          <w:i/>
        </w:rPr>
        <w:noBreakHyphen/>
        <w:t>label extensieonderzoek bij de behandeling van postmenopauzale osteoporose</w:t>
      </w:r>
    </w:p>
    <w:p w14:paraId="0AC8920E" w14:textId="0BD8AEF4" w:rsidR="00951F81" w:rsidRPr="006320B0" w:rsidRDefault="00951F81" w:rsidP="00840536">
      <w:pPr>
        <w:widowControl w:val="0"/>
        <w:suppressAutoHyphens/>
      </w:pPr>
      <w:r w:rsidRPr="006320B0">
        <w:t xml:space="preserve">In totaal stemden 4.550 vrouwen (2.343 op </w:t>
      </w:r>
      <w:r w:rsidR="00AF1274" w:rsidRPr="006320B0">
        <w:t>denosumab</w:t>
      </w:r>
      <w:r w:rsidRPr="006320B0">
        <w:t xml:space="preserve"> en 2.207 op placebo), die niet meer dan één dosis onderzoeksgeneesmiddel in het hierboven beschreven hoofdonderzoek hadden gemist en die het maand 36 studiebezoek hadden meegemaakt, in met deelname aan een extensieonderzoek. In dit 7 jaar durende, multinationale, multicenter, open</w:t>
      </w:r>
      <w:r w:rsidRPr="006320B0">
        <w:noBreakHyphen/>
        <w:t xml:space="preserve">label, eenarmige onderzoek werden de werkzaamheid en veiligheid van </w:t>
      </w:r>
      <w:r w:rsidR="00AF1274" w:rsidRPr="006320B0">
        <w:t>denosumab</w:t>
      </w:r>
      <w:r w:rsidRPr="006320B0">
        <w:t xml:space="preserve"> op lange termijn geëvalueerd. Alle vrouwen in het extensieonderzoek zouden elke 6 maanden </w:t>
      </w:r>
      <w:r w:rsidR="00AF1274" w:rsidRPr="006320B0">
        <w:t>denosumab</w:t>
      </w:r>
      <w:r w:rsidRPr="006320B0">
        <w:t xml:space="preserve"> 60 mg krijgen, evenals dagelijks calcium (ten minste 1 g) en vitamine D (ten minste 400 IE). In totaal hebben 2.626 patiënten (58% van de vrouwen geïncludeerd in het extensieonderzoek zijnde 34% van de vrouwen geïncludeerd in het hoofdonderzoek) het extensieonderzoek afgerond.</w:t>
      </w:r>
    </w:p>
    <w:p w14:paraId="4B97CDCB" w14:textId="77777777" w:rsidR="00951F81" w:rsidRPr="006320B0" w:rsidRDefault="00951F81" w:rsidP="00840536">
      <w:pPr>
        <w:widowControl w:val="0"/>
        <w:suppressAutoHyphens/>
      </w:pPr>
    </w:p>
    <w:p w14:paraId="19BED31E" w14:textId="191EEF27" w:rsidR="00951F81" w:rsidRPr="006320B0" w:rsidRDefault="00951F81" w:rsidP="00840536">
      <w:pPr>
        <w:widowControl w:val="0"/>
        <w:suppressAutoHyphens/>
      </w:pPr>
      <w:r w:rsidRPr="006320B0">
        <w:t xml:space="preserve">Bij patiënten die met </w:t>
      </w:r>
      <w:r w:rsidR="00AF1274" w:rsidRPr="006320B0">
        <w:t>denosumab</w:t>
      </w:r>
      <w:r w:rsidRPr="006320B0">
        <w:t xml:space="preserve"> werden behandeld voor een periode tot 10 jaar verhoogde de BMD t.o.v. baseline in het hoofdonderzoek met 21,7% in de lumbale wervelkolom, 9,2% in de totale heup, 9,0% in de femurhals, 13,0% in de trochanter en 2,8% in het distale 1/3 deel van de radius. De gemiddelde BMD T</w:t>
      </w:r>
      <w:r w:rsidRPr="006320B0">
        <w:noBreakHyphen/>
        <w:t>score van de lumbale wervelkolom aan het einde van de studie was -1,3 bij patiënten die gedurende 10 jaar werden behandeld.</w:t>
      </w:r>
    </w:p>
    <w:p w14:paraId="48B5EEBB" w14:textId="77777777" w:rsidR="00951F81" w:rsidRPr="006320B0" w:rsidRDefault="00951F81" w:rsidP="00840536">
      <w:pPr>
        <w:widowControl w:val="0"/>
        <w:suppressAutoHyphens/>
      </w:pPr>
    </w:p>
    <w:p w14:paraId="069444B1" w14:textId="77777777" w:rsidR="00951F81" w:rsidRPr="006320B0" w:rsidRDefault="00951F81" w:rsidP="00840536">
      <w:pPr>
        <w:widowControl w:val="0"/>
        <w:suppressAutoHyphens/>
      </w:pPr>
      <w:r w:rsidRPr="006320B0">
        <w:t>De incidentie van fracturen werd als veiligheidseindpunt geëvalueerd, maar de werkzaamheid op het gebied van fractuurpreventie kan niet worden ingeschat door het grote aantal patiënten dat stopte en de open</w:t>
      </w:r>
      <w:r w:rsidRPr="006320B0">
        <w:noBreakHyphen/>
        <w:t>label onderzoeksopzet. De cumulatieve incidentie van nieuwe wervel- en niet</w:t>
      </w:r>
      <w:r w:rsidRPr="006320B0">
        <w:noBreakHyphen/>
        <w:t>wervelfracturen was respectievelijk ongeveer 6,8% en 13,1% bij patiënten die onder behandeling met denosumab bleven gedurende 10 jaar (n = 1.278). Patiënten die de studie niet afmaakten omwille van welke reden dan ook hadden een hoger fractuurpercentage.</w:t>
      </w:r>
    </w:p>
    <w:p w14:paraId="011BFC18" w14:textId="77777777" w:rsidR="00951F81" w:rsidRPr="006320B0" w:rsidRDefault="00951F81" w:rsidP="00840536">
      <w:pPr>
        <w:widowControl w:val="0"/>
        <w:suppressAutoHyphens/>
      </w:pPr>
    </w:p>
    <w:p w14:paraId="29A2C444" w14:textId="77777777" w:rsidR="00951F81" w:rsidRPr="006320B0" w:rsidRDefault="00951F81" w:rsidP="00840536">
      <w:pPr>
        <w:widowControl w:val="0"/>
        <w:suppressAutoHyphens/>
      </w:pPr>
      <w:r w:rsidRPr="006320B0">
        <w:t>Dertien toegewezen gevallen van osteonecrose van de kaak (ONJ) en twee toegewezen gevallen van atypische femurfracturen deden zich voor tijdens het extensieonderzoek.</w:t>
      </w:r>
    </w:p>
    <w:p w14:paraId="64502A3C" w14:textId="77777777" w:rsidR="00951F81" w:rsidRPr="006320B0" w:rsidRDefault="00951F81" w:rsidP="00840536">
      <w:pPr>
        <w:widowControl w:val="0"/>
        <w:suppressAutoHyphens/>
      </w:pPr>
    </w:p>
    <w:p w14:paraId="72713AB7" w14:textId="77777777" w:rsidR="00951F81" w:rsidRPr="006320B0" w:rsidRDefault="00951F81" w:rsidP="00840536">
      <w:pPr>
        <w:widowControl w:val="0"/>
        <w:suppressAutoHyphens/>
        <w:rPr>
          <w:u w:val="single"/>
        </w:rPr>
      </w:pPr>
      <w:r w:rsidRPr="006320B0">
        <w:rPr>
          <w:u w:val="single"/>
        </w:rPr>
        <w:t>Klinische werkzaamheid en veiligheid bij mannen met osteoporose</w:t>
      </w:r>
    </w:p>
    <w:p w14:paraId="7CE66AD3" w14:textId="77777777" w:rsidR="00951F81" w:rsidRPr="006320B0" w:rsidRDefault="00951F81" w:rsidP="00840536">
      <w:pPr>
        <w:widowControl w:val="0"/>
        <w:suppressAutoHyphens/>
      </w:pPr>
    </w:p>
    <w:p w14:paraId="2E9D13AB" w14:textId="65940C53" w:rsidR="00951F81" w:rsidRPr="006320B0" w:rsidRDefault="00951F81" w:rsidP="00840536">
      <w:pPr>
        <w:widowControl w:val="0"/>
        <w:suppressAutoHyphens/>
      </w:pPr>
      <w:r w:rsidRPr="006320B0">
        <w:t xml:space="preserve">De werkzaamheid en veiligheid van </w:t>
      </w:r>
      <w:r w:rsidR="00AF1274" w:rsidRPr="006320B0">
        <w:t>denosumab</w:t>
      </w:r>
      <w:r w:rsidRPr="006320B0">
        <w:t>, eenmaal per 6 maanden toegediend gedurende 1 jaar, zijn onderzocht bij 242 mannen in de leeftijd van 31</w:t>
      </w:r>
      <w:r w:rsidRPr="006320B0">
        <w:noBreakHyphen/>
        <w:t>84 jaar. Patiënten met een eGFR &lt;30 ml/min/1,73 m</w:t>
      </w:r>
      <w:r w:rsidRPr="006320B0">
        <w:rPr>
          <w:vertAlign w:val="superscript"/>
        </w:rPr>
        <w:t>2</w:t>
      </w:r>
      <w:r w:rsidRPr="006320B0">
        <w:t xml:space="preserve"> werden uitgesloten van de studie. Alle mannen kregen dagelijks suppletie met calcium (ten minste 1.000 mg) en vitamine D (ten minste 800 IE).</w:t>
      </w:r>
    </w:p>
    <w:p w14:paraId="5B085A11" w14:textId="77777777" w:rsidR="00951F81" w:rsidRPr="006320B0" w:rsidRDefault="00951F81" w:rsidP="00840536">
      <w:pPr>
        <w:widowControl w:val="0"/>
        <w:suppressAutoHyphens/>
      </w:pPr>
    </w:p>
    <w:p w14:paraId="6A741AEF" w14:textId="435AC986" w:rsidR="00951F81" w:rsidRPr="006320B0" w:rsidRDefault="00951F81" w:rsidP="00840536">
      <w:pPr>
        <w:widowControl w:val="0"/>
        <w:suppressAutoHyphens/>
      </w:pPr>
      <w:r w:rsidRPr="006320B0">
        <w:t>De primaire werkzaamheidsvariabele was de procentuele verandering in de BMD van de lumbale wervelkolom. De werkzaamheid t.a.v.</w:t>
      </w:r>
      <w:r w:rsidR="008C7431">
        <w:t xml:space="preserve"> </w:t>
      </w:r>
      <w:r w:rsidRPr="006320B0">
        <w:t xml:space="preserve">fractuurpreventie werd niet geëvalueerd. </w:t>
      </w:r>
      <w:r w:rsidR="0065298A" w:rsidRPr="006320B0">
        <w:t>D</w:t>
      </w:r>
      <w:r w:rsidR="00AF1274" w:rsidRPr="006320B0">
        <w:t>enosumab</w:t>
      </w:r>
      <w:r w:rsidRPr="006320B0">
        <w:t xml:space="preserve"> verhoogde significant de BMD op alle gemeten klinische locaties ten opzichte van de placebogroep na 12 maanden: 4,8% in de lumbale wervelkolom, 2,0% bij de totale heup, 2,2% bij de femurhals, 2,3% bij de trochanter, en 0,9% in het distale 1/3 deel van de radius (alle p &lt; 0,05). </w:t>
      </w:r>
      <w:r w:rsidR="0065298A" w:rsidRPr="006320B0">
        <w:t>D</w:t>
      </w:r>
      <w:r w:rsidR="00AF1274" w:rsidRPr="006320B0">
        <w:t>enosumab</w:t>
      </w:r>
      <w:r w:rsidRPr="006320B0">
        <w:t xml:space="preserve"> verhoogde de BMD van de lumbale wervelkolom ten opzichte van baseline bij 94,7% van de mannen na 1 jaar. Aanzienlijke toenames van de BMD van de lumbale wervelkolom, totale heup, femurhals en trochanter werden waargenomen na 6 maanden (p &lt; 0,0001).</w:t>
      </w:r>
    </w:p>
    <w:p w14:paraId="033A3E16" w14:textId="77777777" w:rsidR="00951F81" w:rsidRPr="006320B0" w:rsidRDefault="00951F81" w:rsidP="00840536">
      <w:pPr>
        <w:widowControl w:val="0"/>
        <w:suppressAutoHyphens/>
      </w:pPr>
    </w:p>
    <w:p w14:paraId="6C6C7DBF" w14:textId="77777777" w:rsidR="00951F81" w:rsidRPr="006320B0" w:rsidRDefault="00951F81" w:rsidP="00840536">
      <w:pPr>
        <w:widowControl w:val="0"/>
        <w:suppressAutoHyphens/>
        <w:rPr>
          <w:u w:val="single"/>
        </w:rPr>
      </w:pPr>
      <w:r w:rsidRPr="006320B0">
        <w:rPr>
          <w:u w:val="single"/>
        </w:rPr>
        <w:t>Bothistologie bij postmenopauzale vrouwen en mannen met osteoporose</w:t>
      </w:r>
    </w:p>
    <w:p w14:paraId="19210B97" w14:textId="77777777" w:rsidR="00951F81" w:rsidRPr="006320B0" w:rsidRDefault="00951F81" w:rsidP="00840536">
      <w:pPr>
        <w:widowControl w:val="0"/>
        <w:suppressAutoHyphens/>
      </w:pPr>
    </w:p>
    <w:p w14:paraId="23C66C5C" w14:textId="2EFA6FBE" w:rsidR="00951F81" w:rsidRPr="006320B0" w:rsidRDefault="00951F81" w:rsidP="00840536">
      <w:pPr>
        <w:widowControl w:val="0"/>
        <w:suppressAutoHyphens/>
      </w:pPr>
      <w:r w:rsidRPr="006320B0">
        <w:t>Bothistologie werd bij 62 postmenopauzale vrouwen met osteoporose of met een lage botmassa geëvalueerd. Deze vrouwen hadden nog geen therapie voor osteoporose gehad of waren overgezet van een eerdere behandeling met alendroninezuur na 1</w:t>
      </w:r>
      <w:r w:rsidRPr="006320B0">
        <w:noBreakHyphen/>
        <w:t xml:space="preserve">3 jaar behandeling met </w:t>
      </w:r>
      <w:r w:rsidR="00AF1274" w:rsidRPr="006320B0">
        <w:t>denosumab</w:t>
      </w:r>
      <w:r w:rsidRPr="006320B0">
        <w:t xml:space="preserve">. 59 vrouwen namen deel aan de botbiopsie substudie in maand 24 (n = 41) en/of maand 84 (n = 22) van het extensieonderzoek in postmenopauzale vrouwen met osteoporose. Bothistologie werd ook geëvalueerd bij 17 mannen met osteoporose na 1 jaar behandeling met </w:t>
      </w:r>
      <w:r w:rsidR="00AF1274" w:rsidRPr="006320B0">
        <w:t>denosumab</w:t>
      </w:r>
      <w:r w:rsidRPr="006320B0">
        <w:t xml:space="preserve">. Resultaten van een botbiopsie lieten bot van een normale structuur en kwaliteit zien, zonder aanwijzingen voor mineralisatiedefecten, ‘woven bone’ of myelofibrose. Histomorfometrische bevindingen in het extensieonderzoek in postmenopauzale vrouwen met osteoporose lieten zien dat de antiresorptieve effecten van </w:t>
      </w:r>
      <w:r w:rsidR="00AF1274" w:rsidRPr="006320B0">
        <w:t>denosumab</w:t>
      </w:r>
      <w:r w:rsidRPr="006320B0">
        <w:t>, gemeten door middel van de activeringsfrequentie en botvormingssnelheid, gehandhaafd bleven in de tijd.</w:t>
      </w:r>
    </w:p>
    <w:p w14:paraId="0E37CA5C" w14:textId="77777777" w:rsidR="00951F81" w:rsidRPr="006320B0" w:rsidRDefault="00951F81" w:rsidP="00840536">
      <w:pPr>
        <w:widowControl w:val="0"/>
        <w:suppressAutoHyphens/>
      </w:pPr>
    </w:p>
    <w:p w14:paraId="0D5AE319" w14:textId="77777777" w:rsidR="00951F81" w:rsidRPr="006320B0" w:rsidRDefault="00951F81" w:rsidP="00840536">
      <w:pPr>
        <w:widowControl w:val="0"/>
        <w:suppressAutoHyphens/>
        <w:rPr>
          <w:u w:val="single"/>
        </w:rPr>
      </w:pPr>
      <w:r w:rsidRPr="006320B0">
        <w:rPr>
          <w:u w:val="single"/>
        </w:rPr>
        <w:t>Klinische werkzaamheid en veiligheid bij patiënten met botverlies bij Androgeen Deprivatie Therapie</w:t>
      </w:r>
    </w:p>
    <w:p w14:paraId="72C6E7FB" w14:textId="77777777" w:rsidR="00951F81" w:rsidRPr="006320B0" w:rsidRDefault="00951F81" w:rsidP="00840536">
      <w:pPr>
        <w:widowControl w:val="0"/>
        <w:suppressAutoHyphens/>
      </w:pPr>
    </w:p>
    <w:p w14:paraId="53BE8756" w14:textId="589DA2A4" w:rsidR="00951F81" w:rsidRPr="006320B0" w:rsidRDefault="00951F81" w:rsidP="00840536">
      <w:pPr>
        <w:widowControl w:val="0"/>
        <w:suppressAutoHyphens/>
      </w:pPr>
      <w:r w:rsidRPr="006320B0">
        <w:t xml:space="preserve">De werkzaamheid en veiligheid van </w:t>
      </w:r>
      <w:r w:rsidR="00AF1274" w:rsidRPr="006320B0">
        <w:t>denosumab</w:t>
      </w:r>
      <w:r w:rsidRPr="006320B0">
        <w:t xml:space="preserve"> eenmaal per 6 maanden toegediend gedurende 3 jaar, zijn onderzocht bij mannen met histologisch bevestigde niet</w:t>
      </w:r>
      <w:r w:rsidRPr="006320B0">
        <w:noBreakHyphen/>
        <w:t>gemetastaseerde prostaatkanker die ADT kregen (1.468 mannen met een leeftijd van 48</w:t>
      </w:r>
      <w:r w:rsidRPr="006320B0">
        <w:noBreakHyphen/>
        <w:t>97 jaar), die een verhoogd risico liepen op fracturen (gedefinieerd als &gt; 70 jaar of &lt; 70 jaar met een BMD T</w:t>
      </w:r>
      <w:r w:rsidRPr="006320B0">
        <w:noBreakHyphen/>
        <w:t>score in de lumbale wervelkolom, totale heup of femurhals &lt; </w:t>
      </w:r>
      <w:r w:rsidRPr="006320B0">
        <w:noBreakHyphen/>
        <w:t>1,0 of met een anamnese met osteoporotische fractuur). Alle mannen kregen dagelijks suppletie met calcium (ten minste 1.000 mg) en vitamine D (ten minste 400 IE).</w:t>
      </w:r>
    </w:p>
    <w:p w14:paraId="4F5AD186" w14:textId="77777777" w:rsidR="00951F81" w:rsidRPr="006320B0" w:rsidRDefault="00951F81" w:rsidP="00840536">
      <w:pPr>
        <w:widowControl w:val="0"/>
        <w:suppressAutoHyphens/>
      </w:pPr>
    </w:p>
    <w:p w14:paraId="6A24CF01" w14:textId="32754685" w:rsidR="00951F81" w:rsidRPr="006320B0" w:rsidRDefault="0065298A" w:rsidP="00840536">
      <w:pPr>
        <w:widowControl w:val="0"/>
        <w:suppressAutoHyphens/>
      </w:pPr>
      <w:r w:rsidRPr="006320B0">
        <w:t>D</w:t>
      </w:r>
      <w:r w:rsidR="00AF1274" w:rsidRPr="006320B0">
        <w:t>enosumab</w:t>
      </w:r>
      <w:r w:rsidR="00951F81" w:rsidRPr="006320B0">
        <w:t xml:space="preserve"> verhoogde significant de BMD op alle gemeten klinische locaties ten opzichte van een behandeling met placebo gedurende 3 jaar: met 7,9% in de lumbale wervelkolom, met 5,7% in de totale heup, met 4,9% in de femurhals, met 6,9% in de trochanter, met 6,9% in het distale 1/3 deel van de radius en met 4,7% in het gehele lichaam (alle percentages p &lt; 0,0001). In een prospectief geplande exploratieve analyse werden 1 maand na de eerste dosis significante verhogingen van de BMD waargenomen in de lumbale wervelkolom, totale heup, femurhals en trochanter.</w:t>
      </w:r>
    </w:p>
    <w:p w14:paraId="21264496" w14:textId="77777777" w:rsidR="00951F81" w:rsidRPr="006320B0" w:rsidRDefault="00951F81" w:rsidP="00840536">
      <w:pPr>
        <w:widowControl w:val="0"/>
        <w:suppressAutoHyphens/>
      </w:pPr>
    </w:p>
    <w:p w14:paraId="5422058F" w14:textId="581F2718" w:rsidR="00951F81" w:rsidRPr="006320B0" w:rsidRDefault="0065298A" w:rsidP="00840536">
      <w:pPr>
        <w:widowControl w:val="0"/>
        <w:suppressAutoHyphens/>
      </w:pPr>
      <w:r w:rsidRPr="006320B0">
        <w:t>D</w:t>
      </w:r>
      <w:r w:rsidR="00AF1274" w:rsidRPr="006320B0">
        <w:t>enosumab</w:t>
      </w:r>
      <w:r w:rsidR="00951F81" w:rsidRPr="006320B0">
        <w:t xml:space="preserve"> liet een significante reductie van het relatieve risico op nieuwe wervelfracturen zien: 85% (1,6% reductie van het absolute risico) na 1 jaar, 69% (2,2% reductie van het absolute risico) na 2 jaar en 62% (2,4% reductie van het absolute risico) na 3 jaar (alle percentages p &lt; 0,01).</w:t>
      </w:r>
    </w:p>
    <w:p w14:paraId="383C1B56" w14:textId="77777777" w:rsidR="00951F81" w:rsidRPr="006320B0" w:rsidRDefault="00951F81" w:rsidP="00840536">
      <w:pPr>
        <w:widowControl w:val="0"/>
        <w:suppressAutoHyphens/>
      </w:pPr>
    </w:p>
    <w:p w14:paraId="74F18AA8" w14:textId="77777777" w:rsidR="00951F81" w:rsidRPr="006320B0" w:rsidRDefault="00951F81" w:rsidP="00840536">
      <w:pPr>
        <w:widowControl w:val="0"/>
        <w:suppressAutoHyphens/>
        <w:rPr>
          <w:u w:val="single"/>
        </w:rPr>
      </w:pPr>
      <w:r w:rsidRPr="006320B0">
        <w:rPr>
          <w:u w:val="single"/>
        </w:rPr>
        <w:t>Klinische werkzaamheid en veiligheid bij patiënten met botverlies geassocieerd met adjuvante behandeling met een aromataseremmer</w:t>
      </w:r>
    </w:p>
    <w:p w14:paraId="716135C1" w14:textId="77777777" w:rsidR="00951F81" w:rsidRPr="006320B0" w:rsidRDefault="00951F81" w:rsidP="00840536">
      <w:pPr>
        <w:widowControl w:val="0"/>
        <w:suppressAutoHyphens/>
      </w:pPr>
    </w:p>
    <w:p w14:paraId="39582E84" w14:textId="3E2BA833" w:rsidR="00951F81" w:rsidRPr="006320B0" w:rsidRDefault="00951F81" w:rsidP="00840536">
      <w:pPr>
        <w:widowControl w:val="0"/>
        <w:suppressAutoHyphens/>
      </w:pPr>
      <w:r w:rsidRPr="006320B0">
        <w:t xml:space="preserve">De werkzaamheid en veiligheid van </w:t>
      </w:r>
      <w:r w:rsidR="00AF1274" w:rsidRPr="006320B0">
        <w:t>denosumab</w:t>
      </w:r>
      <w:r w:rsidRPr="006320B0">
        <w:t xml:space="preserve"> eenmaal per 6 maanden toegediend gedurende 2 jaar werden onderzocht bij vrouwen met niet</w:t>
      </w:r>
      <w:r w:rsidRPr="006320B0">
        <w:noBreakHyphen/>
        <w:t>gemetastaseerde borstkanker (252 vrouwen met een leeftijd van 35</w:t>
      </w:r>
      <w:r w:rsidRPr="006320B0">
        <w:noBreakHyphen/>
        <w:t>84 jaar) en een BMD T</w:t>
      </w:r>
      <w:r w:rsidRPr="006320B0">
        <w:noBreakHyphen/>
        <w:t>score op de baseline tussen -1,0 en -2,5 in de lumbale wervelkolom, totale heup of femurhals. Alle vrouwen kregen dagelijks suppletie met calcium (ten minste 1.000 mg) en vitamine D (ten minste 400 IE).</w:t>
      </w:r>
    </w:p>
    <w:p w14:paraId="06FD4C1B" w14:textId="77777777" w:rsidR="00951F81" w:rsidRPr="006320B0" w:rsidRDefault="00951F81" w:rsidP="00840536">
      <w:pPr>
        <w:widowControl w:val="0"/>
        <w:suppressAutoHyphens/>
      </w:pPr>
    </w:p>
    <w:p w14:paraId="3E5D6C98" w14:textId="2BE07642" w:rsidR="00951F81" w:rsidRPr="006320B0" w:rsidRDefault="00951F81" w:rsidP="00840536">
      <w:pPr>
        <w:widowControl w:val="0"/>
        <w:suppressAutoHyphens/>
      </w:pPr>
      <w:r w:rsidRPr="006320B0">
        <w:t xml:space="preserve">De primaire werkzaamheidvariabele was het percentage verandering van BMD in de lumbale wervelkolom, terwijl de werkzaamheid qua fracturen niet is beoordeeld. </w:t>
      </w:r>
      <w:r w:rsidR="00AF1274" w:rsidRPr="006320B0">
        <w:t>denosumab</w:t>
      </w:r>
      <w:r w:rsidRPr="006320B0">
        <w:t xml:space="preserve"> verhoogde significant de BMD op alle gemeten klinische locaties ten opzichte van een behandeling met placebo gedurende 2 jaar: met 7,6% in de lumbale wervelkolom, met 4,7% in de totale heup, met 3,6% in de femurhals, met 5,9% in de trochanter, met 6,1% in het distale 1/3 deel van de radius en met 4,2% in het gehele lichaam (alle percentages p &lt; 0,0001).</w:t>
      </w:r>
    </w:p>
    <w:p w14:paraId="211BD352" w14:textId="77777777" w:rsidR="00951F81" w:rsidRPr="006320B0" w:rsidRDefault="00951F81" w:rsidP="00840536">
      <w:pPr>
        <w:widowControl w:val="0"/>
        <w:suppressAutoHyphens/>
      </w:pPr>
    </w:p>
    <w:p w14:paraId="4386AAEF" w14:textId="77777777" w:rsidR="00951F81" w:rsidRPr="006320B0" w:rsidRDefault="00951F81" w:rsidP="00840536">
      <w:pPr>
        <w:widowControl w:val="0"/>
        <w:suppressAutoHyphens/>
        <w:rPr>
          <w:u w:val="single"/>
        </w:rPr>
      </w:pPr>
      <w:r w:rsidRPr="006320B0">
        <w:rPr>
          <w:u w:val="single"/>
        </w:rPr>
        <w:t>Behandeling van botverlies gerelateerd aan systemische glucocorticoïde therapie</w:t>
      </w:r>
    </w:p>
    <w:p w14:paraId="20586ADE" w14:textId="77777777" w:rsidR="00951F81" w:rsidRPr="006320B0" w:rsidRDefault="00951F81" w:rsidP="00840536">
      <w:pPr>
        <w:widowControl w:val="0"/>
        <w:suppressAutoHyphens/>
      </w:pPr>
    </w:p>
    <w:p w14:paraId="7B088A88" w14:textId="5D2591A0" w:rsidR="00951F81" w:rsidRPr="006320B0" w:rsidRDefault="00951F81" w:rsidP="00840536">
      <w:pPr>
        <w:widowControl w:val="0"/>
        <w:suppressAutoHyphens/>
      </w:pPr>
      <w:r w:rsidRPr="006320B0">
        <w:t xml:space="preserve">De werkzaamheid en veiligheid van </w:t>
      </w:r>
      <w:r w:rsidR="00AF1274" w:rsidRPr="006320B0">
        <w:t>denosumab</w:t>
      </w:r>
      <w:r w:rsidRPr="006320B0">
        <w:t xml:space="preserve"> werden onderzocht bij 795 patiënten (70% vrouwen en 30% mannen) met een leeftijd van 20 tot 94 jaar die werden behandeld met ≥ 7,5 mg oraal ingenomen prednison per dag (of een equivalent daarvan).</w:t>
      </w:r>
    </w:p>
    <w:p w14:paraId="11B772FA" w14:textId="77777777" w:rsidR="00951F81" w:rsidRPr="006320B0" w:rsidRDefault="00951F81" w:rsidP="00840536">
      <w:pPr>
        <w:widowControl w:val="0"/>
        <w:suppressAutoHyphens/>
      </w:pPr>
    </w:p>
    <w:p w14:paraId="45C2A621" w14:textId="05508431" w:rsidR="00951F81" w:rsidRPr="006320B0" w:rsidRDefault="00951F81" w:rsidP="00840536">
      <w:pPr>
        <w:widowControl w:val="0"/>
        <w:suppressAutoHyphens/>
      </w:pPr>
      <w:r w:rsidRPr="006320B0">
        <w:t>Er werden twee subpopulaties bestudeerd: glucocorticoïde</w:t>
      </w:r>
      <w:r w:rsidRPr="006320B0">
        <w:noBreakHyphen/>
        <w:t>voortzetting (≥ 7,5 mg prednison per dag of een equivalent daarvan gedurende ≥ 3 maanden voorafgaand aan deelname aan de studie; n = 505) en glucocorticoïde</w:t>
      </w:r>
      <w:r w:rsidRPr="006320B0">
        <w:noBreakHyphen/>
        <w:t xml:space="preserve">initiatie (≥ 7,5 mg prednison per dag of een equivalent daarvan gedurende &lt; 3 maanden voorafgaand aan deelname aan de studie; n = 290). De patiënten werden gerandomiseerd (1:1) naar ofwel 60 mg </w:t>
      </w:r>
      <w:r w:rsidR="00AF1274" w:rsidRPr="006320B0">
        <w:t>denosumab</w:t>
      </w:r>
      <w:r w:rsidRPr="006320B0">
        <w:t xml:space="preserve"> subcutaan eenmaal per 6 maanden ofwel 5 mg risedronaat oraal eenmaal per dag (actieve controle) gedurende 2 jaar. De patiënten kregen dagelijks een supplement met calcium (minimaal 1.000 mg) en vitamine D (minimaal 800 IE).</w:t>
      </w:r>
    </w:p>
    <w:p w14:paraId="576C1A80" w14:textId="77777777" w:rsidR="00951F81" w:rsidRPr="006320B0" w:rsidRDefault="00951F81" w:rsidP="00840536">
      <w:pPr>
        <w:widowControl w:val="0"/>
        <w:suppressAutoHyphens/>
      </w:pPr>
    </w:p>
    <w:p w14:paraId="69418A85" w14:textId="77777777" w:rsidR="00951F81" w:rsidRPr="006320B0" w:rsidRDefault="00951F81" w:rsidP="00840536">
      <w:pPr>
        <w:widowControl w:val="0"/>
        <w:tabs>
          <w:tab w:val="clear" w:pos="567"/>
        </w:tabs>
        <w:suppressAutoHyphens/>
        <w:rPr>
          <w:i/>
          <w:iCs/>
        </w:rPr>
      </w:pPr>
      <w:r w:rsidRPr="006320B0">
        <w:rPr>
          <w:i/>
        </w:rPr>
        <w:t>Effect op de botmineraaldichtheid (BMD)</w:t>
      </w:r>
    </w:p>
    <w:p w14:paraId="126C1159" w14:textId="1DBA0F4F" w:rsidR="00951F81" w:rsidRPr="006320B0" w:rsidRDefault="00951F81" w:rsidP="00840536">
      <w:pPr>
        <w:widowControl w:val="0"/>
        <w:suppressAutoHyphens/>
      </w:pPr>
      <w:r w:rsidRPr="006320B0">
        <w:t>In de subpopulatie glucocorticoïd</w:t>
      </w:r>
      <w:r w:rsidRPr="006320B0">
        <w:noBreakHyphen/>
        <w:t xml:space="preserve">voortzetting werd bij </w:t>
      </w:r>
      <w:r w:rsidR="00AF1274" w:rsidRPr="006320B0">
        <w:t>denosumab</w:t>
      </w:r>
      <w:r w:rsidRPr="006320B0">
        <w:t xml:space="preserve"> een grotere toename in BMD in de lumbale wervelkolom waargenomen dan bij risedronaat na 1 jaar (</w:t>
      </w:r>
      <w:r w:rsidR="00AF1274" w:rsidRPr="006320B0">
        <w:t>denosumab</w:t>
      </w:r>
      <w:r w:rsidRPr="006320B0">
        <w:t xml:space="preserve"> 3,6%, risedronaat 2,0%; p &lt; 0,001) en na 2 jaar (</w:t>
      </w:r>
      <w:r w:rsidR="00AF1274" w:rsidRPr="006320B0">
        <w:t>denosumab</w:t>
      </w:r>
      <w:r w:rsidRPr="006320B0">
        <w:t xml:space="preserve"> 4,5%, risedronaat 2,2%; p &lt; 0,001). In de subpopulatie glucocorticoïd</w:t>
      </w:r>
      <w:r w:rsidRPr="006320B0">
        <w:noBreakHyphen/>
        <w:t xml:space="preserve">initiatie werd bij </w:t>
      </w:r>
      <w:r w:rsidR="00AF1274" w:rsidRPr="006320B0">
        <w:t>denosumab</w:t>
      </w:r>
      <w:r w:rsidRPr="006320B0">
        <w:t xml:space="preserve"> een grotere toename in BMD in de lumbale wervelkolom waargenomen dan bij risedronaat na 1 jaar (</w:t>
      </w:r>
      <w:r w:rsidR="00AF1274" w:rsidRPr="006320B0">
        <w:t>denosumab</w:t>
      </w:r>
      <w:r w:rsidRPr="006320B0">
        <w:t xml:space="preserve"> 3,1%, risedronaat 0,8%; p &lt; 0,001) en na 2 jaar (</w:t>
      </w:r>
      <w:r w:rsidR="00AF1274" w:rsidRPr="006320B0">
        <w:t>denosumab</w:t>
      </w:r>
      <w:r w:rsidRPr="006320B0">
        <w:t xml:space="preserve"> 4,6%, risedronaat 1,5%; p &lt; 0,001).</w:t>
      </w:r>
    </w:p>
    <w:p w14:paraId="56E22E91" w14:textId="77777777" w:rsidR="00951F81" w:rsidRPr="006320B0" w:rsidRDefault="00951F81" w:rsidP="00840536">
      <w:pPr>
        <w:widowControl w:val="0"/>
        <w:suppressAutoHyphens/>
      </w:pPr>
    </w:p>
    <w:p w14:paraId="3E214319" w14:textId="05EA02E0" w:rsidR="00951F81" w:rsidRPr="006320B0" w:rsidRDefault="00951F81" w:rsidP="00840536">
      <w:pPr>
        <w:widowControl w:val="0"/>
        <w:suppressAutoHyphens/>
      </w:pPr>
      <w:r w:rsidRPr="006320B0">
        <w:t xml:space="preserve">Bovendien werd bij </w:t>
      </w:r>
      <w:r w:rsidR="00AF1274" w:rsidRPr="006320B0">
        <w:t>denosumab</w:t>
      </w:r>
      <w:r w:rsidRPr="006320B0">
        <w:t xml:space="preserve"> een significant grotere gemiddelde procentuele toename in BMD ten opzichte van de baseline gezien dan bij risedronaat in de totale heup, femurhals en trochanter.</w:t>
      </w:r>
    </w:p>
    <w:p w14:paraId="1D17E86E" w14:textId="77777777" w:rsidR="00951F81" w:rsidRPr="006320B0" w:rsidRDefault="00951F81" w:rsidP="00840536">
      <w:pPr>
        <w:widowControl w:val="0"/>
        <w:suppressAutoHyphens/>
      </w:pPr>
    </w:p>
    <w:p w14:paraId="393C8F57" w14:textId="77777777" w:rsidR="00951F81" w:rsidRPr="006320B0" w:rsidRDefault="00951F81" w:rsidP="00840536">
      <w:pPr>
        <w:widowControl w:val="0"/>
        <w:suppressAutoHyphens/>
      </w:pPr>
      <w:r w:rsidRPr="006320B0">
        <w:t>De studie bood geen mogelijkheden om een verschil in fracturen aan te tonen. Na 1 jaar bedroeg de incidentie onder de proefpersonen van nieuwe radiologische wervelfracturen 2,7% (denosumab) versus 3,2% (risedronaat). De incidentie onder de proefpersonen van niet-wervelfracturen bedroeg 4,3% (denosumab) versus 2,5% (risedronaat). Na 2 jaar waren deze cijfers respectievelijk 4,1% versus 5,8% voor nieuwe radiologische wervelfracturen en 5,3% versus 3,8% voor niet-wervelfracturen. De meeste fracturen traden op in de subpopulatie glucocorticoïd</w:t>
      </w:r>
      <w:r w:rsidRPr="006320B0">
        <w:noBreakHyphen/>
        <w:t>voortzetting.</w:t>
      </w:r>
    </w:p>
    <w:p w14:paraId="6353CC1A" w14:textId="77777777" w:rsidR="00951F81" w:rsidRPr="006320B0" w:rsidRDefault="00951F81" w:rsidP="00840536">
      <w:pPr>
        <w:widowControl w:val="0"/>
        <w:suppressAutoHyphens/>
      </w:pPr>
    </w:p>
    <w:p w14:paraId="20C9F6EF" w14:textId="77777777" w:rsidR="00951F81" w:rsidRPr="006320B0" w:rsidRDefault="00951F81" w:rsidP="00840536">
      <w:pPr>
        <w:widowControl w:val="0"/>
        <w:suppressAutoHyphens/>
        <w:rPr>
          <w:u w:val="single"/>
        </w:rPr>
      </w:pPr>
      <w:r w:rsidRPr="006320B0">
        <w:rPr>
          <w:u w:val="single"/>
        </w:rPr>
        <w:t>Pediatrische patiënten</w:t>
      </w:r>
    </w:p>
    <w:p w14:paraId="7F130177" w14:textId="77777777" w:rsidR="00951F81" w:rsidRPr="006320B0" w:rsidRDefault="00951F81" w:rsidP="00840536">
      <w:pPr>
        <w:widowControl w:val="0"/>
        <w:suppressAutoHyphens/>
      </w:pPr>
    </w:p>
    <w:p w14:paraId="172C3FD9" w14:textId="5B1F71F6" w:rsidR="00951F81" w:rsidRPr="006320B0" w:rsidRDefault="00951F81" w:rsidP="00840536">
      <w:pPr>
        <w:widowControl w:val="0"/>
        <w:suppressAutoHyphens/>
      </w:pPr>
      <w:r w:rsidRPr="006320B0">
        <w:t>In een eenarmig fase </w:t>
      </w:r>
      <w:r w:rsidR="009F7882" w:rsidRPr="006320B0">
        <w:t>III</w:t>
      </w:r>
      <w:r w:rsidRPr="006320B0">
        <w:noBreakHyphen/>
        <w:t>onderzoek werden de werkzaamheid, veiligheid en farmacokinetiek beoordeeld bij kinderen met osteogenesis imperfecta, in de leeftijd van 2 tot 17 jaar, waarvan 52,3% man en 88,2% wit. In eerste instantie kregen in totaal 153 patiënten denosumab subcutaan toegediend met 1 mg/kg, tot maximaal 60 mg, om de 6 maanden gedurende 36 maanden. Zestig patiënten stapten over naar een dosering om de 3 maanden.</w:t>
      </w:r>
    </w:p>
    <w:p w14:paraId="179A2700" w14:textId="77777777" w:rsidR="00951F81" w:rsidRPr="006320B0" w:rsidRDefault="00951F81" w:rsidP="00840536">
      <w:pPr>
        <w:widowControl w:val="0"/>
        <w:suppressAutoHyphens/>
      </w:pPr>
    </w:p>
    <w:p w14:paraId="0FD6E333" w14:textId="37EE5E47" w:rsidR="00951F81" w:rsidRPr="006320B0" w:rsidRDefault="00951F81" w:rsidP="00840536">
      <w:pPr>
        <w:widowControl w:val="0"/>
        <w:suppressAutoHyphens/>
      </w:pPr>
      <w:r w:rsidRPr="006320B0">
        <w:t>In maand 12 van elke dosering om de 3 maanden was de verandering ten opzichte van de baseline van het kleinstekwadratengemiddelde (standaardfout [</w:t>
      </w:r>
      <w:r w:rsidRPr="006320B0">
        <w:rPr>
          <w:i/>
        </w:rPr>
        <w:t>standard error</w:t>
      </w:r>
      <w:r w:rsidRPr="006320B0">
        <w:t xml:space="preserve"> – SE]) van de Z-score voor BMD in de lumbale wervelkolom 1,01 (0,12).</w:t>
      </w:r>
    </w:p>
    <w:p w14:paraId="41D6D7D8" w14:textId="77777777" w:rsidR="00951F81" w:rsidRPr="006320B0" w:rsidRDefault="00951F81" w:rsidP="00840536">
      <w:pPr>
        <w:widowControl w:val="0"/>
        <w:suppressAutoHyphens/>
      </w:pPr>
    </w:p>
    <w:p w14:paraId="6A235BC6" w14:textId="524534EF" w:rsidR="00951F81" w:rsidRPr="006320B0" w:rsidRDefault="00951F81" w:rsidP="00840536">
      <w:pPr>
        <w:widowControl w:val="0"/>
        <w:suppressAutoHyphens/>
      </w:pPr>
      <w:r w:rsidRPr="006320B0">
        <w:t>De meest voorkomende bijwerkingen die werden gemeld tijdens een dosering om de 6 maanden waren artralgie (45,8%), pijn in de ledematen (37,9%), rugpijn (32,7%) en hypercalciurie (32,0%). Hypercalciëmie werd gemeld voor een dosering om de 6 maanden (19%) en om de 3 maanden (36,7%). Ernstige gevallen van hypercalciëmie (13,3%) werden gemeld voor een dosering om de 3 maanden.</w:t>
      </w:r>
    </w:p>
    <w:p w14:paraId="6984A0C1" w14:textId="77777777" w:rsidR="00951F81" w:rsidRPr="006320B0" w:rsidRDefault="00951F81" w:rsidP="00840536">
      <w:pPr>
        <w:widowControl w:val="0"/>
        <w:suppressAutoHyphens/>
      </w:pPr>
    </w:p>
    <w:p w14:paraId="2018068C" w14:textId="1D718FBD" w:rsidR="00951F81" w:rsidRPr="006320B0" w:rsidRDefault="00951F81" w:rsidP="00840536">
      <w:pPr>
        <w:widowControl w:val="0"/>
        <w:suppressAutoHyphens/>
      </w:pPr>
      <w:r w:rsidRPr="006320B0">
        <w:t>In een extensieonderzoek (N = 75) werden ernstige gevallen van hypercalciëmie (18,5%) waargenomen voor een dosering om de 3 maanden.</w:t>
      </w:r>
    </w:p>
    <w:p w14:paraId="54BFFB0E" w14:textId="77777777" w:rsidR="00951F81" w:rsidRPr="006320B0" w:rsidRDefault="00951F81" w:rsidP="00840536">
      <w:pPr>
        <w:widowControl w:val="0"/>
        <w:suppressAutoHyphens/>
      </w:pPr>
    </w:p>
    <w:p w14:paraId="640F2BE3" w14:textId="79802284" w:rsidR="00951F81" w:rsidRPr="006320B0" w:rsidRDefault="00951F81" w:rsidP="00840536">
      <w:pPr>
        <w:widowControl w:val="0"/>
        <w:suppressAutoHyphens/>
      </w:pPr>
      <w:r w:rsidRPr="006320B0">
        <w:t>De onderzoeken werden eerder stopgezet vanwege het optreden van levensbedreigende gebeurtenissen en ziekenhuisopnames als gevolg van hypercalciëmie (zie rubriek 4.2).</w:t>
      </w:r>
    </w:p>
    <w:p w14:paraId="3513A192" w14:textId="77777777" w:rsidR="00951F81" w:rsidRPr="006320B0" w:rsidRDefault="00951F81" w:rsidP="00840536">
      <w:pPr>
        <w:widowControl w:val="0"/>
        <w:suppressAutoHyphens/>
      </w:pPr>
    </w:p>
    <w:p w14:paraId="6EB68D54" w14:textId="77777777" w:rsidR="009F7882" w:rsidRPr="006320B0" w:rsidRDefault="009F7882" w:rsidP="009F7882">
      <w:pPr>
        <w:widowControl w:val="0"/>
        <w:suppressAutoHyphens/>
      </w:pPr>
      <w:r w:rsidRPr="006320B0">
        <w:t>In een multicenter, gerandomiseerd, dubbelblind, placebogecontroleerd onderzoek met parallelle</w:t>
      </w:r>
    </w:p>
    <w:p w14:paraId="6C58D0C4" w14:textId="77777777" w:rsidR="009F7882" w:rsidRPr="006320B0" w:rsidRDefault="009F7882" w:rsidP="009F7882">
      <w:pPr>
        <w:widowControl w:val="0"/>
        <w:suppressAutoHyphens/>
      </w:pPr>
      <w:r w:rsidRPr="006320B0">
        <w:t>groepen, uitgevoerd bij 24 pediatrische patiënten van 5-17 jaar met glucocorticoïd-geïnduceerde</w:t>
      </w:r>
    </w:p>
    <w:p w14:paraId="264DD5C8" w14:textId="77777777" w:rsidR="009F7882" w:rsidRPr="006320B0" w:rsidRDefault="009F7882" w:rsidP="009F7882">
      <w:pPr>
        <w:widowControl w:val="0"/>
        <w:suppressAutoHyphens/>
      </w:pPr>
      <w:r w:rsidRPr="006320B0">
        <w:t>osteoporose waarin de verandering ten opzichte van de baseline in de Z-score voor BMD in de</w:t>
      </w:r>
    </w:p>
    <w:p w14:paraId="130F26C3" w14:textId="77777777" w:rsidR="009F7882" w:rsidRPr="006320B0" w:rsidRDefault="009F7882" w:rsidP="009F7882">
      <w:pPr>
        <w:widowControl w:val="0"/>
        <w:suppressAutoHyphens/>
      </w:pPr>
      <w:r w:rsidRPr="006320B0">
        <w:t>lumbale wervelkolom werd beoordeeld, zijn de veiligheid en werkzaamheid niet vastgesteld en</w:t>
      </w:r>
    </w:p>
    <w:p w14:paraId="26A70776" w14:textId="44B63F6D" w:rsidR="009F7882" w:rsidRPr="006320B0" w:rsidRDefault="009F7882" w:rsidP="009F7882">
      <w:pPr>
        <w:widowControl w:val="0"/>
        <w:suppressAutoHyphens/>
      </w:pPr>
      <w:r w:rsidRPr="006320B0">
        <w:t>daarom mag denosumab niet voor deze indicatie worden gebruikt.</w:t>
      </w:r>
    </w:p>
    <w:p w14:paraId="4D33EC3F" w14:textId="77777777" w:rsidR="009F7882" w:rsidRPr="006320B0" w:rsidRDefault="009F7882" w:rsidP="009F7882">
      <w:pPr>
        <w:widowControl w:val="0"/>
        <w:suppressAutoHyphens/>
      </w:pPr>
    </w:p>
    <w:p w14:paraId="4D2A2C6A" w14:textId="5A4C0DB2" w:rsidR="00951F81" w:rsidRPr="006320B0" w:rsidRDefault="00951F81" w:rsidP="009F7882">
      <w:pPr>
        <w:widowControl w:val="0"/>
        <w:suppressAutoHyphens/>
      </w:pPr>
      <w:r w:rsidRPr="006320B0">
        <w:t xml:space="preserve">Het Europees Geneesmiddelenbureau heeft besloten af te zien van de verplichting voor de fabrikant om de resultaten in te dienen van onderzoek met </w:t>
      </w:r>
      <w:r w:rsidR="0065298A" w:rsidRPr="006320B0">
        <w:t xml:space="preserve">het referentiegeneesmiddel dat </w:t>
      </w:r>
      <w:r w:rsidR="00AF1274" w:rsidRPr="006320B0">
        <w:t>denosumab</w:t>
      </w:r>
      <w:r w:rsidR="0065298A" w:rsidRPr="006320B0">
        <w:t xml:space="preserve"> bevat</w:t>
      </w:r>
      <w:r w:rsidRPr="006320B0">
        <w:t xml:space="preserve"> in alle subgroepen van pediatrische patiënten bij de behandeling van botverlies gerelateerd aan geslachtshormoonablatietherapie en in subgroepen van pediatrische patiënten jonger dan 2 jaar bij de behandeling van osteoporose (zie rubriek 4.2 voor informatie over pediatrisch gebruik).</w:t>
      </w:r>
    </w:p>
    <w:p w14:paraId="65F6B832" w14:textId="77777777" w:rsidR="00951F81" w:rsidRPr="006320B0" w:rsidRDefault="00951F81" w:rsidP="00840536">
      <w:pPr>
        <w:widowControl w:val="0"/>
        <w:suppressAutoHyphens/>
      </w:pPr>
    </w:p>
    <w:p w14:paraId="45054043" w14:textId="77777777" w:rsidR="00951F81" w:rsidRPr="006320B0" w:rsidRDefault="00951F81" w:rsidP="00840536">
      <w:pPr>
        <w:widowControl w:val="0"/>
        <w:suppressAutoHyphens/>
        <w:ind w:left="567" w:hanging="567"/>
        <w:rPr>
          <w:b/>
        </w:rPr>
      </w:pPr>
      <w:r w:rsidRPr="006320B0">
        <w:rPr>
          <w:b/>
        </w:rPr>
        <w:t>5.2</w:t>
      </w:r>
      <w:r w:rsidRPr="006320B0">
        <w:rPr>
          <w:b/>
        </w:rPr>
        <w:tab/>
        <w:t>Farmacokinetische eigenschappen</w:t>
      </w:r>
    </w:p>
    <w:p w14:paraId="757F2BF8" w14:textId="77777777" w:rsidR="00951F81" w:rsidRPr="006320B0" w:rsidRDefault="00951F81" w:rsidP="00840536">
      <w:pPr>
        <w:widowControl w:val="0"/>
        <w:suppressAutoHyphens/>
      </w:pPr>
    </w:p>
    <w:p w14:paraId="2AC6BCEF" w14:textId="77777777" w:rsidR="00951F81" w:rsidRPr="006320B0" w:rsidRDefault="00951F81" w:rsidP="00840536">
      <w:pPr>
        <w:widowControl w:val="0"/>
        <w:suppressAutoHyphens/>
        <w:rPr>
          <w:u w:val="single"/>
        </w:rPr>
      </w:pPr>
      <w:r w:rsidRPr="006320B0">
        <w:rPr>
          <w:u w:val="single"/>
        </w:rPr>
        <w:t>Absorptie</w:t>
      </w:r>
    </w:p>
    <w:p w14:paraId="254AEFC6" w14:textId="77777777" w:rsidR="00951F81" w:rsidRPr="006320B0" w:rsidRDefault="00951F81" w:rsidP="00840536">
      <w:pPr>
        <w:widowControl w:val="0"/>
        <w:suppressAutoHyphens/>
      </w:pPr>
    </w:p>
    <w:p w14:paraId="46DD3554" w14:textId="77777777" w:rsidR="00951F81" w:rsidRPr="006320B0" w:rsidRDefault="00951F81" w:rsidP="00840536">
      <w:pPr>
        <w:widowControl w:val="0"/>
        <w:suppressAutoHyphens/>
      </w:pPr>
      <w:r w:rsidRPr="006320B0">
        <w:t>Na subcutane toediening van een dosis van 1,0 mg/kg, die een benadering is van de goedgekeurde dosis van 60 mg, was de blootstelling gebaseerd op de AUC 78% in vergelijking met intraveneuze toediening op hetzelfde dosisniveau. Bij een subcutane dosis van 60 mg werd de maximale serumconcentratie denosumab (C</w:t>
      </w:r>
      <w:r w:rsidRPr="006320B0">
        <w:rPr>
          <w:vertAlign w:val="subscript"/>
        </w:rPr>
        <w:t>max</w:t>
      </w:r>
      <w:r w:rsidRPr="006320B0">
        <w:t>) van 6 mcg/ml (spreiding 1</w:t>
      </w:r>
      <w:r w:rsidRPr="006320B0">
        <w:noBreakHyphen/>
        <w:t>17 mcg/ml) bereikt na 10 dagen (spreiding 2</w:t>
      </w:r>
      <w:r w:rsidRPr="006320B0">
        <w:noBreakHyphen/>
        <w:t>28 dagen).</w:t>
      </w:r>
    </w:p>
    <w:p w14:paraId="2F53AC69" w14:textId="77777777" w:rsidR="00951F81" w:rsidRPr="006320B0" w:rsidRDefault="00951F81" w:rsidP="00840536">
      <w:pPr>
        <w:widowControl w:val="0"/>
        <w:suppressAutoHyphens/>
      </w:pPr>
    </w:p>
    <w:p w14:paraId="380A0A44" w14:textId="77777777" w:rsidR="00951F81" w:rsidRPr="006320B0" w:rsidRDefault="00951F81" w:rsidP="00840536">
      <w:pPr>
        <w:widowControl w:val="0"/>
        <w:suppressAutoHyphens/>
        <w:rPr>
          <w:u w:val="single"/>
        </w:rPr>
      </w:pPr>
      <w:r w:rsidRPr="006320B0">
        <w:rPr>
          <w:u w:val="single"/>
        </w:rPr>
        <w:t>Biotransformatie</w:t>
      </w:r>
    </w:p>
    <w:p w14:paraId="7438AF89" w14:textId="77777777" w:rsidR="00951F81" w:rsidRPr="006320B0" w:rsidRDefault="00951F81" w:rsidP="00840536">
      <w:pPr>
        <w:widowControl w:val="0"/>
        <w:suppressAutoHyphens/>
      </w:pPr>
    </w:p>
    <w:p w14:paraId="3DB31CFF" w14:textId="77777777" w:rsidR="00951F81" w:rsidRPr="006320B0" w:rsidRDefault="00951F81" w:rsidP="00840536">
      <w:pPr>
        <w:widowControl w:val="0"/>
        <w:suppressAutoHyphens/>
      </w:pPr>
      <w:r w:rsidRPr="006320B0">
        <w:t>Denosumab bestaat als natuurlijk immuunglobuline uitsluitend uit aminozuren en koolhydraten. Het is niet waarschijnlijk dat denosumab wordt uitgescheiden via hepatische metabole mechanismen. Het metabolisme en de eliminatie van denosumab volgen waarschijnlijk de wegen van de klaring van immunoglobulines, resulterend in een afbraak tot kleine peptiden en afzonderlijke aminozuren.</w:t>
      </w:r>
    </w:p>
    <w:p w14:paraId="1B6C30CA" w14:textId="77777777" w:rsidR="00951F81" w:rsidRPr="006320B0" w:rsidRDefault="00951F81" w:rsidP="00840536">
      <w:pPr>
        <w:widowControl w:val="0"/>
        <w:suppressAutoHyphens/>
      </w:pPr>
    </w:p>
    <w:p w14:paraId="20987A2B" w14:textId="77777777" w:rsidR="00951F81" w:rsidRPr="006320B0" w:rsidRDefault="00951F81" w:rsidP="00840536">
      <w:pPr>
        <w:widowControl w:val="0"/>
        <w:suppressAutoHyphens/>
        <w:rPr>
          <w:u w:val="single"/>
        </w:rPr>
      </w:pPr>
      <w:r w:rsidRPr="006320B0">
        <w:rPr>
          <w:u w:val="single"/>
        </w:rPr>
        <w:t>Eliminatie</w:t>
      </w:r>
    </w:p>
    <w:p w14:paraId="149393B9" w14:textId="77777777" w:rsidR="00951F81" w:rsidRPr="006320B0" w:rsidRDefault="00951F81" w:rsidP="00840536">
      <w:pPr>
        <w:widowControl w:val="0"/>
        <w:suppressAutoHyphens/>
      </w:pPr>
    </w:p>
    <w:p w14:paraId="7C96DA59" w14:textId="77777777" w:rsidR="00951F81" w:rsidRPr="006320B0" w:rsidRDefault="00951F81" w:rsidP="00840536">
      <w:pPr>
        <w:widowControl w:val="0"/>
        <w:suppressAutoHyphens/>
      </w:pPr>
      <w:r w:rsidRPr="006320B0">
        <w:t>Na het bereiken van C</w:t>
      </w:r>
      <w:r w:rsidRPr="006320B0">
        <w:rPr>
          <w:vertAlign w:val="subscript"/>
        </w:rPr>
        <w:t>max</w:t>
      </w:r>
      <w:r w:rsidRPr="006320B0">
        <w:t xml:space="preserve"> daalde de serumspiegel met een halfwaardetijd van 26 dagen (spreiding 6</w:t>
      </w:r>
      <w:r w:rsidRPr="006320B0">
        <w:noBreakHyphen/>
        <w:t>52 dagen) gedurende een periode van 3 maanden (spreiding1,5</w:t>
      </w:r>
      <w:r w:rsidRPr="006320B0">
        <w:noBreakHyphen/>
        <w:t>4,5 maanden). Bij drieënvijftig procent (53%) van de patiënten was de hoeveelheid denosumab 6 maanden na de dosis niet meer meetbaar.</w:t>
      </w:r>
    </w:p>
    <w:p w14:paraId="424386BC" w14:textId="77777777" w:rsidR="00951F81" w:rsidRPr="006320B0" w:rsidRDefault="00951F81" w:rsidP="00840536">
      <w:pPr>
        <w:widowControl w:val="0"/>
        <w:suppressAutoHyphens/>
      </w:pPr>
    </w:p>
    <w:p w14:paraId="3394C49F" w14:textId="77777777" w:rsidR="00951F81" w:rsidRPr="006320B0" w:rsidRDefault="00951F81" w:rsidP="00840536">
      <w:pPr>
        <w:widowControl w:val="0"/>
        <w:suppressAutoHyphens/>
      </w:pPr>
      <w:r w:rsidRPr="006320B0">
        <w:t>Er werd geen accumulatie of wijziging van de denosumab</w:t>
      </w:r>
      <w:r w:rsidRPr="006320B0">
        <w:noBreakHyphen/>
        <w:t>farmacokinetiek gezien over verloop van tijd na subcutane meervoudige toediening van eenmaal 60 mg elke 6 maanden. De farmacokinetiek van denosumab werd niet beïnvloed door de vorming van zich aan denosumab bindende antilichamen en was bij mannen en vrouwen vergelijkbaar. Leeftijd (28</w:t>
      </w:r>
      <w:r w:rsidRPr="006320B0">
        <w:noBreakHyphen/>
        <w:t>87 jaar), etnische afkomst en ziektestatus (lage botmassa of osteoporose, prostaat- of borstkanker) beïnvloedt de farmacokinetiek van denosumab niet significant.</w:t>
      </w:r>
    </w:p>
    <w:p w14:paraId="6D47D7EF" w14:textId="77777777" w:rsidR="00951F81" w:rsidRPr="006320B0" w:rsidRDefault="00951F81" w:rsidP="00840536">
      <w:pPr>
        <w:widowControl w:val="0"/>
        <w:suppressAutoHyphens/>
      </w:pPr>
    </w:p>
    <w:p w14:paraId="7833D34C" w14:textId="77777777" w:rsidR="00951F81" w:rsidRPr="006320B0" w:rsidRDefault="00951F81" w:rsidP="00840536">
      <w:pPr>
        <w:widowControl w:val="0"/>
        <w:suppressAutoHyphens/>
      </w:pPr>
      <w:r w:rsidRPr="006320B0">
        <w:t>Op basis van de AUC en C</w:t>
      </w:r>
      <w:r w:rsidRPr="006320B0">
        <w:rPr>
          <w:vertAlign w:val="subscript"/>
        </w:rPr>
        <w:t>max</w:t>
      </w:r>
      <w:r w:rsidRPr="006320B0">
        <w:t xml:space="preserve"> werd een trend waargenomen tussen een hoger lichaamsgewicht en een lagere blootstelling. Deze trend werd echter niet als klinisch relevant beschouwd, omdat de farmacodynamische effecten op basis van botmarkers en BMD</w:t>
      </w:r>
      <w:r w:rsidRPr="006320B0">
        <w:noBreakHyphen/>
        <w:t>stijgingen consistent waren over een aanzienlijke spreiding van lichaamsgewichten.</w:t>
      </w:r>
    </w:p>
    <w:p w14:paraId="773E04F7" w14:textId="77777777" w:rsidR="00951F81" w:rsidRPr="006320B0" w:rsidRDefault="00951F81" w:rsidP="00840536">
      <w:pPr>
        <w:widowControl w:val="0"/>
        <w:suppressAutoHyphens/>
      </w:pPr>
    </w:p>
    <w:p w14:paraId="21516966" w14:textId="77777777" w:rsidR="00951F81" w:rsidRPr="006320B0" w:rsidRDefault="00951F81" w:rsidP="00840536">
      <w:pPr>
        <w:widowControl w:val="0"/>
        <w:suppressAutoHyphens/>
        <w:rPr>
          <w:u w:val="single"/>
        </w:rPr>
      </w:pPr>
      <w:r w:rsidRPr="006320B0">
        <w:rPr>
          <w:u w:val="single"/>
        </w:rPr>
        <w:t>Lineariteit/non</w:t>
      </w:r>
      <w:r w:rsidRPr="006320B0">
        <w:rPr>
          <w:u w:val="single"/>
        </w:rPr>
        <w:noBreakHyphen/>
        <w:t>lineariteit</w:t>
      </w:r>
    </w:p>
    <w:p w14:paraId="4B4536A9" w14:textId="77777777" w:rsidR="00951F81" w:rsidRPr="006320B0" w:rsidRDefault="00951F81" w:rsidP="00840536">
      <w:pPr>
        <w:widowControl w:val="0"/>
        <w:suppressAutoHyphens/>
      </w:pPr>
    </w:p>
    <w:p w14:paraId="394ECB9C" w14:textId="77777777" w:rsidR="00951F81" w:rsidRPr="006320B0" w:rsidRDefault="00951F81" w:rsidP="00840536">
      <w:pPr>
        <w:widowControl w:val="0"/>
        <w:suppressAutoHyphens/>
      </w:pPr>
      <w:r w:rsidRPr="006320B0">
        <w:t>In dose</w:t>
      </w:r>
      <w:r w:rsidRPr="006320B0">
        <w:noBreakHyphen/>
        <w:t>ranging onderzoeken vertoonde denosumab een non</w:t>
      </w:r>
      <w:r w:rsidRPr="006320B0">
        <w:noBreakHyphen/>
        <w:t>lineaire, dosisafhankelijke farmacokinetiek. De klaring was lager bij hogere doses of concentraties, maar bij doses van 60 mg en meer was de toename in blootstelling bij benadering dosisproportioneel.</w:t>
      </w:r>
    </w:p>
    <w:p w14:paraId="1EE5EDD3" w14:textId="77777777" w:rsidR="00951F81" w:rsidRPr="006320B0" w:rsidRDefault="00951F81" w:rsidP="00840536">
      <w:pPr>
        <w:widowControl w:val="0"/>
        <w:suppressAutoHyphens/>
      </w:pPr>
    </w:p>
    <w:p w14:paraId="75E17C6F" w14:textId="77777777" w:rsidR="00951F81" w:rsidRPr="006320B0" w:rsidRDefault="00951F81" w:rsidP="00840536">
      <w:pPr>
        <w:widowControl w:val="0"/>
        <w:suppressAutoHyphens/>
        <w:rPr>
          <w:u w:val="single"/>
        </w:rPr>
      </w:pPr>
      <w:r w:rsidRPr="006320B0">
        <w:rPr>
          <w:u w:val="single"/>
        </w:rPr>
        <w:t>Nierfunctiestoornis</w:t>
      </w:r>
    </w:p>
    <w:p w14:paraId="666FA4C9" w14:textId="77777777" w:rsidR="00951F81" w:rsidRPr="006320B0" w:rsidRDefault="00951F81" w:rsidP="00840536">
      <w:pPr>
        <w:widowControl w:val="0"/>
        <w:suppressAutoHyphens/>
      </w:pPr>
    </w:p>
    <w:p w14:paraId="6411939A" w14:textId="77777777" w:rsidR="00951F81" w:rsidRPr="006320B0" w:rsidRDefault="00951F81" w:rsidP="00840536">
      <w:pPr>
        <w:widowControl w:val="0"/>
        <w:suppressAutoHyphens/>
      </w:pPr>
      <w:r w:rsidRPr="006320B0">
        <w:t>In een onderzoek waaraan 55 patiënten met wisselende mate van nierfunctiestoornis deelnamen, waaronder mensen die werden gedialyseerd, bleek de mate van nierfunctiestoornis geen effect te hebben op de farmacokinetiek van denosumab.</w:t>
      </w:r>
    </w:p>
    <w:p w14:paraId="115859F5" w14:textId="77777777" w:rsidR="00951F81" w:rsidRPr="006320B0" w:rsidRDefault="00951F81" w:rsidP="00840536">
      <w:pPr>
        <w:widowControl w:val="0"/>
        <w:suppressAutoHyphens/>
      </w:pPr>
    </w:p>
    <w:p w14:paraId="057FCBC6" w14:textId="77777777" w:rsidR="00951F81" w:rsidRPr="006320B0" w:rsidRDefault="00951F81" w:rsidP="00840536">
      <w:pPr>
        <w:widowControl w:val="0"/>
        <w:suppressAutoHyphens/>
        <w:rPr>
          <w:u w:val="single"/>
        </w:rPr>
      </w:pPr>
      <w:r w:rsidRPr="006320B0">
        <w:rPr>
          <w:u w:val="single"/>
        </w:rPr>
        <w:t>Leverfunctiestoornis</w:t>
      </w:r>
    </w:p>
    <w:p w14:paraId="12B90E26" w14:textId="77777777" w:rsidR="00951F81" w:rsidRPr="006320B0" w:rsidRDefault="00951F81" w:rsidP="00840536">
      <w:pPr>
        <w:widowControl w:val="0"/>
        <w:suppressAutoHyphens/>
      </w:pPr>
    </w:p>
    <w:p w14:paraId="60608984" w14:textId="77777777" w:rsidR="00951F81" w:rsidRPr="006320B0" w:rsidRDefault="00951F81" w:rsidP="00840536">
      <w:pPr>
        <w:widowControl w:val="0"/>
        <w:suppressAutoHyphens/>
      </w:pPr>
      <w:r w:rsidRPr="006320B0">
        <w:t>Er is geen specifiek onderzoek uitgevoerd naar patiënten met een leverfunctiestoornis. In het algemeen worden monoklonale antilichamen niet geëlimineerd via hepatische metabole mechanismen. Verondersteld wordt dat de farmacokinetiek van denosumab niet wordt beïnvloed door leverfunctiestoornissen.</w:t>
      </w:r>
    </w:p>
    <w:p w14:paraId="72887241" w14:textId="77777777" w:rsidR="00951F81" w:rsidRPr="006320B0" w:rsidRDefault="00951F81" w:rsidP="00840536">
      <w:pPr>
        <w:widowControl w:val="0"/>
        <w:suppressAutoHyphens/>
      </w:pPr>
    </w:p>
    <w:p w14:paraId="779417A1" w14:textId="77777777" w:rsidR="00951F81" w:rsidRPr="006320B0" w:rsidRDefault="00951F81" w:rsidP="00840536">
      <w:pPr>
        <w:widowControl w:val="0"/>
        <w:suppressAutoHyphens/>
        <w:rPr>
          <w:u w:val="single"/>
        </w:rPr>
      </w:pPr>
      <w:r w:rsidRPr="006320B0">
        <w:rPr>
          <w:u w:val="single"/>
        </w:rPr>
        <w:t>Pediatrische patiënten</w:t>
      </w:r>
    </w:p>
    <w:p w14:paraId="075B6A9C" w14:textId="77777777" w:rsidR="00951F81" w:rsidRPr="006320B0" w:rsidRDefault="00951F81" w:rsidP="00840536">
      <w:pPr>
        <w:widowControl w:val="0"/>
        <w:suppressAutoHyphens/>
      </w:pPr>
    </w:p>
    <w:p w14:paraId="5915A488" w14:textId="3CF0FDE6" w:rsidR="00951F81" w:rsidRPr="006320B0" w:rsidRDefault="00D50235" w:rsidP="00840536">
      <w:pPr>
        <w:widowControl w:val="0"/>
        <w:suppressAutoHyphens/>
      </w:pPr>
      <w:r w:rsidRPr="006320B0">
        <w:t>Kefdensis</w:t>
      </w:r>
      <w:r w:rsidR="00951F81" w:rsidRPr="006320B0">
        <w:t xml:space="preserve"> mag niet worden gebruikt bij pediatrische patiënten (zie rubriek 4.2 en 5.1).</w:t>
      </w:r>
    </w:p>
    <w:p w14:paraId="2E55E8A6" w14:textId="77777777" w:rsidR="00951F81" w:rsidRPr="006320B0" w:rsidRDefault="00951F81" w:rsidP="00840536">
      <w:pPr>
        <w:widowControl w:val="0"/>
        <w:suppressAutoHyphens/>
      </w:pPr>
    </w:p>
    <w:p w14:paraId="30CAE9B8" w14:textId="7FFF2E88" w:rsidR="00951F81" w:rsidRPr="006320B0" w:rsidRDefault="00951F81" w:rsidP="00840536">
      <w:pPr>
        <w:widowControl w:val="0"/>
        <w:suppressAutoHyphens/>
      </w:pPr>
      <w:r w:rsidRPr="006320B0">
        <w:t>In een fase </w:t>
      </w:r>
      <w:r w:rsidR="00E73A0D" w:rsidRPr="006320B0">
        <w:t>III</w:t>
      </w:r>
      <w:r w:rsidRPr="006320B0">
        <w:noBreakHyphen/>
        <w:t>onderzoek met pediatrische patiënten met osteogenesis imperfecta (N = 153) werd de maximale serumconcentratie denosumab waargenomen op dag 10 binnen alle leeftijdsgroepen. Voor doseringen om de 3 maanden en om de 6 maanden werden hogere gemiddelde dalserumconcentraties denosumab waargenomen bij kinderen van 11 tot 17 jaar, en hadden kinderen van 2 tot 6 jaar de laagste gemiddelde dalconcentraties.</w:t>
      </w:r>
    </w:p>
    <w:p w14:paraId="73750145" w14:textId="77777777" w:rsidR="00951F81" w:rsidRPr="006320B0" w:rsidRDefault="00951F81" w:rsidP="00840536">
      <w:pPr>
        <w:widowControl w:val="0"/>
        <w:suppressAutoHyphens/>
      </w:pPr>
    </w:p>
    <w:p w14:paraId="6ABEB491" w14:textId="77777777" w:rsidR="00951F81" w:rsidRPr="006320B0" w:rsidRDefault="00951F81" w:rsidP="00840536">
      <w:pPr>
        <w:widowControl w:val="0"/>
        <w:suppressAutoHyphens/>
        <w:ind w:left="567" w:hanging="567"/>
        <w:rPr>
          <w:b/>
        </w:rPr>
      </w:pPr>
      <w:r w:rsidRPr="006320B0">
        <w:rPr>
          <w:b/>
        </w:rPr>
        <w:t>5.3</w:t>
      </w:r>
      <w:r w:rsidRPr="006320B0">
        <w:rPr>
          <w:b/>
        </w:rPr>
        <w:tab/>
        <w:t>Gegevens uit het preklinisch veiligheidsonderzoek</w:t>
      </w:r>
    </w:p>
    <w:p w14:paraId="31220C4C" w14:textId="77777777" w:rsidR="00951F81" w:rsidRPr="006320B0" w:rsidRDefault="00951F81" w:rsidP="00840536">
      <w:pPr>
        <w:widowControl w:val="0"/>
        <w:suppressAutoHyphens/>
      </w:pPr>
    </w:p>
    <w:p w14:paraId="023E8F7D" w14:textId="77777777" w:rsidR="00951F81" w:rsidRPr="006320B0" w:rsidRDefault="00951F81" w:rsidP="00840536">
      <w:pPr>
        <w:widowControl w:val="0"/>
        <w:suppressAutoHyphens/>
      </w:pPr>
      <w:r w:rsidRPr="006320B0">
        <w:t>Bij toxiciteitsonderzoeken bij enkelvoudige en herhaalde dosering bij cynomolgus</w:t>
      </w:r>
      <w:r w:rsidRPr="006320B0">
        <w:noBreakHyphen/>
        <w:t>apen bleek dat een dosis denosumab die een 100 tot 150 maal grotere systemische blootstelling tot gevolg had dan de aanbevolen dosering voor mensen, geen effect had op de cardiovasculaire fysiologie, mannelijke of vrouwelijke vruchtbaarheid en geen toxiciteit veroorzaakte bij specifieke doelorganen.</w:t>
      </w:r>
    </w:p>
    <w:p w14:paraId="351353A7" w14:textId="77777777" w:rsidR="00951F81" w:rsidRPr="006320B0" w:rsidRDefault="00951F81" w:rsidP="00840536">
      <w:pPr>
        <w:widowControl w:val="0"/>
        <w:suppressAutoHyphens/>
      </w:pPr>
    </w:p>
    <w:p w14:paraId="417CEBB6" w14:textId="77777777" w:rsidR="00951F81" w:rsidRPr="006320B0" w:rsidRDefault="00951F81" w:rsidP="00840536">
      <w:pPr>
        <w:widowControl w:val="0"/>
        <w:suppressAutoHyphens/>
      </w:pPr>
      <w:r w:rsidRPr="006320B0">
        <w:t>De standaardtesten om te onderzoeken wat het genotoxiciteitspotentieel van denosumab is, zijn niet geëvalueerd omdat dergelijke testen niet relevant zijn voor dit molecuul. Vanwege het karakter van denosumab is het echter onwaarschijnlijk dat dit enig potentieel heeft voor genotoxiciteit.</w:t>
      </w:r>
    </w:p>
    <w:p w14:paraId="706B7EE1" w14:textId="77777777" w:rsidR="00951F81" w:rsidRPr="006320B0" w:rsidRDefault="00951F81" w:rsidP="00840536">
      <w:pPr>
        <w:widowControl w:val="0"/>
        <w:suppressAutoHyphens/>
      </w:pPr>
    </w:p>
    <w:p w14:paraId="66EF6ECE" w14:textId="77777777" w:rsidR="00951F81" w:rsidRPr="006320B0" w:rsidRDefault="00951F81" w:rsidP="00840536">
      <w:pPr>
        <w:widowControl w:val="0"/>
        <w:suppressAutoHyphens/>
      </w:pPr>
      <w:r w:rsidRPr="006320B0">
        <w:t>Het carcinogene potentieel van denosumab is niet beoordeeld in lange</w:t>
      </w:r>
      <w:r w:rsidRPr="006320B0">
        <w:noBreakHyphen/>
        <w:t>termijn experimentele dieronderzoeken.</w:t>
      </w:r>
    </w:p>
    <w:p w14:paraId="0A7AB26D" w14:textId="77777777" w:rsidR="00951F81" w:rsidRPr="006320B0" w:rsidRDefault="00951F81" w:rsidP="00840536">
      <w:pPr>
        <w:widowControl w:val="0"/>
        <w:suppressAutoHyphens/>
      </w:pPr>
    </w:p>
    <w:p w14:paraId="201BAE0E" w14:textId="77777777" w:rsidR="00951F81" w:rsidRPr="006320B0" w:rsidRDefault="00951F81" w:rsidP="00840536">
      <w:pPr>
        <w:widowControl w:val="0"/>
        <w:suppressAutoHyphens/>
      </w:pPr>
      <w:r w:rsidRPr="006320B0">
        <w:t>Bij preklinische onderzoeken die werden uitgevoerd op knock</w:t>
      </w:r>
      <w:r w:rsidRPr="006320B0">
        <w:noBreakHyphen/>
        <w:t>out muizen zonder RANK of RANKL werd een verstoorde vorming van lymfeklieren bij de foetus waargenomen. Afwezigheid van lactatie vanwege remming van de borstklierontwikkeling (lobulo</w:t>
      </w:r>
      <w:r w:rsidRPr="006320B0">
        <w:noBreakHyphen/>
        <w:t>alveolaire klierontwikkeling tijdens de zwangerschap) werd ook bij knock</w:t>
      </w:r>
      <w:r w:rsidRPr="006320B0">
        <w:noBreakHyphen/>
        <w:t>out muizen zonder RANK of RANKL waargenomen.</w:t>
      </w:r>
    </w:p>
    <w:p w14:paraId="60F11A3D" w14:textId="77777777" w:rsidR="00951F81" w:rsidRPr="006320B0" w:rsidRDefault="00951F81" w:rsidP="00840536">
      <w:pPr>
        <w:widowControl w:val="0"/>
        <w:suppressAutoHyphens/>
      </w:pPr>
    </w:p>
    <w:p w14:paraId="1C88771F" w14:textId="77777777" w:rsidR="00951F81" w:rsidRPr="006320B0" w:rsidRDefault="00951F81" w:rsidP="00840536">
      <w:pPr>
        <w:widowControl w:val="0"/>
        <w:suppressAutoHyphens/>
      </w:pPr>
      <w:r w:rsidRPr="006320B0">
        <w:t>In een onderzoek met cynomolgus</w:t>
      </w:r>
      <w:r w:rsidRPr="006320B0">
        <w:noBreakHyphen/>
        <w:t>apen die gedurende de periode die overeenkwam met het eerste zwangerschapstrimester denosumab toegediend kregen met AUC</w:t>
      </w:r>
      <w:r w:rsidRPr="006320B0">
        <w:noBreakHyphen/>
        <w:t>blootstellingen die tot 99 keer hoger waren dan bij de menselijke dosering (60 mg eenmaal per 6 maanden) werden geen aanwijzingen gevonden voor maternale of foetale schade. In dit onderzoek werden geen foetale lymfeklieren onderzocht.</w:t>
      </w:r>
    </w:p>
    <w:p w14:paraId="3A4E9563" w14:textId="77777777" w:rsidR="00951F81" w:rsidRPr="006320B0" w:rsidRDefault="00951F81" w:rsidP="00840536">
      <w:pPr>
        <w:widowControl w:val="0"/>
        <w:suppressAutoHyphens/>
      </w:pPr>
    </w:p>
    <w:p w14:paraId="73C5C87C" w14:textId="77777777" w:rsidR="00951F81" w:rsidRPr="006320B0" w:rsidRDefault="00951F81" w:rsidP="00840536">
      <w:pPr>
        <w:widowControl w:val="0"/>
        <w:suppressAutoHyphens/>
      </w:pPr>
      <w:r w:rsidRPr="006320B0">
        <w:t>In een ander onderzoek met cynomolgus</w:t>
      </w:r>
      <w:r w:rsidRPr="006320B0">
        <w:noBreakHyphen/>
        <w:t>apen die de gehele zwangerschap denosumab met een AUC</w:t>
      </w:r>
      <w:r w:rsidRPr="006320B0">
        <w:noBreakHyphen/>
        <w:t>blootstelling 119 keer hoger dan bij de dosering voor mensen (60 mg eenmaal per 6 maanden) toegediend kregen, nam het aantal doodgeboorten en de postnatale mortaliteit toe. Er was sprake van abnormale botgroei met als gevolg verminderde botsterkte, verminderde hematopoëse en afwijkende gebitspositie. Perifere lymfeklieren ontbraken en de neonatale groei nam af. Een drempelwaarde waaronder geen reproductietoxiciteit optrad, kon niet worden vastgesteld. Zes maanden na de geboorte vertoonden botgerelateerde veranderingen herstel en was er geen effect op de tanddoorbraak. De effecten op lymfeklieren en afwijkende gebitspositie bleven echter bestaan, en bij één dier werd minimale tot matige mineralisatie in meerdere weefsels gezien (het verband met de behandeling is onzeker). Er waren geen aanwijzingen voor maternale schade vóór de bevalling. Tijdens de bevalling deden zich zelden nadelige maternale effecten voor. De ontwikkeling van de maternale borstklieren was normaal.</w:t>
      </w:r>
    </w:p>
    <w:p w14:paraId="05A92EDE" w14:textId="77777777" w:rsidR="00951F81" w:rsidRPr="006320B0" w:rsidRDefault="00951F81" w:rsidP="00840536">
      <w:pPr>
        <w:widowControl w:val="0"/>
        <w:suppressAutoHyphens/>
      </w:pPr>
    </w:p>
    <w:p w14:paraId="4677AAD4" w14:textId="77777777" w:rsidR="00951F81" w:rsidRPr="006320B0" w:rsidRDefault="00951F81" w:rsidP="00840536">
      <w:pPr>
        <w:widowControl w:val="0"/>
        <w:suppressAutoHyphens/>
      </w:pPr>
      <w:r w:rsidRPr="006320B0">
        <w:t>Bij preklinisch kwaliteitsonderzoek van het bot bij apen op een langdurige behandeling met denosumab werden afnamen van de bot</w:t>
      </w:r>
      <w:r w:rsidRPr="006320B0">
        <w:noBreakHyphen/>
        <w:t>turnover geassocieerd met een verbetering van de botsterkte en een normale bothistologie. De calciumspiegels waren tijdelijk afgenomen en de parathyroïdhormoonspiegels waren tijdelijk verhoogd bij apen bij wie de ovaria waren verwijderd en die werden behandeld met denosumab.</w:t>
      </w:r>
    </w:p>
    <w:p w14:paraId="77E158FC" w14:textId="77777777" w:rsidR="00951F81" w:rsidRPr="006320B0" w:rsidRDefault="00951F81" w:rsidP="00840536">
      <w:pPr>
        <w:widowControl w:val="0"/>
        <w:suppressAutoHyphens/>
      </w:pPr>
    </w:p>
    <w:p w14:paraId="1B1FB0D0" w14:textId="77777777" w:rsidR="00951F81" w:rsidRPr="006320B0" w:rsidRDefault="00951F81" w:rsidP="00840536">
      <w:pPr>
        <w:widowControl w:val="0"/>
        <w:suppressAutoHyphens/>
      </w:pPr>
      <w:r w:rsidRPr="006320B0">
        <w:t>Bij mannelijke genetisch gemanipuleerde muizen met het huRANKL (knock</w:t>
      </w:r>
      <w:r w:rsidRPr="006320B0">
        <w:noBreakHyphen/>
        <w:t>in muizen) die werden onderworpen aan een transcorticale fractuur, vertraagde denosumab de verwijdering van kraakbeen en de hermodellering van de fractuur</w:t>
      </w:r>
      <w:r w:rsidRPr="006320B0">
        <w:noBreakHyphen/>
        <w:t>callus in vergelijking met de controlegroep, maar de biomechanische sterkte bleek niet nadelig beïnvloed.</w:t>
      </w:r>
    </w:p>
    <w:p w14:paraId="29CED961" w14:textId="77777777" w:rsidR="00951F81" w:rsidRPr="006320B0" w:rsidRDefault="00951F81" w:rsidP="00840536">
      <w:pPr>
        <w:widowControl w:val="0"/>
        <w:suppressAutoHyphens/>
      </w:pPr>
    </w:p>
    <w:p w14:paraId="7F763274" w14:textId="77777777" w:rsidR="00951F81" w:rsidRPr="006320B0" w:rsidRDefault="00951F81" w:rsidP="00840536">
      <w:pPr>
        <w:widowControl w:val="0"/>
        <w:suppressAutoHyphens/>
      </w:pPr>
      <w:r w:rsidRPr="006320B0">
        <w:t>Knock</w:t>
      </w:r>
      <w:r w:rsidRPr="006320B0">
        <w:noBreakHyphen/>
        <w:t>out muizen (zie rubriek 4.6) zonder RANK of RANKL vertoonden een vermindering van het lichaamsgewicht, verminderde botgroei en afwezigheid van tanddoorbraak. Bij pasgeboren ratten was remming van RANKL (doel van de therapie met denosumab) door hoge doses van osteoprotegerine gebonden aan Fc (OPG</w:t>
      </w:r>
      <w:r w:rsidRPr="006320B0">
        <w:noBreakHyphen/>
        <w:t>Fc), gerelateerd aan remming van de botgroei en tanddoorbraak. In dit model waren deze veranderingen gedeeltelijk reversibel wanneer toediening van RANKL</w:t>
      </w:r>
      <w:r w:rsidRPr="006320B0">
        <w:noBreakHyphen/>
        <w:t>remmers werd gestaakt. Adolescente primaten bij wie doses denosumab werden gegeven van 27 tot 150 maal (10 en 50 mg/kg dosering) de klinische blootstelling, vertoonden abnormale groeischijven. Behandeling met denosumab zou daardoor botgroei bij kinderen met open groeischijven kunnen verhinderen en de doorbraak van tanden kunnen remmen.</w:t>
      </w:r>
    </w:p>
    <w:p w14:paraId="747A92A2" w14:textId="77777777" w:rsidR="00951F81" w:rsidRPr="006320B0" w:rsidRDefault="00951F81" w:rsidP="00840536">
      <w:pPr>
        <w:widowControl w:val="0"/>
        <w:suppressAutoHyphens/>
      </w:pPr>
    </w:p>
    <w:p w14:paraId="1D5852DB" w14:textId="77777777" w:rsidR="00951F81" w:rsidRPr="006320B0" w:rsidRDefault="00951F81" w:rsidP="00840536">
      <w:pPr>
        <w:widowControl w:val="0"/>
        <w:suppressAutoHyphens/>
      </w:pPr>
    </w:p>
    <w:p w14:paraId="606F54BA" w14:textId="77777777" w:rsidR="00951F81" w:rsidRPr="006320B0" w:rsidRDefault="00951F81" w:rsidP="00840536">
      <w:pPr>
        <w:widowControl w:val="0"/>
        <w:suppressAutoHyphens/>
        <w:ind w:left="567" w:hanging="567"/>
        <w:rPr>
          <w:b/>
        </w:rPr>
      </w:pPr>
      <w:r w:rsidRPr="006320B0">
        <w:rPr>
          <w:b/>
        </w:rPr>
        <w:t>6.</w:t>
      </w:r>
      <w:r w:rsidRPr="006320B0">
        <w:rPr>
          <w:b/>
        </w:rPr>
        <w:tab/>
        <w:t>FARMACEUTISCHE GEGEVENS</w:t>
      </w:r>
    </w:p>
    <w:p w14:paraId="2A12541D" w14:textId="77777777" w:rsidR="00951F81" w:rsidRPr="006320B0" w:rsidRDefault="00951F81" w:rsidP="00840536">
      <w:pPr>
        <w:widowControl w:val="0"/>
        <w:suppressAutoHyphens/>
      </w:pPr>
    </w:p>
    <w:p w14:paraId="1C31AFA2" w14:textId="77777777" w:rsidR="00951F81" w:rsidRPr="006320B0" w:rsidRDefault="00951F81" w:rsidP="00840536">
      <w:pPr>
        <w:widowControl w:val="0"/>
        <w:suppressAutoHyphens/>
        <w:ind w:left="567" w:hanging="567"/>
        <w:rPr>
          <w:b/>
        </w:rPr>
      </w:pPr>
      <w:r w:rsidRPr="006320B0">
        <w:rPr>
          <w:b/>
        </w:rPr>
        <w:t>6.1</w:t>
      </w:r>
      <w:r w:rsidRPr="006320B0">
        <w:rPr>
          <w:b/>
        </w:rPr>
        <w:tab/>
        <w:t>Lijst van hulpstoffen</w:t>
      </w:r>
    </w:p>
    <w:p w14:paraId="392B9E30" w14:textId="77777777" w:rsidR="00951F81" w:rsidRPr="006320B0" w:rsidRDefault="00951F81" w:rsidP="00840536">
      <w:pPr>
        <w:widowControl w:val="0"/>
        <w:suppressAutoHyphens/>
      </w:pPr>
    </w:p>
    <w:p w14:paraId="140A87C6" w14:textId="77777777" w:rsidR="00A7647D" w:rsidRPr="006320B0" w:rsidRDefault="00A7647D" w:rsidP="00A7647D">
      <w:pPr>
        <w:keepNext/>
      </w:pPr>
      <w:r w:rsidRPr="006320B0">
        <w:t>L-histidine</w:t>
      </w:r>
    </w:p>
    <w:p w14:paraId="73076B87" w14:textId="14BD68E4" w:rsidR="00A7647D" w:rsidRPr="006320B0" w:rsidRDefault="00A7647D" w:rsidP="007547A5">
      <w:pPr>
        <w:keepNext/>
      </w:pPr>
      <w:r w:rsidRPr="006320B0">
        <w:t>L-histidinemonohydrochloridemonohydraat</w:t>
      </w:r>
    </w:p>
    <w:p w14:paraId="7EB50782" w14:textId="77777777" w:rsidR="00A7647D" w:rsidRPr="006320B0" w:rsidRDefault="00A7647D" w:rsidP="00A7647D">
      <w:pPr>
        <w:keepNext/>
      </w:pPr>
      <w:r w:rsidRPr="006320B0">
        <w:t>Sucrose</w:t>
      </w:r>
    </w:p>
    <w:p w14:paraId="01EE14F8" w14:textId="2CAC8B9F" w:rsidR="00A7647D" w:rsidRPr="006320B0" w:rsidRDefault="00A7647D" w:rsidP="00A7647D">
      <w:pPr>
        <w:keepNext/>
      </w:pPr>
      <w:r w:rsidRPr="006320B0">
        <w:t>Poloxame</w:t>
      </w:r>
      <w:r w:rsidR="00713E1D">
        <w:t>e</w:t>
      </w:r>
      <w:r w:rsidRPr="006320B0">
        <w:t>r 188</w:t>
      </w:r>
    </w:p>
    <w:p w14:paraId="4B7049B8" w14:textId="77777777" w:rsidR="00951F81" w:rsidRPr="006320B0" w:rsidRDefault="00951F81" w:rsidP="00840536">
      <w:pPr>
        <w:widowControl w:val="0"/>
        <w:suppressAutoHyphens/>
      </w:pPr>
      <w:r w:rsidRPr="006320B0">
        <w:t>Water voor injecties</w:t>
      </w:r>
    </w:p>
    <w:p w14:paraId="11E6ACFF" w14:textId="77777777" w:rsidR="00951F81" w:rsidRPr="006320B0" w:rsidRDefault="00951F81" w:rsidP="00840536">
      <w:pPr>
        <w:widowControl w:val="0"/>
        <w:suppressAutoHyphens/>
      </w:pPr>
    </w:p>
    <w:p w14:paraId="59877EC3" w14:textId="77777777" w:rsidR="00951F81" w:rsidRPr="006320B0" w:rsidRDefault="00951F81" w:rsidP="00840536">
      <w:pPr>
        <w:widowControl w:val="0"/>
        <w:suppressAutoHyphens/>
        <w:ind w:left="567" w:hanging="567"/>
        <w:rPr>
          <w:b/>
        </w:rPr>
      </w:pPr>
      <w:r w:rsidRPr="006320B0">
        <w:rPr>
          <w:b/>
        </w:rPr>
        <w:t>6.2</w:t>
      </w:r>
      <w:r w:rsidRPr="006320B0">
        <w:rPr>
          <w:b/>
        </w:rPr>
        <w:tab/>
        <w:t>Gevallen van onverenigbaarheid</w:t>
      </w:r>
    </w:p>
    <w:p w14:paraId="3E16EDA9" w14:textId="77777777" w:rsidR="00951F81" w:rsidRPr="006320B0" w:rsidRDefault="00951F81" w:rsidP="00840536">
      <w:pPr>
        <w:widowControl w:val="0"/>
        <w:suppressAutoHyphens/>
      </w:pPr>
    </w:p>
    <w:p w14:paraId="10A838AD" w14:textId="77777777" w:rsidR="00951F81" w:rsidRPr="006320B0" w:rsidRDefault="00951F81" w:rsidP="00840536">
      <w:pPr>
        <w:widowControl w:val="0"/>
        <w:suppressAutoHyphens/>
      </w:pPr>
      <w:r w:rsidRPr="006320B0">
        <w:t>In verband met het ontbreken van onderzoek naar onverenigbaarheden mag dit geneesmiddel niet met andere geneesmiddelen gemengd worden.</w:t>
      </w:r>
    </w:p>
    <w:p w14:paraId="2092F4E1" w14:textId="77777777" w:rsidR="00951F81" w:rsidRPr="006320B0" w:rsidRDefault="00951F81" w:rsidP="00840536">
      <w:pPr>
        <w:widowControl w:val="0"/>
        <w:suppressAutoHyphens/>
      </w:pPr>
    </w:p>
    <w:p w14:paraId="40C91FC6" w14:textId="77777777" w:rsidR="00951F81" w:rsidRPr="006320B0" w:rsidRDefault="00951F81" w:rsidP="00840536">
      <w:pPr>
        <w:widowControl w:val="0"/>
        <w:suppressAutoHyphens/>
        <w:ind w:left="567" w:hanging="567"/>
        <w:rPr>
          <w:b/>
        </w:rPr>
      </w:pPr>
      <w:r w:rsidRPr="006320B0">
        <w:rPr>
          <w:b/>
        </w:rPr>
        <w:t>6.3</w:t>
      </w:r>
      <w:r w:rsidRPr="006320B0">
        <w:rPr>
          <w:b/>
        </w:rPr>
        <w:tab/>
        <w:t>Houdbaarheid</w:t>
      </w:r>
    </w:p>
    <w:p w14:paraId="7ED4C611" w14:textId="77777777" w:rsidR="00951F81" w:rsidRPr="006320B0" w:rsidRDefault="00951F81" w:rsidP="00840536">
      <w:pPr>
        <w:widowControl w:val="0"/>
        <w:suppressAutoHyphens/>
      </w:pPr>
    </w:p>
    <w:p w14:paraId="43BF83E5" w14:textId="0F707145" w:rsidR="00951F81" w:rsidRPr="006320B0" w:rsidRDefault="00A7647D" w:rsidP="00840536">
      <w:pPr>
        <w:widowControl w:val="0"/>
        <w:suppressAutoHyphens/>
      </w:pPr>
      <w:r w:rsidRPr="006320B0">
        <w:t>2</w:t>
      </w:r>
      <w:r w:rsidR="00951F81" w:rsidRPr="006320B0">
        <w:t> jaar.</w:t>
      </w:r>
    </w:p>
    <w:p w14:paraId="2533BCA3" w14:textId="77777777" w:rsidR="00951F81" w:rsidRPr="006320B0" w:rsidRDefault="00951F81" w:rsidP="00840536">
      <w:pPr>
        <w:widowControl w:val="0"/>
        <w:suppressAutoHyphens/>
      </w:pPr>
    </w:p>
    <w:p w14:paraId="4CD887E4" w14:textId="67B61FEF" w:rsidR="00951F81" w:rsidRPr="006320B0" w:rsidRDefault="00951F81" w:rsidP="00840536">
      <w:pPr>
        <w:widowControl w:val="0"/>
        <w:suppressAutoHyphens/>
      </w:pPr>
      <w:r w:rsidRPr="006320B0">
        <w:t xml:space="preserve">Nadat </w:t>
      </w:r>
      <w:r w:rsidR="00D50235" w:rsidRPr="006320B0">
        <w:t>Kefdensis</w:t>
      </w:r>
      <w:r w:rsidRPr="006320B0">
        <w:t xml:space="preserve"> eenmaal uit de koelkast is gehaald, mag het bij kamertemperatuur (tot 25°C) tot maximaal 30 dagen in de oorspronkelijke verpakking worden bewaard. Het moet binnen deze periode van 30 dagen worden gebruikt.</w:t>
      </w:r>
    </w:p>
    <w:p w14:paraId="29E20507" w14:textId="77777777" w:rsidR="00951F81" w:rsidRPr="006320B0" w:rsidRDefault="00951F81" w:rsidP="00840536">
      <w:pPr>
        <w:widowControl w:val="0"/>
        <w:suppressAutoHyphens/>
      </w:pPr>
    </w:p>
    <w:p w14:paraId="5EE7B728" w14:textId="77777777" w:rsidR="00951F81" w:rsidRPr="006320B0" w:rsidRDefault="00951F81" w:rsidP="00840536">
      <w:pPr>
        <w:widowControl w:val="0"/>
        <w:suppressAutoHyphens/>
        <w:ind w:left="567" w:hanging="567"/>
        <w:rPr>
          <w:b/>
        </w:rPr>
      </w:pPr>
      <w:r w:rsidRPr="006320B0">
        <w:rPr>
          <w:b/>
        </w:rPr>
        <w:t>6.4</w:t>
      </w:r>
      <w:r w:rsidRPr="006320B0">
        <w:rPr>
          <w:b/>
        </w:rPr>
        <w:tab/>
        <w:t>Speciale voorzorgsmaatregelen bij bewaren</w:t>
      </w:r>
    </w:p>
    <w:p w14:paraId="7A6A5CA8" w14:textId="77777777" w:rsidR="00951F81" w:rsidRPr="006320B0" w:rsidRDefault="00951F81" w:rsidP="00840536">
      <w:pPr>
        <w:widowControl w:val="0"/>
        <w:suppressAutoHyphens/>
      </w:pPr>
    </w:p>
    <w:p w14:paraId="5D71A525" w14:textId="77777777" w:rsidR="00951F81" w:rsidRPr="006320B0" w:rsidRDefault="00951F81" w:rsidP="00840536">
      <w:pPr>
        <w:widowControl w:val="0"/>
        <w:suppressAutoHyphens/>
      </w:pPr>
      <w:r w:rsidRPr="006320B0">
        <w:t>Bewaren in de koelkast (2°C – 8°C).</w:t>
      </w:r>
    </w:p>
    <w:p w14:paraId="6BD9700E" w14:textId="77777777" w:rsidR="00951F81" w:rsidRPr="006320B0" w:rsidRDefault="00951F81" w:rsidP="00840536">
      <w:pPr>
        <w:widowControl w:val="0"/>
        <w:suppressAutoHyphens/>
      </w:pPr>
      <w:r w:rsidRPr="006320B0">
        <w:t>Niet in de vriezer bewaren.</w:t>
      </w:r>
    </w:p>
    <w:p w14:paraId="0FACAD58" w14:textId="053598A8" w:rsidR="00951F81" w:rsidRPr="006320B0" w:rsidRDefault="00951F81" w:rsidP="00840536">
      <w:pPr>
        <w:widowControl w:val="0"/>
        <w:suppressAutoHyphens/>
      </w:pPr>
      <w:r w:rsidRPr="006320B0">
        <w:t>De voorgevulde spuit in de buitenverpakking bewaren ter bescherming tegen licht.</w:t>
      </w:r>
    </w:p>
    <w:p w14:paraId="6E82BDF1" w14:textId="77777777" w:rsidR="00951F81" w:rsidRPr="006320B0" w:rsidRDefault="00951F81" w:rsidP="00840536">
      <w:pPr>
        <w:widowControl w:val="0"/>
        <w:suppressAutoHyphens/>
      </w:pPr>
    </w:p>
    <w:p w14:paraId="28BDB080" w14:textId="77777777" w:rsidR="00951F81" w:rsidRPr="006320B0" w:rsidRDefault="00951F81" w:rsidP="00840536">
      <w:pPr>
        <w:widowControl w:val="0"/>
        <w:suppressAutoHyphens/>
        <w:ind w:left="567" w:hanging="567"/>
        <w:rPr>
          <w:b/>
        </w:rPr>
      </w:pPr>
      <w:r w:rsidRPr="006320B0">
        <w:rPr>
          <w:b/>
        </w:rPr>
        <w:t>6.5</w:t>
      </w:r>
      <w:r w:rsidRPr="006320B0">
        <w:rPr>
          <w:b/>
        </w:rPr>
        <w:tab/>
        <w:t>Aard en inhoud van de verpakking</w:t>
      </w:r>
    </w:p>
    <w:p w14:paraId="1028F259" w14:textId="77777777" w:rsidR="00951F81" w:rsidRPr="006320B0" w:rsidRDefault="00951F81" w:rsidP="00840536">
      <w:pPr>
        <w:widowControl w:val="0"/>
        <w:suppressAutoHyphens/>
      </w:pPr>
    </w:p>
    <w:p w14:paraId="0DE5FDA0" w14:textId="2929D223" w:rsidR="00951F81" w:rsidRPr="006320B0" w:rsidRDefault="00951F81" w:rsidP="00840536">
      <w:pPr>
        <w:widowControl w:val="0"/>
        <w:suppressAutoHyphens/>
      </w:pPr>
      <w:r w:rsidRPr="006320B0">
        <w:t>Eén ml oplossing in een voorgevulde spuit voor eenmalig gebruik gemaakt van type I glas met roestvrijstalen 2</w:t>
      </w:r>
      <w:r w:rsidR="00A7647D" w:rsidRPr="006320B0">
        <w:t>9</w:t>
      </w:r>
      <w:r w:rsidRPr="006320B0">
        <w:t> gauge</w:t>
      </w:r>
      <w:r w:rsidRPr="006320B0">
        <w:noBreakHyphen/>
        <w:t xml:space="preserve">naald, </w:t>
      </w:r>
      <w:r w:rsidR="008E0F57" w:rsidRPr="006320B0">
        <w:t xml:space="preserve">verlengde vingergrepen </w:t>
      </w:r>
      <w:r w:rsidR="00713E1D">
        <w:t xml:space="preserve">en </w:t>
      </w:r>
      <w:r w:rsidRPr="006320B0">
        <w:t>naaldbescherming</w:t>
      </w:r>
      <w:r w:rsidR="00A7647D" w:rsidRPr="006320B0">
        <w:t xml:space="preserve"> en een </w:t>
      </w:r>
      <w:r w:rsidR="00275FE7" w:rsidRPr="006320B0">
        <w:t>zuiger</w:t>
      </w:r>
      <w:r w:rsidR="00713E1D">
        <w:t>stop</w:t>
      </w:r>
      <w:r w:rsidR="00A7647D" w:rsidRPr="006320B0">
        <w:t xml:space="preserve"> (broombutylrubber).</w:t>
      </w:r>
    </w:p>
    <w:p w14:paraId="4B3FACEE" w14:textId="77777777" w:rsidR="00951F81" w:rsidRPr="006320B0" w:rsidRDefault="00951F81" w:rsidP="00840536">
      <w:pPr>
        <w:widowControl w:val="0"/>
        <w:suppressAutoHyphens/>
      </w:pPr>
    </w:p>
    <w:p w14:paraId="64D9FD13" w14:textId="7C146005" w:rsidR="00951F81" w:rsidRPr="006320B0" w:rsidRDefault="00951F81" w:rsidP="00840536">
      <w:pPr>
        <w:widowControl w:val="0"/>
        <w:suppressAutoHyphens/>
      </w:pPr>
      <w:r w:rsidRPr="006320B0">
        <w:t>Verpakking met één voorgevulde spuit, in blisterverpakking.</w:t>
      </w:r>
    </w:p>
    <w:p w14:paraId="6C50EC62" w14:textId="77777777" w:rsidR="00951F81" w:rsidRPr="006320B0" w:rsidRDefault="00951F81" w:rsidP="00840536">
      <w:pPr>
        <w:widowControl w:val="0"/>
        <w:suppressAutoHyphens/>
      </w:pPr>
    </w:p>
    <w:p w14:paraId="77895BB1" w14:textId="77777777" w:rsidR="00951F81" w:rsidRPr="006320B0" w:rsidRDefault="00951F81" w:rsidP="00840536">
      <w:pPr>
        <w:widowControl w:val="0"/>
        <w:suppressAutoHyphens/>
        <w:ind w:left="567" w:hanging="567"/>
        <w:rPr>
          <w:b/>
        </w:rPr>
      </w:pPr>
      <w:r w:rsidRPr="006320B0">
        <w:rPr>
          <w:b/>
        </w:rPr>
        <w:t>6.6</w:t>
      </w:r>
      <w:r w:rsidRPr="006320B0">
        <w:rPr>
          <w:b/>
        </w:rPr>
        <w:tab/>
        <w:t>Speciale voorzorgsmaatregelen voor het verwijderen en andere instructies</w:t>
      </w:r>
    </w:p>
    <w:p w14:paraId="6B8F8B4F" w14:textId="77777777" w:rsidR="00951F81" w:rsidRPr="006320B0" w:rsidRDefault="00951F81" w:rsidP="00840536">
      <w:pPr>
        <w:widowControl w:val="0"/>
        <w:suppressAutoHyphens/>
      </w:pPr>
    </w:p>
    <w:p w14:paraId="7CE05932" w14:textId="446F42DC" w:rsidR="00951F81" w:rsidRPr="006320B0" w:rsidRDefault="00951F81" w:rsidP="00840536">
      <w:pPr>
        <w:widowControl w:val="0"/>
        <w:numPr>
          <w:ilvl w:val="0"/>
          <w:numId w:val="54"/>
        </w:numPr>
        <w:tabs>
          <w:tab w:val="clear" w:pos="567"/>
        </w:tabs>
        <w:suppressAutoHyphens/>
        <w:ind w:left="567" w:hanging="567"/>
      </w:pPr>
      <w:r w:rsidRPr="006320B0">
        <w:t xml:space="preserve">Vóór toediening moet de oplossing eerst worden geïnspecteerd. </w:t>
      </w:r>
      <w:r w:rsidR="00A7647D" w:rsidRPr="006320B0">
        <w:t>De oplossing kan sporen</w:t>
      </w:r>
      <w:r w:rsidR="00713E1D">
        <w:t>hoeveelheden</w:t>
      </w:r>
      <w:r w:rsidR="00A7647D" w:rsidRPr="006320B0">
        <w:t xml:space="preserve"> doorschijnende tot witte eiwitachtige deeltjes bevatten. </w:t>
      </w:r>
      <w:r w:rsidRPr="006320B0">
        <w:t>De oplossing niet injecteren als deze deeltjes bevat of troebel of verkleurd is.</w:t>
      </w:r>
    </w:p>
    <w:p w14:paraId="45CACAF9" w14:textId="77777777" w:rsidR="00951F81" w:rsidRPr="006320B0" w:rsidRDefault="00951F81" w:rsidP="00840536">
      <w:pPr>
        <w:widowControl w:val="0"/>
        <w:numPr>
          <w:ilvl w:val="0"/>
          <w:numId w:val="54"/>
        </w:numPr>
        <w:tabs>
          <w:tab w:val="clear" w:pos="567"/>
        </w:tabs>
        <w:suppressAutoHyphens/>
        <w:ind w:left="567" w:hanging="567"/>
      </w:pPr>
      <w:r w:rsidRPr="006320B0">
        <w:t>Niet schudden.</w:t>
      </w:r>
    </w:p>
    <w:p w14:paraId="0FD99D62" w14:textId="77777777" w:rsidR="00951F81" w:rsidRPr="006320B0" w:rsidRDefault="00951F81" w:rsidP="00840536">
      <w:pPr>
        <w:widowControl w:val="0"/>
        <w:numPr>
          <w:ilvl w:val="0"/>
          <w:numId w:val="54"/>
        </w:numPr>
        <w:tabs>
          <w:tab w:val="clear" w:pos="567"/>
        </w:tabs>
        <w:suppressAutoHyphens/>
        <w:ind w:left="567" w:hanging="567"/>
      </w:pPr>
      <w:r w:rsidRPr="006320B0">
        <w:t>Om pijn op de injectieplaats te vermijden de voorgevulde spuit op kamertemperatuur (tot 25°C) laten komen voordat u injecteert en injecteer langzaam.</w:t>
      </w:r>
    </w:p>
    <w:p w14:paraId="2A7773CC" w14:textId="77777777" w:rsidR="00951F81" w:rsidRPr="006320B0" w:rsidRDefault="00951F81" w:rsidP="00840536">
      <w:pPr>
        <w:widowControl w:val="0"/>
        <w:numPr>
          <w:ilvl w:val="0"/>
          <w:numId w:val="54"/>
        </w:numPr>
        <w:tabs>
          <w:tab w:val="clear" w:pos="567"/>
        </w:tabs>
        <w:suppressAutoHyphens/>
        <w:ind w:left="567" w:hanging="567"/>
      </w:pPr>
      <w:r w:rsidRPr="006320B0">
        <w:t>Injecteer de gehele inhoud van de voorgevulde spuit.</w:t>
      </w:r>
    </w:p>
    <w:p w14:paraId="43A21F9E" w14:textId="77777777" w:rsidR="00951F81" w:rsidRPr="006320B0" w:rsidRDefault="00951F81" w:rsidP="00840536">
      <w:pPr>
        <w:widowControl w:val="0"/>
        <w:suppressAutoHyphens/>
      </w:pPr>
    </w:p>
    <w:p w14:paraId="3DA3C751" w14:textId="77777777" w:rsidR="00951F81" w:rsidRPr="006320B0" w:rsidRDefault="00951F81" w:rsidP="00840536">
      <w:pPr>
        <w:widowControl w:val="0"/>
        <w:suppressAutoHyphens/>
      </w:pPr>
      <w:r w:rsidRPr="006320B0">
        <w:t>Al het ongebruikte geneesmiddel of afvalmateriaal dient te worden vernietigd overeenkomstig lokale voorschriften.</w:t>
      </w:r>
    </w:p>
    <w:p w14:paraId="4F223CE0" w14:textId="77777777" w:rsidR="00951F81" w:rsidRPr="006320B0" w:rsidRDefault="00951F81" w:rsidP="00840536">
      <w:pPr>
        <w:widowControl w:val="0"/>
        <w:suppressAutoHyphens/>
      </w:pPr>
    </w:p>
    <w:p w14:paraId="6F863E08" w14:textId="77777777" w:rsidR="00951F81" w:rsidRPr="006320B0" w:rsidRDefault="00951F81" w:rsidP="00840536">
      <w:pPr>
        <w:widowControl w:val="0"/>
        <w:suppressAutoHyphens/>
      </w:pPr>
    </w:p>
    <w:p w14:paraId="0C069EE3" w14:textId="77777777" w:rsidR="00951F81" w:rsidRPr="006320B0" w:rsidRDefault="00951F81" w:rsidP="00840536">
      <w:pPr>
        <w:widowControl w:val="0"/>
        <w:suppressAutoHyphens/>
        <w:ind w:left="567" w:hanging="567"/>
        <w:rPr>
          <w:b/>
        </w:rPr>
      </w:pPr>
      <w:r w:rsidRPr="006320B0">
        <w:rPr>
          <w:b/>
        </w:rPr>
        <w:t>7.</w:t>
      </w:r>
      <w:r w:rsidRPr="006320B0">
        <w:rPr>
          <w:b/>
        </w:rPr>
        <w:tab/>
        <w:t>HOUDER VAN DE VERGUNNING VOOR HET IN DE HANDEL BRENGEN</w:t>
      </w:r>
    </w:p>
    <w:p w14:paraId="750A262E" w14:textId="77777777" w:rsidR="00951F81" w:rsidRPr="006320B0" w:rsidRDefault="00951F81" w:rsidP="00840536">
      <w:pPr>
        <w:widowControl w:val="0"/>
        <w:suppressAutoHyphens/>
      </w:pPr>
    </w:p>
    <w:p w14:paraId="1C7FAD96" w14:textId="77777777" w:rsidR="00A7647D" w:rsidRPr="00DE1F94" w:rsidRDefault="00A7647D" w:rsidP="00A7647D">
      <w:pPr>
        <w:keepNext/>
        <w:tabs>
          <w:tab w:val="clear" w:pos="567"/>
        </w:tabs>
        <w:rPr>
          <w:lang w:val="de-DE"/>
        </w:rPr>
      </w:pPr>
      <w:r w:rsidRPr="00DE1F94">
        <w:rPr>
          <w:lang w:val="de-DE"/>
        </w:rPr>
        <w:t>STADA Arzneimittel AG</w:t>
      </w:r>
    </w:p>
    <w:p w14:paraId="693311D5" w14:textId="77777777" w:rsidR="00A7647D" w:rsidRPr="00DE1F94" w:rsidRDefault="00A7647D" w:rsidP="00A7647D">
      <w:pPr>
        <w:keepNext/>
        <w:tabs>
          <w:tab w:val="clear" w:pos="567"/>
        </w:tabs>
        <w:rPr>
          <w:lang w:val="de-DE"/>
        </w:rPr>
      </w:pPr>
      <w:r w:rsidRPr="00DE1F94">
        <w:rPr>
          <w:lang w:val="de-DE"/>
        </w:rPr>
        <w:t>Stadastrasse 2–18</w:t>
      </w:r>
    </w:p>
    <w:p w14:paraId="673FF703" w14:textId="77777777" w:rsidR="00A7647D" w:rsidRPr="00DE1F94" w:rsidRDefault="00A7647D" w:rsidP="00A7647D">
      <w:pPr>
        <w:keepNext/>
        <w:tabs>
          <w:tab w:val="clear" w:pos="567"/>
        </w:tabs>
        <w:rPr>
          <w:lang w:val="de-DE"/>
        </w:rPr>
      </w:pPr>
      <w:r w:rsidRPr="00DE1F94">
        <w:rPr>
          <w:lang w:val="de-DE"/>
        </w:rPr>
        <w:t>61118 Bad Vilbel</w:t>
      </w:r>
    </w:p>
    <w:p w14:paraId="1BF417BE" w14:textId="77777777" w:rsidR="00A7647D" w:rsidRPr="006320B0" w:rsidRDefault="00A7647D" w:rsidP="00A7647D">
      <w:pPr>
        <w:keepNext/>
        <w:tabs>
          <w:tab w:val="clear" w:pos="567"/>
        </w:tabs>
      </w:pPr>
      <w:r w:rsidRPr="006320B0">
        <w:t>Duitsland</w:t>
      </w:r>
    </w:p>
    <w:p w14:paraId="4C7568E7" w14:textId="77777777" w:rsidR="00951F81" w:rsidRPr="006320B0" w:rsidRDefault="00951F81" w:rsidP="00840536">
      <w:pPr>
        <w:widowControl w:val="0"/>
        <w:suppressAutoHyphens/>
      </w:pPr>
    </w:p>
    <w:p w14:paraId="4F4635A4" w14:textId="77777777" w:rsidR="00951F81" w:rsidRPr="006320B0" w:rsidRDefault="00951F81" w:rsidP="00840536">
      <w:pPr>
        <w:widowControl w:val="0"/>
        <w:suppressAutoHyphens/>
      </w:pPr>
    </w:p>
    <w:p w14:paraId="5384B89B" w14:textId="77777777" w:rsidR="00951F81" w:rsidRPr="006320B0" w:rsidRDefault="00951F81" w:rsidP="00840536">
      <w:pPr>
        <w:widowControl w:val="0"/>
        <w:suppressAutoHyphens/>
        <w:ind w:left="567" w:hanging="567"/>
        <w:rPr>
          <w:b/>
        </w:rPr>
      </w:pPr>
      <w:r w:rsidRPr="006320B0">
        <w:rPr>
          <w:b/>
        </w:rPr>
        <w:t>8.</w:t>
      </w:r>
      <w:r w:rsidRPr="006320B0">
        <w:rPr>
          <w:b/>
        </w:rPr>
        <w:tab/>
        <w:t>NUMMER(S) VAN DE VERGUNNING VOOR HET IN DE HANDEL BRENGEN</w:t>
      </w:r>
    </w:p>
    <w:p w14:paraId="25AAFEF5" w14:textId="77777777" w:rsidR="00951F81" w:rsidRPr="006320B0" w:rsidRDefault="00951F81" w:rsidP="00840536">
      <w:pPr>
        <w:widowControl w:val="0"/>
        <w:suppressAutoHyphens/>
      </w:pPr>
    </w:p>
    <w:p w14:paraId="2C03BF04" w14:textId="2860A66F" w:rsidR="00951F81" w:rsidRPr="006320B0" w:rsidRDefault="57A43279" w:rsidP="34832FA9">
      <w:pPr>
        <w:widowControl w:val="0"/>
        <w:tabs>
          <w:tab w:val="clear" w:pos="567"/>
        </w:tabs>
        <w:spacing w:line="259" w:lineRule="auto"/>
      </w:pPr>
      <w:r w:rsidRPr="006320B0">
        <w:t>EU/1/25/1980/001</w:t>
      </w:r>
    </w:p>
    <w:p w14:paraId="4D558D57" w14:textId="77777777" w:rsidR="00951F81" w:rsidRPr="006320B0" w:rsidRDefault="00951F81" w:rsidP="00840536">
      <w:pPr>
        <w:widowControl w:val="0"/>
        <w:tabs>
          <w:tab w:val="clear" w:pos="567"/>
        </w:tabs>
        <w:suppressAutoHyphens/>
      </w:pPr>
    </w:p>
    <w:p w14:paraId="661C15B3" w14:textId="77777777" w:rsidR="00951F81" w:rsidRPr="006320B0" w:rsidRDefault="00951F81" w:rsidP="00840536">
      <w:pPr>
        <w:widowControl w:val="0"/>
        <w:tabs>
          <w:tab w:val="clear" w:pos="567"/>
        </w:tabs>
        <w:suppressAutoHyphens/>
      </w:pPr>
    </w:p>
    <w:p w14:paraId="5E795EB9" w14:textId="77777777" w:rsidR="00951F81" w:rsidRPr="006320B0" w:rsidRDefault="00951F81" w:rsidP="00840536">
      <w:pPr>
        <w:widowControl w:val="0"/>
        <w:suppressAutoHyphens/>
        <w:ind w:left="567" w:hanging="567"/>
        <w:rPr>
          <w:b/>
        </w:rPr>
      </w:pPr>
      <w:r w:rsidRPr="006320B0">
        <w:rPr>
          <w:b/>
        </w:rPr>
        <w:t>9.</w:t>
      </w:r>
      <w:r w:rsidRPr="006320B0">
        <w:rPr>
          <w:b/>
        </w:rPr>
        <w:tab/>
        <w:t>DATUM EERSTE VERGUNNINGVERLENING/VERLENGING VAN DE VERGUNNING</w:t>
      </w:r>
    </w:p>
    <w:p w14:paraId="7133D238" w14:textId="77777777" w:rsidR="00951F81" w:rsidRPr="006320B0" w:rsidRDefault="00951F81" w:rsidP="00840536">
      <w:pPr>
        <w:widowControl w:val="0"/>
        <w:suppressAutoHyphens/>
      </w:pPr>
    </w:p>
    <w:p w14:paraId="6C14A793" w14:textId="1005DBCC" w:rsidR="00951F81" w:rsidRPr="006320B0" w:rsidRDefault="00951F81" w:rsidP="00840536">
      <w:pPr>
        <w:widowControl w:val="0"/>
        <w:tabs>
          <w:tab w:val="clear" w:pos="567"/>
        </w:tabs>
        <w:suppressAutoHyphens/>
      </w:pPr>
      <w:r w:rsidRPr="006320B0">
        <w:t xml:space="preserve">Datum van eerste verlening van de vergunning: </w:t>
      </w:r>
      <w:ins w:id="1" w:author="Author" w:date="2026-02-17T11:22:00Z" w16du:dateUtc="2026-02-17T10:22:00Z">
        <w:r w:rsidR="003D369A">
          <w:t>17 november 2025</w:t>
        </w:r>
      </w:ins>
    </w:p>
    <w:p w14:paraId="5DD43CC7" w14:textId="77777777" w:rsidR="00951F81" w:rsidRPr="006320B0" w:rsidRDefault="00951F81" w:rsidP="00840536">
      <w:pPr>
        <w:widowControl w:val="0"/>
        <w:tabs>
          <w:tab w:val="clear" w:pos="567"/>
        </w:tabs>
        <w:suppressAutoHyphens/>
      </w:pPr>
    </w:p>
    <w:p w14:paraId="322C9535" w14:textId="38F2411B" w:rsidR="00951F81" w:rsidRPr="006320B0" w:rsidDel="00CA4F66" w:rsidRDefault="00951F81" w:rsidP="00840536">
      <w:pPr>
        <w:widowControl w:val="0"/>
        <w:tabs>
          <w:tab w:val="clear" w:pos="567"/>
        </w:tabs>
        <w:suppressAutoHyphens/>
        <w:rPr>
          <w:del w:id="2" w:author="Author" w:date="2026-02-17T11:23:00Z" w16du:dateUtc="2026-02-17T10:23:00Z"/>
        </w:rPr>
      </w:pPr>
    </w:p>
    <w:p w14:paraId="7364CFD8" w14:textId="77777777" w:rsidR="00951F81" w:rsidRPr="006320B0" w:rsidRDefault="00951F81" w:rsidP="00840536">
      <w:pPr>
        <w:widowControl w:val="0"/>
        <w:suppressAutoHyphens/>
        <w:ind w:left="567" w:hanging="567"/>
        <w:rPr>
          <w:b/>
        </w:rPr>
      </w:pPr>
      <w:r w:rsidRPr="006320B0">
        <w:rPr>
          <w:b/>
        </w:rPr>
        <w:t>10.</w:t>
      </w:r>
      <w:r w:rsidRPr="006320B0">
        <w:rPr>
          <w:b/>
        </w:rPr>
        <w:tab/>
        <w:t>DATUM VAN HERZIENING VAN DE TEKST</w:t>
      </w:r>
    </w:p>
    <w:p w14:paraId="7D867725" w14:textId="689E2E81" w:rsidR="00951F81" w:rsidRPr="006320B0" w:rsidDel="003D369A" w:rsidRDefault="00951F81" w:rsidP="00840536">
      <w:pPr>
        <w:widowControl w:val="0"/>
        <w:suppressAutoHyphens/>
        <w:rPr>
          <w:del w:id="3" w:author="Author" w:date="2026-02-17T11:22:00Z" w16du:dateUtc="2026-02-17T10:22:00Z"/>
        </w:rPr>
      </w:pPr>
    </w:p>
    <w:p w14:paraId="2A95B304" w14:textId="77777777" w:rsidR="00951F81" w:rsidRPr="006320B0" w:rsidRDefault="00951F81" w:rsidP="00840536">
      <w:pPr>
        <w:widowControl w:val="0"/>
        <w:tabs>
          <w:tab w:val="clear" w:pos="567"/>
        </w:tabs>
        <w:suppressAutoHyphens/>
      </w:pPr>
    </w:p>
    <w:p w14:paraId="4C015B92" w14:textId="77777777" w:rsidR="00951F81" w:rsidRPr="006320B0" w:rsidRDefault="00951F81" w:rsidP="00840536">
      <w:pPr>
        <w:widowControl w:val="0"/>
        <w:tabs>
          <w:tab w:val="clear" w:pos="567"/>
        </w:tabs>
        <w:suppressAutoHyphens/>
      </w:pPr>
    </w:p>
    <w:p w14:paraId="6B22D5F0" w14:textId="4698E9DF" w:rsidR="00951F81" w:rsidRPr="006320B0" w:rsidDel="003D369A" w:rsidRDefault="00951F81" w:rsidP="00840536">
      <w:pPr>
        <w:widowControl w:val="0"/>
        <w:tabs>
          <w:tab w:val="clear" w:pos="567"/>
        </w:tabs>
        <w:suppressAutoHyphens/>
        <w:rPr>
          <w:del w:id="4" w:author="Author" w:date="2026-02-17T11:22:00Z" w16du:dateUtc="2026-02-17T10:22:00Z"/>
        </w:rPr>
      </w:pPr>
      <w:r w:rsidRPr="006320B0">
        <w:t xml:space="preserve">Gedetailleerde informatie over dit geneesmiddel is beschikbaar op de website van het Europees Geneesmiddelenbureau </w:t>
      </w:r>
      <w:hyperlink r:id="rId16" w:history="1">
        <w:r w:rsidR="00EC2E36" w:rsidRPr="006320B0">
          <w:rPr>
            <w:rStyle w:val="Hyperlink"/>
          </w:rPr>
          <w:t>https</w:t>
        </w:r>
        <w:r w:rsidRPr="006320B0">
          <w:rPr>
            <w:rStyle w:val="Hyperlink"/>
          </w:rPr>
          <w:t>://www.ema.europa.eu</w:t>
        </w:r>
      </w:hyperlink>
      <w:r w:rsidRPr="006320B0">
        <w:t>.</w:t>
      </w:r>
    </w:p>
    <w:p w14:paraId="32765997" w14:textId="77777777" w:rsidR="00951F81" w:rsidRPr="006320B0" w:rsidDel="003D369A" w:rsidRDefault="00951F81" w:rsidP="00840536">
      <w:pPr>
        <w:widowControl w:val="0"/>
        <w:tabs>
          <w:tab w:val="clear" w:pos="567"/>
        </w:tabs>
        <w:suppressAutoHyphens/>
        <w:rPr>
          <w:del w:id="5" w:author="Author" w:date="2026-02-17T11:23:00Z" w16du:dateUtc="2026-02-17T10:23:00Z"/>
        </w:rPr>
      </w:pPr>
    </w:p>
    <w:p w14:paraId="0157C403" w14:textId="77777777" w:rsidR="00951F81" w:rsidRPr="006320B0" w:rsidRDefault="00951F81">
      <w:pPr>
        <w:widowControl w:val="0"/>
        <w:suppressAutoHyphens/>
        <w:pPrChange w:id="6" w:author="Author" w:date="2026-02-17T11:23:00Z" w16du:dateUtc="2026-02-17T10:23:00Z">
          <w:pPr>
            <w:widowControl w:val="0"/>
            <w:suppressAutoHyphens/>
            <w:jc w:val="center"/>
          </w:pPr>
        </w:pPrChange>
      </w:pPr>
      <w:del w:id="7" w:author="Author" w:date="2026-02-17T11:23:00Z" w16du:dateUtc="2026-02-17T10:23:00Z">
        <w:r w:rsidRPr="006320B0" w:rsidDel="003D369A">
          <w:br w:type="page"/>
        </w:r>
      </w:del>
    </w:p>
    <w:p w14:paraId="1F074583" w14:textId="77777777" w:rsidR="00951F81" w:rsidRPr="006320B0" w:rsidRDefault="00951F81" w:rsidP="00840536">
      <w:pPr>
        <w:widowControl w:val="0"/>
        <w:suppressAutoHyphens/>
        <w:jc w:val="center"/>
      </w:pPr>
    </w:p>
    <w:p w14:paraId="750282B0" w14:textId="77777777" w:rsidR="00951F81" w:rsidRPr="006320B0" w:rsidRDefault="00951F81" w:rsidP="00840536">
      <w:pPr>
        <w:widowControl w:val="0"/>
        <w:suppressAutoHyphens/>
        <w:jc w:val="center"/>
      </w:pPr>
    </w:p>
    <w:p w14:paraId="7C5C85F1" w14:textId="77777777" w:rsidR="00951F81" w:rsidRPr="006320B0" w:rsidRDefault="00951F81" w:rsidP="00840536">
      <w:pPr>
        <w:widowControl w:val="0"/>
        <w:suppressAutoHyphens/>
        <w:jc w:val="center"/>
      </w:pPr>
    </w:p>
    <w:p w14:paraId="048B7BA5" w14:textId="77777777" w:rsidR="00951F81" w:rsidRPr="006320B0" w:rsidRDefault="00951F81" w:rsidP="00840536">
      <w:pPr>
        <w:widowControl w:val="0"/>
        <w:suppressAutoHyphens/>
        <w:jc w:val="center"/>
      </w:pPr>
    </w:p>
    <w:p w14:paraId="76131D9D" w14:textId="77777777" w:rsidR="00951F81" w:rsidRPr="006320B0" w:rsidRDefault="00951F81" w:rsidP="00840536">
      <w:pPr>
        <w:widowControl w:val="0"/>
        <w:suppressAutoHyphens/>
        <w:jc w:val="center"/>
      </w:pPr>
    </w:p>
    <w:p w14:paraId="56640479" w14:textId="77777777" w:rsidR="00951F81" w:rsidRPr="006320B0" w:rsidRDefault="00951F81" w:rsidP="00840536">
      <w:pPr>
        <w:widowControl w:val="0"/>
        <w:suppressAutoHyphens/>
        <w:jc w:val="center"/>
      </w:pPr>
    </w:p>
    <w:p w14:paraId="560C7A49" w14:textId="77777777" w:rsidR="00951F81" w:rsidRPr="006320B0" w:rsidRDefault="00951F81" w:rsidP="00840536">
      <w:pPr>
        <w:widowControl w:val="0"/>
        <w:suppressAutoHyphens/>
        <w:jc w:val="center"/>
      </w:pPr>
    </w:p>
    <w:p w14:paraId="37BC24AD" w14:textId="77777777" w:rsidR="00951F81" w:rsidRPr="006320B0" w:rsidRDefault="00951F81" w:rsidP="00840536">
      <w:pPr>
        <w:widowControl w:val="0"/>
        <w:suppressAutoHyphens/>
        <w:jc w:val="center"/>
      </w:pPr>
    </w:p>
    <w:p w14:paraId="47D7D8BD" w14:textId="77777777" w:rsidR="00951F81" w:rsidRPr="006320B0" w:rsidRDefault="00951F81" w:rsidP="00840536">
      <w:pPr>
        <w:widowControl w:val="0"/>
        <w:suppressAutoHyphens/>
        <w:jc w:val="center"/>
      </w:pPr>
    </w:p>
    <w:p w14:paraId="3EA2A6F9" w14:textId="77777777" w:rsidR="00951F81" w:rsidRPr="006320B0" w:rsidRDefault="00951F81" w:rsidP="00840536">
      <w:pPr>
        <w:widowControl w:val="0"/>
        <w:suppressAutoHyphens/>
        <w:jc w:val="center"/>
      </w:pPr>
    </w:p>
    <w:p w14:paraId="00EC6FE9" w14:textId="77777777" w:rsidR="00951F81" w:rsidRPr="006320B0" w:rsidRDefault="00951F81" w:rsidP="00840536">
      <w:pPr>
        <w:widowControl w:val="0"/>
        <w:suppressAutoHyphens/>
        <w:jc w:val="center"/>
      </w:pPr>
    </w:p>
    <w:p w14:paraId="098DDBC5" w14:textId="77777777" w:rsidR="00951F81" w:rsidRPr="006320B0" w:rsidRDefault="00951F81" w:rsidP="00840536">
      <w:pPr>
        <w:widowControl w:val="0"/>
        <w:suppressAutoHyphens/>
        <w:jc w:val="center"/>
      </w:pPr>
    </w:p>
    <w:p w14:paraId="2234C8CB" w14:textId="77777777" w:rsidR="00951F81" w:rsidRPr="006320B0" w:rsidRDefault="00951F81" w:rsidP="00840536">
      <w:pPr>
        <w:widowControl w:val="0"/>
        <w:suppressAutoHyphens/>
        <w:jc w:val="center"/>
      </w:pPr>
    </w:p>
    <w:p w14:paraId="5E07E9E0" w14:textId="77777777" w:rsidR="00951F81" w:rsidRPr="006320B0" w:rsidRDefault="00951F81" w:rsidP="00840536">
      <w:pPr>
        <w:widowControl w:val="0"/>
        <w:suppressAutoHyphens/>
        <w:jc w:val="center"/>
      </w:pPr>
    </w:p>
    <w:p w14:paraId="70A41B90" w14:textId="77777777" w:rsidR="00951F81" w:rsidRPr="006320B0" w:rsidRDefault="00951F81" w:rsidP="00840536">
      <w:pPr>
        <w:widowControl w:val="0"/>
        <w:suppressAutoHyphens/>
        <w:jc w:val="center"/>
      </w:pPr>
    </w:p>
    <w:p w14:paraId="62C25C18" w14:textId="77777777" w:rsidR="00951F81" w:rsidRPr="006320B0" w:rsidRDefault="00951F81" w:rsidP="00840536">
      <w:pPr>
        <w:widowControl w:val="0"/>
        <w:suppressAutoHyphens/>
        <w:jc w:val="center"/>
      </w:pPr>
    </w:p>
    <w:p w14:paraId="5553FD6D" w14:textId="77777777" w:rsidR="00951F81" w:rsidRPr="006320B0" w:rsidRDefault="00951F81" w:rsidP="00840536">
      <w:pPr>
        <w:widowControl w:val="0"/>
        <w:suppressAutoHyphens/>
        <w:jc w:val="center"/>
      </w:pPr>
    </w:p>
    <w:p w14:paraId="122E3058" w14:textId="77777777" w:rsidR="00951F81" w:rsidRPr="006320B0" w:rsidRDefault="00951F81" w:rsidP="00840536">
      <w:pPr>
        <w:widowControl w:val="0"/>
        <w:suppressAutoHyphens/>
        <w:jc w:val="center"/>
      </w:pPr>
    </w:p>
    <w:p w14:paraId="1101491C" w14:textId="77777777" w:rsidR="00951F81" w:rsidRPr="006320B0" w:rsidRDefault="00951F81" w:rsidP="00840536">
      <w:pPr>
        <w:widowControl w:val="0"/>
        <w:suppressAutoHyphens/>
        <w:jc w:val="center"/>
      </w:pPr>
    </w:p>
    <w:p w14:paraId="795E5FEE" w14:textId="77777777" w:rsidR="00951F81" w:rsidRPr="006320B0" w:rsidRDefault="00951F81" w:rsidP="00840536">
      <w:pPr>
        <w:widowControl w:val="0"/>
        <w:suppressAutoHyphens/>
        <w:jc w:val="center"/>
      </w:pPr>
    </w:p>
    <w:p w14:paraId="34932679" w14:textId="77777777" w:rsidR="00951F81" w:rsidRPr="006320B0" w:rsidRDefault="00951F81" w:rsidP="00840536">
      <w:pPr>
        <w:widowControl w:val="0"/>
        <w:suppressAutoHyphens/>
        <w:jc w:val="center"/>
      </w:pPr>
    </w:p>
    <w:p w14:paraId="0C37B0EC" w14:textId="77777777" w:rsidR="00951F81" w:rsidRPr="006320B0" w:rsidRDefault="00951F81" w:rsidP="00840536">
      <w:pPr>
        <w:widowControl w:val="0"/>
        <w:suppressAutoHyphens/>
        <w:jc w:val="center"/>
      </w:pPr>
    </w:p>
    <w:p w14:paraId="4F8B13B7" w14:textId="77777777" w:rsidR="00951F81" w:rsidRPr="006320B0" w:rsidRDefault="00951F81" w:rsidP="00840536">
      <w:pPr>
        <w:widowControl w:val="0"/>
        <w:suppressAutoHyphens/>
        <w:jc w:val="center"/>
        <w:rPr>
          <w:b/>
          <w:bCs/>
        </w:rPr>
      </w:pPr>
      <w:r w:rsidRPr="006320B0">
        <w:rPr>
          <w:b/>
        </w:rPr>
        <w:t>BIJLAGE II</w:t>
      </w:r>
    </w:p>
    <w:p w14:paraId="25804659" w14:textId="77777777" w:rsidR="00951F81" w:rsidRPr="006320B0" w:rsidRDefault="00951F81" w:rsidP="00840536">
      <w:pPr>
        <w:widowControl w:val="0"/>
        <w:suppressAutoHyphens/>
        <w:jc w:val="center"/>
      </w:pPr>
    </w:p>
    <w:p w14:paraId="45178944" w14:textId="33C1E4F9" w:rsidR="00951F81" w:rsidRPr="006320B0" w:rsidRDefault="00951F81" w:rsidP="00840536">
      <w:pPr>
        <w:widowControl w:val="0"/>
        <w:suppressAutoHyphens/>
        <w:ind w:left="1701" w:right="1418" w:hanging="709"/>
        <w:rPr>
          <w:b/>
        </w:rPr>
      </w:pPr>
      <w:r w:rsidRPr="006320B0">
        <w:rPr>
          <w:b/>
        </w:rPr>
        <w:t>A.</w:t>
      </w:r>
      <w:r w:rsidRPr="006320B0">
        <w:rPr>
          <w:b/>
        </w:rPr>
        <w:tab/>
        <w:t>FABRIKANT</w:t>
      </w:r>
      <w:r w:rsidR="00F602B4" w:rsidRPr="006320B0">
        <w:rPr>
          <w:b/>
        </w:rPr>
        <w:t>(</w:t>
      </w:r>
      <w:r w:rsidRPr="006320B0">
        <w:rPr>
          <w:b/>
        </w:rPr>
        <w:t>EN</w:t>
      </w:r>
      <w:r w:rsidR="00F602B4" w:rsidRPr="006320B0">
        <w:rPr>
          <w:b/>
        </w:rPr>
        <w:t>)</w:t>
      </w:r>
      <w:r w:rsidRPr="006320B0">
        <w:rPr>
          <w:b/>
        </w:rPr>
        <w:t xml:space="preserve"> VAN DE BIOLOGISCH WERKZAME STOF</w:t>
      </w:r>
      <w:r w:rsidR="00F602B4" w:rsidRPr="006320B0">
        <w:rPr>
          <w:b/>
        </w:rPr>
        <w:t>(FEN)</w:t>
      </w:r>
      <w:r w:rsidRPr="006320B0">
        <w:rPr>
          <w:b/>
        </w:rPr>
        <w:t xml:space="preserve"> EN FABRIKANT</w:t>
      </w:r>
      <w:r w:rsidR="00F602B4" w:rsidRPr="006320B0">
        <w:rPr>
          <w:b/>
        </w:rPr>
        <w:t>(</w:t>
      </w:r>
      <w:r w:rsidRPr="006320B0">
        <w:rPr>
          <w:b/>
        </w:rPr>
        <w:t>EN</w:t>
      </w:r>
      <w:r w:rsidR="00F602B4" w:rsidRPr="006320B0">
        <w:rPr>
          <w:b/>
        </w:rPr>
        <w:t>)</w:t>
      </w:r>
      <w:r w:rsidRPr="006320B0">
        <w:rPr>
          <w:b/>
        </w:rPr>
        <w:t xml:space="preserve"> VERANTWOORDELIJK VOOR VRIJGIFTE</w:t>
      </w:r>
    </w:p>
    <w:p w14:paraId="32F9D3BD" w14:textId="77777777" w:rsidR="00951F81" w:rsidRPr="006320B0" w:rsidRDefault="00951F81" w:rsidP="00840536">
      <w:pPr>
        <w:widowControl w:val="0"/>
        <w:suppressAutoHyphens/>
        <w:jc w:val="center"/>
      </w:pPr>
    </w:p>
    <w:p w14:paraId="353CD1ED" w14:textId="77777777" w:rsidR="00951F81" w:rsidRPr="006320B0" w:rsidRDefault="00951F81" w:rsidP="00840536">
      <w:pPr>
        <w:widowControl w:val="0"/>
        <w:suppressAutoHyphens/>
        <w:ind w:left="1701" w:right="1418" w:hanging="709"/>
        <w:rPr>
          <w:b/>
        </w:rPr>
      </w:pPr>
      <w:r w:rsidRPr="006320B0">
        <w:rPr>
          <w:b/>
        </w:rPr>
        <w:t>B.</w:t>
      </w:r>
      <w:r w:rsidRPr="006320B0">
        <w:rPr>
          <w:b/>
        </w:rPr>
        <w:tab/>
        <w:t>VOORWAARDEN OF BEPERKINGEN TEN AANZIEN VAN LEVERING EN GEBRUIK</w:t>
      </w:r>
    </w:p>
    <w:p w14:paraId="794E49E2" w14:textId="77777777" w:rsidR="00951F81" w:rsidRPr="006320B0" w:rsidRDefault="00951F81" w:rsidP="00840536">
      <w:pPr>
        <w:widowControl w:val="0"/>
        <w:suppressAutoHyphens/>
        <w:jc w:val="center"/>
      </w:pPr>
    </w:p>
    <w:p w14:paraId="4B756CAB" w14:textId="77777777" w:rsidR="00951F81" w:rsidRPr="006320B0" w:rsidRDefault="00951F81" w:rsidP="00840536">
      <w:pPr>
        <w:widowControl w:val="0"/>
        <w:suppressAutoHyphens/>
        <w:ind w:left="1701" w:right="1418" w:hanging="709"/>
        <w:rPr>
          <w:b/>
        </w:rPr>
      </w:pPr>
      <w:r w:rsidRPr="006320B0">
        <w:rPr>
          <w:b/>
        </w:rPr>
        <w:t>C.</w:t>
      </w:r>
      <w:r w:rsidRPr="006320B0">
        <w:rPr>
          <w:b/>
        </w:rPr>
        <w:tab/>
        <w:t>ANDERE VOORWAARDEN EN EISEN DIE DOOR DE HOUDER VAN DE HANDELSVERGUNNING MOETEN WORDEN NAGEKOMEN</w:t>
      </w:r>
    </w:p>
    <w:p w14:paraId="72D6C8D7" w14:textId="77777777" w:rsidR="00951F81" w:rsidRPr="006320B0" w:rsidRDefault="00951F81" w:rsidP="00840536">
      <w:pPr>
        <w:widowControl w:val="0"/>
        <w:suppressAutoHyphens/>
        <w:jc w:val="center"/>
      </w:pPr>
    </w:p>
    <w:p w14:paraId="34E3CF73" w14:textId="77777777" w:rsidR="00951F81" w:rsidRPr="006320B0" w:rsidRDefault="00951F81" w:rsidP="00840536">
      <w:pPr>
        <w:widowControl w:val="0"/>
        <w:suppressAutoHyphens/>
        <w:ind w:left="1701" w:right="1418" w:hanging="709"/>
        <w:rPr>
          <w:b/>
        </w:rPr>
      </w:pPr>
      <w:r w:rsidRPr="006320B0">
        <w:rPr>
          <w:b/>
        </w:rPr>
        <w:t>D.</w:t>
      </w:r>
      <w:r w:rsidRPr="006320B0">
        <w:rPr>
          <w:b/>
        </w:rPr>
        <w:tab/>
        <w:t>VOORWAARDEN OF BEPERKINGEN MET BETREKKING TOT EEN VEILIG EN DOELTREFFEND GEBRUIK VAN HET GENEESMIDDEL</w:t>
      </w:r>
    </w:p>
    <w:p w14:paraId="229A459F" w14:textId="77777777" w:rsidR="00951F81" w:rsidRPr="006320B0" w:rsidRDefault="00951F81" w:rsidP="00840536">
      <w:pPr>
        <w:widowControl w:val="0"/>
        <w:suppressAutoHyphens/>
        <w:jc w:val="center"/>
      </w:pPr>
    </w:p>
    <w:p w14:paraId="136DAC3F" w14:textId="77777777" w:rsidR="00951F81" w:rsidRPr="006320B0" w:rsidRDefault="00951F81" w:rsidP="00840536">
      <w:pPr>
        <w:widowControl w:val="0"/>
        <w:suppressAutoHyphens/>
        <w:jc w:val="center"/>
      </w:pPr>
    </w:p>
    <w:p w14:paraId="7175AB4D" w14:textId="51E9E91E" w:rsidR="00951F81" w:rsidRPr="006320B0" w:rsidRDefault="00951F81" w:rsidP="00840536">
      <w:pPr>
        <w:pStyle w:val="TitleB"/>
        <w:keepNext w:val="0"/>
        <w:widowControl w:val="0"/>
        <w:suppressAutoHyphens/>
        <w:outlineLvl w:val="0"/>
      </w:pPr>
      <w:r w:rsidRPr="006320B0">
        <w:br w:type="page"/>
        <w:t>A.</w:t>
      </w:r>
      <w:r w:rsidRPr="006320B0">
        <w:tab/>
        <w:t>FABRIKANT VAN DE BIOLOGISCH WERKZAME STOF EN FABRIKANT</w:t>
      </w:r>
      <w:r w:rsidR="00F602B4" w:rsidRPr="006320B0">
        <w:t>(</w:t>
      </w:r>
      <w:r w:rsidRPr="006320B0">
        <w:t>EN</w:t>
      </w:r>
      <w:r w:rsidR="00F602B4" w:rsidRPr="006320B0">
        <w:t>)</w:t>
      </w:r>
      <w:r w:rsidRPr="006320B0">
        <w:t xml:space="preserve"> VERANTWOORDELIJK VOOR VRIJGIFTE</w:t>
      </w:r>
    </w:p>
    <w:p w14:paraId="4A398E93" w14:textId="77777777" w:rsidR="00951F81" w:rsidRPr="006320B0" w:rsidRDefault="00951F81" w:rsidP="00840536">
      <w:pPr>
        <w:widowControl w:val="0"/>
        <w:suppressAutoHyphens/>
      </w:pPr>
    </w:p>
    <w:p w14:paraId="1D1F82EF" w14:textId="15A1103F" w:rsidR="00951F81" w:rsidRPr="006320B0" w:rsidRDefault="00951F81" w:rsidP="00840536">
      <w:pPr>
        <w:widowControl w:val="0"/>
        <w:suppressAutoHyphens/>
        <w:rPr>
          <w:u w:val="single"/>
        </w:rPr>
      </w:pPr>
      <w:r w:rsidRPr="006320B0">
        <w:rPr>
          <w:u w:val="single"/>
        </w:rPr>
        <w:t>Naam en adres van de fabrikant</w:t>
      </w:r>
      <w:r w:rsidR="00F602B4" w:rsidRPr="006320B0">
        <w:rPr>
          <w:u w:val="single"/>
        </w:rPr>
        <w:t>(</w:t>
      </w:r>
      <w:r w:rsidRPr="006320B0">
        <w:rPr>
          <w:u w:val="single"/>
        </w:rPr>
        <w:t>en</w:t>
      </w:r>
      <w:r w:rsidR="00F602B4" w:rsidRPr="006320B0">
        <w:rPr>
          <w:u w:val="single"/>
        </w:rPr>
        <w:t>)</w:t>
      </w:r>
      <w:r w:rsidRPr="006320B0">
        <w:rPr>
          <w:u w:val="single"/>
        </w:rPr>
        <w:t xml:space="preserve"> van de biologisch werkzame stof</w:t>
      </w:r>
      <w:r w:rsidR="00F602B4" w:rsidRPr="006320B0">
        <w:rPr>
          <w:u w:val="single"/>
        </w:rPr>
        <w:t>(fen)</w:t>
      </w:r>
    </w:p>
    <w:p w14:paraId="5CEEC305" w14:textId="77777777" w:rsidR="00951F81" w:rsidRPr="006320B0" w:rsidRDefault="00951F81" w:rsidP="00840536">
      <w:pPr>
        <w:widowControl w:val="0"/>
        <w:suppressAutoHyphens/>
      </w:pPr>
    </w:p>
    <w:p w14:paraId="4B5DB7BD" w14:textId="77777777" w:rsidR="00F602B4" w:rsidRPr="006320B0" w:rsidRDefault="00F602B4" w:rsidP="00F602B4">
      <w:pPr>
        <w:keepNext/>
        <w:tabs>
          <w:tab w:val="clear" w:pos="567"/>
        </w:tabs>
      </w:pPr>
      <w:r w:rsidRPr="006320B0">
        <w:t>Alvotech hf</w:t>
      </w:r>
    </w:p>
    <w:p w14:paraId="655EB4E9" w14:textId="77777777" w:rsidR="00F602B4" w:rsidRPr="006320B0" w:rsidRDefault="00F602B4" w:rsidP="00F602B4">
      <w:pPr>
        <w:keepNext/>
        <w:tabs>
          <w:tab w:val="clear" w:pos="567"/>
        </w:tabs>
      </w:pPr>
      <w:r w:rsidRPr="006320B0">
        <w:t>Sæmundargata 15-19</w:t>
      </w:r>
    </w:p>
    <w:p w14:paraId="7D4F3405" w14:textId="77777777" w:rsidR="00F602B4" w:rsidRPr="006320B0" w:rsidRDefault="00F602B4" w:rsidP="00F602B4">
      <w:pPr>
        <w:keepNext/>
        <w:tabs>
          <w:tab w:val="clear" w:pos="567"/>
        </w:tabs>
      </w:pPr>
      <w:r w:rsidRPr="006320B0">
        <w:t>102 Reykjavik</w:t>
      </w:r>
    </w:p>
    <w:p w14:paraId="628B9ACD" w14:textId="1EDC8517" w:rsidR="00F602B4" w:rsidRPr="006320B0" w:rsidRDefault="00E91248" w:rsidP="00F602B4">
      <w:pPr>
        <w:keepNext/>
        <w:tabs>
          <w:tab w:val="clear" w:pos="567"/>
        </w:tabs>
      </w:pPr>
      <w:r w:rsidRPr="006320B0">
        <w:t>IJsland</w:t>
      </w:r>
    </w:p>
    <w:p w14:paraId="20BE9566" w14:textId="77777777" w:rsidR="00951F81" w:rsidRPr="006320B0" w:rsidRDefault="00951F81" w:rsidP="00951F81">
      <w:pPr>
        <w:tabs>
          <w:tab w:val="clear" w:pos="567"/>
        </w:tabs>
      </w:pPr>
    </w:p>
    <w:p w14:paraId="7440014B" w14:textId="2248A4F3" w:rsidR="00951F81" w:rsidRPr="006320B0" w:rsidRDefault="00951F81" w:rsidP="00840536">
      <w:pPr>
        <w:widowControl w:val="0"/>
        <w:suppressAutoHyphens/>
        <w:rPr>
          <w:u w:val="single"/>
        </w:rPr>
      </w:pPr>
      <w:r w:rsidRPr="006320B0">
        <w:rPr>
          <w:u w:val="single"/>
        </w:rPr>
        <w:t>Naam en adres van de fabrikant</w:t>
      </w:r>
      <w:r w:rsidR="00F602B4" w:rsidRPr="006320B0">
        <w:rPr>
          <w:u w:val="single"/>
        </w:rPr>
        <w:t>(</w:t>
      </w:r>
      <w:r w:rsidRPr="006320B0">
        <w:rPr>
          <w:u w:val="single"/>
        </w:rPr>
        <w:t>en</w:t>
      </w:r>
      <w:r w:rsidR="00F602B4" w:rsidRPr="006320B0">
        <w:rPr>
          <w:u w:val="single"/>
        </w:rPr>
        <w:t>)</w:t>
      </w:r>
      <w:r w:rsidRPr="006320B0">
        <w:rPr>
          <w:u w:val="single"/>
        </w:rPr>
        <w:t xml:space="preserve"> verantwoordelijk voor vrijgifte</w:t>
      </w:r>
    </w:p>
    <w:p w14:paraId="567E8F22" w14:textId="77777777" w:rsidR="00951F81" w:rsidRPr="006320B0" w:rsidRDefault="00951F81" w:rsidP="00840536">
      <w:pPr>
        <w:widowControl w:val="0"/>
        <w:suppressAutoHyphens/>
      </w:pPr>
    </w:p>
    <w:p w14:paraId="317FCEC2" w14:textId="77777777" w:rsidR="00F602B4" w:rsidRPr="006320B0" w:rsidRDefault="00F602B4" w:rsidP="00F602B4">
      <w:pPr>
        <w:keepNext/>
        <w:tabs>
          <w:tab w:val="clear" w:pos="567"/>
        </w:tabs>
      </w:pPr>
      <w:r w:rsidRPr="006320B0">
        <w:t>Alvotech hf</w:t>
      </w:r>
    </w:p>
    <w:p w14:paraId="0F2BBF66" w14:textId="77777777" w:rsidR="00F602B4" w:rsidRPr="006320B0" w:rsidRDefault="00F602B4" w:rsidP="00F602B4">
      <w:pPr>
        <w:keepNext/>
        <w:tabs>
          <w:tab w:val="clear" w:pos="567"/>
        </w:tabs>
      </w:pPr>
      <w:r w:rsidRPr="006320B0">
        <w:t>Sæmundargata 15-19</w:t>
      </w:r>
    </w:p>
    <w:p w14:paraId="1C5A5425" w14:textId="77777777" w:rsidR="00F602B4" w:rsidRPr="006320B0" w:rsidRDefault="00F602B4" w:rsidP="00F602B4">
      <w:pPr>
        <w:keepNext/>
        <w:tabs>
          <w:tab w:val="clear" w:pos="567"/>
        </w:tabs>
      </w:pPr>
      <w:r w:rsidRPr="006320B0">
        <w:t>102 Reykjavik</w:t>
      </w:r>
    </w:p>
    <w:p w14:paraId="505AC9BC" w14:textId="023320BB" w:rsidR="00F602B4" w:rsidRPr="006320B0" w:rsidRDefault="00E91248" w:rsidP="00F602B4">
      <w:pPr>
        <w:keepNext/>
        <w:tabs>
          <w:tab w:val="clear" w:pos="567"/>
        </w:tabs>
      </w:pPr>
      <w:r w:rsidRPr="006320B0">
        <w:t>IJsland</w:t>
      </w:r>
    </w:p>
    <w:p w14:paraId="6C62ED52" w14:textId="77777777" w:rsidR="00951F81" w:rsidRPr="006320B0" w:rsidRDefault="00951F81" w:rsidP="00840536">
      <w:pPr>
        <w:widowControl w:val="0"/>
        <w:tabs>
          <w:tab w:val="clear" w:pos="567"/>
        </w:tabs>
        <w:suppressAutoHyphens/>
      </w:pPr>
    </w:p>
    <w:p w14:paraId="57210C26" w14:textId="77777777" w:rsidR="00CA4F66" w:rsidRPr="00D27C9B" w:rsidRDefault="00CA4F66" w:rsidP="00CA4F66">
      <w:pPr>
        <w:rPr>
          <w:ins w:id="8" w:author="Author" w:date="2026-02-17T11:23:00Z" w16du:dateUtc="2026-02-17T10:23:00Z"/>
        </w:rPr>
      </w:pPr>
      <w:ins w:id="9" w:author="Author" w:date="2026-02-17T11:23:00Z" w16du:dateUtc="2026-02-17T10:23:00Z">
        <w:r w:rsidRPr="00D27C9B">
          <w:t>STADA Arzneimittel AG</w:t>
        </w:r>
      </w:ins>
    </w:p>
    <w:p w14:paraId="29DBE28D" w14:textId="77777777" w:rsidR="00CA4F66" w:rsidRPr="00D27C9B" w:rsidRDefault="00CA4F66" w:rsidP="00CA4F66">
      <w:pPr>
        <w:rPr>
          <w:ins w:id="10" w:author="Author" w:date="2026-02-17T11:23:00Z" w16du:dateUtc="2026-02-17T10:23:00Z"/>
        </w:rPr>
      </w:pPr>
      <w:ins w:id="11" w:author="Author" w:date="2026-02-17T11:23:00Z" w16du:dateUtc="2026-02-17T10:23:00Z">
        <w:r w:rsidRPr="00D27C9B">
          <w:t>Stadastrasse 2–18</w:t>
        </w:r>
      </w:ins>
    </w:p>
    <w:p w14:paraId="738EFF68" w14:textId="77777777" w:rsidR="00CA4F66" w:rsidRPr="00D27C9B" w:rsidRDefault="00CA4F66" w:rsidP="00CA4F66">
      <w:pPr>
        <w:rPr>
          <w:ins w:id="12" w:author="Author" w:date="2026-02-17T11:23:00Z" w16du:dateUtc="2026-02-17T10:23:00Z"/>
        </w:rPr>
      </w:pPr>
      <w:ins w:id="13" w:author="Author" w:date="2026-02-17T11:23:00Z" w16du:dateUtc="2026-02-17T10:23:00Z">
        <w:r w:rsidRPr="00D27C9B">
          <w:t>61118 Bad Vilbel</w:t>
        </w:r>
      </w:ins>
    </w:p>
    <w:p w14:paraId="4FE91DDC" w14:textId="77777777" w:rsidR="00CA4F66" w:rsidRDefault="00CA4F66" w:rsidP="00CA4F66">
      <w:pPr>
        <w:rPr>
          <w:ins w:id="14" w:author="Author" w:date="2026-02-17T11:23:00Z" w16du:dateUtc="2026-02-17T10:23:00Z"/>
        </w:rPr>
      </w:pPr>
      <w:ins w:id="15" w:author="Author" w:date="2026-02-17T11:23:00Z" w16du:dateUtc="2026-02-17T10:23:00Z">
        <w:r w:rsidRPr="00F84EEA">
          <w:t>Duitsland</w:t>
        </w:r>
      </w:ins>
    </w:p>
    <w:p w14:paraId="3D2B5C1C" w14:textId="77777777" w:rsidR="00CA4F66" w:rsidRDefault="00CA4F66" w:rsidP="00CA4F66">
      <w:pPr>
        <w:rPr>
          <w:ins w:id="16" w:author="Author" w:date="2026-02-17T11:23:00Z" w16du:dateUtc="2026-02-17T10:23:00Z"/>
        </w:rPr>
      </w:pPr>
    </w:p>
    <w:p w14:paraId="43797A2F" w14:textId="77777777" w:rsidR="00CA4F66" w:rsidRPr="00F84EEA" w:rsidRDefault="00CA4F66" w:rsidP="00CA4F66">
      <w:pPr>
        <w:pStyle w:val="Date"/>
        <w:rPr>
          <w:ins w:id="17" w:author="Author" w:date="2026-02-17T11:23:00Z" w16du:dateUtc="2026-02-17T10:23:00Z"/>
        </w:rPr>
      </w:pPr>
      <w:ins w:id="18" w:author="Author" w:date="2026-02-17T11:23:00Z" w16du:dateUtc="2026-02-17T10:23:00Z">
        <w:r w:rsidRPr="001E617F">
          <w:t>In de gedrukte bijsluiter van het geneesmiddel moeten de naam en het adres van de fabrikant die verantwoordelijk is voor vrijgifte van de desbetreffende batch zijn opgenomen.</w:t>
        </w:r>
      </w:ins>
    </w:p>
    <w:p w14:paraId="2A3765EA" w14:textId="77777777" w:rsidR="00951F81" w:rsidRPr="006320B0" w:rsidRDefault="00951F81" w:rsidP="00840536">
      <w:pPr>
        <w:widowControl w:val="0"/>
        <w:tabs>
          <w:tab w:val="clear" w:pos="567"/>
        </w:tabs>
        <w:suppressAutoHyphens/>
      </w:pPr>
    </w:p>
    <w:p w14:paraId="2A4D970E" w14:textId="77777777" w:rsidR="00951F81" w:rsidRPr="006320B0" w:rsidRDefault="00951F81" w:rsidP="00840536">
      <w:pPr>
        <w:pStyle w:val="TitleB"/>
        <w:keepNext w:val="0"/>
        <w:widowControl w:val="0"/>
        <w:suppressAutoHyphens/>
        <w:outlineLvl w:val="0"/>
      </w:pPr>
      <w:r w:rsidRPr="006320B0">
        <w:t>B.</w:t>
      </w:r>
      <w:r w:rsidRPr="006320B0">
        <w:tab/>
        <w:t>VOORWAARDEN OF BEPERKINGEN TEN AANZIEN VAN LEVERING EN GEBRUIK</w:t>
      </w:r>
    </w:p>
    <w:p w14:paraId="7DA8ADC7" w14:textId="77777777" w:rsidR="00951F81" w:rsidRPr="006320B0" w:rsidRDefault="00951F81" w:rsidP="00840536">
      <w:pPr>
        <w:widowControl w:val="0"/>
        <w:suppressAutoHyphens/>
      </w:pPr>
    </w:p>
    <w:p w14:paraId="4B1FA640" w14:textId="77777777" w:rsidR="00951F81" w:rsidRPr="006320B0" w:rsidRDefault="00951F81" w:rsidP="00840536">
      <w:pPr>
        <w:widowControl w:val="0"/>
        <w:tabs>
          <w:tab w:val="clear" w:pos="567"/>
        </w:tabs>
        <w:suppressAutoHyphens/>
      </w:pPr>
      <w:r w:rsidRPr="006320B0">
        <w:t>Aan medisch voorschrift onderworpen geneesmiddel.</w:t>
      </w:r>
    </w:p>
    <w:p w14:paraId="1839C1F0" w14:textId="77777777" w:rsidR="00951F81" w:rsidRPr="006320B0" w:rsidRDefault="00951F81" w:rsidP="00840536">
      <w:pPr>
        <w:widowControl w:val="0"/>
        <w:tabs>
          <w:tab w:val="clear" w:pos="567"/>
        </w:tabs>
        <w:suppressAutoHyphens/>
      </w:pPr>
    </w:p>
    <w:p w14:paraId="7AD1E21C" w14:textId="77777777" w:rsidR="00951F81" w:rsidRPr="006320B0" w:rsidRDefault="00951F81" w:rsidP="00840536">
      <w:pPr>
        <w:widowControl w:val="0"/>
        <w:tabs>
          <w:tab w:val="clear" w:pos="567"/>
        </w:tabs>
        <w:suppressAutoHyphens/>
      </w:pPr>
    </w:p>
    <w:p w14:paraId="60DC48C7" w14:textId="77777777" w:rsidR="00951F81" w:rsidRPr="006320B0" w:rsidRDefault="00951F81" w:rsidP="00840536">
      <w:pPr>
        <w:pStyle w:val="TitleB"/>
        <w:keepNext w:val="0"/>
        <w:widowControl w:val="0"/>
        <w:suppressAutoHyphens/>
        <w:outlineLvl w:val="0"/>
      </w:pPr>
      <w:r w:rsidRPr="006320B0">
        <w:t>C.</w:t>
      </w:r>
      <w:r w:rsidRPr="006320B0">
        <w:tab/>
        <w:t>ANDERE VOORWAARDEN EN EISEN DIE DOOR DE HOUDER VAN DE HANDELSVERGUNNING MOETEN WORDEN NAGEKOMEN</w:t>
      </w:r>
    </w:p>
    <w:p w14:paraId="7DE0D6D3" w14:textId="77777777" w:rsidR="00951F81" w:rsidRPr="006320B0" w:rsidRDefault="00951F81" w:rsidP="00840536">
      <w:pPr>
        <w:widowControl w:val="0"/>
        <w:suppressAutoHyphens/>
      </w:pPr>
    </w:p>
    <w:p w14:paraId="359E695E" w14:textId="77777777" w:rsidR="00951F81" w:rsidRPr="006320B0" w:rsidRDefault="00951F81" w:rsidP="00840536">
      <w:pPr>
        <w:widowControl w:val="0"/>
        <w:numPr>
          <w:ilvl w:val="0"/>
          <w:numId w:val="55"/>
        </w:numPr>
        <w:suppressAutoHyphens/>
        <w:ind w:left="567" w:hanging="567"/>
        <w:rPr>
          <w:b/>
          <w:bCs/>
          <w:u w:val="single"/>
        </w:rPr>
      </w:pPr>
      <w:r w:rsidRPr="006320B0">
        <w:rPr>
          <w:u w:val="single"/>
        </w:rPr>
        <w:t>Periodieke veiligheidsverslagen</w:t>
      </w:r>
    </w:p>
    <w:p w14:paraId="193D19C9" w14:textId="77777777" w:rsidR="00951F81" w:rsidRPr="006320B0" w:rsidRDefault="00951F81" w:rsidP="00840536">
      <w:pPr>
        <w:widowControl w:val="0"/>
        <w:suppressAutoHyphens/>
      </w:pPr>
    </w:p>
    <w:p w14:paraId="5812F74E" w14:textId="77777777" w:rsidR="00951F81" w:rsidRPr="006320B0" w:rsidRDefault="00951F81" w:rsidP="00840536">
      <w:pPr>
        <w:widowControl w:val="0"/>
        <w:tabs>
          <w:tab w:val="clear" w:pos="567"/>
        </w:tabs>
        <w:suppressAutoHyphens/>
      </w:pPr>
      <w:r w:rsidRPr="006320B0">
        <w:t>De vereisten voor de indiening van periodieke veiligheidsverslagen voor dit geneesmiddel worden vermeld in de lijst met Europese referentiedata (EURD</w:t>
      </w:r>
      <w:r w:rsidRPr="006320B0">
        <w:noBreakHyphen/>
        <w:t>lijst), waarin voorzien wordt in artikel 107c, onder punt 7 van Richtlijn 2001/83/EG en eventuele hierop volgende aanpassingen gepubliceerd op het Europese webportaal voor geneesmiddelen.</w:t>
      </w:r>
    </w:p>
    <w:p w14:paraId="6AA64985" w14:textId="77777777" w:rsidR="00951F81" w:rsidRPr="006320B0" w:rsidRDefault="00951F81" w:rsidP="00840536">
      <w:pPr>
        <w:widowControl w:val="0"/>
        <w:tabs>
          <w:tab w:val="clear" w:pos="567"/>
        </w:tabs>
        <w:suppressAutoHyphens/>
      </w:pPr>
    </w:p>
    <w:p w14:paraId="085F5986" w14:textId="77777777" w:rsidR="00951F81" w:rsidRPr="006320B0" w:rsidRDefault="00951F81" w:rsidP="00840536">
      <w:pPr>
        <w:widowControl w:val="0"/>
        <w:tabs>
          <w:tab w:val="clear" w:pos="567"/>
        </w:tabs>
        <w:suppressAutoHyphens/>
      </w:pPr>
    </w:p>
    <w:p w14:paraId="4CFA13DD" w14:textId="77777777" w:rsidR="00951F81" w:rsidRPr="006320B0" w:rsidRDefault="00951F81" w:rsidP="00840536">
      <w:pPr>
        <w:pStyle w:val="TitleB"/>
        <w:keepNext w:val="0"/>
        <w:widowControl w:val="0"/>
        <w:suppressAutoHyphens/>
        <w:outlineLvl w:val="0"/>
      </w:pPr>
      <w:r w:rsidRPr="006320B0">
        <w:t>D.</w:t>
      </w:r>
      <w:r w:rsidRPr="006320B0">
        <w:tab/>
        <w:t>VOORWAARDEN OF BEPERKINGEN MET BETREKKING TOT EEN VEILIG EN DOELTREFFEND GEBRUIK VAN HET GENEESMIDDEL</w:t>
      </w:r>
    </w:p>
    <w:p w14:paraId="30D8E93E" w14:textId="77777777" w:rsidR="00951F81" w:rsidRPr="006320B0" w:rsidRDefault="00951F81" w:rsidP="00840536">
      <w:pPr>
        <w:widowControl w:val="0"/>
        <w:suppressAutoHyphens/>
      </w:pPr>
    </w:p>
    <w:p w14:paraId="0C78AED7" w14:textId="77777777" w:rsidR="00951F81" w:rsidRPr="006320B0" w:rsidRDefault="00951F81" w:rsidP="00840536">
      <w:pPr>
        <w:widowControl w:val="0"/>
        <w:numPr>
          <w:ilvl w:val="0"/>
          <w:numId w:val="55"/>
        </w:numPr>
        <w:suppressAutoHyphens/>
        <w:ind w:left="567" w:hanging="567"/>
        <w:rPr>
          <w:b/>
          <w:bCs/>
        </w:rPr>
      </w:pPr>
      <w:r w:rsidRPr="006320B0">
        <w:rPr>
          <w:b/>
        </w:rPr>
        <w:t>Risk Management Plan (RMP)</w:t>
      </w:r>
    </w:p>
    <w:p w14:paraId="0CD8343E" w14:textId="77777777" w:rsidR="00951F81" w:rsidRPr="006320B0" w:rsidRDefault="00951F81" w:rsidP="00840536">
      <w:pPr>
        <w:widowControl w:val="0"/>
        <w:suppressAutoHyphens/>
      </w:pPr>
    </w:p>
    <w:p w14:paraId="5D58E299" w14:textId="77777777" w:rsidR="00951F81" w:rsidRPr="006320B0" w:rsidRDefault="00951F81" w:rsidP="00840536">
      <w:pPr>
        <w:widowControl w:val="0"/>
        <w:tabs>
          <w:tab w:val="clear" w:pos="567"/>
        </w:tabs>
        <w:suppressAutoHyphens/>
      </w:pPr>
      <w:r w:rsidRPr="006320B0">
        <w:t>De vergunninghouder voert de verplichte onderzoeken en maatregelen uit ten behoeve van de geneesmiddelenbewaking, zoals uitgewerkt in het overeengekomen RMP en weergegeven in module 1.8.2 van de handelsvergunning, en in eventuele daaropvolgende overeengekomen RMP</w:t>
      </w:r>
      <w:r w:rsidRPr="006320B0">
        <w:noBreakHyphen/>
        <w:t>aanpassingen.</w:t>
      </w:r>
    </w:p>
    <w:p w14:paraId="35F9EAA3" w14:textId="77777777" w:rsidR="00951F81" w:rsidRPr="006320B0" w:rsidRDefault="00951F81" w:rsidP="00840536">
      <w:pPr>
        <w:widowControl w:val="0"/>
        <w:tabs>
          <w:tab w:val="clear" w:pos="567"/>
        </w:tabs>
        <w:suppressAutoHyphens/>
      </w:pPr>
    </w:p>
    <w:p w14:paraId="4FAB4E00" w14:textId="77777777" w:rsidR="00951F81" w:rsidRPr="006320B0" w:rsidRDefault="00951F81" w:rsidP="00840536">
      <w:pPr>
        <w:widowControl w:val="0"/>
        <w:tabs>
          <w:tab w:val="clear" w:pos="567"/>
        </w:tabs>
        <w:suppressAutoHyphens/>
      </w:pPr>
      <w:r w:rsidRPr="006320B0">
        <w:t>Een aanpassing van het RMP wordt ingediend:</w:t>
      </w:r>
    </w:p>
    <w:p w14:paraId="79DC2738" w14:textId="77777777" w:rsidR="00951F81" w:rsidRPr="006320B0" w:rsidRDefault="00951F81" w:rsidP="00840536">
      <w:pPr>
        <w:widowControl w:val="0"/>
        <w:numPr>
          <w:ilvl w:val="0"/>
          <w:numId w:val="54"/>
        </w:numPr>
        <w:tabs>
          <w:tab w:val="clear" w:pos="567"/>
        </w:tabs>
        <w:suppressAutoHyphens/>
        <w:ind w:left="567" w:hanging="567"/>
      </w:pPr>
      <w:r w:rsidRPr="006320B0">
        <w:t>op verzoek van het Europees Geneesmiddelenbureau;</w:t>
      </w:r>
    </w:p>
    <w:p w14:paraId="0DD98BA7" w14:textId="77777777" w:rsidR="00951F81" w:rsidRPr="006320B0" w:rsidRDefault="00951F81" w:rsidP="00840536">
      <w:pPr>
        <w:widowControl w:val="0"/>
        <w:numPr>
          <w:ilvl w:val="0"/>
          <w:numId w:val="54"/>
        </w:numPr>
        <w:tabs>
          <w:tab w:val="clear" w:pos="567"/>
        </w:tabs>
        <w:suppressAutoHyphens/>
        <w:ind w:left="567" w:hanging="567"/>
      </w:pPr>
      <w:r w:rsidRPr="006320B0">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6DCF4654" w14:textId="77777777" w:rsidR="00951F81" w:rsidRPr="006320B0" w:rsidRDefault="00951F81" w:rsidP="00840536">
      <w:pPr>
        <w:pStyle w:val="Default"/>
        <w:widowControl w:val="0"/>
        <w:suppressAutoHyphens/>
        <w:rPr>
          <w:iCs/>
          <w:color w:val="auto"/>
          <w:sz w:val="22"/>
          <w:szCs w:val="22"/>
        </w:rPr>
      </w:pPr>
    </w:p>
    <w:p w14:paraId="43C9FB5A" w14:textId="77777777" w:rsidR="00951F81" w:rsidRPr="006320B0" w:rsidRDefault="00951F81" w:rsidP="00840536">
      <w:pPr>
        <w:widowControl w:val="0"/>
        <w:numPr>
          <w:ilvl w:val="0"/>
          <w:numId w:val="55"/>
        </w:numPr>
        <w:suppressAutoHyphens/>
        <w:ind w:left="567" w:hanging="567"/>
        <w:rPr>
          <w:b/>
          <w:bCs/>
        </w:rPr>
      </w:pPr>
      <w:r w:rsidRPr="006320B0">
        <w:rPr>
          <w:b/>
        </w:rPr>
        <w:t>Extra risicobeperkende maatregelen</w:t>
      </w:r>
    </w:p>
    <w:p w14:paraId="36BC88D5" w14:textId="77777777" w:rsidR="00951F81" w:rsidRPr="006320B0" w:rsidRDefault="00951F81" w:rsidP="00840536">
      <w:pPr>
        <w:widowControl w:val="0"/>
        <w:suppressAutoHyphens/>
      </w:pPr>
    </w:p>
    <w:p w14:paraId="45FA1746" w14:textId="77777777" w:rsidR="00BC2BFA" w:rsidRPr="006320B0" w:rsidRDefault="00BC2BFA" w:rsidP="006E3598">
      <w:pPr>
        <w:tabs>
          <w:tab w:val="clear" w:pos="567"/>
        </w:tabs>
      </w:pPr>
      <w:r w:rsidRPr="006320B0">
        <w:t>Er zijn aanvullende risicobeperkende maatregelen genomen voor de volgende veiligheidsproblemen:</w:t>
      </w:r>
    </w:p>
    <w:p w14:paraId="265BBA70" w14:textId="77777777" w:rsidR="00BC2BFA" w:rsidRPr="006320B0" w:rsidRDefault="00BC2BFA" w:rsidP="006E3598">
      <w:pPr>
        <w:tabs>
          <w:tab w:val="clear" w:pos="567"/>
        </w:tabs>
      </w:pPr>
      <w:r w:rsidRPr="006320B0">
        <w:rPr>
          <w:rFonts w:ascii="Cambria Math" w:hAnsi="Cambria Math" w:cs="Cambria Math"/>
        </w:rPr>
        <w:t>⦁</w:t>
      </w:r>
      <w:r w:rsidRPr="006320B0">
        <w:tab/>
        <w:t>Osteonecrose van de kaak</w:t>
      </w:r>
    </w:p>
    <w:p w14:paraId="40C0BDA1" w14:textId="7B64C9F6" w:rsidR="00951F81" w:rsidRPr="006320B0" w:rsidRDefault="00713E1D" w:rsidP="00EF2264">
      <w:pPr>
        <w:tabs>
          <w:tab w:val="clear" w:pos="567"/>
        </w:tabs>
      </w:pPr>
      <w:r>
        <w:rPr>
          <w:b/>
          <w:bCs/>
        </w:rPr>
        <w:t>H</w:t>
      </w:r>
      <w:r w:rsidR="00BC2BFA" w:rsidRPr="006320B0">
        <w:rPr>
          <w:b/>
          <w:bCs/>
        </w:rPr>
        <w:t>erinneringskaart</w:t>
      </w:r>
      <w:r>
        <w:rPr>
          <w:b/>
          <w:bCs/>
        </w:rPr>
        <w:t xml:space="preserve"> voor patiënten</w:t>
      </w:r>
      <w:r w:rsidR="00951F81" w:rsidRPr="006320B0">
        <w:br w:type="page"/>
      </w:r>
    </w:p>
    <w:p w14:paraId="3D37A846" w14:textId="77777777" w:rsidR="00951F81" w:rsidRPr="006320B0" w:rsidRDefault="00951F81" w:rsidP="00840536">
      <w:pPr>
        <w:widowControl w:val="0"/>
        <w:suppressAutoHyphens/>
        <w:jc w:val="center"/>
      </w:pPr>
    </w:p>
    <w:p w14:paraId="1B3F56A8" w14:textId="77777777" w:rsidR="00951F81" w:rsidRPr="006320B0" w:rsidRDefault="00951F81" w:rsidP="00840536">
      <w:pPr>
        <w:widowControl w:val="0"/>
        <w:suppressAutoHyphens/>
        <w:jc w:val="center"/>
      </w:pPr>
    </w:p>
    <w:p w14:paraId="67EC1A9C" w14:textId="77777777" w:rsidR="00951F81" w:rsidRPr="006320B0" w:rsidRDefault="00951F81" w:rsidP="00840536">
      <w:pPr>
        <w:widowControl w:val="0"/>
        <w:suppressAutoHyphens/>
        <w:jc w:val="center"/>
      </w:pPr>
    </w:p>
    <w:p w14:paraId="67C5B99F" w14:textId="77777777" w:rsidR="00951F81" w:rsidRPr="006320B0" w:rsidRDefault="00951F81" w:rsidP="00840536">
      <w:pPr>
        <w:widowControl w:val="0"/>
        <w:suppressAutoHyphens/>
        <w:jc w:val="center"/>
      </w:pPr>
    </w:p>
    <w:p w14:paraId="276EF8A2" w14:textId="77777777" w:rsidR="00951F81" w:rsidRPr="006320B0" w:rsidRDefault="00951F81" w:rsidP="00840536">
      <w:pPr>
        <w:widowControl w:val="0"/>
        <w:suppressAutoHyphens/>
        <w:jc w:val="center"/>
      </w:pPr>
    </w:p>
    <w:p w14:paraId="67451998" w14:textId="77777777" w:rsidR="00951F81" w:rsidRPr="006320B0" w:rsidRDefault="00951F81" w:rsidP="00840536">
      <w:pPr>
        <w:widowControl w:val="0"/>
        <w:suppressAutoHyphens/>
        <w:jc w:val="center"/>
      </w:pPr>
    </w:p>
    <w:p w14:paraId="60F3C5A4" w14:textId="77777777" w:rsidR="00951F81" w:rsidRPr="006320B0" w:rsidRDefault="00951F81" w:rsidP="00840536">
      <w:pPr>
        <w:widowControl w:val="0"/>
        <w:suppressAutoHyphens/>
        <w:jc w:val="center"/>
      </w:pPr>
    </w:p>
    <w:p w14:paraId="02F2143A" w14:textId="77777777" w:rsidR="00951F81" w:rsidRPr="006320B0" w:rsidRDefault="00951F81" w:rsidP="00840536">
      <w:pPr>
        <w:widowControl w:val="0"/>
        <w:suppressAutoHyphens/>
        <w:jc w:val="center"/>
      </w:pPr>
    </w:p>
    <w:p w14:paraId="1BFE9AE9" w14:textId="77777777" w:rsidR="00951F81" w:rsidRPr="006320B0" w:rsidRDefault="00951F81" w:rsidP="00840536">
      <w:pPr>
        <w:widowControl w:val="0"/>
        <w:suppressAutoHyphens/>
        <w:jc w:val="center"/>
      </w:pPr>
    </w:p>
    <w:p w14:paraId="1189AC13" w14:textId="77777777" w:rsidR="00951F81" w:rsidRPr="006320B0" w:rsidRDefault="00951F81" w:rsidP="00840536">
      <w:pPr>
        <w:widowControl w:val="0"/>
        <w:suppressAutoHyphens/>
        <w:jc w:val="center"/>
      </w:pPr>
    </w:p>
    <w:p w14:paraId="699B0DB2" w14:textId="77777777" w:rsidR="00951F81" w:rsidRPr="006320B0" w:rsidRDefault="00951F81" w:rsidP="00840536">
      <w:pPr>
        <w:widowControl w:val="0"/>
        <w:suppressAutoHyphens/>
        <w:jc w:val="center"/>
      </w:pPr>
    </w:p>
    <w:p w14:paraId="7C6959BA" w14:textId="77777777" w:rsidR="00951F81" w:rsidRPr="006320B0" w:rsidRDefault="00951F81" w:rsidP="00840536">
      <w:pPr>
        <w:widowControl w:val="0"/>
        <w:suppressAutoHyphens/>
        <w:jc w:val="center"/>
      </w:pPr>
    </w:p>
    <w:p w14:paraId="70A41C45" w14:textId="77777777" w:rsidR="00951F81" w:rsidRPr="006320B0" w:rsidRDefault="00951F81" w:rsidP="00840536">
      <w:pPr>
        <w:widowControl w:val="0"/>
        <w:suppressAutoHyphens/>
        <w:jc w:val="center"/>
      </w:pPr>
    </w:p>
    <w:p w14:paraId="62DD6BE4" w14:textId="77777777" w:rsidR="00951F81" w:rsidRPr="006320B0" w:rsidRDefault="00951F81" w:rsidP="00840536">
      <w:pPr>
        <w:widowControl w:val="0"/>
        <w:suppressAutoHyphens/>
        <w:jc w:val="center"/>
      </w:pPr>
    </w:p>
    <w:p w14:paraId="6380E829" w14:textId="77777777" w:rsidR="00951F81" w:rsidRPr="006320B0" w:rsidRDefault="00951F81" w:rsidP="00840536">
      <w:pPr>
        <w:widowControl w:val="0"/>
        <w:suppressAutoHyphens/>
        <w:jc w:val="center"/>
      </w:pPr>
    </w:p>
    <w:p w14:paraId="63576108" w14:textId="77777777" w:rsidR="00951F81" w:rsidRPr="006320B0" w:rsidRDefault="00951F81" w:rsidP="00840536">
      <w:pPr>
        <w:widowControl w:val="0"/>
        <w:suppressAutoHyphens/>
        <w:jc w:val="center"/>
      </w:pPr>
    </w:p>
    <w:p w14:paraId="2A325E94" w14:textId="77777777" w:rsidR="00951F81" w:rsidRPr="006320B0" w:rsidRDefault="00951F81" w:rsidP="00840536">
      <w:pPr>
        <w:widowControl w:val="0"/>
        <w:suppressAutoHyphens/>
        <w:jc w:val="center"/>
      </w:pPr>
    </w:p>
    <w:p w14:paraId="6963121B" w14:textId="77777777" w:rsidR="00951F81" w:rsidRPr="006320B0" w:rsidRDefault="00951F81" w:rsidP="00840536">
      <w:pPr>
        <w:widowControl w:val="0"/>
        <w:suppressAutoHyphens/>
        <w:jc w:val="center"/>
      </w:pPr>
    </w:p>
    <w:p w14:paraId="18BA7472" w14:textId="77777777" w:rsidR="00951F81" w:rsidRPr="006320B0" w:rsidRDefault="00951F81" w:rsidP="00840536">
      <w:pPr>
        <w:widowControl w:val="0"/>
        <w:suppressAutoHyphens/>
        <w:jc w:val="center"/>
      </w:pPr>
    </w:p>
    <w:p w14:paraId="4411FCB3" w14:textId="77777777" w:rsidR="00951F81" w:rsidRPr="006320B0" w:rsidRDefault="00951F81" w:rsidP="00840536">
      <w:pPr>
        <w:widowControl w:val="0"/>
        <w:suppressAutoHyphens/>
        <w:jc w:val="center"/>
      </w:pPr>
    </w:p>
    <w:p w14:paraId="01183D37" w14:textId="77777777" w:rsidR="00951F81" w:rsidRPr="006320B0" w:rsidRDefault="00951F81" w:rsidP="00840536">
      <w:pPr>
        <w:widowControl w:val="0"/>
        <w:suppressAutoHyphens/>
        <w:jc w:val="center"/>
      </w:pPr>
    </w:p>
    <w:p w14:paraId="19F126D2" w14:textId="77777777" w:rsidR="00951F81" w:rsidRPr="006320B0" w:rsidRDefault="00951F81" w:rsidP="00840536">
      <w:pPr>
        <w:widowControl w:val="0"/>
        <w:suppressAutoHyphens/>
        <w:jc w:val="center"/>
      </w:pPr>
    </w:p>
    <w:p w14:paraId="536B16D6" w14:textId="77777777" w:rsidR="00951F81" w:rsidRPr="006320B0" w:rsidRDefault="00951F81" w:rsidP="00840536">
      <w:pPr>
        <w:widowControl w:val="0"/>
        <w:suppressAutoHyphens/>
        <w:jc w:val="center"/>
        <w:rPr>
          <w:b/>
          <w:bCs/>
        </w:rPr>
      </w:pPr>
      <w:r w:rsidRPr="006320B0">
        <w:rPr>
          <w:b/>
        </w:rPr>
        <w:t>BIJLAGE III</w:t>
      </w:r>
    </w:p>
    <w:p w14:paraId="4E57FF33" w14:textId="77777777" w:rsidR="00951F81" w:rsidRPr="006320B0" w:rsidRDefault="00951F81" w:rsidP="00840536">
      <w:pPr>
        <w:widowControl w:val="0"/>
        <w:suppressAutoHyphens/>
        <w:jc w:val="center"/>
      </w:pPr>
    </w:p>
    <w:p w14:paraId="20E61574" w14:textId="77777777" w:rsidR="00951F81" w:rsidRPr="006320B0" w:rsidRDefault="00951F81" w:rsidP="00840536">
      <w:pPr>
        <w:widowControl w:val="0"/>
        <w:suppressAutoHyphens/>
        <w:jc w:val="center"/>
        <w:rPr>
          <w:b/>
          <w:bCs/>
        </w:rPr>
      </w:pPr>
      <w:r w:rsidRPr="006320B0">
        <w:rPr>
          <w:b/>
        </w:rPr>
        <w:t>ETIKETTERING EN BIJSLUITER</w:t>
      </w:r>
    </w:p>
    <w:p w14:paraId="35D1D962" w14:textId="77777777" w:rsidR="00951F81" w:rsidRPr="006320B0" w:rsidRDefault="00951F81" w:rsidP="00840536">
      <w:pPr>
        <w:widowControl w:val="0"/>
        <w:suppressAutoHyphens/>
        <w:jc w:val="center"/>
      </w:pPr>
      <w:r w:rsidRPr="006320B0">
        <w:br w:type="page"/>
      </w:r>
    </w:p>
    <w:p w14:paraId="4E8D6110" w14:textId="77777777" w:rsidR="00951F81" w:rsidRPr="006320B0" w:rsidRDefault="00951F81" w:rsidP="00840536">
      <w:pPr>
        <w:widowControl w:val="0"/>
        <w:suppressAutoHyphens/>
        <w:jc w:val="center"/>
      </w:pPr>
    </w:p>
    <w:p w14:paraId="20D18233" w14:textId="77777777" w:rsidR="00951F81" w:rsidRPr="006320B0" w:rsidRDefault="00951F81" w:rsidP="00840536">
      <w:pPr>
        <w:widowControl w:val="0"/>
        <w:suppressAutoHyphens/>
        <w:jc w:val="center"/>
      </w:pPr>
    </w:p>
    <w:p w14:paraId="207C9AC6" w14:textId="77777777" w:rsidR="00951F81" w:rsidRPr="006320B0" w:rsidRDefault="00951F81" w:rsidP="00840536">
      <w:pPr>
        <w:widowControl w:val="0"/>
        <w:suppressAutoHyphens/>
        <w:jc w:val="center"/>
      </w:pPr>
    </w:p>
    <w:p w14:paraId="674A52E7" w14:textId="77777777" w:rsidR="00951F81" w:rsidRPr="006320B0" w:rsidRDefault="00951F81" w:rsidP="00840536">
      <w:pPr>
        <w:widowControl w:val="0"/>
        <w:suppressAutoHyphens/>
        <w:jc w:val="center"/>
      </w:pPr>
    </w:p>
    <w:p w14:paraId="295B51DE" w14:textId="77777777" w:rsidR="00951F81" w:rsidRPr="006320B0" w:rsidRDefault="00951F81" w:rsidP="00840536">
      <w:pPr>
        <w:widowControl w:val="0"/>
        <w:suppressAutoHyphens/>
        <w:jc w:val="center"/>
      </w:pPr>
    </w:p>
    <w:p w14:paraId="2F608558" w14:textId="77777777" w:rsidR="00951F81" w:rsidRPr="006320B0" w:rsidRDefault="00951F81" w:rsidP="00840536">
      <w:pPr>
        <w:widowControl w:val="0"/>
        <w:suppressAutoHyphens/>
        <w:jc w:val="center"/>
      </w:pPr>
    </w:p>
    <w:p w14:paraId="24E856B0" w14:textId="77777777" w:rsidR="00951F81" w:rsidRPr="006320B0" w:rsidRDefault="00951F81" w:rsidP="00840536">
      <w:pPr>
        <w:widowControl w:val="0"/>
        <w:suppressAutoHyphens/>
        <w:jc w:val="center"/>
      </w:pPr>
    </w:p>
    <w:p w14:paraId="00526FFD" w14:textId="77777777" w:rsidR="00951F81" w:rsidRPr="006320B0" w:rsidRDefault="00951F81" w:rsidP="00840536">
      <w:pPr>
        <w:widowControl w:val="0"/>
        <w:suppressAutoHyphens/>
        <w:jc w:val="center"/>
      </w:pPr>
    </w:p>
    <w:p w14:paraId="759EEC69" w14:textId="77777777" w:rsidR="00951F81" w:rsidRPr="006320B0" w:rsidRDefault="00951F81" w:rsidP="00840536">
      <w:pPr>
        <w:widowControl w:val="0"/>
        <w:suppressAutoHyphens/>
        <w:jc w:val="center"/>
      </w:pPr>
    </w:p>
    <w:p w14:paraId="6CE07E7D" w14:textId="77777777" w:rsidR="00951F81" w:rsidRPr="006320B0" w:rsidRDefault="00951F81" w:rsidP="00840536">
      <w:pPr>
        <w:widowControl w:val="0"/>
        <w:suppressAutoHyphens/>
        <w:jc w:val="center"/>
      </w:pPr>
    </w:p>
    <w:p w14:paraId="7B6183DB" w14:textId="77777777" w:rsidR="00951F81" w:rsidRPr="006320B0" w:rsidRDefault="00951F81" w:rsidP="00840536">
      <w:pPr>
        <w:widowControl w:val="0"/>
        <w:suppressAutoHyphens/>
        <w:jc w:val="center"/>
      </w:pPr>
    </w:p>
    <w:p w14:paraId="670C71E6" w14:textId="77777777" w:rsidR="00951F81" w:rsidRPr="006320B0" w:rsidRDefault="00951F81" w:rsidP="00840536">
      <w:pPr>
        <w:widowControl w:val="0"/>
        <w:suppressAutoHyphens/>
        <w:jc w:val="center"/>
      </w:pPr>
    </w:p>
    <w:p w14:paraId="637A82CF" w14:textId="77777777" w:rsidR="00951F81" w:rsidRPr="006320B0" w:rsidRDefault="00951F81" w:rsidP="00840536">
      <w:pPr>
        <w:widowControl w:val="0"/>
        <w:suppressAutoHyphens/>
        <w:jc w:val="center"/>
      </w:pPr>
    </w:p>
    <w:p w14:paraId="6DF91B82" w14:textId="77777777" w:rsidR="00951F81" w:rsidRPr="006320B0" w:rsidRDefault="00951F81" w:rsidP="00840536">
      <w:pPr>
        <w:widowControl w:val="0"/>
        <w:suppressAutoHyphens/>
        <w:jc w:val="center"/>
      </w:pPr>
    </w:p>
    <w:p w14:paraId="08A1420A" w14:textId="77777777" w:rsidR="00951F81" w:rsidRPr="006320B0" w:rsidRDefault="00951F81" w:rsidP="00840536">
      <w:pPr>
        <w:widowControl w:val="0"/>
        <w:suppressAutoHyphens/>
        <w:jc w:val="center"/>
      </w:pPr>
    </w:p>
    <w:p w14:paraId="2D6F3E32" w14:textId="77777777" w:rsidR="00951F81" w:rsidRPr="006320B0" w:rsidRDefault="00951F81" w:rsidP="00840536">
      <w:pPr>
        <w:widowControl w:val="0"/>
        <w:suppressAutoHyphens/>
        <w:jc w:val="center"/>
      </w:pPr>
    </w:p>
    <w:p w14:paraId="1FB1BF5C" w14:textId="77777777" w:rsidR="00951F81" w:rsidRPr="006320B0" w:rsidRDefault="00951F81" w:rsidP="00840536">
      <w:pPr>
        <w:widowControl w:val="0"/>
        <w:suppressAutoHyphens/>
        <w:jc w:val="center"/>
      </w:pPr>
    </w:p>
    <w:p w14:paraId="0106F2EF" w14:textId="77777777" w:rsidR="00951F81" w:rsidRPr="006320B0" w:rsidRDefault="00951F81" w:rsidP="00840536">
      <w:pPr>
        <w:widowControl w:val="0"/>
        <w:suppressAutoHyphens/>
        <w:jc w:val="center"/>
      </w:pPr>
    </w:p>
    <w:p w14:paraId="02A26B62" w14:textId="77777777" w:rsidR="00951F81" w:rsidRPr="006320B0" w:rsidRDefault="00951F81" w:rsidP="00840536">
      <w:pPr>
        <w:widowControl w:val="0"/>
        <w:suppressAutoHyphens/>
        <w:jc w:val="center"/>
      </w:pPr>
    </w:p>
    <w:p w14:paraId="2BFE36B1" w14:textId="77777777" w:rsidR="00951F81" w:rsidRPr="006320B0" w:rsidRDefault="00951F81" w:rsidP="00840536">
      <w:pPr>
        <w:widowControl w:val="0"/>
        <w:suppressAutoHyphens/>
        <w:jc w:val="center"/>
      </w:pPr>
    </w:p>
    <w:p w14:paraId="5284EA18" w14:textId="77777777" w:rsidR="00951F81" w:rsidRPr="006320B0" w:rsidRDefault="00951F81" w:rsidP="00840536">
      <w:pPr>
        <w:widowControl w:val="0"/>
        <w:suppressAutoHyphens/>
        <w:jc w:val="center"/>
      </w:pPr>
    </w:p>
    <w:p w14:paraId="50157857" w14:textId="77777777" w:rsidR="00951F81" w:rsidRPr="006320B0" w:rsidRDefault="00951F81" w:rsidP="00840536">
      <w:pPr>
        <w:widowControl w:val="0"/>
        <w:suppressAutoHyphens/>
        <w:jc w:val="center"/>
      </w:pPr>
    </w:p>
    <w:p w14:paraId="62B68D0D" w14:textId="77777777" w:rsidR="00951F81" w:rsidRPr="006320B0" w:rsidRDefault="00951F81" w:rsidP="00840536">
      <w:pPr>
        <w:pStyle w:val="TitleA"/>
        <w:widowControl w:val="0"/>
        <w:suppressAutoHyphens/>
        <w:outlineLvl w:val="0"/>
      </w:pPr>
      <w:r w:rsidRPr="006320B0">
        <w:t>A. ETIKETTERING</w:t>
      </w:r>
    </w:p>
    <w:p w14:paraId="104E17B3" w14:textId="77777777" w:rsidR="00951F81" w:rsidRPr="006320B0" w:rsidRDefault="00951F81" w:rsidP="00840536">
      <w:pPr>
        <w:widowControl w:val="0"/>
        <w:suppressAutoHyphens/>
        <w:jc w:val="center"/>
      </w:pPr>
    </w:p>
    <w:p w14:paraId="72325479" w14:textId="147AFBFC" w:rsidR="00951F81" w:rsidRPr="006320B0" w:rsidRDefault="00884E6E" w:rsidP="00840536">
      <w:pPr>
        <w:widowControl w:val="0"/>
        <w:pBdr>
          <w:top w:val="single" w:sz="4" w:space="1" w:color="auto"/>
          <w:left w:val="single" w:sz="4" w:space="4" w:color="auto"/>
          <w:bottom w:val="single" w:sz="4" w:space="1" w:color="auto"/>
          <w:right w:val="single" w:sz="4" w:space="4" w:color="auto"/>
        </w:pBdr>
        <w:tabs>
          <w:tab w:val="clear" w:pos="567"/>
        </w:tabs>
        <w:suppressAutoHyphens/>
        <w:rPr>
          <w:b/>
        </w:rPr>
      </w:pPr>
      <w:r w:rsidRPr="006320B0">
        <w:br w:type="page"/>
      </w:r>
      <w:r w:rsidRPr="006320B0">
        <w:rPr>
          <w:b/>
        </w:rPr>
        <w:t>GEGEVENS DIE OP DE BUITENVERPAKKING MOETEN WORDEN VERMELD</w:t>
      </w:r>
    </w:p>
    <w:p w14:paraId="0FDFA87C" w14:textId="77777777" w:rsidR="00951F81" w:rsidRPr="006320B0" w:rsidRDefault="00951F81" w:rsidP="00840536">
      <w:pPr>
        <w:widowControl w:val="0"/>
        <w:pBdr>
          <w:top w:val="single" w:sz="4" w:space="1" w:color="auto"/>
          <w:left w:val="single" w:sz="4" w:space="4" w:color="auto"/>
          <w:bottom w:val="single" w:sz="4" w:space="1" w:color="auto"/>
          <w:right w:val="single" w:sz="4" w:space="4" w:color="auto"/>
        </w:pBdr>
        <w:tabs>
          <w:tab w:val="clear" w:pos="567"/>
        </w:tabs>
        <w:suppressAutoHyphens/>
        <w:rPr>
          <w:bCs/>
        </w:rPr>
      </w:pPr>
    </w:p>
    <w:p w14:paraId="124F60B6" w14:textId="77777777" w:rsidR="00951F81" w:rsidRPr="006320B0" w:rsidRDefault="00951F81" w:rsidP="00840536">
      <w:pPr>
        <w:widowControl w:val="0"/>
        <w:pBdr>
          <w:top w:val="single" w:sz="4" w:space="1" w:color="auto"/>
          <w:left w:val="single" w:sz="4" w:space="4" w:color="auto"/>
          <w:bottom w:val="single" w:sz="4" w:space="1" w:color="auto"/>
          <w:right w:val="single" w:sz="4" w:space="4" w:color="auto"/>
        </w:pBdr>
        <w:tabs>
          <w:tab w:val="clear" w:pos="567"/>
        </w:tabs>
        <w:suppressAutoHyphens/>
        <w:rPr>
          <w:b/>
        </w:rPr>
      </w:pPr>
      <w:r w:rsidRPr="006320B0">
        <w:rPr>
          <w:b/>
        </w:rPr>
        <w:t>DOOS VOORGEVULDE SPUIT</w:t>
      </w:r>
    </w:p>
    <w:p w14:paraId="0A3DDA6C" w14:textId="77777777" w:rsidR="00951F81" w:rsidRPr="006320B0" w:rsidRDefault="00951F81" w:rsidP="00840536">
      <w:pPr>
        <w:widowControl w:val="0"/>
        <w:tabs>
          <w:tab w:val="clear" w:pos="567"/>
        </w:tabs>
        <w:suppressAutoHyphens/>
      </w:pPr>
    </w:p>
    <w:p w14:paraId="01F10C79" w14:textId="77777777" w:rsidR="00951F81" w:rsidRPr="006320B0" w:rsidRDefault="00951F81" w:rsidP="00840536">
      <w:pPr>
        <w:widowControl w:val="0"/>
        <w:tabs>
          <w:tab w:val="clear" w:pos="567"/>
        </w:tabs>
        <w:suppressAutoHyphens/>
      </w:pPr>
    </w:p>
    <w:p w14:paraId="17782A05" w14:textId="4C9D2515"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pPr>
      <w:r w:rsidRPr="006320B0">
        <w:rPr>
          <w:b/>
        </w:rPr>
        <w:t>1.</w:t>
      </w:r>
      <w:r w:rsidRPr="006320B0">
        <w:rPr>
          <w:b/>
        </w:rPr>
        <w:tab/>
        <w:t>NAAM VAN HET GENEESMIDDEL</w:t>
      </w:r>
    </w:p>
    <w:p w14:paraId="77F0ADCC" w14:textId="77777777" w:rsidR="00951F81" w:rsidRPr="006320B0" w:rsidRDefault="00951F81" w:rsidP="00840536">
      <w:pPr>
        <w:widowControl w:val="0"/>
        <w:suppressAutoHyphens/>
      </w:pPr>
    </w:p>
    <w:p w14:paraId="674873DA" w14:textId="41723A5D" w:rsidR="00951F81" w:rsidRPr="006320B0" w:rsidRDefault="00D50235" w:rsidP="00840536">
      <w:pPr>
        <w:widowControl w:val="0"/>
        <w:tabs>
          <w:tab w:val="clear" w:pos="567"/>
        </w:tabs>
        <w:suppressAutoHyphens/>
      </w:pPr>
      <w:r w:rsidRPr="006320B0">
        <w:t>Kefdensis</w:t>
      </w:r>
      <w:r w:rsidR="00951F81" w:rsidRPr="006320B0">
        <w:t xml:space="preserve"> 60 mg oplossing voor injectie in een voorgevulde spuit</w:t>
      </w:r>
    </w:p>
    <w:p w14:paraId="61915F10" w14:textId="77777777" w:rsidR="00951F81" w:rsidRPr="006320B0" w:rsidRDefault="00951F81" w:rsidP="00840536">
      <w:pPr>
        <w:widowControl w:val="0"/>
        <w:tabs>
          <w:tab w:val="clear" w:pos="567"/>
        </w:tabs>
        <w:suppressAutoHyphens/>
      </w:pPr>
      <w:r w:rsidRPr="006320B0">
        <w:t>denosumab</w:t>
      </w:r>
    </w:p>
    <w:p w14:paraId="20F8E618" w14:textId="77777777" w:rsidR="00951F81" w:rsidRPr="006320B0" w:rsidRDefault="00951F81" w:rsidP="00840536">
      <w:pPr>
        <w:widowControl w:val="0"/>
        <w:tabs>
          <w:tab w:val="clear" w:pos="567"/>
        </w:tabs>
        <w:suppressAutoHyphens/>
      </w:pPr>
    </w:p>
    <w:p w14:paraId="079FF52C" w14:textId="77777777" w:rsidR="00951F81" w:rsidRPr="006320B0" w:rsidRDefault="00951F81" w:rsidP="00840536">
      <w:pPr>
        <w:widowControl w:val="0"/>
        <w:tabs>
          <w:tab w:val="clear" w:pos="567"/>
        </w:tabs>
        <w:suppressAutoHyphens/>
      </w:pPr>
    </w:p>
    <w:p w14:paraId="1E8D5348" w14:textId="43A47B8F"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rPr>
          <w:b/>
        </w:rPr>
      </w:pPr>
      <w:r w:rsidRPr="006320B0">
        <w:rPr>
          <w:b/>
        </w:rPr>
        <w:t>2.</w:t>
      </w:r>
      <w:r w:rsidRPr="006320B0">
        <w:rPr>
          <w:b/>
        </w:rPr>
        <w:tab/>
        <w:t>GEHALTE AAN WERKZAME STOF(FEN)</w:t>
      </w:r>
    </w:p>
    <w:p w14:paraId="2EC0B0C6" w14:textId="77777777" w:rsidR="00951F81" w:rsidRPr="006320B0" w:rsidRDefault="00951F81" w:rsidP="00840536">
      <w:pPr>
        <w:widowControl w:val="0"/>
        <w:suppressAutoHyphens/>
      </w:pPr>
    </w:p>
    <w:p w14:paraId="314A5793" w14:textId="6CCA17E7" w:rsidR="00951F81" w:rsidRPr="006320B0" w:rsidRDefault="00BC2BFA" w:rsidP="00840536">
      <w:pPr>
        <w:widowControl w:val="0"/>
        <w:tabs>
          <w:tab w:val="clear" w:pos="567"/>
        </w:tabs>
        <w:suppressAutoHyphens/>
      </w:pPr>
      <w:r w:rsidRPr="006320B0">
        <w:t xml:space="preserve">Elke </w:t>
      </w:r>
      <w:r w:rsidR="00951F81" w:rsidRPr="006320B0">
        <w:t>1 ml voorgevulde spuit bevat 60 mg denosumab</w:t>
      </w:r>
      <w:r w:rsidR="6E6AE3D0" w:rsidRPr="006320B0">
        <w:t xml:space="preserve"> (60 mg/ml)</w:t>
      </w:r>
      <w:r w:rsidR="00951F81" w:rsidRPr="006320B0">
        <w:t>.</w:t>
      </w:r>
    </w:p>
    <w:p w14:paraId="0C0E6C5C" w14:textId="77777777" w:rsidR="00951F81" w:rsidRPr="006320B0" w:rsidRDefault="00951F81" w:rsidP="00840536">
      <w:pPr>
        <w:widowControl w:val="0"/>
        <w:tabs>
          <w:tab w:val="clear" w:pos="567"/>
        </w:tabs>
        <w:suppressAutoHyphens/>
      </w:pPr>
    </w:p>
    <w:p w14:paraId="205FC39D" w14:textId="77777777" w:rsidR="00951F81" w:rsidRPr="006320B0" w:rsidRDefault="00951F81" w:rsidP="00840536">
      <w:pPr>
        <w:widowControl w:val="0"/>
        <w:tabs>
          <w:tab w:val="clear" w:pos="567"/>
        </w:tabs>
        <w:suppressAutoHyphens/>
      </w:pPr>
    </w:p>
    <w:p w14:paraId="14E02EBC" w14:textId="1824EA21"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rPr>
          <w:highlight w:val="lightGray"/>
        </w:rPr>
      </w:pPr>
      <w:r w:rsidRPr="006320B0">
        <w:rPr>
          <w:b/>
        </w:rPr>
        <w:t>3.</w:t>
      </w:r>
      <w:r w:rsidRPr="006320B0">
        <w:rPr>
          <w:b/>
        </w:rPr>
        <w:tab/>
        <w:t>LIJST VAN HULPSTOFFEN</w:t>
      </w:r>
    </w:p>
    <w:p w14:paraId="776DADD2" w14:textId="77777777" w:rsidR="00951F81" w:rsidRPr="006320B0" w:rsidRDefault="00951F81" w:rsidP="00840536">
      <w:pPr>
        <w:widowControl w:val="0"/>
        <w:suppressAutoHyphens/>
      </w:pPr>
    </w:p>
    <w:p w14:paraId="45B25517" w14:textId="214A92C1" w:rsidR="00951F81" w:rsidRPr="006320B0" w:rsidRDefault="00EC2E36" w:rsidP="00840536">
      <w:pPr>
        <w:widowControl w:val="0"/>
        <w:tabs>
          <w:tab w:val="clear" w:pos="567"/>
        </w:tabs>
        <w:suppressAutoHyphens/>
      </w:pPr>
      <w:r w:rsidRPr="006320B0">
        <w:t>L-histidine, L-histidinemonohydrochloridemonohydraat, sucrose, poloxameer 188</w:t>
      </w:r>
      <w:r w:rsidR="00951F81" w:rsidRPr="006320B0">
        <w:t>, water voor injecties.</w:t>
      </w:r>
    </w:p>
    <w:p w14:paraId="65771A50" w14:textId="77777777" w:rsidR="00951F81" w:rsidRPr="006320B0" w:rsidRDefault="00951F81" w:rsidP="00840536">
      <w:pPr>
        <w:widowControl w:val="0"/>
        <w:tabs>
          <w:tab w:val="clear" w:pos="567"/>
        </w:tabs>
        <w:suppressAutoHyphens/>
      </w:pPr>
    </w:p>
    <w:p w14:paraId="2539496E" w14:textId="77777777" w:rsidR="00951F81" w:rsidRPr="006320B0" w:rsidRDefault="00951F81" w:rsidP="00840536">
      <w:pPr>
        <w:widowControl w:val="0"/>
        <w:tabs>
          <w:tab w:val="clear" w:pos="567"/>
        </w:tabs>
        <w:suppressAutoHyphens/>
      </w:pPr>
    </w:p>
    <w:p w14:paraId="21C2B6B0" w14:textId="5B36AAE9"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pPr>
      <w:r w:rsidRPr="006320B0">
        <w:rPr>
          <w:b/>
        </w:rPr>
        <w:t>4.</w:t>
      </w:r>
      <w:r w:rsidRPr="006320B0">
        <w:rPr>
          <w:b/>
        </w:rPr>
        <w:tab/>
        <w:t>FARMACEUTISCHE VORM EN INHOUD</w:t>
      </w:r>
    </w:p>
    <w:p w14:paraId="45E73A7B" w14:textId="77777777" w:rsidR="00951F81" w:rsidRPr="006320B0" w:rsidRDefault="00951F81" w:rsidP="00840536">
      <w:pPr>
        <w:widowControl w:val="0"/>
        <w:suppressAutoHyphens/>
      </w:pPr>
    </w:p>
    <w:p w14:paraId="52BB5188" w14:textId="77777777" w:rsidR="00951F81" w:rsidRPr="006320B0" w:rsidRDefault="00951F81" w:rsidP="00840536">
      <w:pPr>
        <w:widowControl w:val="0"/>
        <w:suppressAutoHyphens/>
        <w:rPr>
          <w:highlight w:val="lightGray"/>
        </w:rPr>
      </w:pPr>
      <w:r w:rsidRPr="006320B0">
        <w:rPr>
          <w:highlight w:val="lightGray"/>
        </w:rPr>
        <w:t>Oplossing voor injectie</w:t>
      </w:r>
    </w:p>
    <w:p w14:paraId="74E0D7DF" w14:textId="31CDF855" w:rsidR="072C1CC4" w:rsidRPr="006320B0" w:rsidRDefault="072C1CC4" w:rsidP="072C1CC4">
      <w:pPr>
        <w:widowControl w:val="0"/>
      </w:pPr>
    </w:p>
    <w:p w14:paraId="13BBEB35" w14:textId="70C86584" w:rsidR="00951F81" w:rsidRPr="006320B0" w:rsidRDefault="00EC2E36" w:rsidP="00840536">
      <w:pPr>
        <w:widowControl w:val="0"/>
        <w:suppressAutoHyphens/>
      </w:pPr>
      <w:r w:rsidRPr="006320B0">
        <w:t>1</w:t>
      </w:r>
      <w:r w:rsidR="00951F81" w:rsidRPr="006320B0">
        <w:t> voorgevulde spuit.</w:t>
      </w:r>
    </w:p>
    <w:p w14:paraId="2B3B17F6" w14:textId="77777777" w:rsidR="00951F81" w:rsidRPr="006320B0" w:rsidRDefault="00951F81" w:rsidP="00840536">
      <w:pPr>
        <w:widowControl w:val="0"/>
        <w:tabs>
          <w:tab w:val="clear" w:pos="567"/>
        </w:tabs>
        <w:suppressAutoHyphens/>
      </w:pPr>
    </w:p>
    <w:p w14:paraId="15130BB1" w14:textId="77777777" w:rsidR="00951F81" w:rsidRPr="006320B0" w:rsidRDefault="00951F81" w:rsidP="00840536">
      <w:pPr>
        <w:widowControl w:val="0"/>
        <w:tabs>
          <w:tab w:val="clear" w:pos="567"/>
        </w:tabs>
        <w:suppressAutoHyphens/>
      </w:pPr>
    </w:p>
    <w:p w14:paraId="16B4382E" w14:textId="5B478BF4" w:rsidR="00951F81" w:rsidRPr="006320B0" w:rsidRDefault="00951F81" w:rsidP="00840536">
      <w:pPr>
        <w:widowControl w:val="0"/>
        <w:pBdr>
          <w:top w:val="single" w:sz="4" w:space="2" w:color="auto"/>
          <w:left w:val="single" w:sz="4" w:space="4" w:color="auto"/>
          <w:bottom w:val="single" w:sz="4" w:space="1" w:color="auto"/>
          <w:right w:val="single" w:sz="4" w:space="4" w:color="auto"/>
        </w:pBdr>
        <w:suppressAutoHyphens/>
        <w:ind w:left="567" w:hanging="567"/>
        <w:rPr>
          <w:highlight w:val="lightGray"/>
        </w:rPr>
      </w:pPr>
      <w:r w:rsidRPr="006320B0">
        <w:rPr>
          <w:b/>
        </w:rPr>
        <w:t>5.</w:t>
      </w:r>
      <w:r w:rsidRPr="006320B0">
        <w:rPr>
          <w:b/>
        </w:rPr>
        <w:tab/>
        <w:t>WIJZE VAN GEBRUIK EN TOEDIENINGSWEG(EN)</w:t>
      </w:r>
    </w:p>
    <w:p w14:paraId="1ADBFD01" w14:textId="77777777" w:rsidR="00951F81" w:rsidRPr="006320B0" w:rsidRDefault="00951F81" w:rsidP="00840536">
      <w:pPr>
        <w:widowControl w:val="0"/>
        <w:suppressAutoHyphens/>
      </w:pPr>
    </w:p>
    <w:p w14:paraId="0485BD00" w14:textId="5EE855B6" w:rsidR="00951F81" w:rsidRPr="006320B0" w:rsidRDefault="00951F81" w:rsidP="00840536">
      <w:pPr>
        <w:widowControl w:val="0"/>
        <w:tabs>
          <w:tab w:val="clear" w:pos="567"/>
        </w:tabs>
        <w:suppressAutoHyphens/>
      </w:pPr>
      <w:r w:rsidRPr="006320B0">
        <w:t>Subcutaan gebruik</w:t>
      </w:r>
    </w:p>
    <w:p w14:paraId="19B04DDE" w14:textId="77777777" w:rsidR="00951F81" w:rsidRPr="006320B0" w:rsidRDefault="00951F81" w:rsidP="00840536">
      <w:pPr>
        <w:widowControl w:val="0"/>
        <w:tabs>
          <w:tab w:val="clear" w:pos="567"/>
        </w:tabs>
        <w:suppressAutoHyphens/>
      </w:pPr>
      <w:r w:rsidRPr="006320B0">
        <w:rPr>
          <w:b/>
        </w:rPr>
        <w:t>Belangrijk</w:t>
      </w:r>
      <w:r w:rsidRPr="006320B0">
        <w:t>: Lees voor gebruik van de voorgevulde spuit de bijsluiter.</w:t>
      </w:r>
    </w:p>
    <w:p w14:paraId="1BA7FF37" w14:textId="77777777" w:rsidR="00951F81" w:rsidRPr="006320B0" w:rsidRDefault="00951F81" w:rsidP="00840536">
      <w:pPr>
        <w:widowControl w:val="0"/>
        <w:tabs>
          <w:tab w:val="clear" w:pos="567"/>
        </w:tabs>
        <w:suppressAutoHyphens/>
      </w:pPr>
      <w:r w:rsidRPr="006320B0">
        <w:t>Niet schudden.</w:t>
      </w:r>
    </w:p>
    <w:p w14:paraId="16F691FD" w14:textId="77777777" w:rsidR="00951F81" w:rsidRPr="006320B0" w:rsidRDefault="00951F81" w:rsidP="00840536">
      <w:pPr>
        <w:widowControl w:val="0"/>
        <w:suppressAutoHyphens/>
        <w:rPr>
          <w:highlight w:val="lightGray"/>
        </w:rPr>
      </w:pPr>
      <w:r w:rsidRPr="006320B0">
        <w:rPr>
          <w:highlight w:val="lightGray"/>
        </w:rPr>
        <w:t>Lees voor het gebruik de bijsluiter.</w:t>
      </w:r>
    </w:p>
    <w:p w14:paraId="0C4B4272" w14:textId="77777777" w:rsidR="00951F81" w:rsidRPr="006320B0" w:rsidRDefault="00951F81" w:rsidP="00840536">
      <w:pPr>
        <w:widowControl w:val="0"/>
        <w:tabs>
          <w:tab w:val="clear" w:pos="567"/>
        </w:tabs>
        <w:suppressAutoHyphens/>
      </w:pPr>
    </w:p>
    <w:p w14:paraId="274BC927" w14:textId="4AF2C0D2" w:rsidR="00EC2E36" w:rsidRPr="006320B0" w:rsidRDefault="00566365" w:rsidP="00EC2E36">
      <w:pPr>
        <w:rPr>
          <w:highlight w:val="lightGray"/>
        </w:rPr>
      </w:pPr>
      <w:r>
        <w:rPr>
          <w:highlight w:val="lightGray"/>
        </w:rPr>
        <w:t>O</w:t>
      </w:r>
      <w:r w:rsidR="008E037B" w:rsidRPr="006320B0">
        <w:rPr>
          <w:highlight w:val="lightGray"/>
        </w:rPr>
        <w:t>p te nemen</w:t>
      </w:r>
      <w:r w:rsidRPr="00566365">
        <w:rPr>
          <w:highlight w:val="lightGray"/>
        </w:rPr>
        <w:t xml:space="preserve"> </w:t>
      </w:r>
      <w:r w:rsidRPr="006320B0">
        <w:rPr>
          <w:highlight w:val="lightGray"/>
        </w:rPr>
        <w:t>QR</w:t>
      </w:r>
      <w:r>
        <w:rPr>
          <w:highlight w:val="lightGray"/>
        </w:rPr>
        <w:t>-</w:t>
      </w:r>
      <w:r w:rsidRPr="006320B0">
        <w:rPr>
          <w:highlight w:val="lightGray"/>
        </w:rPr>
        <w:t>code</w:t>
      </w:r>
    </w:p>
    <w:p w14:paraId="2170AB2C" w14:textId="707B9F3B" w:rsidR="00EC2E36" w:rsidRPr="006320B0" w:rsidRDefault="00860989" w:rsidP="00EC2E36">
      <w:r>
        <w:t>k</w:t>
      </w:r>
      <w:r w:rsidR="00EC2E36" w:rsidRPr="006320B0">
        <w:t>efdensispatients.com</w:t>
      </w:r>
    </w:p>
    <w:p w14:paraId="7A636DD4" w14:textId="77777777" w:rsidR="00EC2E36" w:rsidRPr="006320B0" w:rsidRDefault="00EC2E36" w:rsidP="00951F81">
      <w:pPr>
        <w:tabs>
          <w:tab w:val="clear" w:pos="567"/>
        </w:tabs>
      </w:pPr>
    </w:p>
    <w:p w14:paraId="3E40D758" w14:textId="77777777" w:rsidR="00951F81" w:rsidRPr="006320B0" w:rsidRDefault="00951F81" w:rsidP="00840536">
      <w:pPr>
        <w:widowControl w:val="0"/>
        <w:tabs>
          <w:tab w:val="clear" w:pos="567"/>
        </w:tabs>
        <w:suppressAutoHyphens/>
      </w:pPr>
    </w:p>
    <w:p w14:paraId="58923331" w14:textId="62D0EB47"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pPr>
      <w:r w:rsidRPr="006320B0">
        <w:rPr>
          <w:b/>
        </w:rPr>
        <w:t>6.</w:t>
      </w:r>
      <w:r w:rsidRPr="006320B0">
        <w:rPr>
          <w:b/>
        </w:rPr>
        <w:tab/>
        <w:t>EEN SPECIALE WAARSCHUWING DAT HET GENEESMIDDEL BUITEN HET ZICHT EN BEREIK VAN KINDEREN DIENT TE WORDEN GEHOUDEN</w:t>
      </w:r>
    </w:p>
    <w:p w14:paraId="7BC2D20A" w14:textId="77777777" w:rsidR="00951F81" w:rsidRPr="006320B0" w:rsidRDefault="00951F81" w:rsidP="00840536">
      <w:pPr>
        <w:widowControl w:val="0"/>
        <w:suppressAutoHyphens/>
      </w:pPr>
    </w:p>
    <w:p w14:paraId="7C00B168" w14:textId="77777777" w:rsidR="00951F81" w:rsidRPr="006320B0" w:rsidRDefault="00951F81" w:rsidP="00840536">
      <w:pPr>
        <w:widowControl w:val="0"/>
        <w:tabs>
          <w:tab w:val="clear" w:pos="567"/>
        </w:tabs>
        <w:suppressAutoHyphens/>
      </w:pPr>
      <w:r w:rsidRPr="006320B0">
        <w:t>Buiten het zicht en bereik van kinderen houden.</w:t>
      </w:r>
    </w:p>
    <w:p w14:paraId="41A2D2A6" w14:textId="77777777" w:rsidR="00951F81" w:rsidRPr="006320B0" w:rsidRDefault="00951F81" w:rsidP="00840536">
      <w:pPr>
        <w:widowControl w:val="0"/>
        <w:tabs>
          <w:tab w:val="clear" w:pos="567"/>
        </w:tabs>
        <w:suppressAutoHyphens/>
      </w:pPr>
    </w:p>
    <w:p w14:paraId="1E780B7D" w14:textId="77777777" w:rsidR="00951F81" w:rsidRPr="006320B0" w:rsidRDefault="00951F81" w:rsidP="00840536">
      <w:pPr>
        <w:widowControl w:val="0"/>
        <w:tabs>
          <w:tab w:val="clear" w:pos="567"/>
        </w:tabs>
        <w:suppressAutoHyphens/>
      </w:pPr>
    </w:p>
    <w:p w14:paraId="7E5D8470" w14:textId="03DEE241"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rPr>
          <w:highlight w:val="lightGray"/>
        </w:rPr>
      </w:pPr>
      <w:r w:rsidRPr="006320B0">
        <w:rPr>
          <w:b/>
        </w:rPr>
        <w:t>7.</w:t>
      </w:r>
      <w:r w:rsidRPr="006320B0">
        <w:rPr>
          <w:b/>
        </w:rPr>
        <w:tab/>
        <w:t>ANDERE SPECIALE WAARSCHUWING(EN), INDIEN NODIG</w:t>
      </w:r>
    </w:p>
    <w:p w14:paraId="64AEA835" w14:textId="77777777" w:rsidR="00951F81" w:rsidRPr="006320B0" w:rsidRDefault="00951F81" w:rsidP="00840536">
      <w:pPr>
        <w:widowControl w:val="0"/>
        <w:suppressAutoHyphens/>
      </w:pPr>
    </w:p>
    <w:p w14:paraId="1B77EC45" w14:textId="77777777" w:rsidR="00951F81" w:rsidRPr="006320B0" w:rsidRDefault="00951F81" w:rsidP="00840536">
      <w:pPr>
        <w:widowControl w:val="0"/>
        <w:tabs>
          <w:tab w:val="clear" w:pos="567"/>
        </w:tabs>
        <w:suppressAutoHyphens/>
      </w:pPr>
    </w:p>
    <w:p w14:paraId="62AFE5EF" w14:textId="189A9AD4"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rPr>
          <w:highlight w:val="lightGray"/>
        </w:rPr>
      </w:pPr>
      <w:r w:rsidRPr="006320B0">
        <w:rPr>
          <w:b/>
        </w:rPr>
        <w:t>8.</w:t>
      </w:r>
      <w:r w:rsidRPr="006320B0">
        <w:rPr>
          <w:b/>
        </w:rPr>
        <w:tab/>
        <w:t>UITERSTE GEBRUIKSDATUM</w:t>
      </w:r>
    </w:p>
    <w:p w14:paraId="1114FDFC" w14:textId="77777777" w:rsidR="00951F81" w:rsidRPr="006320B0" w:rsidRDefault="00951F81" w:rsidP="00840536">
      <w:pPr>
        <w:widowControl w:val="0"/>
        <w:suppressAutoHyphens/>
      </w:pPr>
    </w:p>
    <w:p w14:paraId="6D605F32" w14:textId="77777777" w:rsidR="00951F81" w:rsidRPr="006320B0" w:rsidRDefault="00951F81" w:rsidP="00840536">
      <w:pPr>
        <w:widowControl w:val="0"/>
        <w:tabs>
          <w:tab w:val="clear" w:pos="567"/>
        </w:tabs>
        <w:suppressAutoHyphens/>
      </w:pPr>
      <w:r w:rsidRPr="006320B0">
        <w:t>EXP</w:t>
      </w:r>
    </w:p>
    <w:p w14:paraId="2530F947" w14:textId="77777777" w:rsidR="00951F81" w:rsidRPr="006320B0" w:rsidRDefault="00951F81" w:rsidP="00840536">
      <w:pPr>
        <w:widowControl w:val="0"/>
        <w:tabs>
          <w:tab w:val="clear" w:pos="567"/>
        </w:tabs>
        <w:suppressAutoHyphens/>
      </w:pPr>
    </w:p>
    <w:p w14:paraId="62D7D2DC" w14:textId="77777777" w:rsidR="00951F81" w:rsidRPr="006320B0" w:rsidRDefault="00951F81" w:rsidP="00840536">
      <w:pPr>
        <w:widowControl w:val="0"/>
        <w:tabs>
          <w:tab w:val="clear" w:pos="567"/>
        </w:tabs>
        <w:suppressAutoHyphens/>
      </w:pPr>
    </w:p>
    <w:p w14:paraId="0CC1395C" w14:textId="7E3267DE"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pPr>
      <w:r w:rsidRPr="006320B0">
        <w:rPr>
          <w:b/>
        </w:rPr>
        <w:t>9.</w:t>
      </w:r>
      <w:r w:rsidRPr="006320B0">
        <w:rPr>
          <w:b/>
        </w:rPr>
        <w:tab/>
        <w:t>BIJZONDERE VOORZORGSMAATREGELEN VOOR DE BEWARING</w:t>
      </w:r>
    </w:p>
    <w:p w14:paraId="6BC2466D" w14:textId="77777777" w:rsidR="00951F81" w:rsidRPr="006320B0" w:rsidRDefault="00951F81" w:rsidP="00840536">
      <w:pPr>
        <w:widowControl w:val="0"/>
        <w:suppressAutoHyphens/>
      </w:pPr>
    </w:p>
    <w:p w14:paraId="1714B2CB" w14:textId="77777777" w:rsidR="00951F81" w:rsidRPr="006320B0" w:rsidRDefault="00951F81" w:rsidP="00840536">
      <w:pPr>
        <w:widowControl w:val="0"/>
        <w:tabs>
          <w:tab w:val="clear" w:pos="567"/>
        </w:tabs>
        <w:suppressAutoHyphens/>
      </w:pPr>
      <w:r w:rsidRPr="006320B0">
        <w:t>Bewaren in de koelkast.</w:t>
      </w:r>
    </w:p>
    <w:p w14:paraId="101BDE81" w14:textId="77777777" w:rsidR="00951F81" w:rsidRPr="006320B0" w:rsidRDefault="00951F81" w:rsidP="00840536">
      <w:pPr>
        <w:widowControl w:val="0"/>
        <w:tabs>
          <w:tab w:val="clear" w:pos="567"/>
        </w:tabs>
        <w:suppressAutoHyphens/>
      </w:pPr>
      <w:r w:rsidRPr="006320B0">
        <w:t>Niet in de vriezer bewaren.</w:t>
      </w:r>
    </w:p>
    <w:p w14:paraId="1833BCA7" w14:textId="560F38BD" w:rsidR="00951F81" w:rsidRPr="006320B0" w:rsidRDefault="00951F81" w:rsidP="00840536">
      <w:pPr>
        <w:widowControl w:val="0"/>
        <w:tabs>
          <w:tab w:val="clear" w:pos="567"/>
        </w:tabs>
        <w:suppressAutoHyphens/>
      </w:pPr>
      <w:r w:rsidRPr="006320B0">
        <w:t>De voorgevulde spuit in de buitenverpakking bewaren ter bescherming tegen licht.</w:t>
      </w:r>
    </w:p>
    <w:p w14:paraId="13D91894" w14:textId="77777777" w:rsidR="00951F81" w:rsidRPr="006320B0" w:rsidRDefault="00951F81" w:rsidP="00840536">
      <w:pPr>
        <w:widowControl w:val="0"/>
        <w:tabs>
          <w:tab w:val="clear" w:pos="567"/>
        </w:tabs>
        <w:suppressAutoHyphens/>
      </w:pPr>
    </w:p>
    <w:p w14:paraId="0A90AB4D" w14:textId="77777777" w:rsidR="00951F81" w:rsidRPr="006320B0" w:rsidRDefault="00951F81" w:rsidP="00840536">
      <w:pPr>
        <w:widowControl w:val="0"/>
        <w:tabs>
          <w:tab w:val="clear" w:pos="567"/>
        </w:tabs>
        <w:suppressAutoHyphens/>
      </w:pPr>
    </w:p>
    <w:p w14:paraId="6B087207" w14:textId="6EC799F8"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rPr>
          <w:b/>
        </w:rPr>
      </w:pPr>
      <w:r w:rsidRPr="006320B0">
        <w:rPr>
          <w:b/>
        </w:rPr>
        <w:t>10.</w:t>
      </w:r>
      <w:r w:rsidRPr="006320B0">
        <w:rPr>
          <w:b/>
        </w:rPr>
        <w:tab/>
        <w:t>BIJZONDERE VOORZORGSMAATREGELEN VOOR HET VERWIJDEREN VAN NIET</w:t>
      </w:r>
      <w:r w:rsidRPr="006320B0">
        <w:rPr>
          <w:b/>
        </w:rPr>
        <w:noBreakHyphen/>
        <w:t>GEBRUIKTE GENEESMIDDELEN OF DAARVAN AFGELEIDE AFVALSTOFFEN (INDIEN VAN TOEPASSING)</w:t>
      </w:r>
    </w:p>
    <w:p w14:paraId="3E0B5434" w14:textId="77777777" w:rsidR="00951F81" w:rsidRPr="006320B0" w:rsidRDefault="00951F81" w:rsidP="00840536">
      <w:pPr>
        <w:widowControl w:val="0"/>
        <w:suppressAutoHyphens/>
      </w:pPr>
    </w:p>
    <w:p w14:paraId="53AA2AD4" w14:textId="77777777" w:rsidR="00951F81" w:rsidRPr="006320B0" w:rsidRDefault="00951F81" w:rsidP="00840536">
      <w:pPr>
        <w:widowControl w:val="0"/>
        <w:tabs>
          <w:tab w:val="clear" w:pos="567"/>
        </w:tabs>
        <w:suppressAutoHyphens/>
      </w:pPr>
    </w:p>
    <w:p w14:paraId="4239DBFC" w14:textId="7A6AB5B4"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rPr>
          <w:b/>
        </w:rPr>
      </w:pPr>
      <w:r w:rsidRPr="006320B0">
        <w:rPr>
          <w:b/>
        </w:rPr>
        <w:t>11.</w:t>
      </w:r>
      <w:r w:rsidRPr="006320B0">
        <w:rPr>
          <w:b/>
        </w:rPr>
        <w:tab/>
        <w:t>NAAM EN ADRES VAN DE HOUDER VAN DE VERGUNNING VOOR HET IN DE HANDEL BRENGEN</w:t>
      </w:r>
    </w:p>
    <w:p w14:paraId="40B92BA3" w14:textId="77777777" w:rsidR="00951F81" w:rsidRPr="006320B0" w:rsidRDefault="00951F81" w:rsidP="00840536">
      <w:pPr>
        <w:widowControl w:val="0"/>
        <w:suppressAutoHyphens/>
      </w:pPr>
    </w:p>
    <w:p w14:paraId="53795CB8" w14:textId="77777777" w:rsidR="00EC2E36" w:rsidRPr="00DE1F94" w:rsidRDefault="00EC2E36" w:rsidP="00EC2E36">
      <w:pPr>
        <w:rPr>
          <w:lang w:val="de-DE"/>
        </w:rPr>
      </w:pPr>
      <w:r w:rsidRPr="00DE1F94">
        <w:rPr>
          <w:lang w:val="de-DE"/>
        </w:rPr>
        <w:t>STADA Arzneimittel AG</w:t>
      </w:r>
    </w:p>
    <w:p w14:paraId="71E6DEAD" w14:textId="77777777" w:rsidR="00EC2E36" w:rsidRPr="00DE1F94" w:rsidRDefault="00EC2E36" w:rsidP="00EC2E36">
      <w:pPr>
        <w:rPr>
          <w:lang w:val="de-DE"/>
        </w:rPr>
      </w:pPr>
      <w:r w:rsidRPr="00DE1F94">
        <w:rPr>
          <w:lang w:val="de-DE"/>
        </w:rPr>
        <w:t>Stadastrasse 2–18</w:t>
      </w:r>
    </w:p>
    <w:p w14:paraId="40F978E6" w14:textId="77777777" w:rsidR="00EC2E36" w:rsidRPr="00DE1F94" w:rsidRDefault="00EC2E36" w:rsidP="00EC2E36">
      <w:pPr>
        <w:rPr>
          <w:lang w:val="de-DE"/>
        </w:rPr>
      </w:pPr>
      <w:r w:rsidRPr="00DE1F94">
        <w:rPr>
          <w:lang w:val="de-DE"/>
        </w:rPr>
        <w:t>61118 Bad Vilbel</w:t>
      </w:r>
    </w:p>
    <w:p w14:paraId="3D9FF8AE" w14:textId="77777777" w:rsidR="00EC2E36" w:rsidRPr="006320B0" w:rsidRDefault="00EC2E36" w:rsidP="00EC2E36">
      <w:r w:rsidRPr="006320B0">
        <w:t>Duitsland</w:t>
      </w:r>
    </w:p>
    <w:p w14:paraId="3FAE2398" w14:textId="77777777" w:rsidR="00951F81" w:rsidRPr="006320B0" w:rsidRDefault="00951F81" w:rsidP="00840536">
      <w:pPr>
        <w:widowControl w:val="0"/>
        <w:tabs>
          <w:tab w:val="clear" w:pos="567"/>
        </w:tabs>
        <w:suppressAutoHyphens/>
      </w:pPr>
    </w:p>
    <w:p w14:paraId="16984C5F" w14:textId="77777777" w:rsidR="00951F81" w:rsidRPr="006320B0" w:rsidRDefault="00951F81" w:rsidP="00840536">
      <w:pPr>
        <w:widowControl w:val="0"/>
        <w:tabs>
          <w:tab w:val="clear" w:pos="567"/>
        </w:tabs>
        <w:suppressAutoHyphens/>
      </w:pPr>
    </w:p>
    <w:p w14:paraId="6BB69D4B" w14:textId="6AC9A8E8"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rPr>
          <w:b/>
        </w:rPr>
      </w:pPr>
      <w:r w:rsidRPr="006320B0">
        <w:rPr>
          <w:b/>
        </w:rPr>
        <w:t>12.</w:t>
      </w:r>
      <w:r w:rsidRPr="006320B0">
        <w:rPr>
          <w:b/>
        </w:rPr>
        <w:tab/>
        <w:t>NUMMER(S) VAN DE VERGUNNING VOOR HET IN DE HANDEL BRENGEN</w:t>
      </w:r>
    </w:p>
    <w:p w14:paraId="57BD3CB5" w14:textId="77777777" w:rsidR="00951F81" w:rsidRPr="006320B0" w:rsidRDefault="00951F81" w:rsidP="00840536">
      <w:pPr>
        <w:widowControl w:val="0"/>
        <w:suppressAutoHyphens/>
      </w:pPr>
    </w:p>
    <w:p w14:paraId="6EF81963" w14:textId="58B75D3A" w:rsidR="71315CDB" w:rsidRPr="006320B0" w:rsidRDefault="71315CDB" w:rsidP="34832FA9">
      <w:pPr>
        <w:keepNext/>
        <w:rPr>
          <w:highlight w:val="lightGray"/>
        </w:rPr>
      </w:pPr>
      <w:r w:rsidRPr="006320B0">
        <w:t>EU/1/25/1980/001</w:t>
      </w:r>
    </w:p>
    <w:p w14:paraId="5EB209D1" w14:textId="77777777" w:rsidR="00951F81" w:rsidRPr="006320B0" w:rsidRDefault="00951F81" w:rsidP="00840536">
      <w:pPr>
        <w:widowControl w:val="0"/>
        <w:tabs>
          <w:tab w:val="clear" w:pos="567"/>
        </w:tabs>
        <w:suppressAutoHyphens/>
      </w:pPr>
    </w:p>
    <w:p w14:paraId="6F2F7F00" w14:textId="77777777" w:rsidR="00951F81" w:rsidRPr="006320B0" w:rsidRDefault="00951F81" w:rsidP="00840536">
      <w:pPr>
        <w:widowControl w:val="0"/>
        <w:tabs>
          <w:tab w:val="clear" w:pos="567"/>
        </w:tabs>
        <w:suppressAutoHyphens/>
      </w:pPr>
    </w:p>
    <w:p w14:paraId="0C28084E" w14:textId="5DDC272E"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pPr>
      <w:r w:rsidRPr="006320B0">
        <w:rPr>
          <w:b/>
        </w:rPr>
        <w:t>13.</w:t>
      </w:r>
      <w:r w:rsidRPr="006320B0">
        <w:rPr>
          <w:b/>
        </w:rPr>
        <w:tab/>
      </w:r>
      <w:r w:rsidR="005B4E04">
        <w:rPr>
          <w:b/>
        </w:rPr>
        <w:t>PARTIJ</w:t>
      </w:r>
      <w:r w:rsidRPr="006320B0">
        <w:rPr>
          <w:b/>
        </w:rPr>
        <w:t>NUMMER</w:t>
      </w:r>
    </w:p>
    <w:p w14:paraId="76D361FD" w14:textId="77777777" w:rsidR="00951F81" w:rsidRPr="006320B0" w:rsidRDefault="00951F81" w:rsidP="00840536">
      <w:pPr>
        <w:widowControl w:val="0"/>
        <w:suppressAutoHyphens/>
      </w:pPr>
    </w:p>
    <w:p w14:paraId="266315F5" w14:textId="77777777" w:rsidR="00951F81" w:rsidRPr="006320B0" w:rsidRDefault="00951F81" w:rsidP="00840536">
      <w:pPr>
        <w:widowControl w:val="0"/>
        <w:tabs>
          <w:tab w:val="clear" w:pos="567"/>
        </w:tabs>
        <w:suppressAutoHyphens/>
      </w:pPr>
      <w:r w:rsidRPr="006320B0">
        <w:t>Lot</w:t>
      </w:r>
    </w:p>
    <w:p w14:paraId="424E12F9" w14:textId="77777777" w:rsidR="00951F81" w:rsidRPr="006320B0" w:rsidRDefault="00951F81" w:rsidP="00840536">
      <w:pPr>
        <w:widowControl w:val="0"/>
        <w:tabs>
          <w:tab w:val="clear" w:pos="567"/>
        </w:tabs>
        <w:suppressAutoHyphens/>
      </w:pPr>
    </w:p>
    <w:p w14:paraId="483AB26C" w14:textId="77777777" w:rsidR="00951F81" w:rsidRPr="006320B0" w:rsidRDefault="00951F81" w:rsidP="00840536">
      <w:pPr>
        <w:widowControl w:val="0"/>
        <w:tabs>
          <w:tab w:val="clear" w:pos="567"/>
        </w:tabs>
        <w:suppressAutoHyphens/>
      </w:pPr>
    </w:p>
    <w:p w14:paraId="0EDBBC85" w14:textId="237B87F8"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pPr>
      <w:r w:rsidRPr="006320B0">
        <w:rPr>
          <w:b/>
        </w:rPr>
        <w:t>14.</w:t>
      </w:r>
      <w:r w:rsidRPr="006320B0">
        <w:rPr>
          <w:b/>
        </w:rPr>
        <w:tab/>
        <w:t>ALGEMENE INDELING VOOR DE AFLEVERING</w:t>
      </w:r>
    </w:p>
    <w:p w14:paraId="1EDBE148" w14:textId="77777777" w:rsidR="00951F81" w:rsidRPr="006320B0" w:rsidRDefault="00951F81" w:rsidP="00840536">
      <w:pPr>
        <w:widowControl w:val="0"/>
        <w:suppressAutoHyphens/>
      </w:pPr>
    </w:p>
    <w:p w14:paraId="745E4C03" w14:textId="77777777" w:rsidR="00951F81" w:rsidRPr="006320B0" w:rsidRDefault="00951F81" w:rsidP="00840536">
      <w:pPr>
        <w:widowControl w:val="0"/>
        <w:tabs>
          <w:tab w:val="clear" w:pos="567"/>
        </w:tabs>
        <w:suppressAutoHyphens/>
      </w:pPr>
    </w:p>
    <w:p w14:paraId="60970C85" w14:textId="551BFA7A"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pPr>
      <w:r w:rsidRPr="006320B0">
        <w:rPr>
          <w:b/>
        </w:rPr>
        <w:t>15.</w:t>
      </w:r>
      <w:r w:rsidRPr="006320B0">
        <w:rPr>
          <w:b/>
        </w:rPr>
        <w:tab/>
        <w:t>INSTRUCTIES VOOR GEBRUIK</w:t>
      </w:r>
    </w:p>
    <w:p w14:paraId="1DC826DB" w14:textId="77777777" w:rsidR="00951F81" w:rsidRPr="006320B0" w:rsidRDefault="00951F81" w:rsidP="00840536">
      <w:pPr>
        <w:widowControl w:val="0"/>
        <w:suppressAutoHyphens/>
      </w:pPr>
    </w:p>
    <w:p w14:paraId="22875F8D" w14:textId="77777777" w:rsidR="00951F81" w:rsidRPr="006320B0" w:rsidRDefault="00951F81" w:rsidP="00840536">
      <w:pPr>
        <w:widowControl w:val="0"/>
        <w:tabs>
          <w:tab w:val="clear" w:pos="567"/>
        </w:tabs>
        <w:suppressAutoHyphens/>
      </w:pPr>
    </w:p>
    <w:p w14:paraId="3E695C58" w14:textId="2D64FBCE"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pPr>
      <w:r w:rsidRPr="006320B0">
        <w:rPr>
          <w:b/>
        </w:rPr>
        <w:t>16.</w:t>
      </w:r>
      <w:r w:rsidRPr="006320B0">
        <w:rPr>
          <w:b/>
        </w:rPr>
        <w:tab/>
        <w:t>INFORMATIE IN BRAILLE</w:t>
      </w:r>
    </w:p>
    <w:p w14:paraId="6B0877AE" w14:textId="77777777" w:rsidR="00951F81" w:rsidRPr="006320B0" w:rsidRDefault="00951F81" w:rsidP="00840536">
      <w:pPr>
        <w:widowControl w:val="0"/>
        <w:suppressAutoHyphens/>
      </w:pPr>
    </w:p>
    <w:p w14:paraId="4329BFDF" w14:textId="77777777" w:rsidR="00951F81" w:rsidRPr="006320B0" w:rsidRDefault="00D50235" w:rsidP="00951F81">
      <w:pPr>
        <w:tabs>
          <w:tab w:val="clear" w:pos="567"/>
        </w:tabs>
      </w:pPr>
      <w:r w:rsidRPr="006320B0">
        <w:t>Kefdensis</w:t>
      </w:r>
    </w:p>
    <w:p w14:paraId="53C436BE" w14:textId="77777777" w:rsidR="00951F81" w:rsidRPr="006320B0" w:rsidRDefault="00951F81" w:rsidP="00840536">
      <w:pPr>
        <w:widowControl w:val="0"/>
        <w:tabs>
          <w:tab w:val="clear" w:pos="567"/>
        </w:tabs>
        <w:suppressAutoHyphens/>
      </w:pPr>
    </w:p>
    <w:p w14:paraId="2974F596" w14:textId="77777777" w:rsidR="00951F81" w:rsidRPr="006320B0" w:rsidRDefault="00951F81" w:rsidP="00840536">
      <w:pPr>
        <w:widowControl w:val="0"/>
        <w:tabs>
          <w:tab w:val="clear" w:pos="567"/>
        </w:tabs>
        <w:suppressAutoHyphens/>
      </w:pPr>
    </w:p>
    <w:p w14:paraId="06FE37D0" w14:textId="77777777" w:rsidR="00951F81" w:rsidRPr="006320B0" w:rsidRDefault="00951F81" w:rsidP="00840536">
      <w:pPr>
        <w:widowControl w:val="0"/>
        <w:pBdr>
          <w:top w:val="single" w:sz="4" w:space="1" w:color="auto"/>
          <w:left w:val="single" w:sz="4" w:space="4" w:color="auto"/>
          <w:bottom w:val="single" w:sz="4" w:space="0" w:color="auto"/>
          <w:right w:val="single" w:sz="4" w:space="4" w:color="auto"/>
        </w:pBdr>
        <w:tabs>
          <w:tab w:val="clear" w:pos="567"/>
        </w:tabs>
        <w:suppressAutoHyphens/>
        <w:ind w:left="567" w:hanging="567"/>
        <w:rPr>
          <w:i/>
        </w:rPr>
      </w:pPr>
      <w:r w:rsidRPr="006320B0">
        <w:rPr>
          <w:b/>
        </w:rPr>
        <w:t>17.</w:t>
      </w:r>
      <w:r w:rsidRPr="006320B0">
        <w:rPr>
          <w:b/>
        </w:rPr>
        <w:tab/>
        <w:t>UNIEK IDENTIFICATIEKENMERK - 2D MATRIXCODE</w:t>
      </w:r>
    </w:p>
    <w:p w14:paraId="61AFE281" w14:textId="77777777" w:rsidR="00951F81" w:rsidRPr="006320B0" w:rsidRDefault="00951F81" w:rsidP="00840536">
      <w:pPr>
        <w:widowControl w:val="0"/>
        <w:suppressAutoHyphens/>
      </w:pPr>
    </w:p>
    <w:p w14:paraId="339154B1" w14:textId="77777777" w:rsidR="00951F81" w:rsidRPr="006320B0" w:rsidRDefault="00951F81" w:rsidP="00840536">
      <w:pPr>
        <w:widowControl w:val="0"/>
        <w:suppressAutoHyphens/>
        <w:rPr>
          <w:highlight w:val="lightGray"/>
        </w:rPr>
      </w:pPr>
      <w:r w:rsidRPr="006320B0">
        <w:rPr>
          <w:highlight w:val="lightGray"/>
        </w:rPr>
        <w:t>2D matrixcode met het unieke identificatiekenmerk.</w:t>
      </w:r>
    </w:p>
    <w:p w14:paraId="696ADE5E" w14:textId="77777777" w:rsidR="00951F81" w:rsidRPr="006320B0" w:rsidRDefault="00951F81" w:rsidP="00840536">
      <w:pPr>
        <w:widowControl w:val="0"/>
        <w:tabs>
          <w:tab w:val="clear" w:pos="567"/>
        </w:tabs>
        <w:suppressAutoHyphens/>
      </w:pPr>
    </w:p>
    <w:p w14:paraId="43E1B4B5" w14:textId="77777777" w:rsidR="00951F81" w:rsidRPr="006320B0" w:rsidRDefault="00951F81" w:rsidP="00840536">
      <w:pPr>
        <w:widowControl w:val="0"/>
        <w:tabs>
          <w:tab w:val="clear" w:pos="567"/>
        </w:tabs>
        <w:suppressAutoHyphens/>
      </w:pPr>
    </w:p>
    <w:p w14:paraId="44DE678F" w14:textId="77777777" w:rsidR="00951F81" w:rsidRPr="006320B0" w:rsidRDefault="00951F81" w:rsidP="00840536">
      <w:pPr>
        <w:widowControl w:val="0"/>
        <w:pBdr>
          <w:top w:val="single" w:sz="4" w:space="1" w:color="auto"/>
          <w:left w:val="single" w:sz="4" w:space="4" w:color="auto"/>
          <w:bottom w:val="single" w:sz="4" w:space="0" w:color="auto"/>
          <w:right w:val="single" w:sz="4" w:space="4" w:color="auto"/>
        </w:pBdr>
        <w:tabs>
          <w:tab w:val="clear" w:pos="567"/>
        </w:tabs>
        <w:suppressAutoHyphens/>
        <w:ind w:left="567" w:hanging="567"/>
        <w:rPr>
          <w:i/>
        </w:rPr>
      </w:pPr>
      <w:r w:rsidRPr="006320B0">
        <w:rPr>
          <w:b/>
        </w:rPr>
        <w:t>18.</w:t>
      </w:r>
      <w:r w:rsidRPr="006320B0">
        <w:rPr>
          <w:b/>
        </w:rPr>
        <w:tab/>
        <w:t>UNIEK IDENTIFICATIEKENMERK - VOOR MENSEN LEESBARE GEGEVENS</w:t>
      </w:r>
    </w:p>
    <w:p w14:paraId="2337B0B1" w14:textId="77777777" w:rsidR="00951F81" w:rsidRPr="006320B0" w:rsidRDefault="00951F81" w:rsidP="00840536">
      <w:pPr>
        <w:widowControl w:val="0"/>
        <w:suppressAutoHyphens/>
      </w:pPr>
    </w:p>
    <w:p w14:paraId="2A8244AD" w14:textId="77777777" w:rsidR="00951F81" w:rsidRPr="006320B0" w:rsidRDefault="00951F81" w:rsidP="00840536">
      <w:pPr>
        <w:widowControl w:val="0"/>
        <w:tabs>
          <w:tab w:val="clear" w:pos="567"/>
        </w:tabs>
        <w:suppressAutoHyphens/>
      </w:pPr>
      <w:r w:rsidRPr="006320B0">
        <w:t>PC</w:t>
      </w:r>
    </w:p>
    <w:p w14:paraId="62917A89" w14:textId="77777777" w:rsidR="00951F81" w:rsidRPr="006320B0" w:rsidRDefault="00951F81" w:rsidP="00840536">
      <w:pPr>
        <w:widowControl w:val="0"/>
        <w:tabs>
          <w:tab w:val="clear" w:pos="567"/>
        </w:tabs>
        <w:suppressAutoHyphens/>
      </w:pPr>
      <w:r w:rsidRPr="006320B0">
        <w:t>SN</w:t>
      </w:r>
    </w:p>
    <w:p w14:paraId="0216C3DF" w14:textId="77777777" w:rsidR="00951F81" w:rsidRPr="006320B0" w:rsidRDefault="00951F81" w:rsidP="00840536">
      <w:pPr>
        <w:widowControl w:val="0"/>
        <w:suppressAutoHyphens/>
        <w:rPr>
          <w:highlight w:val="lightGray"/>
        </w:rPr>
      </w:pPr>
      <w:r w:rsidRPr="006320B0">
        <w:rPr>
          <w:highlight w:val="lightGray"/>
        </w:rPr>
        <w:t>NN</w:t>
      </w:r>
    </w:p>
    <w:p w14:paraId="767A7D25" w14:textId="74EC89D7" w:rsidR="00951F81" w:rsidRPr="006320B0" w:rsidRDefault="00884E6E" w:rsidP="00840536">
      <w:pPr>
        <w:widowControl w:val="0"/>
        <w:pBdr>
          <w:top w:val="single" w:sz="4" w:space="1" w:color="auto"/>
          <w:left w:val="single" w:sz="4" w:space="4" w:color="auto"/>
          <w:bottom w:val="single" w:sz="4" w:space="1" w:color="auto"/>
          <w:right w:val="single" w:sz="4" w:space="4" w:color="auto"/>
        </w:pBdr>
        <w:suppressAutoHyphens/>
        <w:rPr>
          <w:b/>
        </w:rPr>
      </w:pPr>
      <w:r w:rsidRPr="006320B0">
        <w:br w:type="page"/>
      </w:r>
      <w:r w:rsidR="00EC2E36" w:rsidRPr="006320B0" w:rsidDel="00EC2E36">
        <w:rPr>
          <w:b/>
        </w:rPr>
        <w:t xml:space="preserve"> </w:t>
      </w:r>
      <w:r w:rsidRPr="006320B0">
        <w:rPr>
          <w:b/>
        </w:rPr>
        <w:t>GEGEVENS DIE IN IEDER GEVAL OP PRIMAIRE KLEINVERPAKKINGEN MOETEN WORDEN VERMELD</w:t>
      </w:r>
    </w:p>
    <w:p w14:paraId="541FFBD6" w14:textId="77777777"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rPr>
          <w:b/>
        </w:rPr>
      </w:pPr>
    </w:p>
    <w:p w14:paraId="6A0D2345" w14:textId="3170FC2F"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rPr>
          <w:b/>
          <w:highlight w:val="lightGray"/>
        </w:rPr>
      </w:pPr>
      <w:r w:rsidRPr="006320B0">
        <w:rPr>
          <w:b/>
        </w:rPr>
        <w:t>LABEL VOORGEVULDE SPUIT</w:t>
      </w:r>
    </w:p>
    <w:p w14:paraId="150F08CD" w14:textId="77777777" w:rsidR="00951F81" w:rsidRPr="006320B0" w:rsidRDefault="00951F81" w:rsidP="00840536">
      <w:pPr>
        <w:widowControl w:val="0"/>
        <w:suppressAutoHyphens/>
      </w:pPr>
    </w:p>
    <w:p w14:paraId="7CD1682D" w14:textId="77777777" w:rsidR="00951F81" w:rsidRPr="006320B0" w:rsidRDefault="00951F81" w:rsidP="00840536">
      <w:pPr>
        <w:widowControl w:val="0"/>
        <w:tabs>
          <w:tab w:val="clear" w:pos="567"/>
        </w:tabs>
        <w:suppressAutoHyphens/>
      </w:pPr>
    </w:p>
    <w:p w14:paraId="08968009" w14:textId="161CCD61"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rPr>
          <w:b/>
        </w:rPr>
      </w:pPr>
      <w:r w:rsidRPr="006320B0">
        <w:rPr>
          <w:b/>
        </w:rPr>
        <w:t>1.</w:t>
      </w:r>
      <w:r w:rsidRPr="006320B0">
        <w:rPr>
          <w:b/>
        </w:rPr>
        <w:tab/>
        <w:t>NAAM VAN HET GENEESMIDDEL EN DE TOEDIENINGWEG(EN)</w:t>
      </w:r>
    </w:p>
    <w:p w14:paraId="10BA8C26" w14:textId="77777777" w:rsidR="00951F81" w:rsidRPr="006320B0" w:rsidRDefault="00951F81" w:rsidP="00840536">
      <w:pPr>
        <w:widowControl w:val="0"/>
        <w:suppressAutoHyphens/>
      </w:pPr>
    </w:p>
    <w:p w14:paraId="5F9F4E17" w14:textId="5687734F" w:rsidR="00951F81" w:rsidRPr="006320B0" w:rsidRDefault="00D50235" w:rsidP="00840536">
      <w:pPr>
        <w:widowControl w:val="0"/>
        <w:tabs>
          <w:tab w:val="clear" w:pos="567"/>
        </w:tabs>
        <w:suppressAutoHyphens/>
      </w:pPr>
      <w:r w:rsidRPr="006320B0">
        <w:t>Kefdensis</w:t>
      </w:r>
      <w:r w:rsidR="00951F81" w:rsidRPr="006320B0">
        <w:t xml:space="preserve"> 60 mg injectievloeistof</w:t>
      </w:r>
    </w:p>
    <w:p w14:paraId="7D83C2B6" w14:textId="77777777" w:rsidR="00951F81" w:rsidRPr="006320B0" w:rsidRDefault="00951F81" w:rsidP="00840536">
      <w:pPr>
        <w:widowControl w:val="0"/>
        <w:tabs>
          <w:tab w:val="clear" w:pos="567"/>
        </w:tabs>
        <w:suppressAutoHyphens/>
      </w:pPr>
      <w:r w:rsidRPr="006320B0">
        <w:t>denosumab</w:t>
      </w:r>
    </w:p>
    <w:p w14:paraId="42D1B1B5" w14:textId="77777777" w:rsidR="00951F81" w:rsidRPr="006320B0" w:rsidRDefault="00951F81" w:rsidP="00840536">
      <w:pPr>
        <w:widowControl w:val="0"/>
        <w:tabs>
          <w:tab w:val="clear" w:pos="567"/>
        </w:tabs>
        <w:suppressAutoHyphens/>
      </w:pPr>
      <w:r w:rsidRPr="006320B0">
        <w:t>SC</w:t>
      </w:r>
    </w:p>
    <w:p w14:paraId="019B54AF" w14:textId="77777777" w:rsidR="00951F81" w:rsidRPr="006320B0" w:rsidRDefault="00951F81" w:rsidP="00840536">
      <w:pPr>
        <w:widowControl w:val="0"/>
        <w:tabs>
          <w:tab w:val="clear" w:pos="567"/>
        </w:tabs>
        <w:suppressAutoHyphens/>
      </w:pPr>
    </w:p>
    <w:p w14:paraId="3F0C6E94" w14:textId="77777777" w:rsidR="00951F81" w:rsidRPr="006320B0" w:rsidRDefault="00951F81" w:rsidP="00840536">
      <w:pPr>
        <w:widowControl w:val="0"/>
        <w:tabs>
          <w:tab w:val="clear" w:pos="567"/>
        </w:tabs>
        <w:suppressAutoHyphens/>
      </w:pPr>
    </w:p>
    <w:p w14:paraId="5AFAF5A9" w14:textId="69FFB6E9"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rPr>
          <w:b/>
          <w:highlight w:val="lightGray"/>
        </w:rPr>
      </w:pPr>
      <w:r w:rsidRPr="006320B0">
        <w:rPr>
          <w:b/>
        </w:rPr>
        <w:t>2.</w:t>
      </w:r>
      <w:r w:rsidRPr="006320B0">
        <w:rPr>
          <w:b/>
        </w:rPr>
        <w:tab/>
        <w:t>WIJZE VAN TOEDIENING</w:t>
      </w:r>
    </w:p>
    <w:p w14:paraId="68AF4E27" w14:textId="77777777" w:rsidR="00951F81" w:rsidRPr="006320B0" w:rsidRDefault="00951F81" w:rsidP="00840536">
      <w:pPr>
        <w:widowControl w:val="0"/>
        <w:suppressAutoHyphens/>
      </w:pPr>
    </w:p>
    <w:p w14:paraId="28560E61" w14:textId="77777777" w:rsidR="00951F81" w:rsidRPr="006320B0" w:rsidRDefault="00951F81" w:rsidP="00840536">
      <w:pPr>
        <w:widowControl w:val="0"/>
        <w:tabs>
          <w:tab w:val="clear" w:pos="567"/>
        </w:tabs>
        <w:suppressAutoHyphens/>
      </w:pPr>
    </w:p>
    <w:p w14:paraId="52F0846C" w14:textId="77777777" w:rsidR="00951F81" w:rsidRPr="006320B0" w:rsidRDefault="00951F81" w:rsidP="00840536">
      <w:pPr>
        <w:widowControl w:val="0"/>
        <w:tabs>
          <w:tab w:val="clear" w:pos="567"/>
        </w:tabs>
        <w:suppressAutoHyphens/>
      </w:pPr>
    </w:p>
    <w:p w14:paraId="7015029E" w14:textId="77777777" w:rsidR="00951F81" w:rsidRPr="006320B0" w:rsidRDefault="00951F81" w:rsidP="00840536">
      <w:pPr>
        <w:pStyle w:val="lblhead1"/>
        <w:keepNext w:val="0"/>
        <w:widowControl w:val="0"/>
        <w:pBdr>
          <w:top w:val="single" w:sz="4" w:space="1" w:color="auto"/>
          <w:left w:val="single" w:sz="4" w:space="4" w:color="auto"/>
          <w:bottom w:val="single" w:sz="4" w:space="1" w:color="auto"/>
          <w:right w:val="single" w:sz="4" w:space="4" w:color="auto"/>
        </w:pBdr>
        <w:suppressAutoHyphens/>
        <w:rPr>
          <w:caps w:val="0"/>
          <w:noProof w:val="0"/>
          <w:highlight w:val="lightGray"/>
        </w:rPr>
      </w:pPr>
      <w:r w:rsidRPr="006320B0">
        <w:rPr>
          <w:caps w:val="0"/>
          <w:noProof w:val="0"/>
        </w:rPr>
        <w:t>3.</w:t>
      </w:r>
      <w:r w:rsidRPr="006320B0">
        <w:rPr>
          <w:caps w:val="0"/>
          <w:noProof w:val="0"/>
        </w:rPr>
        <w:tab/>
        <w:t>UITERSTE GEBRUIKSDATUM</w:t>
      </w:r>
    </w:p>
    <w:p w14:paraId="71124A00" w14:textId="77777777" w:rsidR="00951F81" w:rsidRPr="006320B0" w:rsidRDefault="00951F81" w:rsidP="00840536">
      <w:pPr>
        <w:widowControl w:val="0"/>
        <w:suppressAutoHyphens/>
      </w:pPr>
    </w:p>
    <w:p w14:paraId="65ADE3B3" w14:textId="77777777" w:rsidR="00951F81" w:rsidRPr="006320B0" w:rsidRDefault="00951F81" w:rsidP="00840536">
      <w:pPr>
        <w:widowControl w:val="0"/>
        <w:tabs>
          <w:tab w:val="clear" w:pos="567"/>
        </w:tabs>
        <w:suppressAutoHyphens/>
      </w:pPr>
      <w:r w:rsidRPr="006320B0">
        <w:t>EXP</w:t>
      </w:r>
    </w:p>
    <w:p w14:paraId="5B05340D" w14:textId="77777777" w:rsidR="00951F81" w:rsidRPr="006320B0" w:rsidRDefault="00951F81" w:rsidP="00840536">
      <w:pPr>
        <w:widowControl w:val="0"/>
        <w:tabs>
          <w:tab w:val="clear" w:pos="567"/>
        </w:tabs>
        <w:suppressAutoHyphens/>
      </w:pPr>
    </w:p>
    <w:p w14:paraId="71AAB162" w14:textId="77777777" w:rsidR="00951F81" w:rsidRPr="006320B0" w:rsidRDefault="00951F81" w:rsidP="00840536">
      <w:pPr>
        <w:widowControl w:val="0"/>
        <w:tabs>
          <w:tab w:val="clear" w:pos="567"/>
        </w:tabs>
        <w:suppressAutoHyphens/>
      </w:pPr>
    </w:p>
    <w:p w14:paraId="3C63F490" w14:textId="61D80951" w:rsidR="00951F81" w:rsidRPr="006320B0" w:rsidRDefault="00951F81" w:rsidP="00840536">
      <w:pPr>
        <w:pStyle w:val="lblhead1"/>
        <w:keepNext w:val="0"/>
        <w:widowControl w:val="0"/>
        <w:pBdr>
          <w:top w:val="single" w:sz="4" w:space="1" w:color="auto"/>
          <w:left w:val="single" w:sz="4" w:space="4" w:color="auto"/>
          <w:bottom w:val="single" w:sz="4" w:space="1" w:color="auto"/>
          <w:right w:val="single" w:sz="4" w:space="4" w:color="auto"/>
        </w:pBdr>
        <w:suppressAutoHyphens/>
        <w:rPr>
          <w:caps w:val="0"/>
          <w:noProof w:val="0"/>
          <w:highlight w:val="lightGray"/>
        </w:rPr>
      </w:pPr>
      <w:r w:rsidRPr="006320B0">
        <w:rPr>
          <w:caps w:val="0"/>
          <w:noProof w:val="0"/>
        </w:rPr>
        <w:t>4.</w:t>
      </w:r>
      <w:r w:rsidRPr="006320B0">
        <w:rPr>
          <w:caps w:val="0"/>
          <w:noProof w:val="0"/>
        </w:rPr>
        <w:tab/>
      </w:r>
      <w:r w:rsidR="005B4E04">
        <w:rPr>
          <w:caps w:val="0"/>
          <w:noProof w:val="0"/>
        </w:rPr>
        <w:t>PARTIJ</w:t>
      </w:r>
      <w:r w:rsidRPr="006320B0">
        <w:rPr>
          <w:caps w:val="0"/>
          <w:noProof w:val="0"/>
        </w:rPr>
        <w:t>NUMMER</w:t>
      </w:r>
    </w:p>
    <w:p w14:paraId="61AA0ACF" w14:textId="77777777" w:rsidR="00951F81" w:rsidRPr="006320B0" w:rsidRDefault="00951F81" w:rsidP="00840536">
      <w:pPr>
        <w:widowControl w:val="0"/>
        <w:suppressAutoHyphens/>
      </w:pPr>
    </w:p>
    <w:p w14:paraId="536D8083" w14:textId="77777777" w:rsidR="00951F81" w:rsidRPr="006320B0" w:rsidRDefault="00951F81" w:rsidP="00840536">
      <w:pPr>
        <w:widowControl w:val="0"/>
        <w:tabs>
          <w:tab w:val="clear" w:pos="567"/>
        </w:tabs>
        <w:suppressAutoHyphens/>
      </w:pPr>
      <w:r w:rsidRPr="006320B0">
        <w:t>Lot</w:t>
      </w:r>
    </w:p>
    <w:p w14:paraId="2AE80F36" w14:textId="77777777" w:rsidR="00951F81" w:rsidRPr="006320B0" w:rsidRDefault="00951F81" w:rsidP="00840536">
      <w:pPr>
        <w:widowControl w:val="0"/>
        <w:tabs>
          <w:tab w:val="clear" w:pos="567"/>
        </w:tabs>
        <w:suppressAutoHyphens/>
      </w:pPr>
    </w:p>
    <w:p w14:paraId="239C5A7E" w14:textId="77777777" w:rsidR="00951F81" w:rsidRPr="006320B0" w:rsidRDefault="00951F81" w:rsidP="00840536">
      <w:pPr>
        <w:widowControl w:val="0"/>
        <w:tabs>
          <w:tab w:val="clear" w:pos="567"/>
        </w:tabs>
        <w:suppressAutoHyphens/>
      </w:pPr>
    </w:p>
    <w:p w14:paraId="08F74D1D" w14:textId="1218FD16"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rPr>
          <w:b/>
          <w:highlight w:val="lightGray"/>
        </w:rPr>
      </w:pPr>
      <w:r w:rsidRPr="006320B0">
        <w:rPr>
          <w:b/>
        </w:rPr>
        <w:t>5.</w:t>
      </w:r>
      <w:r w:rsidRPr="006320B0">
        <w:rPr>
          <w:b/>
        </w:rPr>
        <w:tab/>
        <w:t>INHOUD UITGEDRUKT IN GEWICHT, VOLUME OF EENHEID</w:t>
      </w:r>
    </w:p>
    <w:p w14:paraId="125601CB" w14:textId="77777777" w:rsidR="00951F81" w:rsidRPr="006320B0" w:rsidRDefault="00951F81" w:rsidP="00840536">
      <w:pPr>
        <w:widowControl w:val="0"/>
        <w:suppressAutoHyphens/>
      </w:pPr>
    </w:p>
    <w:p w14:paraId="088F7B54" w14:textId="7BCB6299" w:rsidR="00951F81" w:rsidRPr="006320B0" w:rsidRDefault="1777C12C" w:rsidP="00840536">
      <w:pPr>
        <w:widowControl w:val="0"/>
        <w:tabs>
          <w:tab w:val="clear" w:pos="567"/>
        </w:tabs>
        <w:suppressAutoHyphens/>
      </w:pPr>
      <w:r w:rsidRPr="006320B0">
        <w:t xml:space="preserve">1 </w:t>
      </w:r>
      <w:r w:rsidR="00951F81" w:rsidRPr="006320B0">
        <w:t>ml</w:t>
      </w:r>
    </w:p>
    <w:p w14:paraId="037AE9EF" w14:textId="77777777" w:rsidR="00951F81" w:rsidRPr="006320B0" w:rsidRDefault="00951F81" w:rsidP="00840536">
      <w:pPr>
        <w:widowControl w:val="0"/>
        <w:tabs>
          <w:tab w:val="clear" w:pos="567"/>
        </w:tabs>
        <w:suppressAutoHyphens/>
      </w:pPr>
    </w:p>
    <w:p w14:paraId="1D6D33F1" w14:textId="77777777" w:rsidR="00951F81" w:rsidRPr="006320B0" w:rsidRDefault="00951F81" w:rsidP="00840536">
      <w:pPr>
        <w:widowControl w:val="0"/>
        <w:tabs>
          <w:tab w:val="clear" w:pos="567"/>
        </w:tabs>
        <w:suppressAutoHyphens/>
      </w:pPr>
    </w:p>
    <w:p w14:paraId="016E6E49" w14:textId="63B1F2CE" w:rsidR="00951F81" w:rsidRPr="006320B0" w:rsidRDefault="00951F81" w:rsidP="00840536">
      <w:pPr>
        <w:widowControl w:val="0"/>
        <w:pBdr>
          <w:top w:val="single" w:sz="4" w:space="1" w:color="auto"/>
          <w:left w:val="single" w:sz="4" w:space="4" w:color="auto"/>
          <w:bottom w:val="single" w:sz="4" w:space="1" w:color="auto"/>
          <w:right w:val="single" w:sz="4" w:space="4" w:color="auto"/>
        </w:pBdr>
        <w:suppressAutoHyphens/>
        <w:ind w:left="567" w:hanging="567"/>
        <w:rPr>
          <w:b/>
          <w:highlight w:val="lightGray"/>
        </w:rPr>
      </w:pPr>
      <w:r w:rsidRPr="006320B0">
        <w:rPr>
          <w:b/>
        </w:rPr>
        <w:t>6.</w:t>
      </w:r>
      <w:r w:rsidRPr="006320B0">
        <w:rPr>
          <w:b/>
        </w:rPr>
        <w:tab/>
        <w:t>OVERIGE</w:t>
      </w:r>
    </w:p>
    <w:p w14:paraId="17B660AC" w14:textId="77777777" w:rsidR="00951F81" w:rsidRPr="006320B0" w:rsidRDefault="00951F81" w:rsidP="00840536">
      <w:pPr>
        <w:widowControl w:val="0"/>
        <w:tabs>
          <w:tab w:val="clear" w:pos="567"/>
        </w:tabs>
        <w:suppressAutoHyphens/>
      </w:pPr>
    </w:p>
    <w:p w14:paraId="4AA773BC" w14:textId="77777777" w:rsidR="00951F81" w:rsidRPr="006320B0" w:rsidRDefault="00951F81" w:rsidP="00840536">
      <w:pPr>
        <w:widowControl w:val="0"/>
        <w:tabs>
          <w:tab w:val="clear" w:pos="567"/>
        </w:tabs>
        <w:suppressAutoHyphens/>
      </w:pPr>
    </w:p>
    <w:p w14:paraId="150FD78E" w14:textId="77777777" w:rsidR="00951F81" w:rsidRPr="006320B0" w:rsidRDefault="00951F81" w:rsidP="00840536">
      <w:pPr>
        <w:widowControl w:val="0"/>
        <w:suppressAutoHyphens/>
        <w:jc w:val="center"/>
      </w:pPr>
      <w:r w:rsidRPr="006320B0">
        <w:br w:type="page"/>
      </w:r>
    </w:p>
    <w:p w14:paraId="1BCD176A" w14:textId="77777777" w:rsidR="00951F81" w:rsidRPr="006320B0" w:rsidRDefault="00951F81" w:rsidP="00840536">
      <w:pPr>
        <w:widowControl w:val="0"/>
        <w:suppressAutoHyphens/>
        <w:jc w:val="center"/>
      </w:pPr>
    </w:p>
    <w:p w14:paraId="2607F329" w14:textId="77777777" w:rsidR="00951F81" w:rsidRPr="006320B0" w:rsidRDefault="00951F81" w:rsidP="00840536">
      <w:pPr>
        <w:widowControl w:val="0"/>
        <w:suppressAutoHyphens/>
        <w:jc w:val="center"/>
      </w:pPr>
    </w:p>
    <w:p w14:paraId="1A082179" w14:textId="77777777" w:rsidR="00951F81" w:rsidRPr="006320B0" w:rsidRDefault="00951F81" w:rsidP="00840536">
      <w:pPr>
        <w:widowControl w:val="0"/>
        <w:suppressAutoHyphens/>
        <w:jc w:val="center"/>
      </w:pPr>
    </w:p>
    <w:p w14:paraId="44F8CD90" w14:textId="77777777" w:rsidR="00951F81" w:rsidRPr="006320B0" w:rsidRDefault="00951F81" w:rsidP="00840536">
      <w:pPr>
        <w:widowControl w:val="0"/>
        <w:suppressAutoHyphens/>
        <w:jc w:val="center"/>
      </w:pPr>
    </w:p>
    <w:p w14:paraId="17F2E668" w14:textId="77777777" w:rsidR="00951F81" w:rsidRPr="006320B0" w:rsidRDefault="00951F81" w:rsidP="00840536">
      <w:pPr>
        <w:widowControl w:val="0"/>
        <w:suppressAutoHyphens/>
        <w:jc w:val="center"/>
      </w:pPr>
    </w:p>
    <w:p w14:paraId="5C7DD622" w14:textId="77777777" w:rsidR="00951F81" w:rsidRPr="006320B0" w:rsidRDefault="00951F81" w:rsidP="00840536">
      <w:pPr>
        <w:widowControl w:val="0"/>
        <w:suppressAutoHyphens/>
        <w:jc w:val="center"/>
      </w:pPr>
    </w:p>
    <w:p w14:paraId="628CB296" w14:textId="77777777" w:rsidR="00951F81" w:rsidRPr="006320B0" w:rsidRDefault="00951F81" w:rsidP="00840536">
      <w:pPr>
        <w:widowControl w:val="0"/>
        <w:suppressAutoHyphens/>
        <w:jc w:val="center"/>
      </w:pPr>
    </w:p>
    <w:p w14:paraId="4AAC1555" w14:textId="77777777" w:rsidR="00951F81" w:rsidRPr="006320B0" w:rsidRDefault="00951F81" w:rsidP="00840536">
      <w:pPr>
        <w:widowControl w:val="0"/>
        <w:suppressAutoHyphens/>
        <w:jc w:val="center"/>
      </w:pPr>
    </w:p>
    <w:p w14:paraId="46BB4CD9" w14:textId="77777777" w:rsidR="00951F81" w:rsidRPr="006320B0" w:rsidRDefault="00951F81" w:rsidP="00840536">
      <w:pPr>
        <w:widowControl w:val="0"/>
        <w:suppressAutoHyphens/>
        <w:jc w:val="center"/>
      </w:pPr>
    </w:p>
    <w:p w14:paraId="1A7FFB0C" w14:textId="77777777" w:rsidR="00951F81" w:rsidRPr="006320B0" w:rsidRDefault="00951F81" w:rsidP="00840536">
      <w:pPr>
        <w:widowControl w:val="0"/>
        <w:suppressAutoHyphens/>
        <w:jc w:val="center"/>
      </w:pPr>
    </w:p>
    <w:p w14:paraId="3ACEC983" w14:textId="77777777" w:rsidR="00951F81" w:rsidRPr="006320B0" w:rsidRDefault="00951F81" w:rsidP="00840536">
      <w:pPr>
        <w:widowControl w:val="0"/>
        <w:suppressAutoHyphens/>
        <w:jc w:val="center"/>
      </w:pPr>
    </w:p>
    <w:p w14:paraId="2A156B60" w14:textId="77777777" w:rsidR="00951F81" w:rsidRPr="006320B0" w:rsidRDefault="00951F81" w:rsidP="00840536">
      <w:pPr>
        <w:widowControl w:val="0"/>
        <w:suppressAutoHyphens/>
        <w:jc w:val="center"/>
      </w:pPr>
    </w:p>
    <w:p w14:paraId="12C511FA" w14:textId="77777777" w:rsidR="00951F81" w:rsidRPr="006320B0" w:rsidRDefault="00951F81" w:rsidP="00840536">
      <w:pPr>
        <w:widowControl w:val="0"/>
        <w:suppressAutoHyphens/>
        <w:jc w:val="center"/>
      </w:pPr>
    </w:p>
    <w:p w14:paraId="2D4F5DF7" w14:textId="77777777" w:rsidR="00951F81" w:rsidRPr="006320B0" w:rsidRDefault="00951F81" w:rsidP="00840536">
      <w:pPr>
        <w:widowControl w:val="0"/>
        <w:suppressAutoHyphens/>
        <w:jc w:val="center"/>
      </w:pPr>
    </w:p>
    <w:p w14:paraId="58D4A4C5" w14:textId="77777777" w:rsidR="00951F81" w:rsidRPr="006320B0" w:rsidRDefault="00951F81" w:rsidP="00840536">
      <w:pPr>
        <w:widowControl w:val="0"/>
        <w:suppressAutoHyphens/>
        <w:jc w:val="center"/>
      </w:pPr>
    </w:p>
    <w:p w14:paraId="70C203D0" w14:textId="77777777" w:rsidR="00951F81" w:rsidRPr="006320B0" w:rsidRDefault="00951F81" w:rsidP="00840536">
      <w:pPr>
        <w:widowControl w:val="0"/>
        <w:suppressAutoHyphens/>
        <w:jc w:val="center"/>
      </w:pPr>
    </w:p>
    <w:p w14:paraId="5E193221" w14:textId="77777777" w:rsidR="00951F81" w:rsidRPr="006320B0" w:rsidRDefault="00951F81" w:rsidP="00840536">
      <w:pPr>
        <w:widowControl w:val="0"/>
        <w:suppressAutoHyphens/>
        <w:jc w:val="center"/>
      </w:pPr>
    </w:p>
    <w:p w14:paraId="07A507AA" w14:textId="77777777" w:rsidR="00951F81" w:rsidRPr="006320B0" w:rsidRDefault="00951F81" w:rsidP="00840536">
      <w:pPr>
        <w:widowControl w:val="0"/>
        <w:suppressAutoHyphens/>
        <w:jc w:val="center"/>
      </w:pPr>
    </w:p>
    <w:p w14:paraId="6123B8E8" w14:textId="77777777" w:rsidR="00951F81" w:rsidRPr="006320B0" w:rsidRDefault="00951F81" w:rsidP="00840536">
      <w:pPr>
        <w:widowControl w:val="0"/>
        <w:suppressAutoHyphens/>
        <w:jc w:val="center"/>
      </w:pPr>
    </w:p>
    <w:p w14:paraId="3279864E" w14:textId="77777777" w:rsidR="00951F81" w:rsidRPr="006320B0" w:rsidRDefault="00951F81" w:rsidP="00840536">
      <w:pPr>
        <w:widowControl w:val="0"/>
        <w:suppressAutoHyphens/>
        <w:jc w:val="center"/>
      </w:pPr>
    </w:p>
    <w:p w14:paraId="7B2238FF" w14:textId="77777777" w:rsidR="00951F81" w:rsidRPr="006320B0" w:rsidRDefault="00951F81" w:rsidP="00840536">
      <w:pPr>
        <w:widowControl w:val="0"/>
        <w:suppressAutoHyphens/>
        <w:jc w:val="center"/>
      </w:pPr>
    </w:p>
    <w:p w14:paraId="6AF18698" w14:textId="77777777" w:rsidR="00951F81" w:rsidRPr="006320B0" w:rsidRDefault="00951F81" w:rsidP="00840536">
      <w:pPr>
        <w:widowControl w:val="0"/>
        <w:suppressAutoHyphens/>
        <w:jc w:val="center"/>
      </w:pPr>
    </w:p>
    <w:p w14:paraId="4EC56E14" w14:textId="77777777" w:rsidR="00951F81" w:rsidRPr="006320B0" w:rsidRDefault="00951F81" w:rsidP="00840536">
      <w:pPr>
        <w:pStyle w:val="TitleA"/>
        <w:widowControl w:val="0"/>
        <w:suppressAutoHyphens/>
        <w:outlineLvl w:val="0"/>
      </w:pPr>
      <w:r w:rsidRPr="006320B0">
        <w:t>B. BIJSLUITER</w:t>
      </w:r>
    </w:p>
    <w:p w14:paraId="071CCEA9" w14:textId="77777777" w:rsidR="00951F81" w:rsidRPr="006320B0" w:rsidRDefault="00951F81" w:rsidP="00840536">
      <w:pPr>
        <w:widowControl w:val="0"/>
        <w:tabs>
          <w:tab w:val="clear" w:pos="567"/>
        </w:tabs>
        <w:suppressAutoHyphens/>
        <w:jc w:val="center"/>
        <w:rPr>
          <w:b/>
          <w:bCs/>
        </w:rPr>
      </w:pPr>
      <w:r w:rsidRPr="006320B0">
        <w:br w:type="page"/>
      </w:r>
      <w:r w:rsidRPr="006320B0">
        <w:rPr>
          <w:b/>
        </w:rPr>
        <w:t>Bijsluiter: informatie voor de gebruiker</w:t>
      </w:r>
    </w:p>
    <w:p w14:paraId="7730D141" w14:textId="77777777" w:rsidR="00951F81" w:rsidRPr="006320B0" w:rsidRDefault="00951F81" w:rsidP="00840536">
      <w:pPr>
        <w:widowControl w:val="0"/>
        <w:suppressAutoHyphens/>
        <w:jc w:val="center"/>
      </w:pPr>
    </w:p>
    <w:p w14:paraId="26D89CBB" w14:textId="332113E5" w:rsidR="00951F81" w:rsidRPr="006320B0" w:rsidRDefault="00D50235" w:rsidP="00840536">
      <w:pPr>
        <w:widowControl w:val="0"/>
        <w:tabs>
          <w:tab w:val="clear" w:pos="567"/>
        </w:tabs>
        <w:suppressAutoHyphens/>
        <w:jc w:val="center"/>
        <w:rPr>
          <w:b/>
          <w:bCs/>
        </w:rPr>
      </w:pPr>
      <w:r w:rsidRPr="006320B0">
        <w:rPr>
          <w:b/>
        </w:rPr>
        <w:t>Kefdensis</w:t>
      </w:r>
      <w:r w:rsidR="00951F81" w:rsidRPr="006320B0">
        <w:rPr>
          <w:b/>
        </w:rPr>
        <w:t xml:space="preserve"> 60 mg oplossing voor injectie in een voorgevulde spuit</w:t>
      </w:r>
    </w:p>
    <w:p w14:paraId="5F017DFC" w14:textId="77777777" w:rsidR="00951F81" w:rsidRPr="006320B0" w:rsidRDefault="00951F81" w:rsidP="00840536">
      <w:pPr>
        <w:widowControl w:val="0"/>
        <w:suppressAutoHyphens/>
        <w:jc w:val="center"/>
      </w:pPr>
      <w:r w:rsidRPr="006320B0">
        <w:t>denosumab</w:t>
      </w:r>
    </w:p>
    <w:p w14:paraId="487FEEEB" w14:textId="77777777" w:rsidR="00951F81" w:rsidRPr="006320B0" w:rsidRDefault="00951F81" w:rsidP="00951F81">
      <w:pPr>
        <w:jc w:val="center"/>
      </w:pPr>
    </w:p>
    <w:p w14:paraId="6EFD8123" w14:textId="77777777" w:rsidR="00EC2E36" w:rsidRPr="006320B0" w:rsidRDefault="00EC2E36" w:rsidP="008E037B">
      <w:r w:rsidRPr="006320B0">
        <w:rPr>
          <w:noProof/>
          <w:lang w:eastAsia="en-GB"/>
        </w:rPr>
        <w:drawing>
          <wp:inline distT="0" distB="0" distL="0" distR="0" wp14:anchorId="0E501EC5" wp14:editId="32B91334">
            <wp:extent cx="200025" cy="171450"/>
            <wp:effectExtent l="0" t="0" r="0" b="0"/>
            <wp:docPr id="2109072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11443"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6320B0">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14:paraId="574B1465" w14:textId="77777777" w:rsidR="00951F81" w:rsidRPr="006320B0" w:rsidRDefault="00951F81" w:rsidP="00840536">
      <w:pPr>
        <w:widowControl w:val="0"/>
        <w:suppressAutoHyphens/>
        <w:jc w:val="center"/>
      </w:pPr>
    </w:p>
    <w:p w14:paraId="765A5D73" w14:textId="77777777" w:rsidR="00951F81" w:rsidRPr="006320B0" w:rsidRDefault="00951F81" w:rsidP="00840536">
      <w:pPr>
        <w:widowControl w:val="0"/>
        <w:suppressAutoHyphens/>
        <w:rPr>
          <w:b/>
          <w:bCs/>
        </w:rPr>
      </w:pPr>
      <w:r w:rsidRPr="006320B0">
        <w:rPr>
          <w:b/>
        </w:rPr>
        <w:t>Lees goed de hele bijsluiter voordat u dit geneesmiddel gaat gebruiken want er staat belangrijke informatie in voor u.</w:t>
      </w:r>
    </w:p>
    <w:p w14:paraId="03C0012A" w14:textId="77777777" w:rsidR="00951F81" w:rsidRPr="006320B0" w:rsidRDefault="00951F81" w:rsidP="00840536">
      <w:pPr>
        <w:widowControl w:val="0"/>
        <w:numPr>
          <w:ilvl w:val="0"/>
          <w:numId w:val="56"/>
        </w:numPr>
        <w:suppressAutoHyphens/>
        <w:ind w:left="567" w:hanging="567"/>
      </w:pPr>
      <w:r w:rsidRPr="006320B0">
        <w:t>Bewaar deze bijsluiter. Misschien heeft u hem later weer nodig.</w:t>
      </w:r>
    </w:p>
    <w:p w14:paraId="77F94973" w14:textId="77777777" w:rsidR="00951F81" w:rsidRPr="006320B0" w:rsidRDefault="00951F81" w:rsidP="00840536">
      <w:pPr>
        <w:widowControl w:val="0"/>
        <w:numPr>
          <w:ilvl w:val="0"/>
          <w:numId w:val="56"/>
        </w:numPr>
        <w:suppressAutoHyphens/>
        <w:ind w:left="567" w:hanging="567"/>
      </w:pPr>
      <w:r w:rsidRPr="006320B0">
        <w:t>Heeft u nog vragen? Neem dan contact op met uw arts of apotheker.</w:t>
      </w:r>
    </w:p>
    <w:p w14:paraId="3183AC87" w14:textId="77777777" w:rsidR="00951F81" w:rsidRPr="006320B0" w:rsidRDefault="00951F81" w:rsidP="00840536">
      <w:pPr>
        <w:widowControl w:val="0"/>
        <w:numPr>
          <w:ilvl w:val="0"/>
          <w:numId w:val="56"/>
        </w:numPr>
        <w:suppressAutoHyphens/>
        <w:ind w:left="567" w:hanging="567"/>
      </w:pPr>
      <w:r w:rsidRPr="006320B0">
        <w:t>Geef dit geneesmiddel niet door aan anderen, want het is alleen aan u voorgeschreven. Het kan schadelijk zijn voor anderen, ook al hebben zij dezelfde klachten als u.</w:t>
      </w:r>
    </w:p>
    <w:p w14:paraId="237E7250" w14:textId="77777777" w:rsidR="00951F81" w:rsidRPr="006320B0" w:rsidRDefault="00951F81" w:rsidP="00840536">
      <w:pPr>
        <w:widowControl w:val="0"/>
        <w:numPr>
          <w:ilvl w:val="0"/>
          <w:numId w:val="56"/>
        </w:numPr>
        <w:suppressAutoHyphens/>
        <w:ind w:left="567" w:hanging="567"/>
      </w:pPr>
      <w:r w:rsidRPr="006320B0">
        <w:t>Krijgt u veel last van een van de bijwerkingen die in rubriek 4 staan? Of krijgt u een bijwerking die niet in deze bijsluiter staat? Neem dan contact op met uw arts of apotheker.</w:t>
      </w:r>
    </w:p>
    <w:p w14:paraId="44F4348A" w14:textId="64E32DFD" w:rsidR="00951F81" w:rsidRPr="006320B0" w:rsidRDefault="00951F81" w:rsidP="00840536">
      <w:pPr>
        <w:widowControl w:val="0"/>
        <w:numPr>
          <w:ilvl w:val="0"/>
          <w:numId w:val="56"/>
        </w:numPr>
        <w:suppressAutoHyphens/>
        <w:ind w:left="567" w:hanging="567"/>
      </w:pPr>
      <w:r w:rsidRPr="006320B0">
        <w:t xml:space="preserve">U zal een herinneringskaart voor patiënten </w:t>
      </w:r>
      <w:r w:rsidR="0002130D" w:rsidRPr="006320B0">
        <w:t>krijgen</w:t>
      </w:r>
      <w:r w:rsidRPr="006320B0">
        <w:t xml:space="preserve">, die belangrijke informatie geeft over veiligheid waarvan u op de hoogte moet zijn voor en tijdens uw behandeling met </w:t>
      </w:r>
      <w:r w:rsidR="00D50235" w:rsidRPr="006320B0">
        <w:t>Kefdensis</w:t>
      </w:r>
      <w:r w:rsidRPr="006320B0">
        <w:t>.</w:t>
      </w:r>
    </w:p>
    <w:p w14:paraId="679064ED" w14:textId="77777777" w:rsidR="00951F81" w:rsidRPr="006320B0" w:rsidRDefault="00951F81" w:rsidP="00840536">
      <w:pPr>
        <w:widowControl w:val="0"/>
        <w:suppressAutoHyphens/>
      </w:pPr>
    </w:p>
    <w:p w14:paraId="297CCD4A" w14:textId="77777777" w:rsidR="00951F81" w:rsidRPr="006320B0" w:rsidRDefault="00951F81" w:rsidP="00840536">
      <w:pPr>
        <w:widowControl w:val="0"/>
        <w:suppressAutoHyphens/>
        <w:rPr>
          <w:b/>
          <w:bCs/>
        </w:rPr>
      </w:pPr>
      <w:r w:rsidRPr="006320B0">
        <w:rPr>
          <w:b/>
        </w:rPr>
        <w:t>Inhoud van deze bijsluiter</w:t>
      </w:r>
    </w:p>
    <w:p w14:paraId="33DC46A8" w14:textId="7A682284" w:rsidR="00951F81" w:rsidRPr="006320B0" w:rsidRDefault="00951F81" w:rsidP="00840536">
      <w:pPr>
        <w:widowControl w:val="0"/>
        <w:numPr>
          <w:ilvl w:val="0"/>
          <w:numId w:val="42"/>
        </w:numPr>
        <w:suppressAutoHyphens/>
        <w:ind w:left="567" w:hanging="567"/>
      </w:pPr>
      <w:r w:rsidRPr="006320B0">
        <w:t xml:space="preserve">Wat is </w:t>
      </w:r>
      <w:r w:rsidR="00D50235" w:rsidRPr="006320B0">
        <w:t>Kefdensis</w:t>
      </w:r>
      <w:r w:rsidRPr="006320B0">
        <w:t xml:space="preserve"> en waarvoor wordt dit middel gebruikt?</w:t>
      </w:r>
    </w:p>
    <w:p w14:paraId="248F6C68" w14:textId="77777777" w:rsidR="00951F81" w:rsidRPr="006320B0" w:rsidRDefault="00951F81" w:rsidP="00840536">
      <w:pPr>
        <w:widowControl w:val="0"/>
        <w:numPr>
          <w:ilvl w:val="0"/>
          <w:numId w:val="42"/>
        </w:numPr>
        <w:suppressAutoHyphens/>
        <w:ind w:left="567" w:hanging="567"/>
      </w:pPr>
      <w:r w:rsidRPr="006320B0">
        <w:t>Wanneer mag u dit middel niet gebruiken of moet u er extra voorzichtig mee zijn?</w:t>
      </w:r>
    </w:p>
    <w:p w14:paraId="2D3E8F4D" w14:textId="77777777" w:rsidR="00951F81" w:rsidRPr="006320B0" w:rsidRDefault="00951F81" w:rsidP="00840536">
      <w:pPr>
        <w:widowControl w:val="0"/>
        <w:numPr>
          <w:ilvl w:val="0"/>
          <w:numId w:val="42"/>
        </w:numPr>
        <w:suppressAutoHyphens/>
        <w:ind w:left="567" w:hanging="567"/>
      </w:pPr>
      <w:r w:rsidRPr="006320B0">
        <w:t>Hoe gebruikt u dit middel?</w:t>
      </w:r>
    </w:p>
    <w:p w14:paraId="540C3551" w14:textId="77777777" w:rsidR="00951F81" w:rsidRPr="006320B0" w:rsidRDefault="00951F81" w:rsidP="00840536">
      <w:pPr>
        <w:widowControl w:val="0"/>
        <w:numPr>
          <w:ilvl w:val="0"/>
          <w:numId w:val="42"/>
        </w:numPr>
        <w:suppressAutoHyphens/>
        <w:ind w:left="567" w:hanging="567"/>
      </w:pPr>
      <w:r w:rsidRPr="006320B0">
        <w:t>Mogelijke bijwerkingen</w:t>
      </w:r>
    </w:p>
    <w:p w14:paraId="7366550A" w14:textId="77777777" w:rsidR="00951F81" w:rsidRPr="006320B0" w:rsidRDefault="00951F81" w:rsidP="00840536">
      <w:pPr>
        <w:widowControl w:val="0"/>
        <w:numPr>
          <w:ilvl w:val="0"/>
          <w:numId w:val="42"/>
        </w:numPr>
        <w:suppressAutoHyphens/>
        <w:ind w:left="567" w:hanging="567"/>
      </w:pPr>
      <w:r w:rsidRPr="006320B0">
        <w:t>Hoe bewaart u dit middel?</w:t>
      </w:r>
    </w:p>
    <w:p w14:paraId="37D96110" w14:textId="77777777" w:rsidR="00951F81" w:rsidRPr="006320B0" w:rsidRDefault="00951F81" w:rsidP="00840536">
      <w:pPr>
        <w:widowControl w:val="0"/>
        <w:numPr>
          <w:ilvl w:val="0"/>
          <w:numId w:val="42"/>
        </w:numPr>
        <w:suppressAutoHyphens/>
        <w:ind w:left="567" w:hanging="567"/>
      </w:pPr>
      <w:r w:rsidRPr="006320B0">
        <w:t>Inhoud van de verpakking en overige informatie</w:t>
      </w:r>
    </w:p>
    <w:p w14:paraId="296D632D" w14:textId="77777777" w:rsidR="00951F81" w:rsidRPr="006320B0" w:rsidRDefault="00951F81" w:rsidP="00840536">
      <w:pPr>
        <w:widowControl w:val="0"/>
        <w:numPr>
          <w:ilvl w:val="12"/>
          <w:numId w:val="0"/>
        </w:numPr>
        <w:suppressAutoHyphens/>
      </w:pPr>
    </w:p>
    <w:p w14:paraId="6482904F" w14:textId="77777777" w:rsidR="00951F81" w:rsidRPr="006320B0" w:rsidRDefault="00951F81" w:rsidP="00840536">
      <w:pPr>
        <w:widowControl w:val="0"/>
        <w:numPr>
          <w:ilvl w:val="12"/>
          <w:numId w:val="0"/>
        </w:numPr>
        <w:suppressAutoHyphens/>
      </w:pPr>
    </w:p>
    <w:p w14:paraId="7FE7142A" w14:textId="08011978" w:rsidR="00951F81" w:rsidRPr="006320B0" w:rsidRDefault="00951F81" w:rsidP="00840536">
      <w:pPr>
        <w:widowControl w:val="0"/>
        <w:tabs>
          <w:tab w:val="clear" w:pos="567"/>
        </w:tabs>
        <w:suppressAutoHyphens/>
        <w:ind w:left="567" w:hanging="567"/>
        <w:rPr>
          <w:b/>
        </w:rPr>
      </w:pPr>
      <w:r w:rsidRPr="006320B0">
        <w:rPr>
          <w:b/>
        </w:rPr>
        <w:t>1.</w:t>
      </w:r>
      <w:r w:rsidRPr="006320B0">
        <w:rPr>
          <w:b/>
        </w:rPr>
        <w:tab/>
        <w:t xml:space="preserve">Wat is </w:t>
      </w:r>
      <w:r w:rsidR="00D50235" w:rsidRPr="006320B0">
        <w:rPr>
          <w:b/>
        </w:rPr>
        <w:t>Kefdensis</w:t>
      </w:r>
      <w:r w:rsidRPr="006320B0">
        <w:rPr>
          <w:b/>
        </w:rPr>
        <w:t xml:space="preserve"> en waarvoor wordt dit middel gebruikt?</w:t>
      </w:r>
    </w:p>
    <w:p w14:paraId="5EFD9DEB" w14:textId="77777777" w:rsidR="00951F81" w:rsidRPr="006320B0" w:rsidRDefault="00951F81" w:rsidP="00840536">
      <w:pPr>
        <w:widowControl w:val="0"/>
        <w:suppressAutoHyphens/>
      </w:pPr>
    </w:p>
    <w:p w14:paraId="42A03A94" w14:textId="2D3AB948" w:rsidR="00951F81" w:rsidRPr="006320B0" w:rsidRDefault="00951F81" w:rsidP="00840536">
      <w:pPr>
        <w:widowControl w:val="0"/>
        <w:suppressAutoHyphens/>
        <w:rPr>
          <w:b/>
          <w:bCs/>
        </w:rPr>
      </w:pPr>
      <w:r w:rsidRPr="006320B0">
        <w:rPr>
          <w:b/>
        </w:rPr>
        <w:t xml:space="preserve">Wat is </w:t>
      </w:r>
      <w:r w:rsidR="00D50235" w:rsidRPr="006320B0">
        <w:rPr>
          <w:b/>
        </w:rPr>
        <w:t>Kefdensis</w:t>
      </w:r>
      <w:r w:rsidRPr="006320B0">
        <w:rPr>
          <w:b/>
        </w:rPr>
        <w:t xml:space="preserve"> en hoe werkt het?</w:t>
      </w:r>
    </w:p>
    <w:p w14:paraId="17F4236C" w14:textId="77777777" w:rsidR="00951F81" w:rsidRPr="006320B0" w:rsidRDefault="00951F81" w:rsidP="00840536">
      <w:pPr>
        <w:widowControl w:val="0"/>
        <w:suppressAutoHyphens/>
      </w:pPr>
    </w:p>
    <w:p w14:paraId="0BFFB00B" w14:textId="517BE4A9" w:rsidR="00951F81" w:rsidRPr="006320B0" w:rsidRDefault="00D50235" w:rsidP="00840536">
      <w:pPr>
        <w:widowControl w:val="0"/>
        <w:tabs>
          <w:tab w:val="clear" w:pos="567"/>
        </w:tabs>
        <w:suppressAutoHyphens/>
      </w:pPr>
      <w:r w:rsidRPr="006320B0">
        <w:t>Kefdensis</w:t>
      </w:r>
      <w:r w:rsidR="00951F81" w:rsidRPr="006320B0">
        <w:t xml:space="preserve"> bevat denosumab, een eiwit (monoklonaal antilichaam) dat de werking van een ander eiwit verstoort, met als doel botverlies en osteoporose (botontkalking) te behandelen. Een behandeling met </w:t>
      </w:r>
      <w:r w:rsidRPr="006320B0">
        <w:t>Kefdensis</w:t>
      </w:r>
      <w:r w:rsidR="00951F81" w:rsidRPr="006320B0">
        <w:t xml:space="preserve"> maakt het bot sterker zodat het minder snel zal breken.</w:t>
      </w:r>
    </w:p>
    <w:p w14:paraId="6B11463F" w14:textId="77777777" w:rsidR="00951F81" w:rsidRPr="006320B0" w:rsidRDefault="00951F81" w:rsidP="00840536">
      <w:pPr>
        <w:widowControl w:val="0"/>
        <w:tabs>
          <w:tab w:val="clear" w:pos="567"/>
        </w:tabs>
        <w:suppressAutoHyphens/>
      </w:pPr>
    </w:p>
    <w:p w14:paraId="10C0DE31" w14:textId="77777777" w:rsidR="00951F81" w:rsidRPr="006320B0" w:rsidRDefault="00951F81" w:rsidP="00840536">
      <w:pPr>
        <w:widowControl w:val="0"/>
        <w:tabs>
          <w:tab w:val="clear" w:pos="567"/>
        </w:tabs>
        <w:suppressAutoHyphens/>
      </w:pPr>
      <w:r w:rsidRPr="006320B0">
        <w:t>Bot is levend weefsel dat voortdurend wordt vernieuwd. Oestrogeen helpt botten gezond te houden. Na de menopauze daalt de hoeveelheid oestrogeen waardoor de botten dun en broos kunnen worden. Dit kan uiteindelijk leiden tot een aandoening die osteoporose wordt genoemd. Osteoporose kan ook voorkomen bij mannen als gevolg van een aantal oorzaken, waaronder veroudering en / of een laag gehalte van het mannelijke hormoon testosteron. Het kan ook voorkomen bij patiënten die glucocorticoïden krijgen. Veel patiënten met osteoporose hebben geen symptomen, maar hebben een verhoogde kans op botbreuken, vooral in de wervelkolom, heup en pols.</w:t>
      </w:r>
    </w:p>
    <w:p w14:paraId="5218C8A7" w14:textId="77777777" w:rsidR="00951F81" w:rsidRPr="006320B0" w:rsidRDefault="00951F81" w:rsidP="00840536">
      <w:pPr>
        <w:widowControl w:val="0"/>
        <w:tabs>
          <w:tab w:val="clear" w:pos="567"/>
        </w:tabs>
        <w:suppressAutoHyphens/>
      </w:pPr>
    </w:p>
    <w:p w14:paraId="1BD69A1E" w14:textId="77777777" w:rsidR="00951F81" w:rsidRPr="006320B0" w:rsidRDefault="00951F81" w:rsidP="00840536">
      <w:pPr>
        <w:widowControl w:val="0"/>
        <w:tabs>
          <w:tab w:val="clear" w:pos="567"/>
        </w:tabs>
        <w:suppressAutoHyphens/>
      </w:pPr>
      <w:r w:rsidRPr="006320B0">
        <w:t>Operaties of geneesmiddelen die de productie van oestrogeen of testosteron stoppen en die worden gebruikt voor de behandeling van borstkanker of prostaatkanker kunnen ook leiden tot botverlies. De botten worden zwakker en breken gemakkelijker.</w:t>
      </w:r>
    </w:p>
    <w:p w14:paraId="12E33683" w14:textId="77777777" w:rsidR="00951F81" w:rsidRPr="006320B0" w:rsidRDefault="00951F81" w:rsidP="00840536">
      <w:pPr>
        <w:widowControl w:val="0"/>
        <w:tabs>
          <w:tab w:val="clear" w:pos="567"/>
        </w:tabs>
        <w:suppressAutoHyphens/>
      </w:pPr>
    </w:p>
    <w:p w14:paraId="31AEE940" w14:textId="3075A9E2" w:rsidR="00951F81" w:rsidRPr="006320B0" w:rsidRDefault="00951F81" w:rsidP="00840536">
      <w:pPr>
        <w:widowControl w:val="0"/>
        <w:tabs>
          <w:tab w:val="clear" w:pos="567"/>
        </w:tabs>
        <w:suppressAutoHyphens/>
        <w:rPr>
          <w:b/>
          <w:bCs/>
        </w:rPr>
      </w:pPr>
      <w:r w:rsidRPr="006320B0">
        <w:rPr>
          <w:b/>
        </w:rPr>
        <w:t xml:space="preserve">Waarvoor wordt </w:t>
      </w:r>
      <w:r w:rsidR="00D50235" w:rsidRPr="006320B0">
        <w:rPr>
          <w:b/>
        </w:rPr>
        <w:t>Kefdensis</w:t>
      </w:r>
      <w:r w:rsidRPr="006320B0">
        <w:rPr>
          <w:b/>
        </w:rPr>
        <w:t xml:space="preserve"> gebruikt?</w:t>
      </w:r>
    </w:p>
    <w:p w14:paraId="1E3715CB" w14:textId="77777777" w:rsidR="00951F81" w:rsidRPr="006320B0" w:rsidRDefault="00951F81" w:rsidP="00840536">
      <w:pPr>
        <w:widowControl w:val="0"/>
        <w:suppressAutoHyphens/>
      </w:pPr>
    </w:p>
    <w:p w14:paraId="424BC28B" w14:textId="6A8E65D3" w:rsidR="00951F81" w:rsidRPr="006320B0" w:rsidRDefault="00D50235" w:rsidP="00840536">
      <w:pPr>
        <w:widowControl w:val="0"/>
        <w:tabs>
          <w:tab w:val="clear" w:pos="567"/>
        </w:tabs>
        <w:suppressAutoHyphens/>
      </w:pPr>
      <w:r w:rsidRPr="006320B0">
        <w:t>Kefdensis</w:t>
      </w:r>
      <w:r w:rsidR="00951F81" w:rsidRPr="006320B0">
        <w:t xml:space="preserve"> wordt gebruikt voor de behandeling van:</w:t>
      </w:r>
    </w:p>
    <w:p w14:paraId="6F73385E" w14:textId="77777777" w:rsidR="00951F81" w:rsidRPr="006320B0" w:rsidRDefault="00951F81" w:rsidP="00840536">
      <w:pPr>
        <w:widowControl w:val="0"/>
        <w:numPr>
          <w:ilvl w:val="0"/>
          <w:numId w:val="54"/>
        </w:numPr>
        <w:tabs>
          <w:tab w:val="clear" w:pos="567"/>
        </w:tabs>
        <w:suppressAutoHyphens/>
        <w:ind w:left="567" w:hanging="567"/>
      </w:pPr>
      <w:r w:rsidRPr="006320B0">
        <w:t>osteoporose bij vrouwen na de menopauze (postmenopauzaal) en mannen met een verhoogd risico op fracturen (botbreuken) om het risico op een fractuur van een wervel, heup of een ander bot te verminderen.</w:t>
      </w:r>
    </w:p>
    <w:p w14:paraId="3246613D" w14:textId="77777777" w:rsidR="00951F81" w:rsidRPr="006320B0" w:rsidRDefault="00951F81" w:rsidP="00840536">
      <w:pPr>
        <w:widowControl w:val="0"/>
        <w:numPr>
          <w:ilvl w:val="0"/>
          <w:numId w:val="54"/>
        </w:numPr>
        <w:tabs>
          <w:tab w:val="clear" w:pos="567"/>
        </w:tabs>
        <w:suppressAutoHyphens/>
        <w:ind w:left="567" w:hanging="567"/>
      </w:pPr>
      <w:r w:rsidRPr="006320B0">
        <w:t>botverlies dat wordt veroorzaakt door een daling van het hormoongehalte in het bloed (testosteron) als gevolg van een operatie of een behandeling met geneesmiddelen bij patiënten met prostaatkanker.</w:t>
      </w:r>
    </w:p>
    <w:p w14:paraId="510D3B00" w14:textId="77777777" w:rsidR="00951F81" w:rsidRPr="006320B0" w:rsidRDefault="00951F81" w:rsidP="00840536">
      <w:pPr>
        <w:widowControl w:val="0"/>
        <w:numPr>
          <w:ilvl w:val="0"/>
          <w:numId w:val="54"/>
        </w:numPr>
        <w:tabs>
          <w:tab w:val="clear" w:pos="567"/>
        </w:tabs>
        <w:suppressAutoHyphens/>
        <w:ind w:left="567" w:hanging="567"/>
      </w:pPr>
      <w:r w:rsidRPr="006320B0">
        <w:t>botverlies dat het gevolg is van een langdurige behandeling met glucocorticoïden bij patiënten met een verhoogd risico op fracturen.</w:t>
      </w:r>
    </w:p>
    <w:p w14:paraId="039D40AD" w14:textId="77777777" w:rsidR="00951F81" w:rsidRPr="006320B0" w:rsidRDefault="00951F81" w:rsidP="00840536">
      <w:pPr>
        <w:widowControl w:val="0"/>
        <w:numPr>
          <w:ilvl w:val="12"/>
          <w:numId w:val="0"/>
        </w:numPr>
        <w:suppressAutoHyphens/>
      </w:pPr>
    </w:p>
    <w:p w14:paraId="42C6DFE0" w14:textId="77777777" w:rsidR="00951F81" w:rsidRPr="006320B0" w:rsidRDefault="00951F81" w:rsidP="00840536">
      <w:pPr>
        <w:widowControl w:val="0"/>
        <w:numPr>
          <w:ilvl w:val="12"/>
          <w:numId w:val="0"/>
        </w:numPr>
        <w:suppressAutoHyphens/>
      </w:pPr>
    </w:p>
    <w:p w14:paraId="62876299" w14:textId="77777777" w:rsidR="00951F81" w:rsidRPr="006320B0" w:rsidRDefault="00951F81" w:rsidP="00840536">
      <w:pPr>
        <w:widowControl w:val="0"/>
        <w:tabs>
          <w:tab w:val="clear" w:pos="567"/>
        </w:tabs>
        <w:suppressAutoHyphens/>
        <w:ind w:left="567" w:hanging="567"/>
        <w:rPr>
          <w:b/>
        </w:rPr>
      </w:pPr>
      <w:r w:rsidRPr="006320B0">
        <w:rPr>
          <w:b/>
        </w:rPr>
        <w:t>2.</w:t>
      </w:r>
      <w:r w:rsidRPr="006320B0">
        <w:rPr>
          <w:b/>
        </w:rPr>
        <w:tab/>
        <w:t>Wanneer mag u dit middel niet gebruiken of moet u er extra voorzichtig mee zijn?</w:t>
      </w:r>
    </w:p>
    <w:p w14:paraId="7EDE79B2" w14:textId="77777777" w:rsidR="00951F81" w:rsidRPr="006320B0" w:rsidRDefault="00951F81" w:rsidP="00840536">
      <w:pPr>
        <w:widowControl w:val="0"/>
        <w:suppressAutoHyphens/>
      </w:pPr>
    </w:p>
    <w:p w14:paraId="37EF9401" w14:textId="77777777" w:rsidR="00951F81" w:rsidRPr="006320B0" w:rsidRDefault="00951F81" w:rsidP="00840536">
      <w:pPr>
        <w:widowControl w:val="0"/>
        <w:tabs>
          <w:tab w:val="clear" w:pos="567"/>
        </w:tabs>
        <w:suppressAutoHyphens/>
        <w:rPr>
          <w:b/>
          <w:bCs/>
        </w:rPr>
      </w:pPr>
      <w:r w:rsidRPr="006320B0">
        <w:rPr>
          <w:b/>
        </w:rPr>
        <w:t>Wanneer mag u dit middel niet gebruiken?</w:t>
      </w:r>
    </w:p>
    <w:p w14:paraId="7D0DCB64" w14:textId="77777777" w:rsidR="00951F81" w:rsidRPr="006320B0" w:rsidRDefault="00951F81" w:rsidP="00840536">
      <w:pPr>
        <w:widowControl w:val="0"/>
        <w:suppressAutoHyphens/>
      </w:pPr>
    </w:p>
    <w:p w14:paraId="1540C426" w14:textId="77777777" w:rsidR="00951F81" w:rsidRPr="006320B0" w:rsidRDefault="00951F81" w:rsidP="00840536">
      <w:pPr>
        <w:widowControl w:val="0"/>
        <w:numPr>
          <w:ilvl w:val="0"/>
          <w:numId w:val="54"/>
        </w:numPr>
        <w:tabs>
          <w:tab w:val="clear" w:pos="567"/>
        </w:tabs>
        <w:suppressAutoHyphens/>
        <w:ind w:left="567" w:hanging="567"/>
      </w:pPr>
      <w:r w:rsidRPr="006320B0">
        <w:t>U heeft een laag calciumgehalte in het bloed (hypocalciëmie).</w:t>
      </w:r>
    </w:p>
    <w:p w14:paraId="70B1B35A" w14:textId="77777777" w:rsidR="00951F81" w:rsidRPr="006320B0" w:rsidRDefault="00951F81" w:rsidP="00840536">
      <w:pPr>
        <w:widowControl w:val="0"/>
        <w:numPr>
          <w:ilvl w:val="0"/>
          <w:numId w:val="54"/>
        </w:numPr>
        <w:tabs>
          <w:tab w:val="clear" w:pos="567"/>
        </w:tabs>
        <w:suppressAutoHyphens/>
        <w:ind w:left="567" w:hanging="567"/>
      </w:pPr>
      <w:r w:rsidRPr="006320B0">
        <w:t>U bent allergisch voor één van de stoffen in dit geneesmiddel. Deze stoffen kunt u vinden onder rubriek 6.</w:t>
      </w:r>
    </w:p>
    <w:p w14:paraId="6C3A83D2" w14:textId="77777777" w:rsidR="00951F81" w:rsidRPr="006320B0" w:rsidRDefault="00951F81" w:rsidP="00840536">
      <w:pPr>
        <w:widowControl w:val="0"/>
        <w:numPr>
          <w:ilvl w:val="12"/>
          <w:numId w:val="0"/>
        </w:numPr>
        <w:suppressAutoHyphens/>
        <w:ind w:right="-2"/>
      </w:pPr>
    </w:p>
    <w:p w14:paraId="1BE00082" w14:textId="77777777" w:rsidR="00951F81" w:rsidRPr="006320B0" w:rsidRDefault="00951F81" w:rsidP="00840536">
      <w:pPr>
        <w:widowControl w:val="0"/>
        <w:tabs>
          <w:tab w:val="clear" w:pos="567"/>
        </w:tabs>
        <w:suppressAutoHyphens/>
        <w:rPr>
          <w:b/>
          <w:bCs/>
        </w:rPr>
      </w:pPr>
      <w:r w:rsidRPr="006320B0">
        <w:rPr>
          <w:b/>
        </w:rPr>
        <w:t>Wanneer moet u extra voorzichtig zijn met dit middel?</w:t>
      </w:r>
    </w:p>
    <w:p w14:paraId="7B804062" w14:textId="77777777" w:rsidR="00951F81" w:rsidRPr="006320B0" w:rsidRDefault="00951F81" w:rsidP="00840536">
      <w:pPr>
        <w:widowControl w:val="0"/>
        <w:suppressAutoHyphens/>
      </w:pPr>
    </w:p>
    <w:p w14:paraId="0232E28C" w14:textId="77777777" w:rsidR="00951F81" w:rsidRPr="006320B0" w:rsidRDefault="00951F81" w:rsidP="00840536">
      <w:pPr>
        <w:widowControl w:val="0"/>
        <w:tabs>
          <w:tab w:val="clear" w:pos="567"/>
        </w:tabs>
        <w:suppressAutoHyphens/>
      </w:pPr>
      <w:r w:rsidRPr="006320B0">
        <w:t>Neem contact op met uw arts of apotheker voordat u dit middel gebruikt.</w:t>
      </w:r>
    </w:p>
    <w:p w14:paraId="7529BA8C" w14:textId="77777777" w:rsidR="00951F81" w:rsidRPr="006320B0" w:rsidRDefault="00951F81" w:rsidP="00840536">
      <w:pPr>
        <w:widowControl w:val="0"/>
        <w:tabs>
          <w:tab w:val="clear" w:pos="567"/>
        </w:tabs>
        <w:suppressAutoHyphens/>
      </w:pPr>
    </w:p>
    <w:p w14:paraId="5CE674B6" w14:textId="3E0A63AE" w:rsidR="00951F81" w:rsidRPr="006320B0" w:rsidRDefault="00951F81" w:rsidP="00840536">
      <w:pPr>
        <w:widowControl w:val="0"/>
        <w:tabs>
          <w:tab w:val="clear" w:pos="567"/>
        </w:tabs>
        <w:suppressAutoHyphens/>
      </w:pPr>
      <w:r w:rsidRPr="006320B0">
        <w:t xml:space="preserve">Tijdens de behandeling met </w:t>
      </w:r>
      <w:r w:rsidR="00D50235" w:rsidRPr="006320B0">
        <w:t>Kefdensis</w:t>
      </w:r>
      <w:r w:rsidRPr="006320B0">
        <w:t xml:space="preserve"> kunt u last krijgen van een huidinfectie met symptomen als een gezwollen, rode plek op de huid, meestal op een onderbeen, die heet en gevoelig aanvoelt (cellulitis) en mogelijk gepaard gaat met symptomen van koorts. Vertel het uw arts onmiddellijk als u één van deze symptomen krijgt.</w:t>
      </w:r>
    </w:p>
    <w:p w14:paraId="10185199" w14:textId="77777777" w:rsidR="00951F81" w:rsidRPr="006320B0" w:rsidRDefault="00951F81" w:rsidP="00840536">
      <w:pPr>
        <w:widowControl w:val="0"/>
        <w:tabs>
          <w:tab w:val="clear" w:pos="567"/>
        </w:tabs>
        <w:suppressAutoHyphens/>
      </w:pPr>
    </w:p>
    <w:p w14:paraId="0FFF0824" w14:textId="2F9EEA58" w:rsidR="00951F81" w:rsidRPr="006320B0" w:rsidRDefault="00951F81" w:rsidP="00840536">
      <w:pPr>
        <w:widowControl w:val="0"/>
        <w:tabs>
          <w:tab w:val="clear" w:pos="567"/>
        </w:tabs>
        <w:suppressAutoHyphens/>
      </w:pPr>
      <w:r w:rsidRPr="006320B0">
        <w:t>U dient ook calcium- en vitamine D</w:t>
      </w:r>
      <w:r w:rsidRPr="006320B0">
        <w:noBreakHyphen/>
        <w:t xml:space="preserve">supplementen in te nemen wanneer u wordt behandeld met </w:t>
      </w:r>
      <w:r w:rsidR="00D50235" w:rsidRPr="006320B0">
        <w:t>Kefdensis</w:t>
      </w:r>
      <w:r w:rsidRPr="006320B0">
        <w:t>. Uw arts zal hierover met u overleggen.</w:t>
      </w:r>
    </w:p>
    <w:p w14:paraId="45E81156" w14:textId="77777777" w:rsidR="00951F81" w:rsidRPr="006320B0" w:rsidRDefault="00951F81" w:rsidP="00840536">
      <w:pPr>
        <w:widowControl w:val="0"/>
        <w:tabs>
          <w:tab w:val="clear" w:pos="567"/>
        </w:tabs>
        <w:suppressAutoHyphens/>
      </w:pPr>
    </w:p>
    <w:p w14:paraId="72EDFC49" w14:textId="7E910D87" w:rsidR="00951F81" w:rsidRPr="006320B0" w:rsidRDefault="00951F81" w:rsidP="00840536">
      <w:pPr>
        <w:widowControl w:val="0"/>
        <w:tabs>
          <w:tab w:val="clear" w:pos="567"/>
        </w:tabs>
        <w:suppressAutoHyphens/>
      </w:pPr>
      <w:r w:rsidRPr="006320B0">
        <w:t xml:space="preserve">U kunt last krijgen van een verlaagde calciumspiegel in uw bloed tijdens de behandeling met </w:t>
      </w:r>
      <w:r w:rsidR="00D50235" w:rsidRPr="006320B0">
        <w:t>Kefdensis</w:t>
      </w:r>
      <w:r w:rsidRPr="006320B0">
        <w:t>. Zeg het onmiddellijk tegen uw arts als u last krijgt van één van de volgende symptomen: spasmen, trekkingen of krampen in uw spieren en/of gevoelloosheid of tintelingen in uw vingers, tenen of rond uw mond en/of epileptische aanvallen, verwardheid of bewustzijnsverlies.</w:t>
      </w:r>
    </w:p>
    <w:p w14:paraId="2EF479E0" w14:textId="77777777" w:rsidR="00951F81" w:rsidRPr="006320B0" w:rsidRDefault="00951F81" w:rsidP="00840536">
      <w:pPr>
        <w:widowControl w:val="0"/>
        <w:tabs>
          <w:tab w:val="clear" w:pos="567"/>
        </w:tabs>
        <w:suppressAutoHyphens/>
      </w:pPr>
    </w:p>
    <w:p w14:paraId="73F45BDE" w14:textId="71E55CA7" w:rsidR="00951F81" w:rsidRPr="006320B0" w:rsidRDefault="00951F81" w:rsidP="00840536">
      <w:pPr>
        <w:widowControl w:val="0"/>
        <w:tabs>
          <w:tab w:val="clear" w:pos="567"/>
        </w:tabs>
        <w:suppressAutoHyphens/>
      </w:pPr>
      <w:r w:rsidRPr="006320B0">
        <w:t>Er zijn zeldzame gevallen gemeld van een ernstig verlaagde calciumspiegel in het bloed, die hebben geleid tot ziekenhuisopname en zelfs levensbedreigende reacties. Daarom zal voorafgaand aan elke dosis en bij patiënten met aanleg voor een te lage calciumspiegel (hypocalciëmie) binnen twee weken na de eerste dosis de calciumspiegel in uw bloed worden gecontroleerd (via een bloedtest).</w:t>
      </w:r>
    </w:p>
    <w:p w14:paraId="2E5F4796" w14:textId="77777777" w:rsidR="005727E1" w:rsidRPr="006320B0" w:rsidRDefault="005727E1" w:rsidP="00840536">
      <w:pPr>
        <w:widowControl w:val="0"/>
        <w:tabs>
          <w:tab w:val="clear" w:pos="567"/>
        </w:tabs>
        <w:suppressAutoHyphens/>
      </w:pPr>
    </w:p>
    <w:p w14:paraId="00753728" w14:textId="5EA656DD" w:rsidR="00951F81" w:rsidRPr="006320B0" w:rsidRDefault="00951F81" w:rsidP="00840536">
      <w:pPr>
        <w:widowControl w:val="0"/>
        <w:tabs>
          <w:tab w:val="clear" w:pos="567"/>
        </w:tabs>
        <w:suppressAutoHyphens/>
      </w:pPr>
      <w:r w:rsidRPr="006320B0">
        <w:t>Vertel het uw arts als u ernstige nierproblemen of nierfalen heeft of ooit heeft gehad of als u ooit bent gedialyseerd of als u geneesmiddelen gebruikt die glucocorticoïden genoemd worden (zoals prednisolon of dexamethason), omdat dit het risico op het ontwikkelen van een laag calciumgehalte in uw bloed zou kunnen verhogen als u geen calciumsupplementen gebruikt.</w:t>
      </w:r>
    </w:p>
    <w:p w14:paraId="2BD1B567" w14:textId="77777777" w:rsidR="00951F81" w:rsidRPr="006320B0" w:rsidRDefault="00951F81" w:rsidP="00840536">
      <w:pPr>
        <w:widowControl w:val="0"/>
        <w:tabs>
          <w:tab w:val="clear" w:pos="567"/>
        </w:tabs>
        <w:suppressAutoHyphens/>
      </w:pPr>
    </w:p>
    <w:p w14:paraId="2728E8EB" w14:textId="77777777" w:rsidR="00951F81" w:rsidRPr="006320B0" w:rsidRDefault="00951F81" w:rsidP="00840536">
      <w:pPr>
        <w:widowControl w:val="0"/>
        <w:suppressAutoHyphens/>
        <w:rPr>
          <w:u w:val="single"/>
        </w:rPr>
      </w:pPr>
      <w:r w:rsidRPr="006320B0">
        <w:rPr>
          <w:u w:val="single"/>
        </w:rPr>
        <w:t>Problemen met uw mond, gebit of kaak</w:t>
      </w:r>
    </w:p>
    <w:p w14:paraId="677C3CB3" w14:textId="19700C53" w:rsidR="00951F81" w:rsidRPr="006320B0" w:rsidRDefault="00951F81" w:rsidP="00840536">
      <w:pPr>
        <w:widowControl w:val="0"/>
        <w:tabs>
          <w:tab w:val="clear" w:pos="567"/>
        </w:tabs>
        <w:suppressAutoHyphens/>
      </w:pPr>
      <w:r w:rsidRPr="006320B0">
        <w:t xml:space="preserve">Een bijwerking genoemd osteonecrose van de kaak (ONJ) (botbeschadiging in de kaak) is zelden gemeld (kan voorkomen bij maximaal 1 op de 1.000 mensen) bij patiënten die </w:t>
      </w:r>
      <w:r w:rsidR="0002130D" w:rsidRPr="006320B0">
        <w:t>denosumab</w:t>
      </w:r>
      <w:r w:rsidRPr="006320B0">
        <w:t xml:space="preserve"> kregen voor osteoporose. Het risico op ONJ stijgt in patiënten die langdurig behandeld worden (kan voorkomen bij maximaal 1 op de 200 mensen bij behandeling van 10 jaar). ONJ kan ook optreden na het stoppen van de behandeling. Het is belangrijk om het ontwikkelen van ONJ waar mogelijk te voorkomen, omdat het een mogelijk pijnlijke aandoening is die moeilijk te behandelen kan zijn. Om het risico op ONJ te verminderen, moet u de volgende voorzorgsmaatregelen nemen:</w:t>
      </w:r>
    </w:p>
    <w:p w14:paraId="24317F80" w14:textId="77777777" w:rsidR="00951F81" w:rsidRPr="006320B0" w:rsidRDefault="00951F81" w:rsidP="00840536">
      <w:pPr>
        <w:widowControl w:val="0"/>
        <w:tabs>
          <w:tab w:val="clear" w:pos="567"/>
        </w:tabs>
        <w:suppressAutoHyphens/>
      </w:pPr>
    </w:p>
    <w:p w14:paraId="19F512D7" w14:textId="77777777" w:rsidR="00951F81" w:rsidRPr="006320B0" w:rsidRDefault="00951F81" w:rsidP="00840536">
      <w:pPr>
        <w:widowControl w:val="0"/>
        <w:tabs>
          <w:tab w:val="clear" w:pos="567"/>
        </w:tabs>
        <w:suppressAutoHyphens/>
      </w:pPr>
      <w:r w:rsidRPr="006320B0">
        <w:t>Vóórdat u de behandeling krijgt, vertel uw arts of verpleegkundige (zorgverlener) als u:</w:t>
      </w:r>
    </w:p>
    <w:p w14:paraId="69E08491" w14:textId="77777777" w:rsidR="00951F81" w:rsidRPr="006320B0" w:rsidRDefault="00951F81" w:rsidP="00840536">
      <w:pPr>
        <w:widowControl w:val="0"/>
        <w:tabs>
          <w:tab w:val="clear" w:pos="567"/>
        </w:tabs>
        <w:suppressAutoHyphens/>
      </w:pPr>
    </w:p>
    <w:p w14:paraId="654A8CEF" w14:textId="77777777" w:rsidR="00951F81" w:rsidRPr="006320B0" w:rsidRDefault="00951F81" w:rsidP="00840536">
      <w:pPr>
        <w:widowControl w:val="0"/>
        <w:numPr>
          <w:ilvl w:val="0"/>
          <w:numId w:val="54"/>
        </w:numPr>
        <w:tabs>
          <w:tab w:val="clear" w:pos="567"/>
        </w:tabs>
        <w:suppressAutoHyphens/>
        <w:ind w:left="567" w:hanging="567"/>
      </w:pPr>
      <w:r w:rsidRPr="006320B0">
        <w:t>problemen heeft met uw mond of gebit, zoals slechte tandheelkundige gezondheid, tandvleesontsteking of als het trekken van een tand of kies bij u gepland is.</w:t>
      </w:r>
    </w:p>
    <w:p w14:paraId="780D99FE" w14:textId="77777777" w:rsidR="00951F81" w:rsidRPr="006320B0" w:rsidRDefault="00951F81" w:rsidP="00840536">
      <w:pPr>
        <w:widowControl w:val="0"/>
        <w:numPr>
          <w:ilvl w:val="0"/>
          <w:numId w:val="54"/>
        </w:numPr>
        <w:tabs>
          <w:tab w:val="clear" w:pos="567"/>
        </w:tabs>
        <w:suppressAutoHyphens/>
        <w:ind w:left="567" w:hanging="567"/>
      </w:pPr>
      <w:r w:rsidRPr="006320B0">
        <w:t>geen regelmatige tandheelkundige zorg ontvangt of langere tijd geen tandheelkundige check</w:t>
      </w:r>
      <w:r w:rsidRPr="006320B0">
        <w:noBreakHyphen/>
        <w:t>up heeft gehad.</w:t>
      </w:r>
    </w:p>
    <w:p w14:paraId="3CD99810" w14:textId="77777777" w:rsidR="00951F81" w:rsidRPr="006320B0" w:rsidRDefault="00951F81" w:rsidP="00840536">
      <w:pPr>
        <w:widowControl w:val="0"/>
        <w:numPr>
          <w:ilvl w:val="0"/>
          <w:numId w:val="54"/>
        </w:numPr>
        <w:tabs>
          <w:tab w:val="clear" w:pos="567"/>
        </w:tabs>
        <w:suppressAutoHyphens/>
        <w:ind w:left="567" w:hanging="567"/>
      </w:pPr>
      <w:r w:rsidRPr="006320B0">
        <w:t>een roker bent (aangezien dit het risico op tandheelkundige problemen kan verhogen).</w:t>
      </w:r>
    </w:p>
    <w:p w14:paraId="02AB8225" w14:textId="77777777" w:rsidR="00951F81" w:rsidRPr="006320B0" w:rsidRDefault="00951F81" w:rsidP="00840536">
      <w:pPr>
        <w:widowControl w:val="0"/>
        <w:numPr>
          <w:ilvl w:val="0"/>
          <w:numId w:val="54"/>
        </w:numPr>
        <w:tabs>
          <w:tab w:val="clear" w:pos="567"/>
        </w:tabs>
        <w:suppressAutoHyphens/>
        <w:ind w:left="567" w:hanging="567"/>
      </w:pPr>
      <w:r w:rsidRPr="006320B0">
        <w:t>eerder werd behandeld met bisfosfonaten (gebruikt om botaandoeningen te behandelen of voorkomen).</w:t>
      </w:r>
    </w:p>
    <w:p w14:paraId="08AC813D" w14:textId="77777777" w:rsidR="00951F81" w:rsidRPr="006320B0" w:rsidRDefault="00951F81" w:rsidP="00840536">
      <w:pPr>
        <w:widowControl w:val="0"/>
        <w:numPr>
          <w:ilvl w:val="0"/>
          <w:numId w:val="54"/>
        </w:numPr>
        <w:tabs>
          <w:tab w:val="clear" w:pos="567"/>
        </w:tabs>
        <w:suppressAutoHyphens/>
        <w:ind w:left="567" w:hanging="567"/>
      </w:pPr>
      <w:r w:rsidRPr="006320B0">
        <w:t>medicijnen genaamd corticosteroïden gebruikt (zoals prednisolon of dexamethason).</w:t>
      </w:r>
    </w:p>
    <w:p w14:paraId="5CE6B2B0" w14:textId="77777777" w:rsidR="00951F81" w:rsidRPr="006320B0" w:rsidRDefault="00951F81" w:rsidP="00840536">
      <w:pPr>
        <w:widowControl w:val="0"/>
        <w:numPr>
          <w:ilvl w:val="0"/>
          <w:numId w:val="54"/>
        </w:numPr>
        <w:tabs>
          <w:tab w:val="clear" w:pos="567"/>
        </w:tabs>
        <w:suppressAutoHyphens/>
        <w:ind w:left="567" w:hanging="567"/>
      </w:pPr>
      <w:r w:rsidRPr="006320B0">
        <w:t>kanker heeft.</w:t>
      </w:r>
    </w:p>
    <w:p w14:paraId="1961FD3F" w14:textId="77777777" w:rsidR="00951F81" w:rsidRPr="006320B0" w:rsidRDefault="00951F81" w:rsidP="00840536">
      <w:pPr>
        <w:widowControl w:val="0"/>
        <w:tabs>
          <w:tab w:val="clear" w:pos="567"/>
        </w:tabs>
        <w:suppressAutoHyphens/>
      </w:pPr>
    </w:p>
    <w:p w14:paraId="5F3D12FB" w14:textId="1DC0F2E6" w:rsidR="00951F81" w:rsidRPr="006320B0" w:rsidRDefault="00951F81" w:rsidP="00840536">
      <w:pPr>
        <w:widowControl w:val="0"/>
        <w:tabs>
          <w:tab w:val="clear" w:pos="567"/>
        </w:tabs>
        <w:suppressAutoHyphens/>
      </w:pPr>
      <w:r w:rsidRPr="006320B0">
        <w:t xml:space="preserve">Uw arts kan u vragen eerst een tandheelkundig onderzoek te laten doen voor u start met de behandeling met </w:t>
      </w:r>
      <w:r w:rsidR="00D50235" w:rsidRPr="006320B0">
        <w:t>Kefdensis</w:t>
      </w:r>
      <w:r w:rsidRPr="006320B0">
        <w:t>.</w:t>
      </w:r>
    </w:p>
    <w:p w14:paraId="450E10C2" w14:textId="77777777" w:rsidR="00951F81" w:rsidRPr="006320B0" w:rsidRDefault="00951F81" w:rsidP="00840536">
      <w:pPr>
        <w:widowControl w:val="0"/>
        <w:tabs>
          <w:tab w:val="clear" w:pos="567"/>
        </w:tabs>
        <w:suppressAutoHyphens/>
      </w:pPr>
    </w:p>
    <w:p w14:paraId="47A5B9B1" w14:textId="0E3328F7" w:rsidR="00951F81" w:rsidRPr="006320B0" w:rsidRDefault="00951F81" w:rsidP="00840536">
      <w:pPr>
        <w:widowControl w:val="0"/>
        <w:tabs>
          <w:tab w:val="clear" w:pos="567"/>
        </w:tabs>
        <w:suppressAutoHyphens/>
      </w:pPr>
      <w:r w:rsidRPr="006320B0">
        <w:t>Tijdens de behandeling moet u ervoor zorgen dat u een goede mondhygiëne behoudt en regelmatig tandheelkundige check</w:t>
      </w:r>
      <w:r w:rsidRPr="006320B0">
        <w:noBreakHyphen/>
        <w:t xml:space="preserve">ups ontvangt. Als u een kunstgebit draagt moet u ervoor zorgen dat deze goed past. Als u een tandheelkundige behandeling of een tandheelkundige operatie zult ondergaan (bijv. het trekken van een tand of kies), informeer uw arts dan over uw tandheelkundige behandeling en vertel uw tandarts dat u behandeld wordt met </w:t>
      </w:r>
      <w:r w:rsidR="00D50235" w:rsidRPr="006320B0">
        <w:t>Kefdensis</w:t>
      </w:r>
      <w:r w:rsidRPr="006320B0">
        <w:t>.</w:t>
      </w:r>
    </w:p>
    <w:p w14:paraId="3BD1A5A0" w14:textId="77777777" w:rsidR="00951F81" w:rsidRPr="006320B0" w:rsidRDefault="00951F81" w:rsidP="00840536">
      <w:pPr>
        <w:widowControl w:val="0"/>
        <w:tabs>
          <w:tab w:val="clear" w:pos="567"/>
        </w:tabs>
        <w:suppressAutoHyphens/>
      </w:pPr>
    </w:p>
    <w:p w14:paraId="74CBBB4C" w14:textId="77777777" w:rsidR="00951F81" w:rsidRPr="006320B0" w:rsidRDefault="00951F81" w:rsidP="00840536">
      <w:pPr>
        <w:widowControl w:val="0"/>
        <w:tabs>
          <w:tab w:val="clear" w:pos="567"/>
        </w:tabs>
        <w:suppressAutoHyphens/>
      </w:pPr>
      <w:r w:rsidRPr="006320B0">
        <w:t>Raadpleeg onmiddellijk uw arts en tandarts als u problemen krijgt met uw mond of gebit zoals loszittende kiezen of tanden, pijn of zwelling, het niet genezen van zweren of pusafscheiding, omdat dit tekenen kunnen zijn van ONJ.</w:t>
      </w:r>
    </w:p>
    <w:p w14:paraId="46DD3A16" w14:textId="77777777" w:rsidR="00951F81" w:rsidRPr="006320B0" w:rsidRDefault="00951F81" w:rsidP="00840536">
      <w:pPr>
        <w:widowControl w:val="0"/>
        <w:tabs>
          <w:tab w:val="clear" w:pos="567"/>
        </w:tabs>
        <w:suppressAutoHyphens/>
      </w:pPr>
    </w:p>
    <w:p w14:paraId="300A31FD" w14:textId="77777777" w:rsidR="00951F81" w:rsidRPr="006320B0" w:rsidRDefault="00951F81" w:rsidP="00840536">
      <w:pPr>
        <w:widowControl w:val="0"/>
        <w:suppressAutoHyphens/>
        <w:rPr>
          <w:u w:val="single"/>
        </w:rPr>
      </w:pPr>
      <w:r w:rsidRPr="006320B0">
        <w:rPr>
          <w:u w:val="single"/>
        </w:rPr>
        <w:t>Ongewone dijbeenfracturen</w:t>
      </w:r>
    </w:p>
    <w:p w14:paraId="122C8224" w14:textId="75C39170" w:rsidR="00951F81" w:rsidRPr="006320B0" w:rsidRDefault="00951F81" w:rsidP="00840536">
      <w:pPr>
        <w:widowControl w:val="0"/>
        <w:tabs>
          <w:tab w:val="clear" w:pos="567"/>
        </w:tabs>
        <w:suppressAutoHyphens/>
      </w:pPr>
      <w:r w:rsidRPr="006320B0">
        <w:t xml:space="preserve">Sommige mensen ontwikkelden ongewone fracturen in het dijbeen tijdens de behandeling met </w:t>
      </w:r>
      <w:r w:rsidR="0002130D" w:rsidRPr="006320B0">
        <w:t>denosumab</w:t>
      </w:r>
      <w:r w:rsidRPr="006320B0">
        <w:t>. Neem contact op met uw arts als u nieuwe of ongewone pijn ervaart in uw heup, lies of dij.</w:t>
      </w:r>
    </w:p>
    <w:p w14:paraId="508960A4" w14:textId="77777777" w:rsidR="00951F81" w:rsidRPr="006320B0" w:rsidRDefault="00951F81" w:rsidP="00840536">
      <w:pPr>
        <w:widowControl w:val="0"/>
        <w:tabs>
          <w:tab w:val="clear" w:pos="567"/>
        </w:tabs>
        <w:suppressAutoHyphens/>
      </w:pPr>
    </w:p>
    <w:p w14:paraId="414D4AF2" w14:textId="77777777" w:rsidR="00951F81" w:rsidRPr="006320B0" w:rsidRDefault="00951F81" w:rsidP="00840536">
      <w:pPr>
        <w:widowControl w:val="0"/>
        <w:tabs>
          <w:tab w:val="clear" w:pos="567"/>
        </w:tabs>
        <w:suppressAutoHyphens/>
        <w:rPr>
          <w:b/>
          <w:bCs/>
        </w:rPr>
      </w:pPr>
      <w:r w:rsidRPr="006320B0">
        <w:rPr>
          <w:b/>
        </w:rPr>
        <w:t>Kinderen en jongeren tot 18 jaar</w:t>
      </w:r>
    </w:p>
    <w:p w14:paraId="4D40F7CF" w14:textId="77777777" w:rsidR="00951F81" w:rsidRPr="006320B0" w:rsidRDefault="00951F81" w:rsidP="00840536">
      <w:pPr>
        <w:widowControl w:val="0"/>
        <w:suppressAutoHyphens/>
      </w:pPr>
    </w:p>
    <w:p w14:paraId="506FAE7E" w14:textId="2098FF13" w:rsidR="00951F81" w:rsidRPr="006320B0" w:rsidRDefault="00D50235" w:rsidP="00840536">
      <w:pPr>
        <w:widowControl w:val="0"/>
        <w:suppressAutoHyphens/>
      </w:pPr>
      <w:r w:rsidRPr="006320B0">
        <w:t>Kefdensis</w:t>
      </w:r>
      <w:r w:rsidR="00951F81" w:rsidRPr="006320B0">
        <w:t xml:space="preserve"> mag niet worden gebruikt bij kinderen en jongeren tot 18 jaar. </w:t>
      </w:r>
    </w:p>
    <w:p w14:paraId="6785FFFF" w14:textId="77777777" w:rsidR="00951F81" w:rsidRPr="006320B0" w:rsidRDefault="00951F81" w:rsidP="00840536">
      <w:pPr>
        <w:widowControl w:val="0"/>
        <w:suppressAutoHyphens/>
      </w:pPr>
    </w:p>
    <w:p w14:paraId="1ABACCE1" w14:textId="77777777" w:rsidR="00951F81" w:rsidRPr="006320B0" w:rsidRDefault="00951F81" w:rsidP="00840536">
      <w:pPr>
        <w:widowControl w:val="0"/>
        <w:tabs>
          <w:tab w:val="clear" w:pos="567"/>
        </w:tabs>
        <w:suppressAutoHyphens/>
        <w:rPr>
          <w:b/>
          <w:bCs/>
        </w:rPr>
      </w:pPr>
      <w:r w:rsidRPr="006320B0">
        <w:rPr>
          <w:b/>
        </w:rPr>
        <w:t>Gebruikt u nog andere geneesmiddelen?</w:t>
      </w:r>
    </w:p>
    <w:p w14:paraId="0B529527" w14:textId="77777777" w:rsidR="00951F81" w:rsidRPr="006320B0" w:rsidRDefault="00951F81" w:rsidP="00840536">
      <w:pPr>
        <w:widowControl w:val="0"/>
        <w:suppressAutoHyphens/>
      </w:pPr>
    </w:p>
    <w:p w14:paraId="7A30C298" w14:textId="287E3AB2" w:rsidR="00951F81" w:rsidRPr="006320B0" w:rsidRDefault="00951F81" w:rsidP="00840536">
      <w:pPr>
        <w:widowControl w:val="0"/>
        <w:tabs>
          <w:tab w:val="clear" w:pos="567"/>
        </w:tabs>
        <w:suppressAutoHyphens/>
      </w:pPr>
      <w:r w:rsidRPr="006320B0">
        <w:t xml:space="preserve">Gebruikt u naast </w:t>
      </w:r>
      <w:r w:rsidR="00D50235" w:rsidRPr="006320B0">
        <w:t>Kefdensis</w:t>
      </w:r>
      <w:r w:rsidRPr="006320B0">
        <w:t xml:space="preserve"> nog andere geneesmiddelen, heeft u dat kort geleden gedaan of bestaat de mogelijkheid dat u in de nabije toekomst andere geneesmiddelen gaat gebruiken? Vertel dat dan uw arts of apotheker. In het bijzonder is het belangrijk dat u het uw arts vertelt als u nog andere geneesmiddelen gebruikt die denosumab bevatten.</w:t>
      </w:r>
    </w:p>
    <w:p w14:paraId="3BA641B9" w14:textId="77777777" w:rsidR="00951F81" w:rsidRPr="006320B0" w:rsidRDefault="00951F81" w:rsidP="00840536">
      <w:pPr>
        <w:widowControl w:val="0"/>
        <w:tabs>
          <w:tab w:val="clear" w:pos="567"/>
        </w:tabs>
        <w:suppressAutoHyphens/>
      </w:pPr>
    </w:p>
    <w:p w14:paraId="74341D76" w14:textId="0D9E7A63" w:rsidR="00951F81" w:rsidRPr="006320B0" w:rsidRDefault="00951F81" w:rsidP="00840536">
      <w:pPr>
        <w:widowControl w:val="0"/>
        <w:tabs>
          <w:tab w:val="clear" w:pos="567"/>
        </w:tabs>
        <w:suppressAutoHyphens/>
      </w:pPr>
      <w:r w:rsidRPr="006320B0">
        <w:t xml:space="preserve">U mag </w:t>
      </w:r>
      <w:r w:rsidR="00D50235" w:rsidRPr="006320B0">
        <w:t>Kefdensis</w:t>
      </w:r>
      <w:r w:rsidRPr="006320B0">
        <w:t xml:space="preserve"> niet gebruiken samen met andere geneesmiddelen die denosumab bevatten.</w:t>
      </w:r>
    </w:p>
    <w:p w14:paraId="0E5B2E1B" w14:textId="77777777" w:rsidR="00951F81" w:rsidRPr="006320B0" w:rsidRDefault="00951F81" w:rsidP="00840536">
      <w:pPr>
        <w:widowControl w:val="0"/>
        <w:tabs>
          <w:tab w:val="clear" w:pos="567"/>
        </w:tabs>
        <w:suppressAutoHyphens/>
      </w:pPr>
    </w:p>
    <w:p w14:paraId="5B048D8F" w14:textId="77777777" w:rsidR="00951F81" w:rsidRPr="006320B0" w:rsidRDefault="00951F81" w:rsidP="00840536">
      <w:pPr>
        <w:widowControl w:val="0"/>
        <w:tabs>
          <w:tab w:val="clear" w:pos="567"/>
        </w:tabs>
        <w:suppressAutoHyphens/>
        <w:rPr>
          <w:b/>
          <w:bCs/>
        </w:rPr>
      </w:pPr>
      <w:r w:rsidRPr="006320B0">
        <w:rPr>
          <w:b/>
        </w:rPr>
        <w:t>Zwangerschap en borstvoeding</w:t>
      </w:r>
    </w:p>
    <w:p w14:paraId="58B7994A" w14:textId="77777777" w:rsidR="00951F81" w:rsidRPr="006320B0" w:rsidRDefault="00951F81" w:rsidP="00840536">
      <w:pPr>
        <w:widowControl w:val="0"/>
        <w:suppressAutoHyphens/>
      </w:pPr>
    </w:p>
    <w:p w14:paraId="16808CC5" w14:textId="1CA7FEC1" w:rsidR="00951F81" w:rsidRPr="006320B0" w:rsidRDefault="0002130D" w:rsidP="00840536">
      <w:pPr>
        <w:widowControl w:val="0"/>
        <w:tabs>
          <w:tab w:val="clear" w:pos="567"/>
        </w:tabs>
        <w:suppressAutoHyphens/>
      </w:pPr>
      <w:r w:rsidRPr="006320B0">
        <w:t>Denosumab</w:t>
      </w:r>
      <w:r w:rsidR="00951F81" w:rsidRPr="006320B0">
        <w:t xml:space="preserve"> is niet onderzocht bij zwangere vrouwen. Het is belangrijk het aan uw arts te vertellen als u zwanger bent, denkt dat u zwanger bent of van plan bent zwanger te worden. Als u zwanger bent, wordt het gebruik van </w:t>
      </w:r>
      <w:r w:rsidR="00D50235" w:rsidRPr="006320B0">
        <w:t>Kefdensis</w:t>
      </w:r>
      <w:r w:rsidR="00951F81" w:rsidRPr="006320B0">
        <w:t xml:space="preserve"> niet aanbevolen. Vruchtbare vrouwen moeten effectieve anticonceptie gebruiken tijdens de behandeling met </w:t>
      </w:r>
      <w:r w:rsidR="00D50235" w:rsidRPr="006320B0">
        <w:t>Kefdensis</w:t>
      </w:r>
      <w:r w:rsidR="00951F81" w:rsidRPr="006320B0">
        <w:t xml:space="preserve"> en ten minste 5 maanden nadat ze met de behandeling met </w:t>
      </w:r>
      <w:r w:rsidR="00D50235" w:rsidRPr="006320B0">
        <w:t>Kefdensis</w:t>
      </w:r>
      <w:r w:rsidR="00951F81" w:rsidRPr="006320B0">
        <w:t xml:space="preserve"> zijn gestopt.</w:t>
      </w:r>
    </w:p>
    <w:p w14:paraId="5CA50FB9" w14:textId="77777777" w:rsidR="00951F81" w:rsidRPr="006320B0" w:rsidRDefault="00951F81" w:rsidP="00840536">
      <w:pPr>
        <w:widowControl w:val="0"/>
        <w:tabs>
          <w:tab w:val="clear" w:pos="567"/>
        </w:tabs>
        <w:suppressAutoHyphens/>
      </w:pPr>
    </w:p>
    <w:p w14:paraId="435901DA" w14:textId="326B6626" w:rsidR="00951F81" w:rsidRPr="006320B0" w:rsidRDefault="00951F81" w:rsidP="00840536">
      <w:pPr>
        <w:widowControl w:val="0"/>
        <w:tabs>
          <w:tab w:val="clear" w:pos="567"/>
        </w:tabs>
        <w:suppressAutoHyphens/>
      </w:pPr>
      <w:r w:rsidRPr="006320B0">
        <w:t xml:space="preserve">Als u tijdens behandeling met </w:t>
      </w:r>
      <w:r w:rsidR="00D50235" w:rsidRPr="006320B0">
        <w:t>Kefdensis</w:t>
      </w:r>
      <w:r w:rsidRPr="006320B0">
        <w:t xml:space="preserve"> zwanger wordt, of binnen 5 maanden nadat u met de behandeling met </w:t>
      </w:r>
      <w:r w:rsidR="00D50235" w:rsidRPr="006320B0">
        <w:t>Kefdensis</w:t>
      </w:r>
      <w:r w:rsidRPr="006320B0">
        <w:t xml:space="preserve"> bent gestopt, meld dit dan aan uw arts.</w:t>
      </w:r>
    </w:p>
    <w:p w14:paraId="48A8D346" w14:textId="77777777" w:rsidR="00951F81" w:rsidRPr="006320B0" w:rsidRDefault="00951F81" w:rsidP="00840536">
      <w:pPr>
        <w:widowControl w:val="0"/>
        <w:tabs>
          <w:tab w:val="clear" w:pos="567"/>
        </w:tabs>
        <w:suppressAutoHyphens/>
      </w:pPr>
    </w:p>
    <w:p w14:paraId="0FBDFE6C" w14:textId="6E4758DC" w:rsidR="00951F81" w:rsidRPr="006320B0" w:rsidRDefault="00951F81" w:rsidP="00840536">
      <w:pPr>
        <w:widowControl w:val="0"/>
        <w:tabs>
          <w:tab w:val="clear" w:pos="567"/>
        </w:tabs>
        <w:suppressAutoHyphens/>
      </w:pPr>
      <w:r w:rsidRPr="006320B0">
        <w:t xml:space="preserve">Het is onbekend of </w:t>
      </w:r>
      <w:r w:rsidR="0002130D" w:rsidRPr="006320B0">
        <w:t>denosumab</w:t>
      </w:r>
      <w:r w:rsidRPr="006320B0">
        <w:t xml:space="preserve"> wordt uitgescheiden in de moedermelk. Het is belangrijk het aan uw arts te vertellen als u borstvoeding geeft of van plan bent dit te doen. Uw arts zal u helpen bij de beslissing om te stoppen met het geven van borstvoeding of te stoppen met het gebruik van </w:t>
      </w:r>
      <w:r w:rsidR="00D50235" w:rsidRPr="006320B0">
        <w:t>Kefdensis</w:t>
      </w:r>
      <w:r w:rsidRPr="006320B0">
        <w:t xml:space="preserve">, waarbij de arts een afweging zal maken tussen het belang van borstvoeding voor de baby en het belang van </w:t>
      </w:r>
      <w:r w:rsidR="00D50235" w:rsidRPr="006320B0">
        <w:t>Kefdensis</w:t>
      </w:r>
      <w:r w:rsidRPr="006320B0">
        <w:t xml:space="preserve"> voor de moeder.</w:t>
      </w:r>
    </w:p>
    <w:p w14:paraId="06D62E7C" w14:textId="77777777" w:rsidR="00951F81" w:rsidRPr="006320B0" w:rsidRDefault="00951F81" w:rsidP="00840536">
      <w:pPr>
        <w:widowControl w:val="0"/>
        <w:tabs>
          <w:tab w:val="clear" w:pos="567"/>
        </w:tabs>
        <w:suppressAutoHyphens/>
      </w:pPr>
    </w:p>
    <w:p w14:paraId="61C1F5D4" w14:textId="3599C3EE" w:rsidR="00951F81" w:rsidRPr="006320B0" w:rsidRDefault="00951F81" w:rsidP="00840536">
      <w:pPr>
        <w:widowControl w:val="0"/>
        <w:tabs>
          <w:tab w:val="clear" w:pos="567"/>
        </w:tabs>
        <w:suppressAutoHyphens/>
      </w:pPr>
      <w:r w:rsidRPr="006320B0">
        <w:t xml:space="preserve">Als u tijdens behandeling met </w:t>
      </w:r>
      <w:r w:rsidR="00D50235" w:rsidRPr="006320B0">
        <w:t>Kefdensis</w:t>
      </w:r>
      <w:r w:rsidRPr="006320B0">
        <w:t xml:space="preserve"> borstvoeding geeft, vertel dat dan aan uw arts.</w:t>
      </w:r>
    </w:p>
    <w:p w14:paraId="6900BB5A" w14:textId="77777777" w:rsidR="00951F81" w:rsidRPr="006320B0" w:rsidRDefault="00951F81" w:rsidP="00840536">
      <w:pPr>
        <w:widowControl w:val="0"/>
        <w:tabs>
          <w:tab w:val="clear" w:pos="567"/>
        </w:tabs>
        <w:suppressAutoHyphens/>
      </w:pPr>
    </w:p>
    <w:p w14:paraId="5C2056C4" w14:textId="77777777" w:rsidR="00951F81" w:rsidRPr="006320B0" w:rsidRDefault="00951F81" w:rsidP="00840536">
      <w:pPr>
        <w:widowControl w:val="0"/>
        <w:tabs>
          <w:tab w:val="clear" w:pos="567"/>
        </w:tabs>
        <w:suppressAutoHyphens/>
      </w:pPr>
      <w:r w:rsidRPr="006320B0">
        <w:t>Neem contact op met uw arts of apotheker voordat u dit geneesmiddel gebruikt.</w:t>
      </w:r>
    </w:p>
    <w:p w14:paraId="5FAD8CB2" w14:textId="77777777" w:rsidR="00951F81" w:rsidRPr="006320B0" w:rsidRDefault="00951F81" w:rsidP="00840536">
      <w:pPr>
        <w:widowControl w:val="0"/>
        <w:tabs>
          <w:tab w:val="clear" w:pos="567"/>
        </w:tabs>
        <w:suppressAutoHyphens/>
      </w:pPr>
    </w:p>
    <w:p w14:paraId="1FFB6D4C" w14:textId="77777777" w:rsidR="00951F81" w:rsidRPr="006320B0" w:rsidRDefault="00951F81" w:rsidP="00840536">
      <w:pPr>
        <w:widowControl w:val="0"/>
        <w:tabs>
          <w:tab w:val="clear" w:pos="567"/>
        </w:tabs>
        <w:suppressAutoHyphens/>
        <w:rPr>
          <w:b/>
          <w:bCs/>
        </w:rPr>
      </w:pPr>
      <w:r w:rsidRPr="006320B0">
        <w:rPr>
          <w:b/>
        </w:rPr>
        <w:t>Rijvaardigheid en het gebruik van machines</w:t>
      </w:r>
    </w:p>
    <w:p w14:paraId="0B9CADEA" w14:textId="77777777" w:rsidR="00951F81" w:rsidRPr="006320B0" w:rsidRDefault="00951F81" w:rsidP="00840536">
      <w:pPr>
        <w:widowControl w:val="0"/>
        <w:suppressAutoHyphens/>
      </w:pPr>
    </w:p>
    <w:p w14:paraId="14C8B16B" w14:textId="4F68FEFD" w:rsidR="00951F81" w:rsidRPr="006320B0" w:rsidRDefault="0002130D" w:rsidP="00840536">
      <w:pPr>
        <w:widowControl w:val="0"/>
        <w:tabs>
          <w:tab w:val="clear" w:pos="567"/>
        </w:tabs>
        <w:suppressAutoHyphens/>
      </w:pPr>
      <w:r w:rsidRPr="006320B0">
        <w:t>Denosumab</w:t>
      </w:r>
      <w:r w:rsidR="00951F81" w:rsidRPr="006320B0">
        <w:t xml:space="preserve"> heeft geen of verwaarloosbare invloed op de rijvaardigheid en op het vermogen om machines te bedienen.</w:t>
      </w:r>
    </w:p>
    <w:p w14:paraId="2C6010D6" w14:textId="77777777" w:rsidR="00951F81" w:rsidRPr="006320B0" w:rsidRDefault="00951F81" w:rsidP="00840536">
      <w:pPr>
        <w:widowControl w:val="0"/>
        <w:tabs>
          <w:tab w:val="clear" w:pos="567"/>
        </w:tabs>
        <w:suppressAutoHyphens/>
      </w:pPr>
    </w:p>
    <w:p w14:paraId="7C72BF40" w14:textId="77777777" w:rsidR="00951F81" w:rsidRPr="006320B0" w:rsidRDefault="00951F81" w:rsidP="00840536">
      <w:pPr>
        <w:widowControl w:val="0"/>
        <w:tabs>
          <w:tab w:val="clear" w:pos="567"/>
        </w:tabs>
        <w:suppressAutoHyphens/>
      </w:pPr>
    </w:p>
    <w:p w14:paraId="591FEE76" w14:textId="77777777" w:rsidR="00951F81" w:rsidRPr="006320B0" w:rsidRDefault="00951F81" w:rsidP="00840536">
      <w:pPr>
        <w:widowControl w:val="0"/>
        <w:tabs>
          <w:tab w:val="clear" w:pos="567"/>
        </w:tabs>
        <w:suppressAutoHyphens/>
        <w:ind w:left="567" w:hanging="567"/>
        <w:rPr>
          <w:b/>
        </w:rPr>
      </w:pPr>
      <w:r w:rsidRPr="006320B0">
        <w:rPr>
          <w:b/>
        </w:rPr>
        <w:t>3.</w:t>
      </w:r>
      <w:r w:rsidRPr="006320B0">
        <w:rPr>
          <w:b/>
        </w:rPr>
        <w:tab/>
        <w:t>Hoe gebruikt u dit middel?</w:t>
      </w:r>
    </w:p>
    <w:p w14:paraId="390C1A95" w14:textId="77777777" w:rsidR="00951F81" w:rsidRPr="006320B0" w:rsidRDefault="00951F81" w:rsidP="00840536">
      <w:pPr>
        <w:widowControl w:val="0"/>
        <w:suppressAutoHyphens/>
      </w:pPr>
    </w:p>
    <w:p w14:paraId="20648752" w14:textId="4531E445" w:rsidR="00951F81" w:rsidRPr="006320B0" w:rsidRDefault="00951F81" w:rsidP="00840536">
      <w:pPr>
        <w:widowControl w:val="0"/>
        <w:tabs>
          <w:tab w:val="clear" w:pos="567"/>
        </w:tabs>
        <w:suppressAutoHyphens/>
      </w:pPr>
      <w:r w:rsidRPr="006320B0">
        <w:t xml:space="preserve">De aanbevolen dosering is één voorgevulde spuit van 60 mg éénmaal in de 6 maanden toegediend als enkelvoudige injectie onder de huid (subcutaan). De beste plaats voor deze injectie is de bovenkant van uw dijbenen of uw buik. Uw verzorger kan u ook injecteren in de achterkant van uw bovenarm. Vraag uw arts wanneer u uw volgende injectie krijgt. </w:t>
      </w:r>
    </w:p>
    <w:p w14:paraId="4BA80950" w14:textId="77777777" w:rsidR="00951F81" w:rsidRPr="006320B0" w:rsidRDefault="00951F81" w:rsidP="00840536">
      <w:pPr>
        <w:widowControl w:val="0"/>
        <w:tabs>
          <w:tab w:val="clear" w:pos="567"/>
        </w:tabs>
        <w:suppressAutoHyphens/>
      </w:pPr>
    </w:p>
    <w:p w14:paraId="087A2891" w14:textId="66FE5321" w:rsidR="00951F81" w:rsidRPr="006320B0" w:rsidRDefault="00951F81" w:rsidP="00840536">
      <w:pPr>
        <w:widowControl w:val="0"/>
        <w:tabs>
          <w:tab w:val="clear" w:pos="567"/>
        </w:tabs>
        <w:suppressAutoHyphens/>
      </w:pPr>
      <w:r w:rsidRPr="006320B0">
        <w:t>U moet ook calcium- en vitamine D</w:t>
      </w:r>
      <w:r w:rsidRPr="006320B0">
        <w:noBreakHyphen/>
        <w:t xml:space="preserve">supplementen innemen tijdens uw behandeling met </w:t>
      </w:r>
      <w:r w:rsidR="00D50235" w:rsidRPr="006320B0">
        <w:t>Kefdensis</w:t>
      </w:r>
      <w:r w:rsidRPr="006320B0">
        <w:t>. Uw arts zal hierover met u overleggen.</w:t>
      </w:r>
    </w:p>
    <w:p w14:paraId="517308BC" w14:textId="77777777" w:rsidR="00951F81" w:rsidRPr="006320B0" w:rsidRDefault="00951F81" w:rsidP="00840536">
      <w:pPr>
        <w:widowControl w:val="0"/>
        <w:tabs>
          <w:tab w:val="clear" w:pos="567"/>
        </w:tabs>
        <w:suppressAutoHyphens/>
      </w:pPr>
    </w:p>
    <w:p w14:paraId="4522E7C4" w14:textId="49AE8A7D" w:rsidR="00951F81" w:rsidRPr="006320B0" w:rsidRDefault="00951F81" w:rsidP="00840536">
      <w:pPr>
        <w:widowControl w:val="0"/>
        <w:tabs>
          <w:tab w:val="clear" w:pos="567"/>
        </w:tabs>
        <w:suppressAutoHyphens/>
      </w:pPr>
      <w:r w:rsidRPr="006320B0">
        <w:t xml:space="preserve">Uw arts kan besluiten dat bij u </w:t>
      </w:r>
      <w:r w:rsidR="00D50235" w:rsidRPr="006320B0">
        <w:t>Kefdensis</w:t>
      </w:r>
      <w:r w:rsidRPr="006320B0">
        <w:t xml:space="preserve"> moet worden geïnjecteerd door uzelf of door een verzorger. Uw arts of zorgverlener zal aan u of aan uw verzorger laten zien hoe </w:t>
      </w:r>
      <w:r w:rsidR="00D50235" w:rsidRPr="006320B0">
        <w:t>Kefdensis</w:t>
      </w:r>
      <w:r w:rsidRPr="006320B0">
        <w:t xml:space="preserve"> moet worden gebruikt. Zie de rubriek aan het einde van deze bijsluiter voor instructies over het injecteren van </w:t>
      </w:r>
      <w:r w:rsidR="00D50235" w:rsidRPr="006320B0">
        <w:t>Kefdensis</w:t>
      </w:r>
      <w:r w:rsidRPr="006320B0">
        <w:t>.</w:t>
      </w:r>
    </w:p>
    <w:p w14:paraId="67223161" w14:textId="77777777" w:rsidR="00951F81" w:rsidRPr="006320B0" w:rsidRDefault="00951F81" w:rsidP="00840536">
      <w:pPr>
        <w:widowControl w:val="0"/>
        <w:tabs>
          <w:tab w:val="clear" w:pos="567"/>
        </w:tabs>
        <w:suppressAutoHyphens/>
      </w:pPr>
    </w:p>
    <w:p w14:paraId="25CD34A6" w14:textId="77777777" w:rsidR="00951F81" w:rsidRPr="006320B0" w:rsidRDefault="00951F81" w:rsidP="00840536">
      <w:pPr>
        <w:widowControl w:val="0"/>
        <w:tabs>
          <w:tab w:val="clear" w:pos="567"/>
        </w:tabs>
        <w:suppressAutoHyphens/>
      </w:pPr>
      <w:r w:rsidRPr="006320B0">
        <w:t>Niet schudden.</w:t>
      </w:r>
    </w:p>
    <w:p w14:paraId="4C69990C" w14:textId="77777777" w:rsidR="00951F81" w:rsidRPr="006320B0" w:rsidRDefault="00951F81" w:rsidP="00840536">
      <w:pPr>
        <w:widowControl w:val="0"/>
        <w:tabs>
          <w:tab w:val="clear" w:pos="567"/>
        </w:tabs>
        <w:suppressAutoHyphens/>
      </w:pPr>
    </w:p>
    <w:p w14:paraId="0A214BE9" w14:textId="77777777" w:rsidR="00951F81" w:rsidRPr="006320B0" w:rsidRDefault="00951F81" w:rsidP="00840536">
      <w:pPr>
        <w:widowControl w:val="0"/>
        <w:tabs>
          <w:tab w:val="clear" w:pos="567"/>
        </w:tabs>
        <w:suppressAutoHyphens/>
        <w:rPr>
          <w:b/>
          <w:bCs/>
        </w:rPr>
      </w:pPr>
      <w:r w:rsidRPr="006320B0">
        <w:rPr>
          <w:b/>
        </w:rPr>
        <w:t>Bent u vergeten dit middel te gebruiken?</w:t>
      </w:r>
    </w:p>
    <w:p w14:paraId="3A69E85C" w14:textId="77777777" w:rsidR="00951F81" w:rsidRPr="006320B0" w:rsidRDefault="00951F81" w:rsidP="00840536">
      <w:pPr>
        <w:widowControl w:val="0"/>
        <w:suppressAutoHyphens/>
      </w:pPr>
    </w:p>
    <w:p w14:paraId="0C03EC8A" w14:textId="50CDE41B" w:rsidR="00951F81" w:rsidRPr="006320B0" w:rsidRDefault="00951F81" w:rsidP="00840536">
      <w:pPr>
        <w:widowControl w:val="0"/>
        <w:tabs>
          <w:tab w:val="clear" w:pos="567"/>
        </w:tabs>
        <w:suppressAutoHyphens/>
      </w:pPr>
      <w:r w:rsidRPr="006320B0">
        <w:t xml:space="preserve">Als een dosis </w:t>
      </w:r>
      <w:r w:rsidR="00D50235" w:rsidRPr="006320B0">
        <w:t>Kefdensis</w:t>
      </w:r>
      <w:r w:rsidRPr="006320B0">
        <w:t xml:space="preserve"> wordt vergeten, moet de injectie zo snel mogelijk alsnog worden toegediend. Hierna moeten de injecties elke 6 maanden vanaf de datum van de laatste injectie worden gepland.</w:t>
      </w:r>
    </w:p>
    <w:p w14:paraId="0D9618D1" w14:textId="77777777" w:rsidR="00951F81" w:rsidRPr="006320B0" w:rsidRDefault="00951F81" w:rsidP="00840536">
      <w:pPr>
        <w:widowControl w:val="0"/>
        <w:tabs>
          <w:tab w:val="clear" w:pos="567"/>
        </w:tabs>
        <w:suppressAutoHyphens/>
      </w:pPr>
    </w:p>
    <w:p w14:paraId="5242C39F" w14:textId="77777777" w:rsidR="00951F81" w:rsidRPr="006320B0" w:rsidRDefault="00951F81" w:rsidP="00840536">
      <w:pPr>
        <w:widowControl w:val="0"/>
        <w:tabs>
          <w:tab w:val="clear" w:pos="567"/>
        </w:tabs>
        <w:suppressAutoHyphens/>
        <w:rPr>
          <w:b/>
          <w:bCs/>
        </w:rPr>
      </w:pPr>
      <w:r w:rsidRPr="006320B0">
        <w:rPr>
          <w:b/>
        </w:rPr>
        <w:t>Als u stopt met het gebruik van dit middel</w:t>
      </w:r>
    </w:p>
    <w:p w14:paraId="66577F5B" w14:textId="77777777" w:rsidR="00951F81" w:rsidRPr="006320B0" w:rsidRDefault="00951F81" w:rsidP="00840536">
      <w:pPr>
        <w:widowControl w:val="0"/>
        <w:suppressAutoHyphens/>
      </w:pPr>
    </w:p>
    <w:p w14:paraId="45BDA2AC" w14:textId="03708DE4" w:rsidR="00951F81" w:rsidRPr="006320B0" w:rsidRDefault="00951F81" w:rsidP="00840536">
      <w:pPr>
        <w:widowControl w:val="0"/>
        <w:tabs>
          <w:tab w:val="clear" w:pos="567"/>
        </w:tabs>
        <w:suppressAutoHyphens/>
      </w:pPr>
      <w:r w:rsidRPr="006320B0">
        <w:t xml:space="preserve">Om het beste resultaat van uw behandeling te verkrijgen om het risico op botbreuken te verminderen, is het belangrijk </w:t>
      </w:r>
      <w:r w:rsidR="00D50235" w:rsidRPr="006320B0">
        <w:t>Kefdensis</w:t>
      </w:r>
      <w:r w:rsidRPr="006320B0">
        <w:t xml:space="preserve"> zo lang als uw arts u dit voorschrijft te blijven gebruiken. Stop niet met uw behandeling voordat u contact heeft opgenomen met uw arts.</w:t>
      </w:r>
    </w:p>
    <w:p w14:paraId="17166772" w14:textId="77777777" w:rsidR="00951F81" w:rsidRPr="006320B0" w:rsidRDefault="00951F81" w:rsidP="00840536">
      <w:pPr>
        <w:widowControl w:val="0"/>
        <w:tabs>
          <w:tab w:val="clear" w:pos="567"/>
        </w:tabs>
        <w:suppressAutoHyphens/>
      </w:pPr>
    </w:p>
    <w:p w14:paraId="518B346A" w14:textId="77777777" w:rsidR="00951F81" w:rsidRPr="006320B0" w:rsidRDefault="00951F81" w:rsidP="00840536">
      <w:pPr>
        <w:widowControl w:val="0"/>
        <w:tabs>
          <w:tab w:val="clear" w:pos="567"/>
        </w:tabs>
        <w:suppressAutoHyphens/>
      </w:pPr>
    </w:p>
    <w:p w14:paraId="6466A298" w14:textId="77777777" w:rsidR="00951F81" w:rsidRPr="006320B0" w:rsidRDefault="00951F81" w:rsidP="00840536">
      <w:pPr>
        <w:widowControl w:val="0"/>
        <w:tabs>
          <w:tab w:val="clear" w:pos="567"/>
        </w:tabs>
        <w:suppressAutoHyphens/>
        <w:ind w:left="567" w:hanging="567"/>
        <w:rPr>
          <w:b/>
        </w:rPr>
      </w:pPr>
      <w:r w:rsidRPr="006320B0">
        <w:rPr>
          <w:b/>
        </w:rPr>
        <w:t>4.</w:t>
      </w:r>
      <w:r w:rsidRPr="006320B0">
        <w:rPr>
          <w:b/>
        </w:rPr>
        <w:tab/>
        <w:t>Mogelijke bijwerkingen</w:t>
      </w:r>
    </w:p>
    <w:p w14:paraId="50788420" w14:textId="77777777" w:rsidR="00951F81" w:rsidRPr="006320B0" w:rsidRDefault="00951F81" w:rsidP="00840536">
      <w:pPr>
        <w:widowControl w:val="0"/>
        <w:suppressAutoHyphens/>
      </w:pPr>
    </w:p>
    <w:p w14:paraId="3A719079" w14:textId="77777777" w:rsidR="00951F81" w:rsidRPr="006320B0" w:rsidRDefault="00951F81" w:rsidP="00840536">
      <w:pPr>
        <w:widowControl w:val="0"/>
        <w:tabs>
          <w:tab w:val="clear" w:pos="567"/>
        </w:tabs>
        <w:suppressAutoHyphens/>
      </w:pPr>
      <w:r w:rsidRPr="006320B0">
        <w:t>Zoals elk geneesmiddel kan ook dit geneesmiddel bijwerkingen hebben, al krijgt niet iedereen daarmee te maken.</w:t>
      </w:r>
    </w:p>
    <w:p w14:paraId="31C04B6C" w14:textId="77777777" w:rsidR="00951F81" w:rsidRPr="006320B0" w:rsidRDefault="00951F81" w:rsidP="00840536">
      <w:pPr>
        <w:widowControl w:val="0"/>
        <w:tabs>
          <w:tab w:val="clear" w:pos="567"/>
        </w:tabs>
        <w:suppressAutoHyphens/>
      </w:pPr>
    </w:p>
    <w:p w14:paraId="391A436E" w14:textId="6F65532D" w:rsidR="00951F81" w:rsidRPr="006320B0" w:rsidRDefault="00951F81" w:rsidP="00840536">
      <w:pPr>
        <w:widowControl w:val="0"/>
        <w:tabs>
          <w:tab w:val="clear" w:pos="567"/>
        </w:tabs>
        <w:suppressAutoHyphens/>
      </w:pPr>
      <w:r w:rsidRPr="006320B0">
        <w:t xml:space="preserve">Soms ontwikkelen patiënten die </w:t>
      </w:r>
      <w:r w:rsidR="0002130D" w:rsidRPr="006320B0">
        <w:t>denosumab</w:t>
      </w:r>
      <w:r w:rsidRPr="006320B0">
        <w:t xml:space="preserve"> krijgen huidinfecties (hoofdzakelijk cellulitis). </w:t>
      </w:r>
      <w:r w:rsidRPr="006320B0">
        <w:rPr>
          <w:b/>
        </w:rPr>
        <w:t>Vertel het uw arts onmiddellijk</w:t>
      </w:r>
      <w:r w:rsidRPr="006320B0">
        <w:t xml:space="preserve"> als u één van deze symptomen krijgt terwijl u met </w:t>
      </w:r>
      <w:r w:rsidR="00D50235" w:rsidRPr="006320B0">
        <w:t>Kefdensis</w:t>
      </w:r>
      <w:r w:rsidRPr="006320B0">
        <w:t xml:space="preserve"> wordt behandeld: gezwollen, rode plek op de huid, meestal op een onderbeen, die heet en gevoelig aanvoelt, mogelijk met symptomen van koorts.</w:t>
      </w:r>
    </w:p>
    <w:p w14:paraId="3F999A98" w14:textId="77777777" w:rsidR="00951F81" w:rsidRPr="006320B0" w:rsidRDefault="00951F81" w:rsidP="00840536">
      <w:pPr>
        <w:widowControl w:val="0"/>
        <w:tabs>
          <w:tab w:val="clear" w:pos="567"/>
        </w:tabs>
        <w:suppressAutoHyphens/>
      </w:pPr>
    </w:p>
    <w:p w14:paraId="02CC8593" w14:textId="10546F9D" w:rsidR="00951F81" w:rsidRPr="006320B0" w:rsidRDefault="00951F81" w:rsidP="00840536">
      <w:pPr>
        <w:widowControl w:val="0"/>
        <w:tabs>
          <w:tab w:val="clear" w:pos="567"/>
        </w:tabs>
        <w:suppressAutoHyphens/>
      </w:pPr>
      <w:r w:rsidRPr="006320B0">
        <w:t xml:space="preserve">Zelden ontwikkelen patiënten die </w:t>
      </w:r>
      <w:r w:rsidR="0002130D" w:rsidRPr="006320B0">
        <w:t>denosumab</w:t>
      </w:r>
      <w:r w:rsidRPr="006320B0">
        <w:t xml:space="preserve"> gebruiken pijn in de mond en/of kaak, zwelling of niet</w:t>
      </w:r>
      <w:r w:rsidRPr="006320B0">
        <w:noBreakHyphen/>
        <w:t xml:space="preserve">genezende zweren in de mond of kaak, pusafscheiding, gevoelloosheid of een zwaar gevoel in de kaak, of een tand of kies die los gaat zitten. Dit zouden symptomen kunnen zijn van schade aan het kaakbeen (osteonecrose). </w:t>
      </w:r>
      <w:r w:rsidRPr="006320B0">
        <w:rPr>
          <w:b/>
        </w:rPr>
        <w:t>Vertel het uw arts en tandarts onmiddellijk</w:t>
      </w:r>
      <w:r w:rsidRPr="006320B0">
        <w:t xml:space="preserve"> als dergelijke symptomen zich voordoen tijdens uw behandeling met </w:t>
      </w:r>
      <w:r w:rsidR="00D50235" w:rsidRPr="006320B0">
        <w:t>Kefdensis</w:t>
      </w:r>
      <w:r w:rsidRPr="006320B0">
        <w:t xml:space="preserve"> of na het stoppen van de behandeling.</w:t>
      </w:r>
    </w:p>
    <w:p w14:paraId="7B2D0F65" w14:textId="77777777" w:rsidR="00951F81" w:rsidRPr="006320B0" w:rsidRDefault="00951F81" w:rsidP="00840536">
      <w:pPr>
        <w:widowControl w:val="0"/>
        <w:tabs>
          <w:tab w:val="clear" w:pos="567"/>
        </w:tabs>
        <w:suppressAutoHyphens/>
      </w:pPr>
    </w:p>
    <w:p w14:paraId="0AB4A256" w14:textId="5921867D" w:rsidR="00951F81" w:rsidRPr="006320B0" w:rsidRDefault="00951F81" w:rsidP="00840536">
      <w:pPr>
        <w:widowControl w:val="0"/>
        <w:tabs>
          <w:tab w:val="clear" w:pos="567"/>
        </w:tabs>
        <w:suppressAutoHyphens/>
      </w:pPr>
      <w:r w:rsidRPr="006320B0">
        <w:t xml:space="preserve">Zelden kunnen patiënten die </w:t>
      </w:r>
      <w:r w:rsidR="0002130D" w:rsidRPr="006320B0">
        <w:t>denosumab</w:t>
      </w:r>
      <w:r w:rsidRPr="006320B0">
        <w:t xml:space="preserve"> gebruiken last krijgen van verlaagde calciumspiegels in het bloed (hypocalciëmie); een ernstig verlaagde calciumspiegel in het bloed kan leiden tot een ziekenhuisopname en kan zelfs levensbedreigend zijn. Symptomen hiervan zijn spasmen, samentrekkingen of krampen in uw spieren, en/of gevoelloosheid of tintelingen in uw vingers, tenen of rondom uw mond en/of epileptische aanvallen, verwardheid of bewustzijnsverlies. </w:t>
      </w:r>
      <w:r w:rsidRPr="006320B0">
        <w:rPr>
          <w:b/>
        </w:rPr>
        <w:t>Vertel het uw arts onmiddellijk</w:t>
      </w:r>
      <w:r w:rsidRPr="006320B0">
        <w:t xml:space="preserve"> als één van deze symptomen zich voordoen. Een lage calciumspiegel in het bloed kan ook leiden tot een verandering in het hartritme dat QT</w:t>
      </w:r>
      <w:r w:rsidRPr="006320B0">
        <w:noBreakHyphen/>
        <w:t>verlenging wordt genoemd en dat zichtbaar is op een elektrocardiogram (ECG).</w:t>
      </w:r>
    </w:p>
    <w:p w14:paraId="4EC48566" w14:textId="77777777" w:rsidR="00951F81" w:rsidRPr="006320B0" w:rsidRDefault="00951F81" w:rsidP="00840536">
      <w:pPr>
        <w:widowControl w:val="0"/>
        <w:tabs>
          <w:tab w:val="clear" w:pos="567"/>
        </w:tabs>
        <w:suppressAutoHyphens/>
      </w:pPr>
    </w:p>
    <w:p w14:paraId="643E70D2" w14:textId="7631577A" w:rsidR="00951F81" w:rsidRPr="006320B0" w:rsidRDefault="00951F81" w:rsidP="00840536">
      <w:pPr>
        <w:widowControl w:val="0"/>
        <w:tabs>
          <w:tab w:val="clear" w:pos="567"/>
        </w:tabs>
        <w:suppressAutoHyphens/>
      </w:pPr>
      <w:r w:rsidRPr="006320B0">
        <w:t xml:space="preserve">Zelden kunnen ongewone fracturen van het dijbeen optreden bij patiënten die </w:t>
      </w:r>
      <w:r w:rsidR="0002130D" w:rsidRPr="006320B0">
        <w:t>denosumab</w:t>
      </w:r>
      <w:r w:rsidRPr="006320B0">
        <w:t xml:space="preserve"> gebruiken. </w:t>
      </w:r>
      <w:r w:rsidRPr="006320B0">
        <w:rPr>
          <w:b/>
        </w:rPr>
        <w:t xml:space="preserve">Neem contact op met uw arts </w:t>
      </w:r>
      <w:r w:rsidRPr="006320B0">
        <w:t>als u nieuwe of ongewone pijn ervaart in uw heup, lies of dij, aangezien dit een vroege aanwijzing kan zijn voor een mogelijke fractuur van het dijbeen.</w:t>
      </w:r>
    </w:p>
    <w:p w14:paraId="4A7B0F2A" w14:textId="77777777" w:rsidR="00951F81" w:rsidRPr="006320B0" w:rsidRDefault="00951F81" w:rsidP="00840536">
      <w:pPr>
        <w:widowControl w:val="0"/>
        <w:tabs>
          <w:tab w:val="clear" w:pos="567"/>
        </w:tabs>
        <w:suppressAutoHyphens/>
      </w:pPr>
    </w:p>
    <w:p w14:paraId="6E01A728" w14:textId="124A874C" w:rsidR="00951F81" w:rsidRPr="006320B0" w:rsidRDefault="00951F81" w:rsidP="00840536">
      <w:pPr>
        <w:widowControl w:val="0"/>
        <w:tabs>
          <w:tab w:val="clear" w:pos="567"/>
        </w:tabs>
        <w:suppressAutoHyphens/>
      </w:pPr>
      <w:r w:rsidRPr="006320B0">
        <w:t xml:space="preserve">Zelden kunnen patiënten die </w:t>
      </w:r>
      <w:r w:rsidR="0002130D" w:rsidRPr="006320B0">
        <w:t>denosumab</w:t>
      </w:r>
      <w:r w:rsidRPr="006320B0">
        <w:t xml:space="preserve"> gebruiken last krijgen van allergische reacties. Symptomen zijn onder meer zwelling van het gezicht, de lippen, de tong, de keel of andere lichaamsdelen; uitslag, jeuk of netelroos op de huid, een piepende ademhaling of moeite met ademhalen. </w:t>
      </w:r>
      <w:r w:rsidRPr="006320B0">
        <w:rPr>
          <w:b/>
        </w:rPr>
        <w:t>Vertel het uw arts</w:t>
      </w:r>
      <w:r w:rsidRPr="006320B0">
        <w:t xml:space="preserve"> als u een van deze symptomen ontwikkelt tijdens uw behandeling met </w:t>
      </w:r>
      <w:r w:rsidR="00D50235" w:rsidRPr="006320B0">
        <w:t>Kefdensis</w:t>
      </w:r>
      <w:r w:rsidRPr="006320B0">
        <w:t>.</w:t>
      </w:r>
    </w:p>
    <w:p w14:paraId="50768EC2" w14:textId="77777777" w:rsidR="00951F81" w:rsidRPr="006320B0" w:rsidRDefault="00951F81" w:rsidP="00840536">
      <w:pPr>
        <w:widowControl w:val="0"/>
        <w:tabs>
          <w:tab w:val="clear" w:pos="567"/>
        </w:tabs>
        <w:suppressAutoHyphens/>
      </w:pPr>
    </w:p>
    <w:p w14:paraId="6F4F9199" w14:textId="77777777" w:rsidR="00951F81" w:rsidRPr="006320B0" w:rsidRDefault="00951F81" w:rsidP="00840536">
      <w:pPr>
        <w:widowControl w:val="0"/>
        <w:suppressAutoHyphens/>
      </w:pPr>
      <w:r w:rsidRPr="006320B0">
        <w:rPr>
          <w:b/>
        </w:rPr>
        <w:t>Zeer vaak voorkomende bijwerkingen</w:t>
      </w:r>
      <w:r w:rsidRPr="006320B0">
        <w:t xml:space="preserve"> (komen voor bij meer dan 1 op de 10 gebruikers):</w:t>
      </w:r>
    </w:p>
    <w:p w14:paraId="5A9194B7" w14:textId="77777777" w:rsidR="00951F81" w:rsidRPr="006320B0" w:rsidRDefault="00951F81" w:rsidP="00840536">
      <w:pPr>
        <w:widowControl w:val="0"/>
        <w:suppressAutoHyphens/>
      </w:pPr>
    </w:p>
    <w:p w14:paraId="1E030D52" w14:textId="77777777" w:rsidR="00951F81" w:rsidRPr="006320B0" w:rsidRDefault="00951F81" w:rsidP="00840536">
      <w:pPr>
        <w:widowControl w:val="0"/>
        <w:numPr>
          <w:ilvl w:val="0"/>
          <w:numId w:val="54"/>
        </w:numPr>
        <w:tabs>
          <w:tab w:val="clear" w:pos="567"/>
        </w:tabs>
        <w:suppressAutoHyphens/>
        <w:ind w:left="567" w:hanging="567"/>
      </w:pPr>
      <w:r w:rsidRPr="006320B0">
        <w:t>bot-, gewrichts- en/of spierpijn die soms hevig kan zijn,</w:t>
      </w:r>
    </w:p>
    <w:p w14:paraId="7622B849" w14:textId="77777777" w:rsidR="00951F81" w:rsidRPr="006320B0" w:rsidRDefault="00951F81" w:rsidP="00840536">
      <w:pPr>
        <w:widowControl w:val="0"/>
        <w:numPr>
          <w:ilvl w:val="0"/>
          <w:numId w:val="54"/>
        </w:numPr>
        <w:tabs>
          <w:tab w:val="clear" w:pos="567"/>
        </w:tabs>
        <w:suppressAutoHyphens/>
        <w:ind w:left="567" w:hanging="567"/>
      </w:pPr>
      <w:r w:rsidRPr="006320B0">
        <w:t>pijn in armen of benen (pijn in de ledematen).</w:t>
      </w:r>
    </w:p>
    <w:p w14:paraId="2D04BCE2" w14:textId="77777777" w:rsidR="00951F81" w:rsidRPr="006320B0" w:rsidRDefault="00951F81" w:rsidP="00840536">
      <w:pPr>
        <w:widowControl w:val="0"/>
        <w:numPr>
          <w:ilvl w:val="12"/>
          <w:numId w:val="0"/>
        </w:numPr>
        <w:suppressAutoHyphens/>
        <w:ind w:right="-2"/>
      </w:pPr>
    </w:p>
    <w:p w14:paraId="29CF0764" w14:textId="77777777" w:rsidR="00951F81" w:rsidRPr="006320B0" w:rsidRDefault="00951F81" w:rsidP="00840536">
      <w:pPr>
        <w:widowControl w:val="0"/>
        <w:suppressAutoHyphens/>
      </w:pPr>
      <w:r w:rsidRPr="006320B0">
        <w:rPr>
          <w:b/>
        </w:rPr>
        <w:t>Vaak voorkomende bijwerkingen</w:t>
      </w:r>
      <w:r w:rsidRPr="006320B0">
        <w:t xml:space="preserve"> (komen voor bij minder dan 1 op de 10 gebruikers):</w:t>
      </w:r>
    </w:p>
    <w:p w14:paraId="065B4047" w14:textId="77777777" w:rsidR="00951F81" w:rsidRPr="006320B0" w:rsidRDefault="00951F81" w:rsidP="00840536">
      <w:pPr>
        <w:widowControl w:val="0"/>
        <w:suppressAutoHyphens/>
      </w:pPr>
    </w:p>
    <w:p w14:paraId="75BD9910" w14:textId="77777777" w:rsidR="00951F81" w:rsidRPr="006320B0" w:rsidRDefault="00951F81" w:rsidP="00840536">
      <w:pPr>
        <w:widowControl w:val="0"/>
        <w:numPr>
          <w:ilvl w:val="0"/>
          <w:numId w:val="54"/>
        </w:numPr>
        <w:tabs>
          <w:tab w:val="clear" w:pos="567"/>
        </w:tabs>
        <w:suppressAutoHyphens/>
        <w:ind w:left="567" w:hanging="567"/>
      </w:pPr>
      <w:r w:rsidRPr="006320B0">
        <w:t>pijn bij het plassen, vaak moeten plassen, bloed in de urine, onvermogen urine op te houden,</w:t>
      </w:r>
    </w:p>
    <w:p w14:paraId="05A600A3" w14:textId="77777777" w:rsidR="00951F81" w:rsidRPr="006320B0" w:rsidRDefault="00951F81" w:rsidP="00840536">
      <w:pPr>
        <w:widowControl w:val="0"/>
        <w:numPr>
          <w:ilvl w:val="0"/>
          <w:numId w:val="54"/>
        </w:numPr>
        <w:tabs>
          <w:tab w:val="clear" w:pos="567"/>
        </w:tabs>
        <w:suppressAutoHyphens/>
        <w:ind w:left="567" w:hanging="567"/>
      </w:pPr>
      <w:r w:rsidRPr="006320B0">
        <w:t>infectie van de bovenste luchtwegen,</w:t>
      </w:r>
    </w:p>
    <w:p w14:paraId="4C733093" w14:textId="77777777" w:rsidR="00951F81" w:rsidRPr="006320B0" w:rsidRDefault="00951F81" w:rsidP="00840536">
      <w:pPr>
        <w:widowControl w:val="0"/>
        <w:numPr>
          <w:ilvl w:val="0"/>
          <w:numId w:val="54"/>
        </w:numPr>
        <w:tabs>
          <w:tab w:val="clear" w:pos="567"/>
        </w:tabs>
        <w:suppressAutoHyphens/>
        <w:ind w:left="567" w:hanging="567"/>
      </w:pPr>
      <w:r w:rsidRPr="006320B0">
        <w:t>pijn, tintelingen of gevoelloosheid die langs uw been naar beneden gaat (ischias),</w:t>
      </w:r>
    </w:p>
    <w:p w14:paraId="7A1B5C8D" w14:textId="77777777" w:rsidR="00951F81" w:rsidRPr="006320B0" w:rsidRDefault="00951F81" w:rsidP="00840536">
      <w:pPr>
        <w:widowControl w:val="0"/>
        <w:numPr>
          <w:ilvl w:val="0"/>
          <w:numId w:val="54"/>
        </w:numPr>
        <w:tabs>
          <w:tab w:val="clear" w:pos="567"/>
        </w:tabs>
        <w:suppressAutoHyphens/>
        <w:ind w:left="567" w:hanging="567"/>
      </w:pPr>
      <w:r w:rsidRPr="006320B0">
        <w:t>obstipatie (verstopping),</w:t>
      </w:r>
    </w:p>
    <w:p w14:paraId="06BA95AC" w14:textId="77777777" w:rsidR="00951F81" w:rsidRPr="006320B0" w:rsidRDefault="00951F81" w:rsidP="00840536">
      <w:pPr>
        <w:widowControl w:val="0"/>
        <w:numPr>
          <w:ilvl w:val="0"/>
          <w:numId w:val="54"/>
        </w:numPr>
        <w:tabs>
          <w:tab w:val="clear" w:pos="567"/>
        </w:tabs>
        <w:suppressAutoHyphens/>
        <w:ind w:left="567" w:hanging="567"/>
      </w:pPr>
      <w:r w:rsidRPr="006320B0">
        <w:t>buikklachten,</w:t>
      </w:r>
    </w:p>
    <w:p w14:paraId="3F0C921E" w14:textId="77777777" w:rsidR="00951F81" w:rsidRPr="006320B0" w:rsidRDefault="00951F81" w:rsidP="00840536">
      <w:pPr>
        <w:widowControl w:val="0"/>
        <w:numPr>
          <w:ilvl w:val="0"/>
          <w:numId w:val="54"/>
        </w:numPr>
        <w:tabs>
          <w:tab w:val="clear" w:pos="567"/>
        </w:tabs>
        <w:suppressAutoHyphens/>
        <w:ind w:left="567" w:hanging="567"/>
      </w:pPr>
      <w:r w:rsidRPr="006320B0">
        <w:t>huiduitslag,</w:t>
      </w:r>
    </w:p>
    <w:p w14:paraId="604E704C" w14:textId="77777777" w:rsidR="00951F81" w:rsidRPr="006320B0" w:rsidRDefault="00951F81" w:rsidP="00840536">
      <w:pPr>
        <w:widowControl w:val="0"/>
        <w:numPr>
          <w:ilvl w:val="0"/>
          <w:numId w:val="54"/>
        </w:numPr>
        <w:tabs>
          <w:tab w:val="clear" w:pos="567"/>
        </w:tabs>
        <w:suppressAutoHyphens/>
        <w:ind w:left="567" w:hanging="567"/>
      </w:pPr>
      <w:r w:rsidRPr="006320B0">
        <w:t>huidaandoening met jeuk, roodheid en/of droogheid (eczeem),</w:t>
      </w:r>
    </w:p>
    <w:p w14:paraId="3C3706ED" w14:textId="77777777" w:rsidR="00951F81" w:rsidRPr="006320B0" w:rsidRDefault="00951F81" w:rsidP="00840536">
      <w:pPr>
        <w:widowControl w:val="0"/>
        <w:numPr>
          <w:ilvl w:val="0"/>
          <w:numId w:val="54"/>
        </w:numPr>
        <w:tabs>
          <w:tab w:val="clear" w:pos="567"/>
        </w:tabs>
        <w:suppressAutoHyphens/>
        <w:ind w:left="567" w:hanging="567"/>
      </w:pPr>
      <w:r w:rsidRPr="006320B0">
        <w:t>haarverlies (alopecia).</w:t>
      </w:r>
    </w:p>
    <w:p w14:paraId="26117A7B" w14:textId="77777777" w:rsidR="00951F81" w:rsidRPr="006320B0" w:rsidRDefault="00951F81" w:rsidP="00840536">
      <w:pPr>
        <w:pStyle w:val="lbltxt"/>
        <w:widowControl w:val="0"/>
        <w:suppressAutoHyphens/>
        <w:rPr>
          <w:b/>
          <w:noProof w:val="0"/>
          <w:szCs w:val="22"/>
        </w:rPr>
      </w:pPr>
    </w:p>
    <w:p w14:paraId="079485FF" w14:textId="77777777" w:rsidR="00951F81" w:rsidRPr="006320B0" w:rsidRDefault="00951F81" w:rsidP="00840536">
      <w:pPr>
        <w:widowControl w:val="0"/>
        <w:suppressAutoHyphens/>
      </w:pPr>
      <w:r w:rsidRPr="006320B0">
        <w:rPr>
          <w:b/>
        </w:rPr>
        <w:t>Soms voorkomende bijwerkingen</w:t>
      </w:r>
      <w:r w:rsidRPr="006320B0">
        <w:t xml:space="preserve"> (komen voor bij minder dan 1 op de 100 gebruikers):</w:t>
      </w:r>
    </w:p>
    <w:p w14:paraId="67E53BC9" w14:textId="77777777" w:rsidR="00951F81" w:rsidRPr="006320B0" w:rsidRDefault="00951F81" w:rsidP="00840536">
      <w:pPr>
        <w:widowControl w:val="0"/>
        <w:suppressAutoHyphens/>
      </w:pPr>
    </w:p>
    <w:p w14:paraId="6033780B" w14:textId="77777777" w:rsidR="00951F81" w:rsidRPr="006320B0" w:rsidRDefault="00951F81" w:rsidP="00840536">
      <w:pPr>
        <w:widowControl w:val="0"/>
        <w:numPr>
          <w:ilvl w:val="0"/>
          <w:numId w:val="54"/>
        </w:numPr>
        <w:tabs>
          <w:tab w:val="clear" w:pos="567"/>
        </w:tabs>
        <w:suppressAutoHyphens/>
        <w:ind w:left="567" w:hanging="567"/>
      </w:pPr>
      <w:r w:rsidRPr="006320B0">
        <w:t>koorts, overgeven, buikpijn of een gevoel van onbehagen (diverticulitis),</w:t>
      </w:r>
    </w:p>
    <w:p w14:paraId="319118A9" w14:textId="77777777" w:rsidR="00951F81" w:rsidRPr="006320B0" w:rsidRDefault="00951F81" w:rsidP="00840536">
      <w:pPr>
        <w:widowControl w:val="0"/>
        <w:numPr>
          <w:ilvl w:val="0"/>
          <w:numId w:val="54"/>
        </w:numPr>
        <w:tabs>
          <w:tab w:val="clear" w:pos="567"/>
        </w:tabs>
        <w:suppressAutoHyphens/>
        <w:ind w:left="567" w:hanging="567"/>
      </w:pPr>
      <w:r w:rsidRPr="006320B0">
        <w:t>oorinfectie,</w:t>
      </w:r>
    </w:p>
    <w:p w14:paraId="266BDCFE" w14:textId="77777777" w:rsidR="00951F81" w:rsidRPr="006320B0" w:rsidRDefault="00951F81" w:rsidP="00840536">
      <w:pPr>
        <w:widowControl w:val="0"/>
        <w:numPr>
          <w:ilvl w:val="0"/>
          <w:numId w:val="54"/>
        </w:numPr>
        <w:tabs>
          <w:tab w:val="clear" w:pos="567"/>
        </w:tabs>
        <w:suppressAutoHyphens/>
        <w:ind w:left="567" w:hanging="567"/>
      </w:pPr>
      <w:r w:rsidRPr="006320B0">
        <w:t>uitslag die kan voorkomen op de huid of zweren in de mond (lichenoïde reacties door medicijngebruik).</w:t>
      </w:r>
    </w:p>
    <w:p w14:paraId="1309CEB3" w14:textId="77777777" w:rsidR="00951F81" w:rsidRPr="006320B0" w:rsidRDefault="00951F81" w:rsidP="00840536">
      <w:pPr>
        <w:widowControl w:val="0"/>
        <w:suppressAutoHyphens/>
      </w:pPr>
    </w:p>
    <w:p w14:paraId="7A4B5502" w14:textId="77777777" w:rsidR="00951F81" w:rsidRPr="006320B0" w:rsidRDefault="00951F81" w:rsidP="00840536">
      <w:pPr>
        <w:widowControl w:val="0"/>
        <w:suppressAutoHyphens/>
      </w:pPr>
      <w:r w:rsidRPr="006320B0">
        <w:rPr>
          <w:b/>
        </w:rPr>
        <w:t>Zeer zelden voorkomende bijwerkingen</w:t>
      </w:r>
      <w:r w:rsidRPr="006320B0">
        <w:t xml:space="preserve"> (komen voor bij minder dan 1 op de 10.000 gebruikers):</w:t>
      </w:r>
    </w:p>
    <w:p w14:paraId="37091F78" w14:textId="77777777" w:rsidR="00951F81" w:rsidRPr="006320B0" w:rsidRDefault="00951F81" w:rsidP="00840536">
      <w:pPr>
        <w:widowControl w:val="0"/>
        <w:suppressAutoHyphens/>
      </w:pPr>
    </w:p>
    <w:p w14:paraId="74090E3D" w14:textId="77777777" w:rsidR="00951F81" w:rsidRPr="006320B0" w:rsidRDefault="00951F81" w:rsidP="00840536">
      <w:pPr>
        <w:widowControl w:val="0"/>
        <w:numPr>
          <w:ilvl w:val="0"/>
          <w:numId w:val="54"/>
        </w:numPr>
        <w:tabs>
          <w:tab w:val="clear" w:pos="567"/>
        </w:tabs>
        <w:suppressAutoHyphens/>
        <w:ind w:left="567" w:hanging="567"/>
      </w:pPr>
      <w:r w:rsidRPr="006320B0">
        <w:t>allergische reactie die bloedvaten kan beschadigen, voornamelijk in de huid (bijv. paarse of bruinrode vlekken, galbulten of huidzweren) (overgevoeligheidsvasculitis).</w:t>
      </w:r>
    </w:p>
    <w:p w14:paraId="1A743D96" w14:textId="77777777" w:rsidR="00951F81" w:rsidRPr="006320B0" w:rsidRDefault="00951F81" w:rsidP="00840536">
      <w:pPr>
        <w:widowControl w:val="0"/>
        <w:suppressAutoHyphens/>
      </w:pPr>
    </w:p>
    <w:p w14:paraId="786B6E0B" w14:textId="77777777" w:rsidR="00951F81" w:rsidRPr="006320B0" w:rsidRDefault="00951F81" w:rsidP="00840536">
      <w:pPr>
        <w:widowControl w:val="0"/>
        <w:suppressAutoHyphens/>
      </w:pPr>
      <w:r w:rsidRPr="006320B0">
        <w:rPr>
          <w:b/>
        </w:rPr>
        <w:t>Niet bekend</w:t>
      </w:r>
      <w:r w:rsidRPr="006320B0">
        <w:t xml:space="preserve"> (frequentie kan met de beschikbare gegevens niet worden bepaald):</w:t>
      </w:r>
    </w:p>
    <w:p w14:paraId="4C6991EF" w14:textId="77777777" w:rsidR="00951F81" w:rsidRPr="006320B0" w:rsidRDefault="00951F81" w:rsidP="00840536">
      <w:pPr>
        <w:widowControl w:val="0"/>
        <w:suppressAutoHyphens/>
      </w:pPr>
    </w:p>
    <w:p w14:paraId="09105412" w14:textId="77777777" w:rsidR="00951F81" w:rsidRPr="006320B0" w:rsidRDefault="00951F81" w:rsidP="00840536">
      <w:pPr>
        <w:widowControl w:val="0"/>
        <w:numPr>
          <w:ilvl w:val="0"/>
          <w:numId w:val="54"/>
        </w:numPr>
        <w:tabs>
          <w:tab w:val="clear" w:pos="567"/>
        </w:tabs>
        <w:suppressAutoHyphens/>
        <w:ind w:left="567" w:hanging="567"/>
      </w:pPr>
      <w:r w:rsidRPr="006320B0">
        <w:t>meld het uw arts als u oorpijn, pusafscheiding uit het oor en/of een oorinfectie heeft. Dit kunnen symptomen zijn van botbeschadiging in het oor.</w:t>
      </w:r>
    </w:p>
    <w:p w14:paraId="5275ECA3" w14:textId="77777777" w:rsidR="00951F81" w:rsidRPr="006320B0" w:rsidRDefault="00951F81" w:rsidP="00840536">
      <w:pPr>
        <w:widowControl w:val="0"/>
        <w:suppressAutoHyphens/>
      </w:pPr>
    </w:p>
    <w:p w14:paraId="1104089A" w14:textId="77777777" w:rsidR="00951F81" w:rsidRPr="006320B0" w:rsidRDefault="00951F81" w:rsidP="00840536">
      <w:pPr>
        <w:widowControl w:val="0"/>
        <w:tabs>
          <w:tab w:val="clear" w:pos="567"/>
        </w:tabs>
        <w:suppressAutoHyphens/>
        <w:rPr>
          <w:b/>
          <w:bCs/>
        </w:rPr>
      </w:pPr>
      <w:r w:rsidRPr="006320B0">
        <w:rPr>
          <w:b/>
        </w:rPr>
        <w:t>Het melden van bijwerkingen</w:t>
      </w:r>
    </w:p>
    <w:p w14:paraId="62CAB830" w14:textId="77777777" w:rsidR="00951F81" w:rsidRPr="006320B0" w:rsidRDefault="00951F81" w:rsidP="00840536">
      <w:pPr>
        <w:widowControl w:val="0"/>
        <w:suppressAutoHyphens/>
      </w:pPr>
    </w:p>
    <w:p w14:paraId="1608E4C7" w14:textId="09EA229A" w:rsidR="00951F81" w:rsidRPr="006320B0" w:rsidRDefault="00951F81" w:rsidP="00840536">
      <w:pPr>
        <w:widowControl w:val="0"/>
        <w:tabs>
          <w:tab w:val="clear" w:pos="567"/>
        </w:tabs>
        <w:suppressAutoHyphens/>
      </w:pPr>
      <w:r w:rsidRPr="006320B0">
        <w:t>Krijgt u last van bijwerkingen, neem dan contact op met uw arts</w:t>
      </w:r>
      <w:r w:rsidR="0002130D" w:rsidRPr="006320B0">
        <w:t>,</w:t>
      </w:r>
      <w:r w:rsidRPr="006320B0">
        <w:t xml:space="preserve"> apotheker</w:t>
      </w:r>
      <w:r w:rsidR="0002130D" w:rsidRPr="006320B0">
        <w:t>, of verpleegkundige</w:t>
      </w:r>
      <w:r w:rsidRPr="006320B0">
        <w:t xml:space="preserve">. Dit geldt ook voor mogelijke bijwerkingen die niet in deze bijsluiter staan. U kunt bijwerkingen ook rechtstreeks melden via </w:t>
      </w:r>
      <w:r w:rsidRPr="006320B0">
        <w:rPr>
          <w:highlight w:val="lightGray"/>
        </w:rPr>
        <w:t xml:space="preserve">het nationale meldsysteem zoals vermeld in </w:t>
      </w:r>
      <w:hyperlink r:id="rId17" w:history="1">
        <w:r w:rsidRPr="006320B0">
          <w:rPr>
            <w:rStyle w:val="Hyperlink"/>
            <w:highlight w:val="lightGray"/>
          </w:rPr>
          <w:t>aanhangsel V</w:t>
        </w:r>
      </w:hyperlink>
      <w:r w:rsidRPr="006320B0">
        <w:t>. Door bijwerkingen te melden, kunt u ons helpen meer informatie te verkrijgen over de veiligheid van dit geneesmiddel.</w:t>
      </w:r>
    </w:p>
    <w:p w14:paraId="6E3D69E0" w14:textId="77777777" w:rsidR="00951F81" w:rsidRPr="006320B0" w:rsidRDefault="00951F81" w:rsidP="00840536">
      <w:pPr>
        <w:widowControl w:val="0"/>
        <w:tabs>
          <w:tab w:val="clear" w:pos="567"/>
        </w:tabs>
        <w:suppressAutoHyphens/>
      </w:pPr>
    </w:p>
    <w:p w14:paraId="4513B06F" w14:textId="77777777" w:rsidR="00951F81" w:rsidRPr="006320B0" w:rsidRDefault="00951F81" w:rsidP="00840536">
      <w:pPr>
        <w:widowControl w:val="0"/>
        <w:tabs>
          <w:tab w:val="clear" w:pos="567"/>
        </w:tabs>
        <w:suppressAutoHyphens/>
      </w:pPr>
    </w:p>
    <w:p w14:paraId="1F64681F" w14:textId="77777777" w:rsidR="00951F81" w:rsidRPr="006320B0" w:rsidRDefault="00951F81" w:rsidP="00840536">
      <w:pPr>
        <w:widowControl w:val="0"/>
        <w:tabs>
          <w:tab w:val="clear" w:pos="567"/>
        </w:tabs>
        <w:suppressAutoHyphens/>
        <w:ind w:left="567" w:hanging="567"/>
        <w:rPr>
          <w:b/>
        </w:rPr>
      </w:pPr>
      <w:r w:rsidRPr="006320B0">
        <w:rPr>
          <w:b/>
        </w:rPr>
        <w:t>5.</w:t>
      </w:r>
      <w:r w:rsidRPr="006320B0">
        <w:rPr>
          <w:b/>
        </w:rPr>
        <w:tab/>
        <w:t>Hoe bewaart u dit middel?</w:t>
      </w:r>
    </w:p>
    <w:p w14:paraId="69FB1FE9" w14:textId="77777777" w:rsidR="00951F81" w:rsidRPr="006320B0" w:rsidRDefault="00951F81" w:rsidP="00840536">
      <w:pPr>
        <w:widowControl w:val="0"/>
        <w:suppressAutoHyphens/>
      </w:pPr>
    </w:p>
    <w:p w14:paraId="620425C1" w14:textId="77777777" w:rsidR="00951F81" w:rsidRPr="006320B0" w:rsidRDefault="00951F81" w:rsidP="00840536">
      <w:pPr>
        <w:widowControl w:val="0"/>
        <w:tabs>
          <w:tab w:val="clear" w:pos="567"/>
        </w:tabs>
        <w:suppressAutoHyphens/>
      </w:pPr>
      <w:r w:rsidRPr="006320B0">
        <w:t>Buiten het zicht en bereik van kinderen houden.</w:t>
      </w:r>
    </w:p>
    <w:p w14:paraId="54293D78" w14:textId="77777777" w:rsidR="00951F81" w:rsidRPr="006320B0" w:rsidRDefault="00951F81" w:rsidP="00840536">
      <w:pPr>
        <w:widowControl w:val="0"/>
        <w:tabs>
          <w:tab w:val="clear" w:pos="567"/>
        </w:tabs>
        <w:suppressAutoHyphens/>
      </w:pPr>
    </w:p>
    <w:p w14:paraId="4D281510" w14:textId="77777777" w:rsidR="00951F81" w:rsidRPr="006320B0" w:rsidRDefault="00951F81" w:rsidP="00840536">
      <w:pPr>
        <w:widowControl w:val="0"/>
        <w:tabs>
          <w:tab w:val="clear" w:pos="567"/>
        </w:tabs>
        <w:suppressAutoHyphens/>
      </w:pPr>
      <w:r w:rsidRPr="006320B0">
        <w:t>Gebruik dit geneesmiddel niet meer na de uiterste houdbaarheidsdatum. Die is te vinden op het etiket en de doos na EXP. Daar staat een maand en een jaar. De laatste dag van die maand is de uiterste houdbaarheidsdatum.</w:t>
      </w:r>
    </w:p>
    <w:p w14:paraId="15BCD2F1" w14:textId="77777777" w:rsidR="00951F81" w:rsidRPr="006320B0" w:rsidRDefault="00951F81" w:rsidP="00840536">
      <w:pPr>
        <w:widowControl w:val="0"/>
        <w:tabs>
          <w:tab w:val="clear" w:pos="567"/>
        </w:tabs>
        <w:suppressAutoHyphens/>
      </w:pPr>
    </w:p>
    <w:p w14:paraId="07F53003" w14:textId="77777777" w:rsidR="00951F81" w:rsidRPr="006320B0" w:rsidRDefault="00951F81" w:rsidP="00840536">
      <w:pPr>
        <w:widowControl w:val="0"/>
        <w:tabs>
          <w:tab w:val="clear" w:pos="567"/>
        </w:tabs>
        <w:suppressAutoHyphens/>
      </w:pPr>
      <w:r w:rsidRPr="006320B0">
        <w:t>Bewaren in de koelkast (2°C – 8°C).</w:t>
      </w:r>
    </w:p>
    <w:p w14:paraId="643F8900" w14:textId="77777777" w:rsidR="00951F81" w:rsidRPr="006320B0" w:rsidRDefault="00951F81" w:rsidP="00840536">
      <w:pPr>
        <w:widowControl w:val="0"/>
        <w:tabs>
          <w:tab w:val="clear" w:pos="567"/>
        </w:tabs>
        <w:suppressAutoHyphens/>
      </w:pPr>
      <w:r w:rsidRPr="006320B0">
        <w:t>Niet in de vriezer bewaren.</w:t>
      </w:r>
    </w:p>
    <w:p w14:paraId="7477C1C1" w14:textId="7F4EC10C" w:rsidR="00951F81" w:rsidRPr="006320B0" w:rsidRDefault="00951F81" w:rsidP="00840536">
      <w:pPr>
        <w:widowControl w:val="0"/>
        <w:tabs>
          <w:tab w:val="clear" w:pos="567"/>
        </w:tabs>
        <w:suppressAutoHyphens/>
      </w:pPr>
      <w:r w:rsidRPr="006320B0">
        <w:t>Bewaar de voorgevulde spuit in de buitenverpakking ter bescherming tegen licht.</w:t>
      </w:r>
    </w:p>
    <w:p w14:paraId="3150F383" w14:textId="77777777" w:rsidR="00951F81" w:rsidRPr="006320B0" w:rsidRDefault="00951F81" w:rsidP="00840536">
      <w:pPr>
        <w:widowControl w:val="0"/>
        <w:tabs>
          <w:tab w:val="clear" w:pos="567"/>
        </w:tabs>
        <w:suppressAutoHyphens/>
      </w:pPr>
    </w:p>
    <w:p w14:paraId="099ABFBC" w14:textId="77777777" w:rsidR="00951F81" w:rsidRPr="006320B0" w:rsidRDefault="00951F81" w:rsidP="00840536">
      <w:pPr>
        <w:widowControl w:val="0"/>
        <w:tabs>
          <w:tab w:val="clear" w:pos="567"/>
        </w:tabs>
        <w:suppressAutoHyphens/>
      </w:pPr>
      <w:r w:rsidRPr="006320B0">
        <w:t>Uw voorgevulde spuit mag vóór het injecteren buiten de koelkast worden bewaard zodat het geneesmiddel op kamertemperatuur (tot 25°C) komt. Dit zorgt ervoor dat de injectie comfortabeler is. Wanneer uw spuit is neergelegd om op kamertemperatuur (tot 25°C) te komen, moet deze binnen 30 dagen worden gebruikt.</w:t>
      </w:r>
    </w:p>
    <w:p w14:paraId="10BA4C4B" w14:textId="77777777" w:rsidR="00951F81" w:rsidRPr="006320B0" w:rsidRDefault="00951F81" w:rsidP="00840536">
      <w:pPr>
        <w:widowControl w:val="0"/>
        <w:tabs>
          <w:tab w:val="clear" w:pos="567"/>
        </w:tabs>
        <w:suppressAutoHyphens/>
      </w:pPr>
    </w:p>
    <w:p w14:paraId="560D872D" w14:textId="77777777" w:rsidR="00951F81" w:rsidRPr="006320B0" w:rsidRDefault="00951F81" w:rsidP="00840536">
      <w:pPr>
        <w:widowControl w:val="0"/>
        <w:tabs>
          <w:tab w:val="clear" w:pos="567"/>
        </w:tabs>
        <w:suppressAutoHyphens/>
      </w:pPr>
      <w:r w:rsidRPr="006320B0">
        <w:t>Spoel geneesmiddelen niet door de gootsteen of de WC en gooi ze niet in de vuilnisbak. Vraag uw apotheker wat u met geneesmiddelen moet doen die u niet meer gebruikt. Ze worden dan op een verantwoorde manier vernietigd en komen niet in het milieu terecht.</w:t>
      </w:r>
    </w:p>
    <w:p w14:paraId="6007B073" w14:textId="77777777" w:rsidR="00951F81" w:rsidRPr="006320B0" w:rsidRDefault="00951F81" w:rsidP="00840536">
      <w:pPr>
        <w:widowControl w:val="0"/>
        <w:tabs>
          <w:tab w:val="clear" w:pos="567"/>
        </w:tabs>
        <w:suppressAutoHyphens/>
      </w:pPr>
    </w:p>
    <w:p w14:paraId="22090339" w14:textId="77777777" w:rsidR="00951F81" w:rsidRPr="006320B0" w:rsidRDefault="00951F81" w:rsidP="00840536">
      <w:pPr>
        <w:widowControl w:val="0"/>
        <w:tabs>
          <w:tab w:val="clear" w:pos="567"/>
        </w:tabs>
        <w:suppressAutoHyphens/>
      </w:pPr>
    </w:p>
    <w:p w14:paraId="4ECD5435" w14:textId="77777777" w:rsidR="00951F81" w:rsidRPr="006320B0" w:rsidRDefault="00951F81" w:rsidP="00840536">
      <w:pPr>
        <w:widowControl w:val="0"/>
        <w:tabs>
          <w:tab w:val="clear" w:pos="567"/>
        </w:tabs>
        <w:suppressAutoHyphens/>
        <w:ind w:left="567" w:hanging="567"/>
        <w:rPr>
          <w:b/>
        </w:rPr>
      </w:pPr>
      <w:r w:rsidRPr="006320B0">
        <w:rPr>
          <w:b/>
        </w:rPr>
        <w:t>6.</w:t>
      </w:r>
      <w:r w:rsidRPr="006320B0">
        <w:rPr>
          <w:b/>
        </w:rPr>
        <w:tab/>
        <w:t>Inhoud van de verpakking en overige informatie</w:t>
      </w:r>
    </w:p>
    <w:p w14:paraId="36245F6E" w14:textId="77777777" w:rsidR="00951F81" w:rsidRPr="006320B0" w:rsidRDefault="00951F81" w:rsidP="00840536">
      <w:pPr>
        <w:widowControl w:val="0"/>
        <w:suppressAutoHyphens/>
      </w:pPr>
    </w:p>
    <w:p w14:paraId="2C6DC133" w14:textId="77777777" w:rsidR="00951F81" w:rsidRPr="006320B0" w:rsidRDefault="00951F81" w:rsidP="00840536">
      <w:pPr>
        <w:widowControl w:val="0"/>
        <w:tabs>
          <w:tab w:val="clear" w:pos="567"/>
        </w:tabs>
        <w:suppressAutoHyphens/>
        <w:rPr>
          <w:b/>
          <w:bCs/>
        </w:rPr>
      </w:pPr>
      <w:r w:rsidRPr="006320B0">
        <w:rPr>
          <w:b/>
        </w:rPr>
        <w:t>Welke stoffen zitten er in dit middel?</w:t>
      </w:r>
    </w:p>
    <w:p w14:paraId="09998AE3" w14:textId="77777777" w:rsidR="00951F81" w:rsidRPr="006320B0" w:rsidRDefault="00951F81" w:rsidP="00840536">
      <w:pPr>
        <w:widowControl w:val="0"/>
        <w:suppressAutoHyphens/>
      </w:pPr>
    </w:p>
    <w:p w14:paraId="6271D345" w14:textId="77777777" w:rsidR="00951F81" w:rsidRPr="006320B0" w:rsidRDefault="00951F81" w:rsidP="00840536">
      <w:pPr>
        <w:widowControl w:val="0"/>
        <w:numPr>
          <w:ilvl w:val="0"/>
          <w:numId w:val="56"/>
        </w:numPr>
        <w:suppressAutoHyphens/>
        <w:ind w:left="567" w:hanging="567"/>
      </w:pPr>
      <w:r w:rsidRPr="006320B0">
        <w:t>De werkzame stof in dit middel is denosumab. Elke 1 ml voorgevulde spuit bevat 60 mg denosumab (60 mg/ml).</w:t>
      </w:r>
    </w:p>
    <w:p w14:paraId="43C2EFBC" w14:textId="359A6739" w:rsidR="00951F81" w:rsidRPr="006320B0" w:rsidRDefault="00951F81" w:rsidP="00840536">
      <w:pPr>
        <w:widowControl w:val="0"/>
        <w:numPr>
          <w:ilvl w:val="0"/>
          <w:numId w:val="56"/>
        </w:numPr>
        <w:suppressAutoHyphens/>
        <w:ind w:left="567" w:hanging="567"/>
      </w:pPr>
      <w:r w:rsidRPr="006320B0">
        <w:t xml:space="preserve">De andere stoffen in dit middel zijn </w:t>
      </w:r>
      <w:r w:rsidR="008E037B" w:rsidRPr="006320B0">
        <w:t>L-histidine, L-histidinemonohydrochloridemonohydraat, sucrose, poloxameer 188</w:t>
      </w:r>
      <w:r w:rsidRPr="006320B0">
        <w:t>en water voor injecties.</w:t>
      </w:r>
    </w:p>
    <w:p w14:paraId="2873C7D4" w14:textId="77777777" w:rsidR="00951F81" w:rsidRPr="006320B0" w:rsidRDefault="00951F81" w:rsidP="00840536">
      <w:pPr>
        <w:widowControl w:val="0"/>
        <w:suppressAutoHyphens/>
        <w:ind w:right="-2"/>
      </w:pPr>
    </w:p>
    <w:p w14:paraId="7CC5E342" w14:textId="47B4C7FE" w:rsidR="00951F81" w:rsidRPr="006320B0" w:rsidRDefault="00951F81" w:rsidP="00840536">
      <w:pPr>
        <w:widowControl w:val="0"/>
        <w:tabs>
          <w:tab w:val="clear" w:pos="567"/>
        </w:tabs>
        <w:suppressAutoHyphens/>
        <w:rPr>
          <w:b/>
          <w:bCs/>
        </w:rPr>
      </w:pPr>
      <w:r w:rsidRPr="006320B0">
        <w:rPr>
          <w:b/>
        </w:rPr>
        <w:t xml:space="preserve">Hoe ziet </w:t>
      </w:r>
      <w:r w:rsidR="00D50235" w:rsidRPr="006320B0">
        <w:rPr>
          <w:b/>
        </w:rPr>
        <w:t>Kefdensis</w:t>
      </w:r>
      <w:r w:rsidRPr="006320B0">
        <w:rPr>
          <w:b/>
        </w:rPr>
        <w:t xml:space="preserve"> eruit en hoeveel zit er in een verpakking?</w:t>
      </w:r>
    </w:p>
    <w:p w14:paraId="4EAC539C" w14:textId="77777777" w:rsidR="00951F81" w:rsidRPr="006320B0" w:rsidRDefault="00951F81" w:rsidP="00840536">
      <w:pPr>
        <w:widowControl w:val="0"/>
        <w:suppressAutoHyphens/>
      </w:pPr>
    </w:p>
    <w:p w14:paraId="44107298" w14:textId="7D694332" w:rsidR="00951F81" w:rsidRPr="006320B0" w:rsidRDefault="00D50235" w:rsidP="00840536">
      <w:pPr>
        <w:widowControl w:val="0"/>
        <w:tabs>
          <w:tab w:val="clear" w:pos="567"/>
        </w:tabs>
        <w:suppressAutoHyphens/>
      </w:pPr>
      <w:r w:rsidRPr="006320B0">
        <w:t>Kefdensis</w:t>
      </w:r>
      <w:r w:rsidR="00951F81" w:rsidRPr="006320B0">
        <w:t xml:space="preserve"> is een heldere, kleurloze tot lichtgele oplossing voor injectie die klaar voor gebruik wordt geleverd in een voorgevulde spuit.</w:t>
      </w:r>
    </w:p>
    <w:p w14:paraId="460912C6" w14:textId="77777777" w:rsidR="00951F81" w:rsidRPr="006320B0" w:rsidRDefault="00951F81" w:rsidP="00840536">
      <w:pPr>
        <w:widowControl w:val="0"/>
        <w:tabs>
          <w:tab w:val="clear" w:pos="567"/>
        </w:tabs>
        <w:suppressAutoHyphens/>
      </w:pPr>
    </w:p>
    <w:p w14:paraId="652222CC" w14:textId="77777777" w:rsidR="00951F81" w:rsidRPr="006320B0" w:rsidRDefault="00951F81" w:rsidP="00840536">
      <w:pPr>
        <w:widowControl w:val="0"/>
        <w:tabs>
          <w:tab w:val="clear" w:pos="567"/>
        </w:tabs>
        <w:suppressAutoHyphens/>
      </w:pPr>
      <w:r w:rsidRPr="006320B0">
        <w:t>Elke verpakking bevat één voorgevulde spuit met een naaldbeschermer.</w:t>
      </w:r>
    </w:p>
    <w:p w14:paraId="4C312141" w14:textId="77777777" w:rsidR="00951F81" w:rsidRPr="006320B0" w:rsidRDefault="00951F81" w:rsidP="00840536">
      <w:pPr>
        <w:widowControl w:val="0"/>
        <w:tabs>
          <w:tab w:val="clear" w:pos="567"/>
        </w:tabs>
        <w:suppressAutoHyphens/>
      </w:pPr>
    </w:p>
    <w:p w14:paraId="13D59CB3" w14:textId="28738436" w:rsidR="00951F81" w:rsidRPr="006320B0" w:rsidRDefault="00951F81" w:rsidP="00840536">
      <w:pPr>
        <w:widowControl w:val="0"/>
        <w:tabs>
          <w:tab w:val="clear" w:pos="567"/>
        </w:tabs>
        <w:suppressAutoHyphens/>
        <w:rPr>
          <w:b/>
          <w:bCs/>
        </w:rPr>
      </w:pPr>
      <w:r w:rsidRPr="006320B0">
        <w:rPr>
          <w:b/>
        </w:rPr>
        <w:t xml:space="preserve">Houder van de vergunning voor het in de handel brengen </w:t>
      </w:r>
    </w:p>
    <w:p w14:paraId="79C902AE" w14:textId="77777777" w:rsidR="008E037B" w:rsidRPr="00DE1F94" w:rsidRDefault="008E037B" w:rsidP="008E037B">
      <w:pPr>
        <w:rPr>
          <w:lang w:val="de-DE"/>
        </w:rPr>
      </w:pPr>
      <w:r w:rsidRPr="00DE1F94">
        <w:rPr>
          <w:lang w:val="de-DE"/>
        </w:rPr>
        <w:t>STADA Arzneimittel AG</w:t>
      </w:r>
    </w:p>
    <w:p w14:paraId="2F78D8F4" w14:textId="77777777" w:rsidR="008E037B" w:rsidRPr="00DE1F94" w:rsidRDefault="008E037B" w:rsidP="008E037B">
      <w:pPr>
        <w:rPr>
          <w:lang w:val="de-DE"/>
        </w:rPr>
      </w:pPr>
      <w:r w:rsidRPr="00DE1F94">
        <w:rPr>
          <w:lang w:val="de-DE"/>
        </w:rPr>
        <w:t>Stadastrasse 2–18</w:t>
      </w:r>
    </w:p>
    <w:p w14:paraId="4A27D957" w14:textId="77777777" w:rsidR="008E037B" w:rsidRPr="00DE1F94" w:rsidRDefault="008E037B" w:rsidP="008E037B">
      <w:pPr>
        <w:rPr>
          <w:lang w:val="de-DE"/>
        </w:rPr>
      </w:pPr>
      <w:r w:rsidRPr="00DE1F94">
        <w:rPr>
          <w:lang w:val="de-DE"/>
        </w:rPr>
        <w:t>61118 Bad Vilbel</w:t>
      </w:r>
    </w:p>
    <w:p w14:paraId="75C9AA21" w14:textId="77777777" w:rsidR="008E037B" w:rsidRPr="006320B0" w:rsidRDefault="008E037B" w:rsidP="008E037B">
      <w:r w:rsidRPr="006320B0">
        <w:t>Duitsland</w:t>
      </w:r>
    </w:p>
    <w:p w14:paraId="3A58D8C1" w14:textId="77777777" w:rsidR="00951F81" w:rsidRPr="006320B0" w:rsidRDefault="00951F81" w:rsidP="00840536">
      <w:pPr>
        <w:widowControl w:val="0"/>
        <w:tabs>
          <w:tab w:val="clear" w:pos="567"/>
        </w:tabs>
        <w:suppressAutoHyphens/>
      </w:pPr>
    </w:p>
    <w:p w14:paraId="7D803209" w14:textId="77777777" w:rsidR="00951F81" w:rsidRPr="006320B0" w:rsidRDefault="00951F81" w:rsidP="00840536">
      <w:pPr>
        <w:widowControl w:val="0"/>
        <w:suppressAutoHyphens/>
        <w:autoSpaceDE w:val="0"/>
        <w:autoSpaceDN w:val="0"/>
        <w:adjustRightInd w:val="0"/>
        <w:rPr>
          <w:b/>
          <w:bCs/>
        </w:rPr>
      </w:pPr>
      <w:r w:rsidRPr="006320B0">
        <w:rPr>
          <w:b/>
        </w:rPr>
        <w:t>Fabrikant</w:t>
      </w:r>
    </w:p>
    <w:p w14:paraId="5490B7C9" w14:textId="77777777" w:rsidR="008E037B" w:rsidRPr="006320B0" w:rsidRDefault="008E037B" w:rsidP="008E037B">
      <w:r w:rsidRPr="006320B0">
        <w:t>Alvotech hf</w:t>
      </w:r>
    </w:p>
    <w:p w14:paraId="4EE78757" w14:textId="77777777" w:rsidR="008E037B" w:rsidRPr="006320B0" w:rsidRDefault="008E037B" w:rsidP="008E037B">
      <w:r w:rsidRPr="006320B0">
        <w:t>Sæmundargata 15-19</w:t>
      </w:r>
    </w:p>
    <w:p w14:paraId="233FEEF9" w14:textId="77777777" w:rsidR="008E037B" w:rsidRPr="006320B0" w:rsidRDefault="008E037B" w:rsidP="008E037B">
      <w:r w:rsidRPr="006320B0">
        <w:t>102 Reykjavik</w:t>
      </w:r>
    </w:p>
    <w:p w14:paraId="66BF7C2E" w14:textId="77777777" w:rsidR="008E037B" w:rsidRPr="006320B0" w:rsidRDefault="008E037B" w:rsidP="008E037B">
      <w:r w:rsidRPr="006320B0">
        <w:t>IJsland</w:t>
      </w:r>
    </w:p>
    <w:p w14:paraId="77342623" w14:textId="77777777" w:rsidR="00CA4F66" w:rsidRDefault="00CA4F66" w:rsidP="00CA4F66">
      <w:pPr>
        <w:numPr>
          <w:ilvl w:val="12"/>
          <w:numId w:val="0"/>
        </w:numPr>
        <w:tabs>
          <w:tab w:val="clear" w:pos="567"/>
        </w:tabs>
        <w:rPr>
          <w:ins w:id="19" w:author="Author" w:date="2026-02-17T11:24:00Z" w16du:dateUtc="2026-02-17T10:24:00Z"/>
        </w:rPr>
      </w:pPr>
    </w:p>
    <w:p w14:paraId="26A813F6" w14:textId="77777777" w:rsidR="00CA4F66" w:rsidRPr="00D27C9B" w:rsidRDefault="00CA4F66" w:rsidP="00CA4F66">
      <w:pPr>
        <w:rPr>
          <w:ins w:id="20" w:author="Author" w:date="2026-02-17T11:24:00Z" w16du:dateUtc="2026-02-17T10:24:00Z"/>
          <w:highlight w:val="lightGray"/>
          <w:lang w:val="de-DE"/>
        </w:rPr>
      </w:pPr>
      <w:ins w:id="21" w:author="Author" w:date="2026-02-17T11:24:00Z" w16du:dateUtc="2026-02-17T10:24:00Z">
        <w:r w:rsidRPr="00D27C9B">
          <w:rPr>
            <w:highlight w:val="lightGray"/>
            <w:lang w:val="de-DE"/>
          </w:rPr>
          <w:t>STADA Arzneimittel AG</w:t>
        </w:r>
      </w:ins>
    </w:p>
    <w:p w14:paraId="191298F7" w14:textId="77777777" w:rsidR="00CA4F66" w:rsidRPr="00D27C9B" w:rsidRDefault="00CA4F66" w:rsidP="00CA4F66">
      <w:pPr>
        <w:rPr>
          <w:ins w:id="22" w:author="Author" w:date="2026-02-17T11:24:00Z" w16du:dateUtc="2026-02-17T10:24:00Z"/>
          <w:highlight w:val="lightGray"/>
          <w:lang w:val="de-DE"/>
        </w:rPr>
      </w:pPr>
      <w:ins w:id="23" w:author="Author" w:date="2026-02-17T11:24:00Z" w16du:dateUtc="2026-02-17T10:24:00Z">
        <w:r w:rsidRPr="00D27C9B">
          <w:rPr>
            <w:highlight w:val="lightGray"/>
            <w:lang w:val="de-DE"/>
          </w:rPr>
          <w:t>Stadastrasse 2–18</w:t>
        </w:r>
      </w:ins>
    </w:p>
    <w:p w14:paraId="7982F1FA" w14:textId="77777777" w:rsidR="00CA4F66" w:rsidRPr="00D27C9B" w:rsidRDefault="00CA4F66" w:rsidP="00CA4F66">
      <w:pPr>
        <w:rPr>
          <w:ins w:id="24" w:author="Author" w:date="2026-02-17T11:24:00Z" w16du:dateUtc="2026-02-17T10:24:00Z"/>
          <w:highlight w:val="lightGray"/>
          <w:lang w:val="de-DE"/>
        </w:rPr>
      </w:pPr>
      <w:ins w:id="25" w:author="Author" w:date="2026-02-17T11:24:00Z" w16du:dateUtc="2026-02-17T10:24:00Z">
        <w:r w:rsidRPr="00D27C9B">
          <w:rPr>
            <w:highlight w:val="lightGray"/>
            <w:lang w:val="de-DE"/>
          </w:rPr>
          <w:t>61118 Bad Vilbel</w:t>
        </w:r>
      </w:ins>
    </w:p>
    <w:p w14:paraId="2F89F124" w14:textId="77777777" w:rsidR="00CA4F66" w:rsidRDefault="00CA4F66" w:rsidP="00CA4F66">
      <w:pPr>
        <w:numPr>
          <w:ilvl w:val="12"/>
          <w:numId w:val="0"/>
        </w:numPr>
        <w:tabs>
          <w:tab w:val="clear" w:pos="567"/>
        </w:tabs>
        <w:rPr>
          <w:ins w:id="26" w:author="Author" w:date="2026-02-17T11:24:00Z" w16du:dateUtc="2026-02-17T10:24:00Z"/>
        </w:rPr>
      </w:pPr>
      <w:ins w:id="27" w:author="Author" w:date="2026-02-17T11:24:00Z" w16du:dateUtc="2026-02-17T10:24:00Z">
        <w:r w:rsidRPr="00D27C9B">
          <w:rPr>
            <w:highlight w:val="lightGray"/>
          </w:rPr>
          <w:t>Duitsland</w:t>
        </w:r>
      </w:ins>
    </w:p>
    <w:p w14:paraId="35207DD6" w14:textId="77777777" w:rsidR="00951F81" w:rsidRPr="006320B0" w:rsidRDefault="00951F81" w:rsidP="00840536">
      <w:pPr>
        <w:widowControl w:val="0"/>
        <w:tabs>
          <w:tab w:val="clear" w:pos="567"/>
        </w:tabs>
        <w:suppressAutoHyphens/>
      </w:pPr>
    </w:p>
    <w:p w14:paraId="3A8857F4" w14:textId="77777777" w:rsidR="00951F81" w:rsidRPr="006320B0" w:rsidRDefault="00951F81" w:rsidP="00840536">
      <w:pPr>
        <w:widowControl w:val="0"/>
        <w:tabs>
          <w:tab w:val="clear" w:pos="567"/>
        </w:tabs>
        <w:suppressAutoHyphens/>
      </w:pPr>
      <w:r w:rsidRPr="006320B0">
        <w:t>Neem voor alle informatie over dit geneesmiddel contact op met de lokale vertegenwoordiger van de houder van de vergunning voor het in de handel brengen:</w:t>
      </w:r>
    </w:p>
    <w:p w14:paraId="1BA303FC" w14:textId="77777777" w:rsidR="00951F81" w:rsidRPr="006320B0" w:rsidRDefault="00951F81" w:rsidP="00840536">
      <w:pPr>
        <w:widowControl w:val="0"/>
        <w:tabs>
          <w:tab w:val="clear" w:pos="567"/>
        </w:tabs>
        <w:suppressAutoHyphens/>
      </w:pPr>
    </w:p>
    <w:tbl>
      <w:tblPr>
        <w:tblW w:w="9356" w:type="dxa"/>
        <w:tblInd w:w="-34" w:type="dxa"/>
        <w:tblLayout w:type="fixed"/>
        <w:tblLook w:val="0000" w:firstRow="0" w:lastRow="0" w:firstColumn="0" w:lastColumn="0" w:noHBand="0" w:noVBand="0"/>
      </w:tblPr>
      <w:tblGrid>
        <w:gridCol w:w="4678"/>
        <w:gridCol w:w="4678"/>
      </w:tblGrid>
      <w:tr w:rsidR="00951F81" w:rsidRPr="006320B0" w14:paraId="549C7A1E" w14:textId="77777777" w:rsidTr="056E3BCB">
        <w:trPr>
          <w:cantSplit/>
          <w:trHeight w:val="57"/>
        </w:trPr>
        <w:tc>
          <w:tcPr>
            <w:tcW w:w="4678" w:type="dxa"/>
          </w:tcPr>
          <w:p w14:paraId="57DC93F1" w14:textId="77777777" w:rsidR="00951F81" w:rsidRPr="006320B0" w:rsidRDefault="00951F81" w:rsidP="00840536">
            <w:pPr>
              <w:widowControl w:val="0"/>
              <w:suppressAutoHyphens/>
              <w:rPr>
                <w:b/>
                <w:bCs/>
              </w:rPr>
            </w:pPr>
            <w:r w:rsidRPr="006320B0">
              <w:rPr>
                <w:b/>
              </w:rPr>
              <w:t>België/Belgique/Belgien</w:t>
            </w:r>
          </w:p>
          <w:p w14:paraId="5B0BD39D" w14:textId="77777777" w:rsidR="008E037B" w:rsidRPr="006320B0" w:rsidRDefault="008E037B" w:rsidP="00B4732D">
            <w:pPr>
              <w:rPr>
                <w:rFonts w:eastAsia="Times New Roman"/>
                <w:color w:val="000000"/>
                <w:szCs w:val="20"/>
              </w:rPr>
            </w:pPr>
            <w:r w:rsidRPr="006320B0">
              <w:rPr>
                <w:rFonts w:eastAsia="Times New Roman"/>
                <w:color w:val="000000"/>
                <w:szCs w:val="20"/>
              </w:rPr>
              <w:t xml:space="preserve">EG </w:t>
            </w:r>
            <w:r w:rsidRPr="006320B0">
              <w:rPr>
                <w:rFonts w:eastAsia="Times New Roman"/>
                <w:szCs w:val="20"/>
                <w:lang w:eastAsia="hu-HU"/>
              </w:rPr>
              <w:t>(Eurogenerics) NV</w:t>
            </w:r>
          </w:p>
          <w:p w14:paraId="430F2AF3" w14:textId="2378DD6C" w:rsidR="00951F81" w:rsidRPr="006320B0" w:rsidRDefault="00951F81" w:rsidP="00840536">
            <w:pPr>
              <w:widowControl w:val="0"/>
              <w:suppressAutoHyphens/>
            </w:pPr>
            <w:r w:rsidRPr="006320B0">
              <w:t xml:space="preserve">Tél/Tel: +32 </w:t>
            </w:r>
            <w:r w:rsidR="008E037B" w:rsidRPr="006320B0">
              <w:rPr>
                <w:rFonts w:eastAsia="Times New Roman"/>
                <w:color w:val="000000"/>
                <w:szCs w:val="20"/>
              </w:rPr>
              <w:t>24797878</w:t>
            </w:r>
          </w:p>
          <w:p w14:paraId="37EF71BD" w14:textId="77777777" w:rsidR="00951F81" w:rsidRPr="006320B0" w:rsidRDefault="00951F81" w:rsidP="00840536">
            <w:pPr>
              <w:widowControl w:val="0"/>
              <w:suppressAutoHyphens/>
            </w:pPr>
          </w:p>
        </w:tc>
        <w:tc>
          <w:tcPr>
            <w:tcW w:w="4678" w:type="dxa"/>
          </w:tcPr>
          <w:p w14:paraId="77EB21BE" w14:textId="77777777" w:rsidR="00951F81" w:rsidRPr="006320B0" w:rsidRDefault="00951F81" w:rsidP="00840536">
            <w:pPr>
              <w:widowControl w:val="0"/>
              <w:suppressAutoHyphens/>
              <w:rPr>
                <w:b/>
                <w:bCs/>
              </w:rPr>
            </w:pPr>
            <w:r w:rsidRPr="006320B0">
              <w:rPr>
                <w:b/>
              </w:rPr>
              <w:t>Lietuva</w:t>
            </w:r>
          </w:p>
          <w:p w14:paraId="061BBB5B" w14:textId="77777777" w:rsidR="008E037B" w:rsidRPr="006320B0" w:rsidRDefault="008E037B" w:rsidP="00B4732D">
            <w:pPr>
              <w:autoSpaceDE w:val="0"/>
              <w:autoSpaceDN w:val="0"/>
              <w:adjustRightInd w:val="0"/>
              <w:rPr>
                <w:rFonts w:eastAsia="Times New Roman"/>
                <w:color w:val="000000"/>
                <w:szCs w:val="20"/>
              </w:rPr>
            </w:pPr>
            <w:r w:rsidRPr="006320B0">
              <w:rPr>
                <w:rFonts w:eastAsia="Times New Roman"/>
                <w:color w:val="000000"/>
                <w:szCs w:val="20"/>
              </w:rPr>
              <w:t>UAB „STADA Baltics“</w:t>
            </w:r>
          </w:p>
          <w:p w14:paraId="0047131D" w14:textId="3B819E4A" w:rsidR="00951F81" w:rsidRPr="006320B0" w:rsidRDefault="00951F81" w:rsidP="00840536">
            <w:pPr>
              <w:widowControl w:val="0"/>
              <w:suppressAutoHyphens/>
            </w:pPr>
            <w:r w:rsidRPr="006320B0">
              <w:t>Tel: +370</w:t>
            </w:r>
            <w:r w:rsidR="008E037B" w:rsidRPr="006320B0">
              <w:rPr>
                <w:color w:val="000000"/>
              </w:rPr>
              <w:t xml:space="preserve"> </w:t>
            </w:r>
            <w:r w:rsidR="008E037B" w:rsidRPr="006320B0">
              <w:rPr>
                <w:rFonts w:eastAsia="Times New Roman"/>
                <w:color w:val="000000"/>
                <w:szCs w:val="20"/>
              </w:rPr>
              <w:t>52603926</w:t>
            </w:r>
          </w:p>
          <w:p w14:paraId="41B4EAB2" w14:textId="77777777" w:rsidR="00951F81" w:rsidRPr="006320B0" w:rsidRDefault="00951F81" w:rsidP="00840536">
            <w:pPr>
              <w:widowControl w:val="0"/>
              <w:suppressAutoHyphens/>
            </w:pPr>
          </w:p>
        </w:tc>
      </w:tr>
      <w:tr w:rsidR="00951F81" w:rsidRPr="00860989" w14:paraId="03C40636" w14:textId="77777777" w:rsidTr="056E3BCB">
        <w:trPr>
          <w:cantSplit/>
          <w:trHeight w:val="57"/>
        </w:trPr>
        <w:tc>
          <w:tcPr>
            <w:tcW w:w="4678" w:type="dxa"/>
          </w:tcPr>
          <w:p w14:paraId="1205B5C1" w14:textId="77777777" w:rsidR="00951F81" w:rsidRPr="00DE1F94" w:rsidRDefault="00951F81" w:rsidP="00840536">
            <w:pPr>
              <w:widowControl w:val="0"/>
              <w:suppressAutoHyphens/>
              <w:rPr>
                <w:b/>
                <w:bCs/>
                <w:lang w:val="es-ES"/>
              </w:rPr>
            </w:pPr>
            <w:r w:rsidRPr="006320B0">
              <w:rPr>
                <w:b/>
              </w:rPr>
              <w:t>България</w:t>
            </w:r>
          </w:p>
          <w:p w14:paraId="259EF234" w14:textId="77777777" w:rsidR="008E037B" w:rsidRPr="00DE1F94" w:rsidRDefault="008E037B" w:rsidP="00B4732D">
            <w:pPr>
              <w:autoSpaceDE w:val="0"/>
              <w:autoSpaceDN w:val="0"/>
              <w:adjustRightInd w:val="0"/>
              <w:rPr>
                <w:rFonts w:eastAsia="Times New Roman"/>
                <w:color w:val="000000"/>
                <w:szCs w:val="20"/>
                <w:lang w:val="es-ES"/>
              </w:rPr>
            </w:pPr>
            <w:r w:rsidRPr="00DE1F94">
              <w:rPr>
                <w:rFonts w:eastAsia="Times New Roman"/>
                <w:color w:val="000000"/>
                <w:szCs w:val="20"/>
                <w:lang w:val="es-ES"/>
              </w:rPr>
              <w:t>STADA Bulgaria EOOD</w:t>
            </w:r>
          </w:p>
          <w:p w14:paraId="11C6F233" w14:textId="2E32728D" w:rsidR="00951F81" w:rsidRPr="00DE1F94" w:rsidRDefault="008E037B" w:rsidP="00840536">
            <w:pPr>
              <w:widowControl w:val="0"/>
              <w:suppressAutoHyphens/>
              <w:rPr>
                <w:lang w:val="es-ES"/>
              </w:rPr>
            </w:pPr>
            <w:r w:rsidRPr="00DE1F94">
              <w:rPr>
                <w:rFonts w:eastAsia="Times New Roman"/>
                <w:color w:val="000000"/>
                <w:szCs w:val="20"/>
                <w:lang w:val="es-ES"/>
              </w:rPr>
              <w:t>Te</w:t>
            </w:r>
            <w:r w:rsidRPr="006320B0">
              <w:rPr>
                <w:rFonts w:eastAsia="Times New Roman"/>
                <w:color w:val="000000"/>
                <w:szCs w:val="20"/>
              </w:rPr>
              <w:t>л</w:t>
            </w:r>
            <w:r w:rsidR="00951F81" w:rsidRPr="00DE1F94">
              <w:rPr>
                <w:lang w:val="es-ES"/>
              </w:rPr>
              <w:t>.: +359</w:t>
            </w:r>
            <w:r w:rsidRPr="00DE1F94">
              <w:rPr>
                <w:color w:val="000000"/>
                <w:lang w:val="es-ES"/>
              </w:rPr>
              <w:t xml:space="preserve"> </w:t>
            </w:r>
            <w:r w:rsidRPr="00DE1F94">
              <w:rPr>
                <w:rFonts w:eastAsia="Times New Roman"/>
                <w:color w:val="000000"/>
                <w:szCs w:val="20"/>
                <w:lang w:val="es-ES"/>
              </w:rPr>
              <w:t>29624626</w:t>
            </w:r>
          </w:p>
          <w:p w14:paraId="1846471A" w14:textId="77777777" w:rsidR="00951F81" w:rsidRPr="00DE1F94" w:rsidRDefault="00951F81" w:rsidP="00840536">
            <w:pPr>
              <w:widowControl w:val="0"/>
              <w:suppressAutoHyphens/>
              <w:rPr>
                <w:lang w:val="es-ES"/>
              </w:rPr>
            </w:pPr>
          </w:p>
        </w:tc>
        <w:tc>
          <w:tcPr>
            <w:tcW w:w="4678" w:type="dxa"/>
          </w:tcPr>
          <w:p w14:paraId="5B22779B" w14:textId="77777777" w:rsidR="00951F81" w:rsidRPr="00DE1F94" w:rsidRDefault="00951F81" w:rsidP="00840536">
            <w:pPr>
              <w:widowControl w:val="0"/>
              <w:suppressAutoHyphens/>
              <w:rPr>
                <w:b/>
                <w:bCs/>
                <w:lang w:val="de-DE"/>
              </w:rPr>
            </w:pPr>
            <w:r w:rsidRPr="00DE1F94">
              <w:rPr>
                <w:b/>
                <w:lang w:val="de-DE"/>
              </w:rPr>
              <w:t>Luxembourg/Luxemburg</w:t>
            </w:r>
          </w:p>
          <w:p w14:paraId="35208C30" w14:textId="77777777" w:rsidR="008E037B" w:rsidRPr="00DE1F94" w:rsidRDefault="008E037B" w:rsidP="00B4732D">
            <w:pPr>
              <w:suppressAutoHyphens/>
              <w:rPr>
                <w:rFonts w:eastAsia="Times New Roman"/>
                <w:color w:val="000000"/>
                <w:szCs w:val="20"/>
                <w:lang w:val="de-DE"/>
              </w:rPr>
            </w:pPr>
            <w:r w:rsidRPr="00DE1F94">
              <w:rPr>
                <w:rFonts w:eastAsia="Times New Roman"/>
                <w:color w:val="000000"/>
                <w:szCs w:val="20"/>
                <w:lang w:val="de-DE"/>
              </w:rPr>
              <w:t>EG (Eurogenerics) NV</w:t>
            </w:r>
          </w:p>
          <w:p w14:paraId="2A019875" w14:textId="01536F75" w:rsidR="00951F81" w:rsidRPr="00DE1F94" w:rsidRDefault="00951F81" w:rsidP="00840536">
            <w:pPr>
              <w:widowControl w:val="0"/>
              <w:suppressAutoHyphens/>
              <w:rPr>
                <w:lang w:val="de-DE"/>
              </w:rPr>
            </w:pPr>
            <w:r w:rsidRPr="00DE1F94">
              <w:rPr>
                <w:lang w:val="de-DE"/>
              </w:rPr>
              <w:t xml:space="preserve">Tél/Tel: +32 </w:t>
            </w:r>
            <w:r w:rsidR="008E037B" w:rsidRPr="00DE1F94">
              <w:rPr>
                <w:rFonts w:eastAsia="Times New Roman"/>
                <w:color w:val="000000"/>
                <w:szCs w:val="20"/>
                <w:lang w:val="de-DE"/>
              </w:rPr>
              <w:t>24797878</w:t>
            </w:r>
          </w:p>
          <w:p w14:paraId="1A427D0C" w14:textId="77777777" w:rsidR="00951F81" w:rsidRPr="00DE1F94" w:rsidRDefault="00951F81" w:rsidP="00840536">
            <w:pPr>
              <w:widowControl w:val="0"/>
              <w:suppressAutoHyphens/>
              <w:rPr>
                <w:bCs/>
                <w:lang w:val="de-DE"/>
              </w:rPr>
            </w:pPr>
          </w:p>
        </w:tc>
      </w:tr>
      <w:tr w:rsidR="00951F81" w:rsidRPr="006320B0" w14:paraId="0DEA06E7" w14:textId="77777777" w:rsidTr="056E3BCB">
        <w:trPr>
          <w:cantSplit/>
          <w:trHeight w:val="57"/>
        </w:trPr>
        <w:tc>
          <w:tcPr>
            <w:tcW w:w="4678" w:type="dxa"/>
          </w:tcPr>
          <w:p w14:paraId="122EF8B9" w14:textId="77777777" w:rsidR="00951F81" w:rsidRPr="001E6F05" w:rsidRDefault="00951F81" w:rsidP="00840536">
            <w:pPr>
              <w:widowControl w:val="0"/>
              <w:suppressAutoHyphens/>
              <w:rPr>
                <w:b/>
                <w:bCs/>
                <w:lang w:val="pl-PL"/>
                <w:rPrChange w:id="28" w:author="Author" w:date="2026-02-17T11:22:00Z" w16du:dateUtc="2026-02-17T10:22:00Z">
                  <w:rPr>
                    <w:b/>
                    <w:bCs/>
                    <w:lang w:val="de-DE"/>
                  </w:rPr>
                </w:rPrChange>
              </w:rPr>
            </w:pPr>
            <w:r w:rsidRPr="001E6F05">
              <w:rPr>
                <w:b/>
                <w:lang w:val="pl-PL"/>
                <w:rPrChange w:id="29" w:author="Author" w:date="2026-02-17T11:22:00Z" w16du:dateUtc="2026-02-17T10:22:00Z">
                  <w:rPr>
                    <w:b/>
                    <w:lang w:val="de-DE"/>
                  </w:rPr>
                </w:rPrChange>
              </w:rPr>
              <w:t>Česká republika</w:t>
            </w:r>
          </w:p>
          <w:p w14:paraId="2F08800A" w14:textId="78E786BC" w:rsidR="00951F81" w:rsidRPr="001E6F05" w:rsidRDefault="008E037B" w:rsidP="00840536">
            <w:pPr>
              <w:widowControl w:val="0"/>
              <w:suppressAutoHyphens/>
              <w:rPr>
                <w:lang w:val="pl-PL"/>
                <w:rPrChange w:id="30" w:author="Author" w:date="2026-02-17T11:22:00Z" w16du:dateUtc="2026-02-17T10:22:00Z">
                  <w:rPr>
                    <w:lang w:val="de-DE"/>
                  </w:rPr>
                </w:rPrChange>
              </w:rPr>
            </w:pPr>
            <w:r w:rsidRPr="001E6F05">
              <w:rPr>
                <w:rFonts w:eastAsia="Times New Roman"/>
                <w:color w:val="000000"/>
                <w:szCs w:val="20"/>
                <w:lang w:val="pl-PL"/>
                <w:rPrChange w:id="31" w:author="Author" w:date="2026-02-17T11:22:00Z" w16du:dateUtc="2026-02-17T10:22:00Z">
                  <w:rPr>
                    <w:rFonts w:eastAsia="Times New Roman"/>
                    <w:color w:val="000000"/>
                    <w:szCs w:val="20"/>
                    <w:lang w:val="de-DE"/>
                  </w:rPr>
                </w:rPrChange>
              </w:rPr>
              <w:t>STADA PHARMA CZ</w:t>
            </w:r>
            <w:r w:rsidR="00951F81" w:rsidRPr="001E6F05">
              <w:rPr>
                <w:lang w:val="pl-PL"/>
                <w:rPrChange w:id="32" w:author="Author" w:date="2026-02-17T11:22:00Z" w16du:dateUtc="2026-02-17T10:22:00Z">
                  <w:rPr>
                    <w:lang w:val="de-DE"/>
                  </w:rPr>
                </w:rPrChange>
              </w:rPr>
              <w:t xml:space="preserve"> s.r.o.</w:t>
            </w:r>
          </w:p>
          <w:p w14:paraId="7424C743" w14:textId="6528D315" w:rsidR="00951F81" w:rsidRPr="006320B0" w:rsidRDefault="00951F81" w:rsidP="00840536">
            <w:pPr>
              <w:widowControl w:val="0"/>
              <w:suppressAutoHyphens/>
            </w:pPr>
            <w:r w:rsidRPr="006320B0">
              <w:t>Tel: +420</w:t>
            </w:r>
            <w:r w:rsidR="008E037B" w:rsidRPr="006320B0">
              <w:rPr>
                <w:color w:val="000000"/>
              </w:rPr>
              <w:t xml:space="preserve"> </w:t>
            </w:r>
            <w:r w:rsidR="008E037B" w:rsidRPr="006320B0">
              <w:rPr>
                <w:rFonts w:eastAsia="Times New Roman"/>
                <w:color w:val="000000"/>
                <w:szCs w:val="20"/>
                <w:lang w:eastAsia="cs-CZ"/>
              </w:rPr>
              <w:t>257888111</w:t>
            </w:r>
          </w:p>
          <w:p w14:paraId="41FD480E" w14:textId="77777777" w:rsidR="00951F81" w:rsidRPr="006320B0" w:rsidRDefault="00951F81" w:rsidP="00840536">
            <w:pPr>
              <w:widowControl w:val="0"/>
              <w:suppressAutoHyphens/>
              <w:rPr>
                <w:bCs/>
              </w:rPr>
            </w:pPr>
          </w:p>
        </w:tc>
        <w:tc>
          <w:tcPr>
            <w:tcW w:w="4678" w:type="dxa"/>
          </w:tcPr>
          <w:p w14:paraId="2CC21E86" w14:textId="77777777" w:rsidR="00951F81" w:rsidRPr="006320B0" w:rsidRDefault="00951F81" w:rsidP="00840536">
            <w:pPr>
              <w:widowControl w:val="0"/>
              <w:suppressAutoHyphens/>
              <w:rPr>
                <w:b/>
                <w:bCs/>
              </w:rPr>
            </w:pPr>
            <w:r w:rsidRPr="006320B0">
              <w:rPr>
                <w:b/>
              </w:rPr>
              <w:t>Magyarország</w:t>
            </w:r>
          </w:p>
          <w:p w14:paraId="2E19C190" w14:textId="4E385448" w:rsidR="00951F81" w:rsidRPr="006320B0" w:rsidRDefault="008E037B" w:rsidP="00840536">
            <w:pPr>
              <w:widowControl w:val="0"/>
              <w:suppressAutoHyphens/>
            </w:pPr>
            <w:r w:rsidRPr="006320B0">
              <w:rPr>
                <w:rFonts w:eastAsia="Times New Roman"/>
                <w:color w:val="000000"/>
                <w:szCs w:val="20"/>
              </w:rPr>
              <w:t>STADA Hungary</w:t>
            </w:r>
            <w:r w:rsidR="00951F81" w:rsidRPr="006320B0">
              <w:t xml:space="preserve"> Kft</w:t>
            </w:r>
          </w:p>
          <w:p w14:paraId="2D2384B6" w14:textId="62062F30" w:rsidR="00951F81" w:rsidRPr="006320B0" w:rsidRDefault="00951F81" w:rsidP="00840536">
            <w:pPr>
              <w:widowControl w:val="0"/>
              <w:suppressAutoHyphens/>
            </w:pPr>
            <w:r w:rsidRPr="006320B0">
              <w:t>Tel.: +36</w:t>
            </w:r>
            <w:r w:rsidR="008E037B" w:rsidRPr="006320B0">
              <w:rPr>
                <w:color w:val="000000"/>
              </w:rPr>
              <w:t xml:space="preserve"> </w:t>
            </w:r>
            <w:r w:rsidR="008E037B" w:rsidRPr="006320B0">
              <w:rPr>
                <w:rFonts w:eastAsia="Times New Roman"/>
                <w:color w:val="000000"/>
                <w:szCs w:val="20"/>
              </w:rPr>
              <w:t>18009747</w:t>
            </w:r>
          </w:p>
          <w:p w14:paraId="46A6F3F6" w14:textId="77777777" w:rsidR="00951F81" w:rsidRPr="006320B0" w:rsidRDefault="00951F81" w:rsidP="00840536">
            <w:pPr>
              <w:widowControl w:val="0"/>
              <w:suppressAutoHyphens/>
            </w:pPr>
          </w:p>
        </w:tc>
      </w:tr>
      <w:tr w:rsidR="00951F81" w:rsidRPr="006320B0" w14:paraId="50E6E106" w14:textId="77777777" w:rsidTr="056E3BCB">
        <w:trPr>
          <w:cantSplit/>
          <w:trHeight w:val="57"/>
        </w:trPr>
        <w:tc>
          <w:tcPr>
            <w:tcW w:w="4678" w:type="dxa"/>
          </w:tcPr>
          <w:p w14:paraId="661779EC" w14:textId="77777777" w:rsidR="00951F81" w:rsidRPr="006320B0" w:rsidRDefault="00951F81" w:rsidP="00840536">
            <w:pPr>
              <w:widowControl w:val="0"/>
              <w:suppressAutoHyphens/>
              <w:rPr>
                <w:b/>
                <w:bCs/>
              </w:rPr>
            </w:pPr>
            <w:r w:rsidRPr="006320B0">
              <w:rPr>
                <w:b/>
              </w:rPr>
              <w:t>Danmark</w:t>
            </w:r>
          </w:p>
          <w:p w14:paraId="4F370D29" w14:textId="77777777" w:rsidR="008E037B" w:rsidRPr="006320B0" w:rsidRDefault="008E037B" w:rsidP="00B4732D">
            <w:pPr>
              <w:rPr>
                <w:rFonts w:eastAsia="Times New Roman"/>
                <w:color w:val="000000"/>
                <w:szCs w:val="20"/>
              </w:rPr>
            </w:pPr>
            <w:r w:rsidRPr="006320B0">
              <w:rPr>
                <w:rFonts w:eastAsia="Times New Roman"/>
                <w:color w:val="000000"/>
                <w:szCs w:val="20"/>
              </w:rPr>
              <w:t>STADA Nordic ApS</w:t>
            </w:r>
          </w:p>
          <w:p w14:paraId="6A9BF227" w14:textId="04D9EC99" w:rsidR="00951F81" w:rsidRPr="006320B0" w:rsidRDefault="00951F81" w:rsidP="00840536">
            <w:pPr>
              <w:widowControl w:val="0"/>
              <w:suppressAutoHyphens/>
            </w:pPr>
            <w:r w:rsidRPr="006320B0">
              <w:t>Tlf: +45</w:t>
            </w:r>
            <w:r w:rsidR="008E037B" w:rsidRPr="006320B0">
              <w:rPr>
                <w:color w:val="000000"/>
              </w:rPr>
              <w:t xml:space="preserve"> </w:t>
            </w:r>
            <w:r w:rsidR="008E037B" w:rsidRPr="006320B0">
              <w:rPr>
                <w:rFonts w:eastAsia="Times New Roman"/>
                <w:color w:val="000000"/>
                <w:szCs w:val="20"/>
              </w:rPr>
              <w:t>44859999</w:t>
            </w:r>
          </w:p>
          <w:p w14:paraId="7BA5C1C4" w14:textId="77777777" w:rsidR="00951F81" w:rsidRPr="006320B0" w:rsidRDefault="00951F81" w:rsidP="00840536">
            <w:pPr>
              <w:pStyle w:val="lbltxt"/>
              <w:widowControl w:val="0"/>
              <w:suppressAutoHyphens/>
              <w:rPr>
                <w:noProof w:val="0"/>
                <w:szCs w:val="22"/>
              </w:rPr>
            </w:pPr>
          </w:p>
        </w:tc>
        <w:tc>
          <w:tcPr>
            <w:tcW w:w="4678" w:type="dxa"/>
          </w:tcPr>
          <w:p w14:paraId="21078938" w14:textId="77777777" w:rsidR="00951F81" w:rsidRPr="006320B0" w:rsidRDefault="75EFC2D7" w:rsidP="00840536">
            <w:pPr>
              <w:widowControl w:val="0"/>
              <w:suppressAutoHyphens/>
              <w:rPr>
                <w:b/>
                <w:bCs/>
              </w:rPr>
            </w:pPr>
            <w:r w:rsidRPr="006320B0">
              <w:rPr>
                <w:b/>
                <w:bCs/>
              </w:rPr>
              <w:t>Malta</w:t>
            </w:r>
          </w:p>
          <w:p w14:paraId="3B1F8720" w14:textId="3DFAFE4C" w:rsidR="3CB8F509" w:rsidRPr="006320B0" w:rsidRDefault="3CB8F509" w:rsidP="056E3BCB">
            <w:pPr>
              <w:rPr>
                <w:rFonts w:eastAsia="Times New Roman"/>
              </w:rPr>
            </w:pPr>
            <w:r w:rsidRPr="006320B0">
              <w:rPr>
                <w:rFonts w:eastAsia="Times New Roman"/>
              </w:rPr>
              <w:t>Pharma.MT Ltd.</w:t>
            </w:r>
          </w:p>
          <w:p w14:paraId="0E034C5C" w14:textId="64ACC9E8" w:rsidR="3CB8F509" w:rsidRPr="006320B0" w:rsidRDefault="3CB8F509" w:rsidP="056E3BCB">
            <w:pPr>
              <w:widowControl w:val="0"/>
              <w:rPr>
                <w:rFonts w:eastAsia="Times New Roman"/>
              </w:rPr>
            </w:pPr>
            <w:r w:rsidRPr="006320B0">
              <w:rPr>
                <w:rFonts w:eastAsia="Times New Roman"/>
              </w:rPr>
              <w:t>Tel: + 356 21337008</w:t>
            </w:r>
          </w:p>
          <w:p w14:paraId="0F87341C" w14:textId="77777777" w:rsidR="00951F81" w:rsidRPr="006320B0" w:rsidRDefault="00951F81" w:rsidP="00840536">
            <w:pPr>
              <w:pStyle w:val="lbltxt"/>
              <w:widowControl w:val="0"/>
              <w:suppressAutoHyphens/>
              <w:rPr>
                <w:b/>
                <w:noProof w:val="0"/>
                <w:szCs w:val="22"/>
              </w:rPr>
            </w:pPr>
          </w:p>
        </w:tc>
      </w:tr>
      <w:tr w:rsidR="00951F81" w:rsidRPr="006320B0" w14:paraId="470C8F0F" w14:textId="77777777" w:rsidTr="056E3BCB">
        <w:trPr>
          <w:cantSplit/>
          <w:trHeight w:val="57"/>
        </w:trPr>
        <w:tc>
          <w:tcPr>
            <w:tcW w:w="4678" w:type="dxa"/>
          </w:tcPr>
          <w:p w14:paraId="44538EA0" w14:textId="77777777" w:rsidR="00951F81" w:rsidRPr="006320B0" w:rsidRDefault="00951F81" w:rsidP="00840536">
            <w:pPr>
              <w:widowControl w:val="0"/>
              <w:suppressAutoHyphens/>
              <w:rPr>
                <w:b/>
                <w:bCs/>
              </w:rPr>
            </w:pPr>
            <w:r w:rsidRPr="006320B0">
              <w:rPr>
                <w:b/>
              </w:rPr>
              <w:t>Deutschland</w:t>
            </w:r>
          </w:p>
          <w:p w14:paraId="54937C19" w14:textId="622F2EF9" w:rsidR="00951F81" w:rsidRPr="006320B0" w:rsidRDefault="008E037B" w:rsidP="00840536">
            <w:pPr>
              <w:widowControl w:val="0"/>
              <w:suppressAutoHyphens/>
            </w:pPr>
            <w:r w:rsidRPr="006320B0">
              <w:rPr>
                <w:rFonts w:eastAsia="Times New Roman"/>
                <w:color w:val="000000"/>
                <w:szCs w:val="20"/>
              </w:rPr>
              <w:t>STADAPHARM</w:t>
            </w:r>
            <w:r w:rsidR="00951F81" w:rsidRPr="006320B0">
              <w:t xml:space="preserve"> GmbH</w:t>
            </w:r>
          </w:p>
          <w:p w14:paraId="390C9B1B" w14:textId="31264063" w:rsidR="00951F81" w:rsidRPr="006320B0" w:rsidRDefault="00951F81" w:rsidP="00840536">
            <w:pPr>
              <w:widowControl w:val="0"/>
              <w:suppressAutoHyphens/>
            </w:pPr>
            <w:r w:rsidRPr="006320B0">
              <w:t>Tel</w:t>
            </w:r>
            <w:r w:rsidR="008E037B" w:rsidRPr="006320B0">
              <w:rPr>
                <w:rFonts w:eastAsia="Times New Roman"/>
                <w:color w:val="000000"/>
                <w:szCs w:val="20"/>
              </w:rPr>
              <w:t>:</w:t>
            </w:r>
            <w:r w:rsidRPr="006320B0">
              <w:t xml:space="preserve"> +49</w:t>
            </w:r>
            <w:r w:rsidR="008E037B" w:rsidRPr="006320B0">
              <w:rPr>
                <w:color w:val="000000"/>
              </w:rPr>
              <w:t xml:space="preserve"> </w:t>
            </w:r>
            <w:r w:rsidR="008E037B" w:rsidRPr="006320B0">
              <w:rPr>
                <w:rFonts w:eastAsia="Times New Roman"/>
                <w:color w:val="000000"/>
                <w:szCs w:val="20"/>
              </w:rPr>
              <w:t>61016030</w:t>
            </w:r>
          </w:p>
          <w:p w14:paraId="33A73459" w14:textId="77777777" w:rsidR="00951F81" w:rsidRPr="006320B0" w:rsidRDefault="00951F81" w:rsidP="00840536">
            <w:pPr>
              <w:pStyle w:val="lbltxt"/>
              <w:widowControl w:val="0"/>
              <w:suppressAutoHyphens/>
              <w:rPr>
                <w:b/>
                <w:noProof w:val="0"/>
                <w:szCs w:val="22"/>
              </w:rPr>
            </w:pPr>
          </w:p>
        </w:tc>
        <w:tc>
          <w:tcPr>
            <w:tcW w:w="4678" w:type="dxa"/>
          </w:tcPr>
          <w:p w14:paraId="3090167F" w14:textId="77777777" w:rsidR="00951F81" w:rsidRPr="006320B0" w:rsidRDefault="00951F81" w:rsidP="00840536">
            <w:pPr>
              <w:widowControl w:val="0"/>
              <w:suppressAutoHyphens/>
              <w:rPr>
                <w:b/>
                <w:bCs/>
              </w:rPr>
            </w:pPr>
            <w:r w:rsidRPr="006320B0">
              <w:rPr>
                <w:b/>
              </w:rPr>
              <w:t>Nederland</w:t>
            </w:r>
          </w:p>
          <w:p w14:paraId="22BBC9A6" w14:textId="2380F1D4" w:rsidR="00951F81" w:rsidRPr="006320B0" w:rsidRDefault="008E037B" w:rsidP="00840536">
            <w:pPr>
              <w:widowControl w:val="0"/>
              <w:suppressAutoHyphens/>
            </w:pPr>
            <w:r w:rsidRPr="006320B0">
              <w:rPr>
                <w:rFonts w:eastAsia="Times New Roman"/>
                <w:color w:val="000000"/>
                <w:szCs w:val="20"/>
              </w:rPr>
              <w:t>Centrafarm</w:t>
            </w:r>
            <w:r w:rsidR="00951F81" w:rsidRPr="006320B0">
              <w:t xml:space="preserve"> B.V.</w:t>
            </w:r>
          </w:p>
          <w:p w14:paraId="1933B209" w14:textId="793B16A9" w:rsidR="00951F81" w:rsidRPr="006320B0" w:rsidRDefault="00951F81" w:rsidP="00840536">
            <w:pPr>
              <w:widowControl w:val="0"/>
              <w:suppressAutoHyphens/>
            </w:pPr>
            <w:r w:rsidRPr="006320B0">
              <w:t>Tel</w:t>
            </w:r>
            <w:r w:rsidR="008E037B" w:rsidRPr="006320B0">
              <w:rPr>
                <w:rFonts w:eastAsia="Times New Roman"/>
                <w:color w:val="000000"/>
                <w:szCs w:val="20"/>
              </w:rPr>
              <w:t>.:</w:t>
            </w:r>
            <w:r w:rsidRPr="006320B0">
              <w:t xml:space="preserve"> +31</w:t>
            </w:r>
            <w:r w:rsidR="008E037B" w:rsidRPr="006320B0">
              <w:rPr>
                <w:color w:val="000000"/>
              </w:rPr>
              <w:t xml:space="preserve"> </w:t>
            </w:r>
            <w:r w:rsidR="008E037B" w:rsidRPr="006320B0">
              <w:rPr>
                <w:rFonts w:eastAsia="Times New Roman"/>
                <w:color w:val="000000"/>
                <w:szCs w:val="20"/>
              </w:rPr>
              <w:t>765081000</w:t>
            </w:r>
          </w:p>
          <w:p w14:paraId="6F41B6BE" w14:textId="77777777" w:rsidR="00951F81" w:rsidRPr="006320B0" w:rsidRDefault="00951F81" w:rsidP="00840536">
            <w:pPr>
              <w:pStyle w:val="lbltxt"/>
              <w:widowControl w:val="0"/>
              <w:suppressAutoHyphens/>
              <w:rPr>
                <w:noProof w:val="0"/>
                <w:szCs w:val="22"/>
              </w:rPr>
            </w:pPr>
          </w:p>
        </w:tc>
      </w:tr>
      <w:tr w:rsidR="00951F81" w:rsidRPr="00860989" w14:paraId="62969AC0" w14:textId="77777777" w:rsidTr="056E3BCB">
        <w:trPr>
          <w:cantSplit/>
          <w:trHeight w:val="57"/>
        </w:trPr>
        <w:tc>
          <w:tcPr>
            <w:tcW w:w="4678" w:type="dxa"/>
          </w:tcPr>
          <w:p w14:paraId="47D90BFD" w14:textId="77777777" w:rsidR="00951F81" w:rsidRPr="006320B0" w:rsidRDefault="00951F81" w:rsidP="00840536">
            <w:pPr>
              <w:widowControl w:val="0"/>
              <w:suppressAutoHyphens/>
              <w:rPr>
                <w:b/>
                <w:bCs/>
              </w:rPr>
            </w:pPr>
            <w:r w:rsidRPr="006320B0">
              <w:rPr>
                <w:b/>
              </w:rPr>
              <w:t>Eesti</w:t>
            </w:r>
          </w:p>
          <w:p w14:paraId="3CCDD145" w14:textId="77777777" w:rsidR="008E037B" w:rsidRPr="006320B0" w:rsidRDefault="008E037B" w:rsidP="00B4732D">
            <w:pPr>
              <w:autoSpaceDE w:val="0"/>
              <w:autoSpaceDN w:val="0"/>
              <w:adjustRightInd w:val="0"/>
              <w:rPr>
                <w:rFonts w:eastAsia="Times New Roman"/>
                <w:color w:val="000000"/>
                <w:szCs w:val="20"/>
              </w:rPr>
            </w:pPr>
            <w:r w:rsidRPr="006320B0">
              <w:rPr>
                <w:rFonts w:eastAsia="Times New Roman"/>
                <w:color w:val="000000"/>
                <w:szCs w:val="20"/>
              </w:rPr>
              <w:t>UAB „STADA Baltics“</w:t>
            </w:r>
          </w:p>
          <w:p w14:paraId="616E2D69" w14:textId="60CAAEEA" w:rsidR="00951F81" w:rsidRPr="006320B0" w:rsidRDefault="00951F81" w:rsidP="00840536">
            <w:pPr>
              <w:widowControl w:val="0"/>
              <w:suppressAutoHyphens/>
            </w:pPr>
            <w:r w:rsidRPr="006320B0">
              <w:t>Tel: +372</w:t>
            </w:r>
            <w:r w:rsidR="008E037B" w:rsidRPr="006320B0">
              <w:rPr>
                <w:color w:val="000000"/>
              </w:rPr>
              <w:t xml:space="preserve"> </w:t>
            </w:r>
            <w:r w:rsidR="008E037B" w:rsidRPr="006320B0">
              <w:rPr>
                <w:rFonts w:eastAsia="Times New Roman"/>
                <w:color w:val="000000"/>
                <w:szCs w:val="20"/>
              </w:rPr>
              <w:t>53072153</w:t>
            </w:r>
          </w:p>
          <w:p w14:paraId="5AD1084F" w14:textId="77777777" w:rsidR="00951F81" w:rsidRPr="006320B0" w:rsidRDefault="00951F81" w:rsidP="00840536">
            <w:pPr>
              <w:widowControl w:val="0"/>
              <w:suppressAutoHyphens/>
              <w:rPr>
                <w:b/>
              </w:rPr>
            </w:pPr>
          </w:p>
        </w:tc>
        <w:tc>
          <w:tcPr>
            <w:tcW w:w="4678" w:type="dxa"/>
          </w:tcPr>
          <w:p w14:paraId="20389F82" w14:textId="77777777" w:rsidR="00951F81" w:rsidRPr="00DE1F94" w:rsidRDefault="00951F81" w:rsidP="00840536">
            <w:pPr>
              <w:widowControl w:val="0"/>
              <w:suppressAutoHyphens/>
              <w:rPr>
                <w:b/>
                <w:bCs/>
                <w:lang w:val="en-US"/>
              </w:rPr>
            </w:pPr>
            <w:r w:rsidRPr="00DE1F94">
              <w:rPr>
                <w:b/>
                <w:lang w:val="en-US"/>
              </w:rPr>
              <w:t>Norge</w:t>
            </w:r>
          </w:p>
          <w:p w14:paraId="01ED329D" w14:textId="77777777" w:rsidR="008E037B" w:rsidRPr="00DE1F94" w:rsidRDefault="008E037B" w:rsidP="00B4732D">
            <w:pPr>
              <w:rPr>
                <w:rFonts w:eastAsia="Times New Roman"/>
                <w:color w:val="000000"/>
                <w:szCs w:val="20"/>
                <w:lang w:val="en-US"/>
              </w:rPr>
            </w:pPr>
            <w:r w:rsidRPr="00DE1F94">
              <w:rPr>
                <w:rFonts w:eastAsia="Times New Roman"/>
                <w:color w:val="000000"/>
                <w:szCs w:val="20"/>
                <w:lang w:val="en-US"/>
              </w:rPr>
              <w:t>STADA Nordic ApS</w:t>
            </w:r>
          </w:p>
          <w:p w14:paraId="7B6CAB0E" w14:textId="0DC1614C" w:rsidR="00951F81" w:rsidRPr="00DE1F94" w:rsidRDefault="00951F81" w:rsidP="00840536">
            <w:pPr>
              <w:widowControl w:val="0"/>
              <w:suppressAutoHyphens/>
              <w:rPr>
                <w:lang w:val="en-US"/>
              </w:rPr>
            </w:pPr>
            <w:r w:rsidRPr="00DE1F94">
              <w:rPr>
                <w:lang w:val="en-US"/>
              </w:rPr>
              <w:t>Tlf: +</w:t>
            </w:r>
            <w:r w:rsidR="008E037B" w:rsidRPr="00DE1F94">
              <w:rPr>
                <w:rFonts w:eastAsia="Times New Roman"/>
                <w:color w:val="000000"/>
                <w:szCs w:val="20"/>
                <w:lang w:val="en-US"/>
              </w:rPr>
              <w:t>45 44859999</w:t>
            </w:r>
          </w:p>
          <w:p w14:paraId="12EB2928" w14:textId="77777777" w:rsidR="00951F81" w:rsidRPr="00DE1F94" w:rsidRDefault="00951F81" w:rsidP="00840536">
            <w:pPr>
              <w:pStyle w:val="lbltxt"/>
              <w:widowControl w:val="0"/>
              <w:suppressAutoHyphens/>
              <w:rPr>
                <w:noProof w:val="0"/>
                <w:szCs w:val="22"/>
                <w:lang w:val="en-US"/>
              </w:rPr>
            </w:pPr>
          </w:p>
        </w:tc>
      </w:tr>
      <w:tr w:rsidR="00951F81" w:rsidRPr="00860989" w14:paraId="7045A8B8" w14:textId="77777777" w:rsidTr="056E3BCB">
        <w:trPr>
          <w:cantSplit/>
          <w:trHeight w:val="57"/>
        </w:trPr>
        <w:tc>
          <w:tcPr>
            <w:tcW w:w="4678" w:type="dxa"/>
          </w:tcPr>
          <w:p w14:paraId="46BBB2EF" w14:textId="77777777" w:rsidR="00951F81" w:rsidRPr="00DE1F94" w:rsidRDefault="00951F81" w:rsidP="00840536">
            <w:pPr>
              <w:widowControl w:val="0"/>
              <w:suppressAutoHyphens/>
              <w:rPr>
                <w:b/>
                <w:bCs/>
                <w:lang w:val="de-DE"/>
              </w:rPr>
            </w:pPr>
            <w:r w:rsidRPr="006320B0">
              <w:rPr>
                <w:b/>
              </w:rPr>
              <w:t>Ελλάδα</w:t>
            </w:r>
          </w:p>
          <w:p w14:paraId="48DD7250" w14:textId="77777777" w:rsidR="008E037B" w:rsidRPr="00DE1F94" w:rsidRDefault="008E037B" w:rsidP="00B4732D">
            <w:pPr>
              <w:rPr>
                <w:rFonts w:eastAsia="Times New Roman"/>
                <w:color w:val="000000"/>
                <w:szCs w:val="20"/>
                <w:lang w:val="de-DE"/>
              </w:rPr>
            </w:pPr>
            <w:r w:rsidRPr="00DE1F94">
              <w:rPr>
                <w:rFonts w:eastAsia="Times New Roman"/>
                <w:color w:val="000000"/>
                <w:szCs w:val="20"/>
                <w:lang w:val="de-DE"/>
              </w:rPr>
              <w:t>STADA Arzneimittel AG</w:t>
            </w:r>
          </w:p>
          <w:p w14:paraId="1CA568C8" w14:textId="685A847E" w:rsidR="00951F81" w:rsidRPr="00DE1F94" w:rsidRDefault="008E037B" w:rsidP="00840536">
            <w:pPr>
              <w:widowControl w:val="0"/>
              <w:suppressAutoHyphens/>
              <w:rPr>
                <w:lang w:val="de-DE"/>
              </w:rPr>
            </w:pPr>
            <w:r w:rsidRPr="00DE1F94">
              <w:rPr>
                <w:rFonts w:eastAsia="Times New Roman"/>
                <w:color w:val="000000"/>
                <w:szCs w:val="20"/>
                <w:lang w:val="de-DE"/>
              </w:rPr>
              <w:t>Tel</w:t>
            </w:r>
            <w:r w:rsidR="00951F81" w:rsidRPr="00DE1F94">
              <w:rPr>
                <w:lang w:val="de-DE"/>
              </w:rPr>
              <w:t>: +30</w:t>
            </w:r>
            <w:r w:rsidRPr="00DE1F94">
              <w:rPr>
                <w:color w:val="000000"/>
                <w:lang w:val="de-DE"/>
              </w:rPr>
              <w:t xml:space="preserve"> </w:t>
            </w:r>
            <w:r w:rsidRPr="00DE1F94">
              <w:rPr>
                <w:rFonts w:eastAsia="Times New Roman"/>
                <w:color w:val="000000"/>
                <w:szCs w:val="20"/>
                <w:lang w:val="de-DE"/>
              </w:rPr>
              <w:t>2106664667</w:t>
            </w:r>
          </w:p>
          <w:p w14:paraId="10B175C9" w14:textId="0E1177C0" w:rsidR="00951F81" w:rsidRPr="00DE1F94" w:rsidRDefault="008E037B" w:rsidP="00840536">
            <w:pPr>
              <w:pStyle w:val="lbltxt"/>
              <w:widowControl w:val="0"/>
              <w:suppressAutoHyphens/>
              <w:rPr>
                <w:noProof w:val="0"/>
                <w:szCs w:val="22"/>
                <w:lang w:val="de-DE"/>
              </w:rPr>
            </w:pPr>
            <w:r w:rsidRPr="00DE1F94">
              <w:rPr>
                <w:noProof w:val="0"/>
                <w:color w:val="000000"/>
                <w:lang w:val="de-DE"/>
              </w:rPr>
              <w:t xml:space="preserve"> </w:t>
            </w:r>
          </w:p>
        </w:tc>
        <w:tc>
          <w:tcPr>
            <w:tcW w:w="4678" w:type="dxa"/>
          </w:tcPr>
          <w:p w14:paraId="03004B2F" w14:textId="77777777" w:rsidR="00951F81" w:rsidRPr="00DE1F94" w:rsidRDefault="00951F81" w:rsidP="00840536">
            <w:pPr>
              <w:widowControl w:val="0"/>
              <w:suppressAutoHyphens/>
              <w:rPr>
                <w:b/>
                <w:bCs/>
                <w:lang w:val="de-DE"/>
              </w:rPr>
            </w:pPr>
            <w:r w:rsidRPr="00DE1F94">
              <w:rPr>
                <w:b/>
                <w:lang w:val="de-DE"/>
              </w:rPr>
              <w:t>Österreich</w:t>
            </w:r>
          </w:p>
          <w:p w14:paraId="3D50EF2A" w14:textId="7399C976" w:rsidR="00951F81" w:rsidRPr="00DE1F94" w:rsidRDefault="008E037B" w:rsidP="00840536">
            <w:pPr>
              <w:widowControl w:val="0"/>
              <w:suppressAutoHyphens/>
              <w:rPr>
                <w:lang w:val="de-DE"/>
              </w:rPr>
            </w:pPr>
            <w:r w:rsidRPr="00DE1F94">
              <w:rPr>
                <w:rFonts w:eastAsia="Times New Roman"/>
                <w:color w:val="000000"/>
                <w:szCs w:val="20"/>
                <w:lang w:val="de-DE"/>
              </w:rPr>
              <w:t>STADA Arzneimittel</w:t>
            </w:r>
            <w:r w:rsidR="00951F81" w:rsidRPr="00DE1F94">
              <w:rPr>
                <w:lang w:val="de-DE"/>
              </w:rPr>
              <w:t xml:space="preserve"> GmbH</w:t>
            </w:r>
          </w:p>
          <w:p w14:paraId="64F3F4BA" w14:textId="6DD29F16" w:rsidR="00951F81" w:rsidRPr="00DE1F94" w:rsidRDefault="00951F81" w:rsidP="00840536">
            <w:pPr>
              <w:widowControl w:val="0"/>
              <w:suppressAutoHyphens/>
              <w:rPr>
                <w:lang w:val="de-DE"/>
              </w:rPr>
            </w:pPr>
            <w:r w:rsidRPr="00DE1F94">
              <w:rPr>
                <w:lang w:val="de-DE"/>
              </w:rPr>
              <w:t>Tel: +43</w:t>
            </w:r>
            <w:r w:rsidR="008E037B" w:rsidRPr="00DE1F94">
              <w:rPr>
                <w:color w:val="000000"/>
                <w:lang w:val="de-DE"/>
              </w:rPr>
              <w:t xml:space="preserve"> </w:t>
            </w:r>
            <w:r w:rsidR="008E037B" w:rsidRPr="00DE1F94">
              <w:rPr>
                <w:rFonts w:eastAsia="Times New Roman"/>
                <w:color w:val="000000"/>
                <w:szCs w:val="20"/>
                <w:lang w:val="de-DE"/>
              </w:rPr>
              <w:t>136785850</w:t>
            </w:r>
          </w:p>
          <w:p w14:paraId="7E006593" w14:textId="77777777" w:rsidR="00951F81" w:rsidRPr="00DE1F94" w:rsidRDefault="00951F81" w:rsidP="00840536">
            <w:pPr>
              <w:pStyle w:val="lbltxt"/>
              <w:widowControl w:val="0"/>
              <w:suppressAutoHyphens/>
              <w:rPr>
                <w:b/>
                <w:noProof w:val="0"/>
                <w:szCs w:val="22"/>
                <w:lang w:val="de-DE"/>
              </w:rPr>
            </w:pPr>
          </w:p>
        </w:tc>
      </w:tr>
      <w:tr w:rsidR="00951F81" w:rsidRPr="006320B0" w14:paraId="6B5C282F" w14:textId="77777777" w:rsidTr="056E3BCB">
        <w:trPr>
          <w:cantSplit/>
          <w:trHeight w:val="57"/>
        </w:trPr>
        <w:tc>
          <w:tcPr>
            <w:tcW w:w="4678" w:type="dxa"/>
          </w:tcPr>
          <w:p w14:paraId="3B667F79" w14:textId="77777777" w:rsidR="00951F81" w:rsidRPr="00DE1F94" w:rsidRDefault="00951F81" w:rsidP="00840536">
            <w:pPr>
              <w:widowControl w:val="0"/>
              <w:suppressAutoHyphens/>
              <w:rPr>
                <w:b/>
                <w:bCs/>
                <w:lang w:val="es-ES"/>
              </w:rPr>
            </w:pPr>
            <w:r w:rsidRPr="00DE1F94">
              <w:rPr>
                <w:b/>
                <w:lang w:val="es-ES"/>
              </w:rPr>
              <w:t>España</w:t>
            </w:r>
          </w:p>
          <w:p w14:paraId="66351CB2" w14:textId="35A24791" w:rsidR="00951F81" w:rsidRPr="00DE1F94" w:rsidRDefault="008E037B" w:rsidP="00840536">
            <w:pPr>
              <w:widowControl w:val="0"/>
              <w:suppressAutoHyphens/>
              <w:rPr>
                <w:lang w:val="es-ES"/>
              </w:rPr>
            </w:pPr>
            <w:r w:rsidRPr="00DE1F94">
              <w:rPr>
                <w:rFonts w:eastAsia="Times New Roman"/>
                <w:color w:val="000000"/>
                <w:szCs w:val="20"/>
                <w:lang w:val="es-ES"/>
              </w:rPr>
              <w:t>Laboratorio STADA,</w:t>
            </w:r>
            <w:r w:rsidR="00951F81" w:rsidRPr="00DE1F94">
              <w:rPr>
                <w:lang w:val="es-ES"/>
              </w:rPr>
              <w:t xml:space="preserve"> S.</w:t>
            </w:r>
            <w:r w:rsidRPr="00DE1F94">
              <w:rPr>
                <w:rFonts w:eastAsia="Times New Roman"/>
                <w:color w:val="000000"/>
                <w:szCs w:val="20"/>
                <w:lang w:val="es-ES"/>
              </w:rPr>
              <w:t>L</w:t>
            </w:r>
            <w:r w:rsidR="00951F81" w:rsidRPr="00DE1F94">
              <w:rPr>
                <w:lang w:val="es-ES"/>
              </w:rPr>
              <w:t>.</w:t>
            </w:r>
          </w:p>
          <w:p w14:paraId="1E9ACD68" w14:textId="2DA060F1" w:rsidR="00951F81" w:rsidRPr="006320B0" w:rsidRDefault="00951F81" w:rsidP="00840536">
            <w:pPr>
              <w:widowControl w:val="0"/>
              <w:suppressAutoHyphens/>
            </w:pPr>
            <w:r w:rsidRPr="006320B0">
              <w:t>Tel: +34</w:t>
            </w:r>
            <w:r w:rsidR="008E037B" w:rsidRPr="006320B0">
              <w:rPr>
                <w:color w:val="000000"/>
              </w:rPr>
              <w:t xml:space="preserve"> </w:t>
            </w:r>
            <w:r w:rsidR="008E037B" w:rsidRPr="006320B0">
              <w:rPr>
                <w:rFonts w:eastAsia="Times New Roman"/>
                <w:color w:val="000000"/>
                <w:szCs w:val="20"/>
              </w:rPr>
              <w:t>934738889</w:t>
            </w:r>
          </w:p>
          <w:p w14:paraId="33C6C21C" w14:textId="77777777" w:rsidR="00951F81" w:rsidRPr="006320B0" w:rsidRDefault="00951F81" w:rsidP="00840536">
            <w:pPr>
              <w:pStyle w:val="lbltxt"/>
              <w:widowControl w:val="0"/>
              <w:suppressAutoHyphens/>
              <w:rPr>
                <w:bCs/>
                <w:noProof w:val="0"/>
                <w:szCs w:val="22"/>
              </w:rPr>
            </w:pPr>
          </w:p>
        </w:tc>
        <w:tc>
          <w:tcPr>
            <w:tcW w:w="4678" w:type="dxa"/>
          </w:tcPr>
          <w:p w14:paraId="6B116FE8" w14:textId="77777777" w:rsidR="00951F81" w:rsidRPr="00DE1F94" w:rsidRDefault="00951F81" w:rsidP="00840536">
            <w:pPr>
              <w:widowControl w:val="0"/>
              <w:suppressAutoHyphens/>
              <w:rPr>
                <w:b/>
                <w:bCs/>
                <w:lang w:val="pl-PL"/>
              </w:rPr>
            </w:pPr>
            <w:r w:rsidRPr="00DE1F94">
              <w:rPr>
                <w:b/>
                <w:lang w:val="pl-PL"/>
              </w:rPr>
              <w:t>Polska</w:t>
            </w:r>
          </w:p>
          <w:p w14:paraId="16FEF8EA" w14:textId="25753C6D" w:rsidR="00951F81" w:rsidRPr="00DE1F94" w:rsidRDefault="008E037B" w:rsidP="00840536">
            <w:pPr>
              <w:widowControl w:val="0"/>
              <w:suppressAutoHyphens/>
              <w:rPr>
                <w:lang w:val="pl-PL"/>
              </w:rPr>
            </w:pPr>
            <w:r w:rsidRPr="00DE1F94">
              <w:rPr>
                <w:rFonts w:eastAsia="Times New Roman"/>
                <w:color w:val="000000"/>
                <w:szCs w:val="20"/>
                <w:lang w:val="pl-PL" w:eastAsia="en-CA"/>
              </w:rPr>
              <w:t>STADA Poland</w:t>
            </w:r>
            <w:r w:rsidR="00951F81" w:rsidRPr="00DE1F94">
              <w:rPr>
                <w:lang w:val="pl-PL"/>
              </w:rPr>
              <w:t xml:space="preserve"> Sp. z</w:t>
            </w:r>
            <w:del w:id="33" w:author="Author" w:date="2026-02-17T11:24:00Z" w16du:dateUtc="2026-02-17T10:24:00Z">
              <w:r w:rsidRPr="00DE1F94" w:rsidDel="00CA4F66">
                <w:rPr>
                  <w:rFonts w:eastAsia="Times New Roman"/>
                  <w:color w:val="000000"/>
                  <w:szCs w:val="20"/>
                  <w:lang w:val="pl-PL" w:eastAsia="en-CA"/>
                </w:rPr>
                <w:delText>.</w:delText>
              </w:r>
            </w:del>
            <w:ins w:id="34" w:author="Author" w:date="2026-02-17T11:24:00Z" w16du:dateUtc="2026-02-17T10:24:00Z">
              <w:r w:rsidR="00CA4F66">
                <w:rPr>
                  <w:rFonts w:eastAsia="Times New Roman"/>
                  <w:color w:val="000000"/>
                  <w:szCs w:val="20"/>
                  <w:lang w:val="pl-PL" w:eastAsia="en-CA"/>
                </w:rPr>
                <w:t xml:space="preserve"> </w:t>
              </w:r>
            </w:ins>
            <w:r w:rsidR="00951F81" w:rsidRPr="00DE1F94">
              <w:rPr>
                <w:lang w:val="pl-PL"/>
              </w:rPr>
              <w:t>o</w:t>
            </w:r>
            <w:ins w:id="35" w:author="Author" w:date="2026-02-17T11:24:00Z" w16du:dateUtc="2026-02-17T10:24:00Z">
              <w:r w:rsidR="00CA4F66">
                <w:rPr>
                  <w:lang w:val="pl-PL"/>
                </w:rPr>
                <w:t>.</w:t>
              </w:r>
            </w:ins>
            <w:del w:id="36" w:author="Author" w:date="2026-02-17T11:24:00Z" w16du:dateUtc="2026-02-17T10:24:00Z">
              <w:r w:rsidRPr="00DE1F94" w:rsidDel="00CA4F66">
                <w:rPr>
                  <w:rFonts w:eastAsia="Times New Roman"/>
                  <w:color w:val="000000"/>
                  <w:szCs w:val="20"/>
                  <w:lang w:val="pl-PL" w:eastAsia="en-CA"/>
                </w:rPr>
                <w:delText xml:space="preserve"> </w:delText>
              </w:r>
            </w:del>
            <w:r w:rsidR="00951F81" w:rsidRPr="00DE1F94">
              <w:rPr>
                <w:lang w:val="pl-PL"/>
              </w:rPr>
              <w:t>o.</w:t>
            </w:r>
          </w:p>
          <w:p w14:paraId="4E9FF68F" w14:textId="3048496E" w:rsidR="00951F81" w:rsidRPr="006320B0" w:rsidRDefault="00951F81" w:rsidP="00840536">
            <w:pPr>
              <w:widowControl w:val="0"/>
              <w:suppressAutoHyphens/>
            </w:pPr>
            <w:r w:rsidRPr="006320B0">
              <w:t>Tel</w:t>
            </w:r>
            <w:r w:rsidR="008E037B" w:rsidRPr="006320B0">
              <w:rPr>
                <w:rFonts w:eastAsia="Times New Roman"/>
                <w:color w:val="000000"/>
                <w:szCs w:val="20"/>
                <w:lang w:eastAsia="en-CA"/>
              </w:rPr>
              <w:t>:</w:t>
            </w:r>
            <w:r w:rsidRPr="006320B0">
              <w:t xml:space="preserve"> +48</w:t>
            </w:r>
            <w:r w:rsidR="008E037B" w:rsidRPr="006320B0">
              <w:rPr>
                <w:color w:val="000000"/>
              </w:rPr>
              <w:t xml:space="preserve"> </w:t>
            </w:r>
            <w:r w:rsidR="008E037B" w:rsidRPr="006320B0">
              <w:rPr>
                <w:rFonts w:eastAsia="Times New Roman"/>
                <w:color w:val="000000"/>
                <w:szCs w:val="20"/>
                <w:lang w:eastAsia="en-CA"/>
              </w:rPr>
              <w:t>227377920</w:t>
            </w:r>
          </w:p>
          <w:p w14:paraId="69C2A5B6" w14:textId="77777777" w:rsidR="00951F81" w:rsidRPr="006320B0" w:rsidRDefault="00951F81" w:rsidP="00840536">
            <w:pPr>
              <w:widowControl w:val="0"/>
              <w:suppressAutoHyphens/>
            </w:pPr>
          </w:p>
        </w:tc>
      </w:tr>
      <w:tr w:rsidR="00951F81" w:rsidRPr="006320B0" w14:paraId="2F94AFAF" w14:textId="77777777" w:rsidTr="056E3BCB">
        <w:trPr>
          <w:cantSplit/>
          <w:trHeight w:val="57"/>
        </w:trPr>
        <w:tc>
          <w:tcPr>
            <w:tcW w:w="4678" w:type="dxa"/>
          </w:tcPr>
          <w:p w14:paraId="497E7096" w14:textId="77777777" w:rsidR="00951F81" w:rsidRPr="00DE1F94" w:rsidRDefault="00951F81" w:rsidP="00840536">
            <w:pPr>
              <w:widowControl w:val="0"/>
              <w:suppressAutoHyphens/>
              <w:rPr>
                <w:b/>
                <w:bCs/>
                <w:lang w:val="fr-FR"/>
              </w:rPr>
            </w:pPr>
            <w:r w:rsidRPr="00DE1F94">
              <w:rPr>
                <w:b/>
                <w:lang w:val="fr-FR"/>
              </w:rPr>
              <w:t>France</w:t>
            </w:r>
          </w:p>
          <w:p w14:paraId="67D7050B" w14:textId="77777777" w:rsidR="008E037B" w:rsidRPr="00DE1F94" w:rsidRDefault="008E037B" w:rsidP="00B4732D">
            <w:pPr>
              <w:rPr>
                <w:rFonts w:eastAsia="Times New Roman"/>
                <w:color w:val="000000"/>
                <w:szCs w:val="20"/>
                <w:lang w:val="fr-FR"/>
              </w:rPr>
            </w:pPr>
            <w:r w:rsidRPr="00DE1F94">
              <w:rPr>
                <w:rFonts w:eastAsia="Times New Roman"/>
                <w:color w:val="000000"/>
                <w:szCs w:val="20"/>
                <w:lang w:val="fr-FR"/>
              </w:rPr>
              <w:t>EG LABO - Laboratoires EuroGenerics</w:t>
            </w:r>
          </w:p>
          <w:p w14:paraId="5091173E" w14:textId="0DBE74A6" w:rsidR="00951F81" w:rsidRPr="00DE1F94" w:rsidRDefault="00951F81" w:rsidP="00840536">
            <w:pPr>
              <w:widowControl w:val="0"/>
              <w:suppressAutoHyphens/>
              <w:rPr>
                <w:lang w:val="fr-FR"/>
              </w:rPr>
            </w:pPr>
            <w:r w:rsidRPr="00DE1F94">
              <w:rPr>
                <w:lang w:val="fr-FR"/>
              </w:rPr>
              <w:t>Tél: +33</w:t>
            </w:r>
            <w:r w:rsidR="008E037B" w:rsidRPr="00DE1F94">
              <w:rPr>
                <w:color w:val="000000"/>
                <w:lang w:val="fr-FR"/>
              </w:rPr>
              <w:t xml:space="preserve"> </w:t>
            </w:r>
            <w:r w:rsidR="008E037B" w:rsidRPr="00DE1F94">
              <w:rPr>
                <w:rFonts w:eastAsia="Times New Roman"/>
                <w:color w:val="000000"/>
                <w:szCs w:val="20"/>
                <w:lang w:val="fr-FR"/>
              </w:rPr>
              <w:t>146948686</w:t>
            </w:r>
          </w:p>
          <w:p w14:paraId="6935861B" w14:textId="77777777" w:rsidR="00951F81" w:rsidRPr="00DE1F94" w:rsidRDefault="00951F81" w:rsidP="00840536">
            <w:pPr>
              <w:widowControl w:val="0"/>
              <w:suppressAutoHyphens/>
              <w:rPr>
                <w:b/>
                <w:lang w:val="fr-FR"/>
              </w:rPr>
            </w:pPr>
          </w:p>
        </w:tc>
        <w:tc>
          <w:tcPr>
            <w:tcW w:w="4678" w:type="dxa"/>
          </w:tcPr>
          <w:p w14:paraId="456698D1" w14:textId="77777777" w:rsidR="00951F81" w:rsidRPr="006320B0" w:rsidRDefault="00951F81" w:rsidP="00840536">
            <w:pPr>
              <w:widowControl w:val="0"/>
              <w:suppressAutoHyphens/>
              <w:rPr>
                <w:b/>
                <w:bCs/>
              </w:rPr>
            </w:pPr>
            <w:r w:rsidRPr="006320B0">
              <w:rPr>
                <w:b/>
              </w:rPr>
              <w:t>Portugal</w:t>
            </w:r>
          </w:p>
          <w:p w14:paraId="0C01700E" w14:textId="5E8DAE7D" w:rsidR="00951F81" w:rsidRPr="006320B0" w:rsidRDefault="008E037B" w:rsidP="00840536">
            <w:pPr>
              <w:widowControl w:val="0"/>
              <w:suppressAutoHyphens/>
            </w:pPr>
            <w:r w:rsidRPr="006320B0">
              <w:rPr>
                <w:rFonts w:eastAsia="Times New Roman"/>
                <w:color w:val="000000"/>
                <w:szCs w:val="20"/>
              </w:rPr>
              <w:t>Stada</w:t>
            </w:r>
            <w:r w:rsidR="00951F81" w:rsidRPr="006320B0">
              <w:t>, Lda.</w:t>
            </w:r>
          </w:p>
          <w:p w14:paraId="2E3492AB" w14:textId="7C6BD55C" w:rsidR="00951F81" w:rsidRPr="006320B0" w:rsidRDefault="00951F81" w:rsidP="00840536">
            <w:pPr>
              <w:widowControl w:val="0"/>
              <w:suppressAutoHyphens/>
            </w:pPr>
            <w:r w:rsidRPr="006320B0">
              <w:t>Tel: +351</w:t>
            </w:r>
            <w:r w:rsidR="008E037B" w:rsidRPr="006320B0">
              <w:rPr>
                <w:color w:val="000000"/>
              </w:rPr>
              <w:t xml:space="preserve"> </w:t>
            </w:r>
            <w:r w:rsidR="008E037B" w:rsidRPr="006320B0">
              <w:rPr>
                <w:rFonts w:eastAsia="Times New Roman"/>
                <w:color w:val="000000"/>
                <w:szCs w:val="20"/>
              </w:rPr>
              <w:t>211209870</w:t>
            </w:r>
          </w:p>
          <w:p w14:paraId="31EB6BD6" w14:textId="77777777" w:rsidR="00951F81" w:rsidRPr="006320B0" w:rsidRDefault="00951F81" w:rsidP="00840536">
            <w:pPr>
              <w:pStyle w:val="lbltxt"/>
              <w:widowControl w:val="0"/>
              <w:suppressAutoHyphens/>
              <w:rPr>
                <w:noProof w:val="0"/>
                <w:szCs w:val="22"/>
              </w:rPr>
            </w:pPr>
          </w:p>
        </w:tc>
      </w:tr>
      <w:tr w:rsidR="00951F81" w:rsidRPr="00860989" w14:paraId="0888BBFA" w14:textId="77777777" w:rsidTr="056E3BCB">
        <w:trPr>
          <w:cantSplit/>
          <w:trHeight w:val="57"/>
        </w:trPr>
        <w:tc>
          <w:tcPr>
            <w:tcW w:w="4678" w:type="dxa"/>
          </w:tcPr>
          <w:p w14:paraId="7624963A" w14:textId="77777777" w:rsidR="00951F81" w:rsidRPr="006320B0" w:rsidRDefault="00951F81" w:rsidP="00840536">
            <w:pPr>
              <w:widowControl w:val="0"/>
              <w:suppressAutoHyphens/>
              <w:rPr>
                <w:b/>
                <w:bCs/>
              </w:rPr>
            </w:pPr>
            <w:r w:rsidRPr="006320B0">
              <w:rPr>
                <w:b/>
              </w:rPr>
              <w:t>Hrvatska</w:t>
            </w:r>
          </w:p>
          <w:p w14:paraId="74A41E1C" w14:textId="4FE53676" w:rsidR="00951F81" w:rsidRPr="006320B0" w:rsidRDefault="008E037B" w:rsidP="00840536">
            <w:pPr>
              <w:widowControl w:val="0"/>
              <w:suppressAutoHyphens/>
            </w:pPr>
            <w:r w:rsidRPr="006320B0">
              <w:rPr>
                <w:rFonts w:eastAsia="Times New Roman"/>
                <w:color w:val="000000"/>
                <w:szCs w:val="20"/>
              </w:rPr>
              <w:t>STADA</w:t>
            </w:r>
            <w:r w:rsidR="00951F81" w:rsidRPr="006320B0">
              <w:t xml:space="preserve"> d.o.o.</w:t>
            </w:r>
          </w:p>
          <w:p w14:paraId="57241FDE" w14:textId="27673971" w:rsidR="00951F81" w:rsidRPr="006320B0" w:rsidRDefault="00951F81" w:rsidP="00840536">
            <w:pPr>
              <w:widowControl w:val="0"/>
              <w:suppressAutoHyphens/>
            </w:pPr>
            <w:r w:rsidRPr="006320B0">
              <w:t>Tel: +385</w:t>
            </w:r>
            <w:r w:rsidR="008E037B" w:rsidRPr="006320B0">
              <w:rPr>
                <w:color w:val="000000"/>
              </w:rPr>
              <w:t xml:space="preserve"> </w:t>
            </w:r>
            <w:r w:rsidR="008E037B" w:rsidRPr="006320B0">
              <w:rPr>
                <w:rFonts w:eastAsia="Times New Roman"/>
                <w:color w:val="000000"/>
                <w:szCs w:val="20"/>
              </w:rPr>
              <w:t>13764111</w:t>
            </w:r>
          </w:p>
          <w:p w14:paraId="1FE75FB1" w14:textId="77777777" w:rsidR="00951F81" w:rsidRPr="006320B0" w:rsidRDefault="00951F81" w:rsidP="00840536">
            <w:pPr>
              <w:widowControl w:val="0"/>
              <w:suppressAutoHyphens/>
            </w:pPr>
          </w:p>
        </w:tc>
        <w:tc>
          <w:tcPr>
            <w:tcW w:w="4678" w:type="dxa"/>
          </w:tcPr>
          <w:p w14:paraId="0A4ECD30" w14:textId="77777777" w:rsidR="00951F81" w:rsidRPr="00DE1F94" w:rsidRDefault="00951F81" w:rsidP="00840536">
            <w:pPr>
              <w:widowControl w:val="0"/>
              <w:suppressAutoHyphens/>
              <w:rPr>
                <w:b/>
                <w:bCs/>
                <w:lang w:val="pt-PT"/>
              </w:rPr>
            </w:pPr>
            <w:r w:rsidRPr="00DE1F94">
              <w:rPr>
                <w:b/>
                <w:lang w:val="pt-PT"/>
              </w:rPr>
              <w:t>România</w:t>
            </w:r>
          </w:p>
          <w:p w14:paraId="0C2273A5" w14:textId="3E135F18" w:rsidR="00951F81" w:rsidRPr="00DE1F94" w:rsidRDefault="008E037B" w:rsidP="00840536">
            <w:pPr>
              <w:widowControl w:val="0"/>
              <w:suppressAutoHyphens/>
              <w:rPr>
                <w:lang w:val="pt-PT"/>
              </w:rPr>
            </w:pPr>
            <w:r w:rsidRPr="00DE1F94">
              <w:rPr>
                <w:rFonts w:eastAsia="Times New Roman"/>
                <w:color w:val="000000"/>
                <w:szCs w:val="20"/>
                <w:lang w:val="pt-PT"/>
              </w:rPr>
              <w:t>STADA M&amp;D</w:t>
            </w:r>
            <w:r w:rsidR="00951F81" w:rsidRPr="00DE1F94">
              <w:rPr>
                <w:lang w:val="pt-PT"/>
              </w:rPr>
              <w:t xml:space="preserve"> SRL</w:t>
            </w:r>
          </w:p>
          <w:p w14:paraId="20BB462D" w14:textId="0833FAA8" w:rsidR="00951F81" w:rsidRPr="00DE1F94" w:rsidRDefault="00951F81" w:rsidP="00840536">
            <w:pPr>
              <w:widowControl w:val="0"/>
              <w:suppressAutoHyphens/>
              <w:rPr>
                <w:lang w:val="pt-PT"/>
              </w:rPr>
            </w:pPr>
            <w:r w:rsidRPr="00DE1F94">
              <w:rPr>
                <w:lang w:val="pt-PT"/>
              </w:rPr>
              <w:t>Tel: +</w:t>
            </w:r>
            <w:r w:rsidR="008E037B" w:rsidRPr="00DE1F94">
              <w:rPr>
                <w:rFonts w:eastAsia="Times New Roman"/>
                <w:color w:val="000000"/>
                <w:szCs w:val="20"/>
                <w:lang w:val="pt-PT"/>
              </w:rPr>
              <w:t>40 213160640</w:t>
            </w:r>
          </w:p>
          <w:p w14:paraId="4B7FFFE4" w14:textId="77777777" w:rsidR="00951F81" w:rsidRPr="00DE1F94" w:rsidRDefault="00951F81" w:rsidP="00840536">
            <w:pPr>
              <w:pStyle w:val="lbltxt"/>
              <w:widowControl w:val="0"/>
              <w:suppressAutoHyphens/>
              <w:rPr>
                <w:noProof w:val="0"/>
                <w:szCs w:val="22"/>
                <w:lang w:val="pt-PT"/>
              </w:rPr>
            </w:pPr>
          </w:p>
        </w:tc>
      </w:tr>
      <w:tr w:rsidR="00951F81" w:rsidRPr="006320B0" w14:paraId="664DB9D4" w14:textId="77777777" w:rsidTr="056E3BCB">
        <w:trPr>
          <w:cantSplit/>
          <w:trHeight w:val="57"/>
        </w:trPr>
        <w:tc>
          <w:tcPr>
            <w:tcW w:w="4678" w:type="dxa"/>
          </w:tcPr>
          <w:p w14:paraId="00A019C0" w14:textId="70EA04DC" w:rsidR="00951F81" w:rsidRPr="00DE1F94" w:rsidRDefault="008E037B" w:rsidP="00840536">
            <w:pPr>
              <w:widowControl w:val="0"/>
              <w:suppressAutoHyphens/>
              <w:rPr>
                <w:b/>
                <w:bCs/>
                <w:lang w:val="en-US"/>
              </w:rPr>
            </w:pPr>
            <w:r w:rsidRPr="003D369A">
              <w:rPr>
                <w:rFonts w:eastAsia="Times New Roman"/>
                <w:color w:val="000000"/>
                <w:szCs w:val="20"/>
                <w:lang w:val="en-US"/>
              </w:rPr>
              <w:br w:type="page"/>
            </w:r>
            <w:r w:rsidR="00951F81" w:rsidRPr="00DE1F94">
              <w:rPr>
                <w:b/>
                <w:lang w:val="en-US"/>
              </w:rPr>
              <w:t>Ireland</w:t>
            </w:r>
          </w:p>
          <w:p w14:paraId="5CC94D67" w14:textId="77777777" w:rsidR="008E037B" w:rsidRPr="00DE1F94" w:rsidRDefault="008E037B" w:rsidP="00B4732D">
            <w:pPr>
              <w:rPr>
                <w:rFonts w:eastAsia="Times New Roman"/>
                <w:color w:val="000000"/>
                <w:szCs w:val="20"/>
                <w:lang w:val="en-US"/>
              </w:rPr>
            </w:pPr>
            <w:r w:rsidRPr="00DE1F94">
              <w:rPr>
                <w:rFonts w:eastAsia="Times New Roman"/>
                <w:color w:val="000000"/>
                <w:szCs w:val="20"/>
                <w:lang w:val="en-US"/>
              </w:rPr>
              <w:t>Clonmel Healthcare Ltd.</w:t>
            </w:r>
          </w:p>
          <w:p w14:paraId="779000E3" w14:textId="6E500DB7" w:rsidR="00951F81" w:rsidRPr="00DE1F94" w:rsidRDefault="00951F81" w:rsidP="00840536">
            <w:pPr>
              <w:widowControl w:val="0"/>
              <w:suppressAutoHyphens/>
              <w:rPr>
                <w:lang w:val="en-US"/>
              </w:rPr>
            </w:pPr>
            <w:r w:rsidRPr="00DE1F94">
              <w:rPr>
                <w:lang w:val="en-US"/>
              </w:rPr>
              <w:t xml:space="preserve">Tel: +353 </w:t>
            </w:r>
            <w:r w:rsidR="008E037B" w:rsidRPr="00DE1F94">
              <w:rPr>
                <w:rFonts w:eastAsia="Times New Roman"/>
                <w:color w:val="000000"/>
                <w:szCs w:val="20"/>
                <w:lang w:val="en-US"/>
              </w:rPr>
              <w:t>526177777</w:t>
            </w:r>
          </w:p>
          <w:p w14:paraId="6A7F06CD" w14:textId="77777777" w:rsidR="00951F81" w:rsidRPr="00DE1F94" w:rsidRDefault="00951F81" w:rsidP="00840536">
            <w:pPr>
              <w:widowControl w:val="0"/>
              <w:suppressAutoHyphens/>
              <w:rPr>
                <w:lang w:val="en-US"/>
              </w:rPr>
            </w:pPr>
          </w:p>
        </w:tc>
        <w:tc>
          <w:tcPr>
            <w:tcW w:w="4678" w:type="dxa"/>
          </w:tcPr>
          <w:p w14:paraId="2634D226" w14:textId="77777777" w:rsidR="00951F81" w:rsidRPr="00DE1F94" w:rsidRDefault="00951F81" w:rsidP="00840536">
            <w:pPr>
              <w:widowControl w:val="0"/>
              <w:suppressAutoHyphens/>
              <w:rPr>
                <w:b/>
                <w:bCs/>
                <w:lang w:val="it-IT"/>
              </w:rPr>
            </w:pPr>
            <w:r w:rsidRPr="00DE1F94">
              <w:rPr>
                <w:b/>
                <w:lang w:val="it-IT"/>
              </w:rPr>
              <w:t>Slovenija</w:t>
            </w:r>
          </w:p>
          <w:p w14:paraId="536EAFF4" w14:textId="102B0D2F" w:rsidR="00951F81" w:rsidRPr="00DE1F94" w:rsidRDefault="008E037B" w:rsidP="00840536">
            <w:pPr>
              <w:widowControl w:val="0"/>
              <w:suppressAutoHyphens/>
              <w:rPr>
                <w:lang w:val="it-IT"/>
              </w:rPr>
            </w:pPr>
            <w:r w:rsidRPr="00DE1F94">
              <w:rPr>
                <w:rFonts w:eastAsia="Times New Roman"/>
                <w:color w:val="000000"/>
                <w:szCs w:val="20"/>
                <w:lang w:val="it-IT"/>
              </w:rPr>
              <w:t>Stada</w:t>
            </w:r>
            <w:r w:rsidR="00951F81" w:rsidRPr="00DE1F94">
              <w:rPr>
                <w:lang w:val="it-IT"/>
              </w:rPr>
              <w:t xml:space="preserve"> d.o.o.</w:t>
            </w:r>
          </w:p>
          <w:p w14:paraId="58610DAA" w14:textId="5EA58689" w:rsidR="00951F81" w:rsidRPr="006320B0" w:rsidRDefault="00951F81" w:rsidP="00840536">
            <w:pPr>
              <w:widowControl w:val="0"/>
              <w:suppressAutoHyphens/>
            </w:pPr>
            <w:r w:rsidRPr="006320B0">
              <w:t>Tel: +386</w:t>
            </w:r>
            <w:r w:rsidR="008E037B" w:rsidRPr="006320B0">
              <w:rPr>
                <w:color w:val="000000"/>
              </w:rPr>
              <w:t xml:space="preserve"> </w:t>
            </w:r>
            <w:r w:rsidR="008E037B" w:rsidRPr="006320B0">
              <w:rPr>
                <w:rFonts w:eastAsia="Times New Roman"/>
                <w:color w:val="000000"/>
                <w:szCs w:val="20"/>
              </w:rPr>
              <w:t>15896710</w:t>
            </w:r>
          </w:p>
          <w:p w14:paraId="1E560D6C" w14:textId="77777777" w:rsidR="00951F81" w:rsidRPr="006320B0" w:rsidRDefault="00951F81" w:rsidP="00840536">
            <w:pPr>
              <w:widowControl w:val="0"/>
              <w:suppressAutoHyphens/>
            </w:pPr>
          </w:p>
        </w:tc>
      </w:tr>
      <w:tr w:rsidR="00951F81" w:rsidRPr="006320B0" w14:paraId="04F64367" w14:textId="77777777" w:rsidTr="056E3BCB">
        <w:trPr>
          <w:cantSplit/>
          <w:trHeight w:val="57"/>
        </w:trPr>
        <w:tc>
          <w:tcPr>
            <w:tcW w:w="4678" w:type="dxa"/>
          </w:tcPr>
          <w:p w14:paraId="4EDEF2CD" w14:textId="77777777" w:rsidR="00951F81" w:rsidRPr="00DE1F94" w:rsidRDefault="00951F81" w:rsidP="00840536">
            <w:pPr>
              <w:widowControl w:val="0"/>
              <w:suppressAutoHyphens/>
              <w:rPr>
                <w:b/>
                <w:bCs/>
                <w:lang w:val="de-DE"/>
              </w:rPr>
            </w:pPr>
            <w:r w:rsidRPr="00DE1F94">
              <w:rPr>
                <w:b/>
                <w:lang w:val="de-DE"/>
              </w:rPr>
              <w:t>Ísland</w:t>
            </w:r>
          </w:p>
          <w:p w14:paraId="64F9D7BC" w14:textId="77777777" w:rsidR="008E037B" w:rsidRPr="00DE1F94" w:rsidRDefault="008E037B" w:rsidP="00B4732D">
            <w:pPr>
              <w:rPr>
                <w:rFonts w:eastAsia="Times New Roman"/>
                <w:color w:val="000000"/>
                <w:szCs w:val="20"/>
                <w:lang w:val="de-DE"/>
              </w:rPr>
            </w:pPr>
            <w:r w:rsidRPr="00DE1F94">
              <w:rPr>
                <w:rFonts w:eastAsia="Times New Roman"/>
                <w:color w:val="000000"/>
                <w:szCs w:val="20"/>
                <w:lang w:val="de-DE"/>
              </w:rPr>
              <w:t>STADA Arzneimittel AG</w:t>
            </w:r>
          </w:p>
          <w:p w14:paraId="042F67AC" w14:textId="69383DB6" w:rsidR="00951F81" w:rsidRPr="00DE1F94" w:rsidRDefault="00951F81" w:rsidP="00840536">
            <w:pPr>
              <w:widowControl w:val="0"/>
              <w:suppressAutoHyphens/>
              <w:rPr>
                <w:lang w:val="de-DE"/>
              </w:rPr>
            </w:pPr>
            <w:r w:rsidRPr="00DE1F94">
              <w:rPr>
                <w:lang w:val="de-DE"/>
              </w:rPr>
              <w:t>Sími: +</w:t>
            </w:r>
            <w:r w:rsidR="008E037B" w:rsidRPr="00DE1F94">
              <w:rPr>
                <w:rFonts w:eastAsia="Times New Roman"/>
                <w:color w:val="000000"/>
                <w:szCs w:val="20"/>
                <w:lang w:val="de-DE"/>
              </w:rPr>
              <w:t>49 61016030</w:t>
            </w:r>
          </w:p>
          <w:p w14:paraId="29A8DA9F" w14:textId="77777777" w:rsidR="00951F81" w:rsidRPr="00DE1F94" w:rsidRDefault="00951F81" w:rsidP="00840536">
            <w:pPr>
              <w:pStyle w:val="lbltxt"/>
              <w:widowControl w:val="0"/>
              <w:suppressAutoHyphens/>
              <w:rPr>
                <w:b/>
                <w:bCs/>
                <w:noProof w:val="0"/>
                <w:szCs w:val="22"/>
                <w:lang w:val="de-DE"/>
              </w:rPr>
            </w:pPr>
          </w:p>
        </w:tc>
        <w:tc>
          <w:tcPr>
            <w:tcW w:w="4678" w:type="dxa"/>
          </w:tcPr>
          <w:p w14:paraId="4DD7D4E3" w14:textId="77777777" w:rsidR="00951F81" w:rsidRPr="00DE1F94" w:rsidRDefault="00951F81" w:rsidP="00840536">
            <w:pPr>
              <w:widowControl w:val="0"/>
              <w:suppressAutoHyphens/>
              <w:rPr>
                <w:b/>
                <w:bCs/>
                <w:lang w:val="de-DE"/>
              </w:rPr>
            </w:pPr>
            <w:r w:rsidRPr="00DE1F94">
              <w:rPr>
                <w:b/>
                <w:lang w:val="de-DE"/>
              </w:rPr>
              <w:t>Slovenská republika</w:t>
            </w:r>
          </w:p>
          <w:p w14:paraId="6C0EDB1C" w14:textId="2DA461E9" w:rsidR="00951F81" w:rsidRPr="00DE1F94" w:rsidRDefault="008E037B" w:rsidP="00840536">
            <w:pPr>
              <w:widowControl w:val="0"/>
              <w:suppressAutoHyphens/>
              <w:rPr>
                <w:lang w:val="de-DE"/>
              </w:rPr>
            </w:pPr>
            <w:r w:rsidRPr="00DE1F94">
              <w:rPr>
                <w:rFonts w:eastAsia="Times New Roman"/>
                <w:color w:val="000000"/>
                <w:szCs w:val="20"/>
                <w:lang w:val="de-DE"/>
              </w:rPr>
              <w:t>STADA PHARMA</w:t>
            </w:r>
            <w:r w:rsidR="00951F81" w:rsidRPr="00DE1F94">
              <w:rPr>
                <w:lang w:val="de-DE"/>
              </w:rPr>
              <w:t xml:space="preserve"> Slovakia</w:t>
            </w:r>
            <w:r w:rsidRPr="00DE1F94">
              <w:rPr>
                <w:rFonts w:eastAsia="Times New Roman"/>
                <w:color w:val="000000"/>
                <w:szCs w:val="20"/>
                <w:lang w:val="de-DE"/>
              </w:rPr>
              <w:t>,</w:t>
            </w:r>
            <w:r w:rsidR="00951F81" w:rsidRPr="00DE1F94">
              <w:rPr>
                <w:lang w:val="de-DE"/>
              </w:rPr>
              <w:t xml:space="preserve"> s.r.o.</w:t>
            </w:r>
          </w:p>
          <w:p w14:paraId="10F8A86D" w14:textId="164CE59D" w:rsidR="00951F81" w:rsidRPr="006320B0" w:rsidRDefault="00951F81" w:rsidP="00840536">
            <w:pPr>
              <w:widowControl w:val="0"/>
              <w:suppressAutoHyphens/>
            </w:pPr>
            <w:r w:rsidRPr="006320B0">
              <w:t>Tel: +421</w:t>
            </w:r>
            <w:r w:rsidR="008E037B" w:rsidRPr="006320B0">
              <w:rPr>
                <w:color w:val="000000"/>
              </w:rPr>
              <w:t xml:space="preserve"> </w:t>
            </w:r>
            <w:r w:rsidR="008E037B" w:rsidRPr="006320B0">
              <w:rPr>
                <w:rFonts w:eastAsia="Times New Roman"/>
                <w:color w:val="000000"/>
                <w:szCs w:val="20"/>
              </w:rPr>
              <w:t>252621933</w:t>
            </w:r>
          </w:p>
          <w:p w14:paraId="2E621CC3" w14:textId="77777777" w:rsidR="00951F81" w:rsidRPr="006320B0" w:rsidRDefault="00951F81" w:rsidP="00840536">
            <w:pPr>
              <w:pStyle w:val="lbltxt"/>
              <w:widowControl w:val="0"/>
              <w:suppressAutoHyphens/>
              <w:rPr>
                <w:noProof w:val="0"/>
                <w:szCs w:val="22"/>
              </w:rPr>
            </w:pPr>
          </w:p>
        </w:tc>
      </w:tr>
      <w:tr w:rsidR="00951F81" w:rsidRPr="006320B0" w14:paraId="21E54054" w14:textId="77777777" w:rsidTr="056E3BCB">
        <w:trPr>
          <w:cantSplit/>
          <w:trHeight w:val="57"/>
        </w:trPr>
        <w:tc>
          <w:tcPr>
            <w:tcW w:w="4678" w:type="dxa"/>
          </w:tcPr>
          <w:p w14:paraId="768482BB" w14:textId="77777777" w:rsidR="00951F81" w:rsidRPr="006320B0" w:rsidRDefault="00951F81" w:rsidP="00840536">
            <w:pPr>
              <w:widowControl w:val="0"/>
              <w:suppressAutoHyphens/>
              <w:rPr>
                <w:b/>
                <w:bCs/>
              </w:rPr>
            </w:pPr>
            <w:r w:rsidRPr="006320B0">
              <w:rPr>
                <w:b/>
              </w:rPr>
              <w:t>Italia</w:t>
            </w:r>
          </w:p>
          <w:p w14:paraId="1C628B2F" w14:textId="77777777" w:rsidR="008E037B" w:rsidRPr="006320B0" w:rsidRDefault="008E037B" w:rsidP="00B4732D">
            <w:pPr>
              <w:autoSpaceDE w:val="0"/>
              <w:autoSpaceDN w:val="0"/>
              <w:rPr>
                <w:rFonts w:eastAsia="Times New Roman"/>
                <w:bCs/>
                <w:color w:val="000000"/>
                <w:szCs w:val="20"/>
              </w:rPr>
            </w:pPr>
            <w:r w:rsidRPr="006320B0">
              <w:rPr>
                <w:rFonts w:eastAsia="Times New Roman"/>
                <w:bCs/>
                <w:color w:val="000000"/>
                <w:szCs w:val="20"/>
              </w:rPr>
              <w:t>EG SpA</w:t>
            </w:r>
          </w:p>
          <w:p w14:paraId="712621C5" w14:textId="7B9563E7" w:rsidR="00951F81" w:rsidRPr="006320B0" w:rsidRDefault="00951F81" w:rsidP="00840536">
            <w:pPr>
              <w:widowControl w:val="0"/>
              <w:suppressAutoHyphens/>
            </w:pPr>
            <w:r w:rsidRPr="006320B0">
              <w:t>Tel: +39</w:t>
            </w:r>
            <w:r w:rsidR="008E037B" w:rsidRPr="006320B0">
              <w:rPr>
                <w:color w:val="000000"/>
              </w:rPr>
              <w:t xml:space="preserve"> </w:t>
            </w:r>
            <w:r w:rsidR="008E037B" w:rsidRPr="006320B0">
              <w:rPr>
                <w:rFonts w:eastAsia="Times New Roman"/>
                <w:bCs/>
                <w:color w:val="000000"/>
                <w:szCs w:val="20"/>
              </w:rPr>
              <w:t>028310371</w:t>
            </w:r>
          </w:p>
          <w:p w14:paraId="5EEA7CFF" w14:textId="77777777" w:rsidR="00951F81" w:rsidRPr="006320B0" w:rsidRDefault="00951F81" w:rsidP="00840536">
            <w:pPr>
              <w:widowControl w:val="0"/>
              <w:suppressAutoHyphens/>
            </w:pPr>
          </w:p>
        </w:tc>
        <w:tc>
          <w:tcPr>
            <w:tcW w:w="4678" w:type="dxa"/>
          </w:tcPr>
          <w:p w14:paraId="64CA3B58" w14:textId="77777777" w:rsidR="00951F81" w:rsidRPr="006320B0" w:rsidRDefault="00951F81" w:rsidP="00840536">
            <w:pPr>
              <w:widowControl w:val="0"/>
              <w:suppressAutoHyphens/>
              <w:rPr>
                <w:b/>
                <w:bCs/>
              </w:rPr>
            </w:pPr>
            <w:r w:rsidRPr="006320B0">
              <w:rPr>
                <w:b/>
              </w:rPr>
              <w:t>Suomi/Finland</w:t>
            </w:r>
          </w:p>
          <w:p w14:paraId="3D5390B6" w14:textId="3C9273AB" w:rsidR="00951F81" w:rsidRPr="006320B0" w:rsidRDefault="008E037B" w:rsidP="00840536">
            <w:pPr>
              <w:widowControl w:val="0"/>
              <w:suppressAutoHyphens/>
            </w:pPr>
            <w:r w:rsidRPr="006320B0">
              <w:rPr>
                <w:rFonts w:eastAsia="Times New Roman"/>
                <w:color w:val="000000"/>
                <w:szCs w:val="20"/>
                <w:lang w:eastAsia="da-DK"/>
              </w:rPr>
              <w:t>STADA Nordic ApS, Suomen</w:t>
            </w:r>
            <w:r w:rsidR="00951F81" w:rsidRPr="006320B0">
              <w:t xml:space="preserve"> sivuliike</w:t>
            </w:r>
          </w:p>
          <w:p w14:paraId="49E3659E" w14:textId="596C2B9B" w:rsidR="00951F81" w:rsidRPr="006320B0" w:rsidRDefault="00951F81" w:rsidP="00840536">
            <w:pPr>
              <w:widowControl w:val="0"/>
              <w:suppressAutoHyphens/>
            </w:pPr>
            <w:r w:rsidRPr="006320B0">
              <w:t>Puh/Tel: +358</w:t>
            </w:r>
            <w:r w:rsidR="008E037B" w:rsidRPr="006320B0">
              <w:rPr>
                <w:color w:val="000000"/>
              </w:rPr>
              <w:t xml:space="preserve"> </w:t>
            </w:r>
            <w:r w:rsidR="008E037B" w:rsidRPr="006320B0">
              <w:rPr>
                <w:rFonts w:eastAsia="Times New Roman"/>
                <w:color w:val="000000"/>
                <w:szCs w:val="20"/>
              </w:rPr>
              <w:t>207416888</w:t>
            </w:r>
          </w:p>
          <w:p w14:paraId="33BE2D86" w14:textId="77777777" w:rsidR="00951F81" w:rsidRPr="006320B0" w:rsidRDefault="00951F81" w:rsidP="00840536">
            <w:pPr>
              <w:pStyle w:val="lbltxt"/>
              <w:widowControl w:val="0"/>
              <w:suppressAutoHyphens/>
              <w:rPr>
                <w:b/>
                <w:noProof w:val="0"/>
                <w:szCs w:val="22"/>
              </w:rPr>
            </w:pPr>
          </w:p>
        </w:tc>
      </w:tr>
      <w:tr w:rsidR="00951F81" w:rsidRPr="00860989" w14:paraId="39A84B22" w14:textId="77777777" w:rsidTr="056E3BCB">
        <w:trPr>
          <w:cantSplit/>
          <w:trHeight w:val="57"/>
        </w:trPr>
        <w:tc>
          <w:tcPr>
            <w:tcW w:w="4678" w:type="dxa"/>
          </w:tcPr>
          <w:p w14:paraId="42A888CB" w14:textId="77777777" w:rsidR="008E037B" w:rsidRPr="006320B0" w:rsidRDefault="008E037B" w:rsidP="00B4732D">
            <w:pPr>
              <w:rPr>
                <w:rFonts w:eastAsia="Times New Roman"/>
                <w:b/>
                <w:color w:val="000000"/>
                <w:szCs w:val="20"/>
              </w:rPr>
            </w:pPr>
            <w:r w:rsidRPr="006320B0">
              <w:rPr>
                <w:rFonts w:eastAsia="Times New Roman"/>
                <w:b/>
                <w:color w:val="000000"/>
                <w:szCs w:val="20"/>
              </w:rPr>
              <w:t>Κύπρος</w:t>
            </w:r>
          </w:p>
          <w:p w14:paraId="5694A38B" w14:textId="77777777" w:rsidR="008E037B" w:rsidRPr="006320B0" w:rsidRDefault="008E037B" w:rsidP="00B4732D">
            <w:pPr>
              <w:rPr>
                <w:rFonts w:eastAsia="Times New Roman"/>
                <w:color w:val="000000"/>
                <w:szCs w:val="20"/>
              </w:rPr>
            </w:pPr>
            <w:r w:rsidRPr="006320B0">
              <w:rPr>
                <w:rFonts w:eastAsia="Times New Roman"/>
                <w:color w:val="000000"/>
                <w:szCs w:val="20"/>
              </w:rPr>
              <w:t>STADA Arzneimittel AG</w:t>
            </w:r>
          </w:p>
          <w:p w14:paraId="118875CF" w14:textId="0ED7669F" w:rsidR="00951F81" w:rsidRPr="006320B0" w:rsidRDefault="00951F81" w:rsidP="00840536">
            <w:pPr>
              <w:widowControl w:val="0"/>
              <w:suppressAutoHyphens/>
            </w:pPr>
            <w:r w:rsidRPr="006320B0">
              <w:t>Τηλ: +</w:t>
            </w:r>
            <w:r w:rsidR="008E037B" w:rsidRPr="006320B0">
              <w:rPr>
                <w:rFonts w:eastAsia="Times New Roman"/>
                <w:color w:val="000000"/>
                <w:szCs w:val="20"/>
              </w:rPr>
              <w:t>30 2106664667</w:t>
            </w:r>
          </w:p>
          <w:p w14:paraId="3B1C51BA" w14:textId="77777777" w:rsidR="00951F81" w:rsidRPr="006320B0" w:rsidRDefault="00951F81" w:rsidP="00840536">
            <w:pPr>
              <w:widowControl w:val="0"/>
              <w:suppressAutoHyphens/>
            </w:pPr>
          </w:p>
        </w:tc>
        <w:tc>
          <w:tcPr>
            <w:tcW w:w="4678" w:type="dxa"/>
          </w:tcPr>
          <w:p w14:paraId="48782A01" w14:textId="77777777" w:rsidR="00951F81" w:rsidRPr="00DE1F94" w:rsidRDefault="00951F81" w:rsidP="00840536">
            <w:pPr>
              <w:widowControl w:val="0"/>
              <w:suppressAutoHyphens/>
              <w:rPr>
                <w:b/>
                <w:bCs/>
                <w:lang w:val="de-DE"/>
              </w:rPr>
            </w:pPr>
            <w:r w:rsidRPr="00DE1F94">
              <w:rPr>
                <w:b/>
                <w:lang w:val="de-DE"/>
              </w:rPr>
              <w:t>Sverige</w:t>
            </w:r>
          </w:p>
          <w:p w14:paraId="4CC7284C" w14:textId="77777777" w:rsidR="008E037B" w:rsidRPr="00DE1F94" w:rsidRDefault="008E037B" w:rsidP="00B4732D">
            <w:pPr>
              <w:rPr>
                <w:rFonts w:eastAsia="Times New Roman"/>
                <w:color w:val="000000"/>
                <w:szCs w:val="20"/>
                <w:lang w:val="de-DE"/>
              </w:rPr>
            </w:pPr>
            <w:r w:rsidRPr="00DE1F94">
              <w:rPr>
                <w:rFonts w:eastAsia="Times New Roman"/>
                <w:color w:val="000000"/>
                <w:szCs w:val="20"/>
                <w:lang w:val="de-DE"/>
              </w:rPr>
              <w:t>STADA Nordic ApS</w:t>
            </w:r>
          </w:p>
          <w:p w14:paraId="53111511" w14:textId="29A72449" w:rsidR="00951F81" w:rsidRPr="00DE1F94" w:rsidRDefault="00951F81" w:rsidP="00840536">
            <w:pPr>
              <w:widowControl w:val="0"/>
              <w:suppressAutoHyphens/>
              <w:rPr>
                <w:lang w:val="de-DE"/>
              </w:rPr>
            </w:pPr>
            <w:r w:rsidRPr="00DE1F94">
              <w:rPr>
                <w:lang w:val="de-DE"/>
              </w:rPr>
              <w:t>Tel: +</w:t>
            </w:r>
            <w:r w:rsidR="008E037B" w:rsidRPr="00DE1F94">
              <w:rPr>
                <w:rFonts w:eastAsia="Times New Roman"/>
                <w:color w:val="000000"/>
                <w:szCs w:val="20"/>
                <w:lang w:val="de-DE"/>
              </w:rPr>
              <w:t>45 44859999</w:t>
            </w:r>
          </w:p>
          <w:p w14:paraId="51620D62" w14:textId="77777777" w:rsidR="00951F81" w:rsidRPr="00DE1F94" w:rsidRDefault="00951F81" w:rsidP="00840536">
            <w:pPr>
              <w:pStyle w:val="lbltxt"/>
              <w:widowControl w:val="0"/>
              <w:suppressAutoHyphens/>
              <w:rPr>
                <w:bCs/>
                <w:noProof w:val="0"/>
                <w:szCs w:val="22"/>
                <w:lang w:val="de-DE"/>
              </w:rPr>
            </w:pPr>
          </w:p>
        </w:tc>
      </w:tr>
      <w:tr w:rsidR="00951F81" w:rsidRPr="006320B0" w14:paraId="381B3026" w14:textId="77777777" w:rsidTr="056E3BCB">
        <w:trPr>
          <w:cantSplit/>
          <w:trHeight w:val="57"/>
        </w:trPr>
        <w:tc>
          <w:tcPr>
            <w:tcW w:w="4678" w:type="dxa"/>
          </w:tcPr>
          <w:p w14:paraId="08572BB9" w14:textId="77777777" w:rsidR="00951F81" w:rsidRPr="006320B0" w:rsidRDefault="00951F81" w:rsidP="00840536">
            <w:pPr>
              <w:widowControl w:val="0"/>
              <w:suppressAutoHyphens/>
              <w:rPr>
                <w:b/>
                <w:bCs/>
              </w:rPr>
            </w:pPr>
            <w:r w:rsidRPr="006320B0">
              <w:rPr>
                <w:b/>
              </w:rPr>
              <w:t>Latvija</w:t>
            </w:r>
          </w:p>
          <w:p w14:paraId="371CA4B7" w14:textId="77777777" w:rsidR="008E037B" w:rsidRPr="006320B0" w:rsidRDefault="008E037B" w:rsidP="00B4732D">
            <w:pPr>
              <w:autoSpaceDE w:val="0"/>
              <w:autoSpaceDN w:val="0"/>
              <w:adjustRightInd w:val="0"/>
              <w:rPr>
                <w:rFonts w:eastAsia="Times New Roman"/>
                <w:color w:val="000000"/>
                <w:szCs w:val="20"/>
              </w:rPr>
            </w:pPr>
            <w:r w:rsidRPr="006320B0">
              <w:rPr>
                <w:rFonts w:eastAsia="Times New Roman"/>
                <w:color w:val="000000"/>
                <w:szCs w:val="20"/>
              </w:rPr>
              <w:t>UAB „STADA Baltics“</w:t>
            </w:r>
          </w:p>
          <w:p w14:paraId="78162753" w14:textId="6BBBF871" w:rsidR="00951F81" w:rsidRPr="006320B0" w:rsidRDefault="00951F81" w:rsidP="00840536">
            <w:pPr>
              <w:widowControl w:val="0"/>
              <w:suppressAutoHyphens/>
            </w:pPr>
            <w:r w:rsidRPr="006320B0">
              <w:t>Tel: +371</w:t>
            </w:r>
            <w:r w:rsidR="008E037B" w:rsidRPr="006320B0">
              <w:rPr>
                <w:rFonts w:eastAsia="Times New Roman"/>
                <w:color w:val="000000"/>
                <w:szCs w:val="20"/>
              </w:rPr>
              <w:t xml:space="preserve"> 28016404</w:t>
            </w:r>
          </w:p>
          <w:p w14:paraId="04EF9AC2" w14:textId="77777777" w:rsidR="00951F81" w:rsidRPr="006320B0" w:rsidRDefault="00951F81" w:rsidP="00840536">
            <w:pPr>
              <w:widowControl w:val="0"/>
              <w:suppressAutoHyphens/>
              <w:rPr>
                <w:b/>
              </w:rPr>
            </w:pPr>
          </w:p>
        </w:tc>
        <w:tc>
          <w:tcPr>
            <w:tcW w:w="4678" w:type="dxa"/>
          </w:tcPr>
          <w:p w14:paraId="7E9F15FB" w14:textId="77777777" w:rsidR="00951F81" w:rsidRPr="006320B0" w:rsidRDefault="00951F81" w:rsidP="00840536">
            <w:pPr>
              <w:widowControl w:val="0"/>
              <w:suppressAutoHyphens/>
              <w:rPr>
                <w:bCs/>
              </w:rPr>
            </w:pPr>
          </w:p>
        </w:tc>
      </w:tr>
    </w:tbl>
    <w:p w14:paraId="0613064A" w14:textId="77777777" w:rsidR="00951F81" w:rsidRPr="006320B0" w:rsidRDefault="00951F81" w:rsidP="00840536">
      <w:pPr>
        <w:widowControl w:val="0"/>
        <w:numPr>
          <w:ilvl w:val="12"/>
          <w:numId w:val="0"/>
        </w:numPr>
        <w:suppressAutoHyphens/>
        <w:ind w:right="-1"/>
        <w:rPr>
          <w:b/>
        </w:rPr>
      </w:pPr>
    </w:p>
    <w:p w14:paraId="22E4E840" w14:textId="77777777" w:rsidR="00951F81" w:rsidRPr="006320B0" w:rsidRDefault="00951F81" w:rsidP="00840536">
      <w:pPr>
        <w:widowControl w:val="0"/>
        <w:tabs>
          <w:tab w:val="clear" w:pos="567"/>
        </w:tabs>
        <w:suppressAutoHyphens/>
        <w:rPr>
          <w:b/>
          <w:bCs/>
        </w:rPr>
      </w:pPr>
      <w:r w:rsidRPr="006320B0">
        <w:rPr>
          <w:b/>
        </w:rPr>
        <w:t>Deze bijsluiter is voor het laatst goedgekeurd in</w:t>
      </w:r>
    </w:p>
    <w:p w14:paraId="42AEAEE6" w14:textId="77777777" w:rsidR="00951F81" w:rsidRPr="006320B0" w:rsidRDefault="00951F81" w:rsidP="00840536">
      <w:pPr>
        <w:widowControl w:val="0"/>
        <w:suppressAutoHyphens/>
      </w:pPr>
    </w:p>
    <w:p w14:paraId="42788A9E" w14:textId="77777777" w:rsidR="00951F81" w:rsidRPr="006320B0" w:rsidRDefault="00951F81" w:rsidP="00840536">
      <w:pPr>
        <w:widowControl w:val="0"/>
        <w:tabs>
          <w:tab w:val="clear" w:pos="567"/>
        </w:tabs>
        <w:suppressAutoHyphens/>
        <w:rPr>
          <w:b/>
          <w:bCs/>
        </w:rPr>
      </w:pPr>
      <w:r w:rsidRPr="006320B0">
        <w:rPr>
          <w:b/>
        </w:rPr>
        <w:t>Andere informatiebronnen</w:t>
      </w:r>
    </w:p>
    <w:p w14:paraId="256A99CE" w14:textId="77777777" w:rsidR="00951F81" w:rsidRPr="006320B0" w:rsidRDefault="00951F81" w:rsidP="00840536">
      <w:pPr>
        <w:widowControl w:val="0"/>
        <w:tabs>
          <w:tab w:val="clear" w:pos="567"/>
        </w:tabs>
        <w:suppressAutoHyphens/>
      </w:pPr>
    </w:p>
    <w:p w14:paraId="059B357A" w14:textId="4766EE1C" w:rsidR="00951F81" w:rsidRPr="006320B0" w:rsidRDefault="00951F81" w:rsidP="00840536">
      <w:pPr>
        <w:widowControl w:val="0"/>
        <w:tabs>
          <w:tab w:val="clear" w:pos="567"/>
        </w:tabs>
        <w:suppressAutoHyphens/>
      </w:pPr>
      <w:r w:rsidRPr="006320B0">
        <w:t xml:space="preserve">Meer informatie over dit geneesmiddel is beschikbaar op de website van het Europees Geneesmiddelenbureau: </w:t>
      </w:r>
      <w:hyperlink r:id="rId18" w:history="1">
        <w:r w:rsidR="008E037B" w:rsidRPr="006320B0">
          <w:rPr>
            <w:rStyle w:val="Hyperlink"/>
          </w:rPr>
          <w:t>https://www.ema.europa.eu/</w:t>
        </w:r>
      </w:hyperlink>
    </w:p>
    <w:p w14:paraId="2E5F414B" w14:textId="77777777" w:rsidR="00951F81" w:rsidRPr="006320B0" w:rsidRDefault="00951F81" w:rsidP="00840536">
      <w:pPr>
        <w:widowControl w:val="0"/>
        <w:tabs>
          <w:tab w:val="clear" w:pos="567"/>
        </w:tabs>
        <w:suppressAutoHyphens/>
      </w:pPr>
    </w:p>
    <w:p w14:paraId="1758A806" w14:textId="77777777" w:rsidR="00951F81" w:rsidRPr="006320B0" w:rsidRDefault="00951F81" w:rsidP="00840536">
      <w:pPr>
        <w:widowControl w:val="0"/>
        <w:numPr>
          <w:ilvl w:val="12"/>
          <w:numId w:val="0"/>
        </w:numPr>
        <w:suppressAutoHyphens/>
        <w:ind w:right="-2"/>
      </w:pPr>
      <w:r w:rsidRPr="006320B0">
        <w:t>---------------------------------------------------------------------------------------------------------------------------</w:t>
      </w:r>
    </w:p>
    <w:p w14:paraId="5C7F3103" w14:textId="51989ED5" w:rsidR="008E037B" w:rsidRPr="006320B0" w:rsidRDefault="008E037B" w:rsidP="00130F98">
      <w:r w:rsidRPr="006320B0">
        <w:t xml:space="preserve">Gedetailleerde informatie over dit geneesmiddel, inclusief een video over het gebruik van de voorgevulde spuit, is beschikbaar door de onderstaande QR-code of de buitenverpakking te scannen met een smartphone. Dezelfde informatie is ook beschikbaar op de volgende URL: </w:t>
      </w:r>
      <w:r w:rsidR="00860989">
        <w:t>k</w:t>
      </w:r>
      <w:r w:rsidRPr="006320B0">
        <w:t>efdensispatients.com</w:t>
      </w:r>
    </w:p>
    <w:p w14:paraId="168836DB" w14:textId="77777777" w:rsidR="008E037B" w:rsidRPr="006320B0" w:rsidRDefault="008E037B" w:rsidP="00130F98">
      <w:pPr>
        <w:rPr>
          <w:highlight w:val="lightGray"/>
        </w:rPr>
      </w:pPr>
    </w:p>
    <w:p w14:paraId="02AD1F38" w14:textId="7F76C953" w:rsidR="008E037B" w:rsidRPr="006320B0" w:rsidRDefault="00AE4410" w:rsidP="00130F98">
      <w:r>
        <w:rPr>
          <w:highlight w:val="lightGray"/>
        </w:rPr>
        <w:t xml:space="preserve">Op te nemen </w:t>
      </w:r>
      <w:r w:rsidR="008E037B" w:rsidRPr="006320B0">
        <w:rPr>
          <w:highlight w:val="lightGray"/>
        </w:rPr>
        <w:t xml:space="preserve">QR-code </w:t>
      </w:r>
    </w:p>
    <w:p w14:paraId="2BB930A0" w14:textId="77777777" w:rsidR="008B184C" w:rsidRPr="006320B0" w:rsidRDefault="00951F81" w:rsidP="008B184C">
      <w:pPr>
        <w:widowControl w:val="0"/>
        <w:numPr>
          <w:ilvl w:val="12"/>
          <w:numId w:val="0"/>
        </w:numPr>
        <w:suppressAutoHyphens/>
        <w:ind w:left="567" w:hanging="567"/>
      </w:pPr>
      <w:r w:rsidRPr="006320B0">
        <w:br w:type="page"/>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6"/>
        <w:gridCol w:w="4398"/>
      </w:tblGrid>
      <w:tr w:rsidR="008B184C" w:rsidRPr="006320B0" w14:paraId="7161F477" w14:textId="77777777" w:rsidTr="008A2BB8">
        <w:trPr>
          <w:cantSplit/>
          <w:trHeight w:val="57"/>
        </w:trPr>
        <w:tc>
          <w:tcPr>
            <w:tcW w:w="5000" w:type="pct"/>
            <w:gridSpan w:val="2"/>
            <w:tcBorders>
              <w:bottom w:val="single" w:sz="4" w:space="0" w:color="auto"/>
            </w:tcBorders>
          </w:tcPr>
          <w:p w14:paraId="521E59A5" w14:textId="77777777" w:rsidR="008B184C" w:rsidRPr="006320B0" w:rsidRDefault="008B184C" w:rsidP="008A2BB8">
            <w:pPr>
              <w:keepNext/>
              <w:jc w:val="center"/>
            </w:pPr>
            <w:r w:rsidRPr="006320B0">
              <w:t>Gebruiksaanwijzing:</w:t>
            </w:r>
          </w:p>
        </w:tc>
      </w:tr>
      <w:tr w:rsidR="008B184C" w:rsidRPr="006320B0" w14:paraId="6CB080FF" w14:textId="77777777" w:rsidTr="008A2BB8">
        <w:trPr>
          <w:cantSplit/>
          <w:trHeight w:val="57"/>
        </w:trPr>
        <w:tc>
          <w:tcPr>
            <w:tcW w:w="5000" w:type="pct"/>
            <w:gridSpan w:val="2"/>
            <w:tcBorders>
              <w:top w:val="single" w:sz="4" w:space="0" w:color="auto"/>
            </w:tcBorders>
          </w:tcPr>
          <w:p w14:paraId="55EC7E27" w14:textId="77777777" w:rsidR="008B184C" w:rsidRPr="006320B0" w:rsidRDefault="008B184C" w:rsidP="008A2BB8">
            <w:pPr>
              <w:keepNext/>
              <w:jc w:val="center"/>
            </w:pPr>
            <w:r w:rsidRPr="006320B0">
              <w:t>Verklaring van de onderdelen</w:t>
            </w:r>
          </w:p>
        </w:tc>
      </w:tr>
      <w:tr w:rsidR="008B184C" w:rsidRPr="006320B0" w14:paraId="60D27BB6" w14:textId="77777777" w:rsidTr="008A2BB8">
        <w:trPr>
          <w:cantSplit/>
          <w:trHeight w:val="57"/>
        </w:trPr>
        <w:tc>
          <w:tcPr>
            <w:tcW w:w="2519" w:type="pct"/>
          </w:tcPr>
          <w:p w14:paraId="4A51A6E1" w14:textId="77777777" w:rsidR="008B184C" w:rsidRPr="006320B0" w:rsidRDefault="008B184C" w:rsidP="008A2BB8">
            <w:pPr>
              <w:keepNext/>
              <w:jc w:val="center"/>
            </w:pPr>
            <w:r w:rsidRPr="006320B0">
              <w:t>Vóór gebruik</w:t>
            </w:r>
          </w:p>
        </w:tc>
        <w:tc>
          <w:tcPr>
            <w:tcW w:w="2481" w:type="pct"/>
          </w:tcPr>
          <w:p w14:paraId="397BE379" w14:textId="77777777" w:rsidR="008B184C" w:rsidRPr="006320B0" w:rsidRDefault="008B184C" w:rsidP="008A2BB8">
            <w:pPr>
              <w:keepNext/>
              <w:jc w:val="center"/>
            </w:pPr>
            <w:r w:rsidRPr="006320B0">
              <w:t>Na gebruik</w:t>
            </w:r>
          </w:p>
        </w:tc>
      </w:tr>
    </w:tbl>
    <w:tbl>
      <w:tblPr>
        <w:tblStyle w:val="TableGrid0"/>
        <w:tblW w:w="4874" w:type="pct"/>
        <w:tblInd w:w="137" w:type="dxa"/>
        <w:tblCellMar>
          <w:top w:w="85" w:type="dxa"/>
          <w:left w:w="85" w:type="dxa"/>
          <w:bottom w:w="85" w:type="dxa"/>
          <w:right w:w="85" w:type="dxa"/>
        </w:tblCellMar>
        <w:tblLook w:val="04A0" w:firstRow="1" w:lastRow="0" w:firstColumn="1" w:lastColumn="0" w:noHBand="0" w:noVBand="1"/>
      </w:tblPr>
      <w:tblGrid>
        <w:gridCol w:w="4425"/>
        <w:gridCol w:w="4410"/>
      </w:tblGrid>
      <w:tr w:rsidR="008B184C" w:rsidRPr="006320B0" w14:paraId="5A9621B6" w14:textId="77777777" w:rsidTr="008A2BB8">
        <w:trPr>
          <w:trHeight w:val="20"/>
        </w:trPr>
        <w:tc>
          <w:tcPr>
            <w:tcW w:w="4402" w:type="dxa"/>
            <w:tcBorders>
              <w:top w:val="single" w:sz="4" w:space="0" w:color="000000"/>
              <w:left w:val="single" w:sz="4" w:space="0" w:color="000000"/>
              <w:bottom w:val="single" w:sz="4" w:space="0" w:color="000000"/>
              <w:right w:val="single" w:sz="4" w:space="0" w:color="000000"/>
            </w:tcBorders>
          </w:tcPr>
          <w:p w14:paraId="05E0DE65" w14:textId="77777777" w:rsidR="008B184C" w:rsidRPr="006320B0" w:rsidRDefault="008B184C" w:rsidP="008A2BB8">
            <w:pPr>
              <w:rPr>
                <w:rFonts w:cs="Times New Roman"/>
              </w:rPr>
            </w:pPr>
            <w:r w:rsidRPr="006320B0">
              <w:rPr>
                <w:noProof/>
                <w:lang w:eastAsia="pl-PL"/>
              </w:rPr>
              <mc:AlternateContent>
                <mc:Choice Requires="wps">
                  <w:drawing>
                    <wp:anchor distT="45720" distB="45720" distL="114300" distR="114300" simplePos="0" relativeHeight="251689472" behindDoc="0" locked="0" layoutInCell="1" allowOverlap="1" wp14:anchorId="66B8ECC3" wp14:editId="5F5FE24F">
                      <wp:simplePos x="0" y="0"/>
                      <wp:positionH relativeFrom="column">
                        <wp:posOffset>1310005</wp:posOffset>
                      </wp:positionH>
                      <wp:positionV relativeFrom="paragraph">
                        <wp:posOffset>2614295</wp:posOffset>
                      </wp:positionV>
                      <wp:extent cx="1384300" cy="241300"/>
                      <wp:effectExtent l="0" t="0" r="6350" b="4445"/>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41300"/>
                              </a:xfrm>
                              <a:prstGeom prst="rect">
                                <a:avLst/>
                              </a:prstGeom>
                              <a:noFill/>
                              <a:ln w="9525">
                                <a:noFill/>
                                <a:miter lim="800000"/>
                                <a:headEnd/>
                                <a:tailEnd/>
                              </a:ln>
                            </wps:spPr>
                            <wps:txbx>
                              <w:txbxContent>
                                <w:p w14:paraId="7A8B3700" w14:textId="77777777" w:rsidR="008B184C" w:rsidRPr="006320B0" w:rsidRDefault="008B184C" w:rsidP="008B184C">
                                  <w:r w:rsidRPr="006320B0">
                                    <w:rPr>
                                      <w:b/>
                                      <w:bCs/>
                                    </w:rPr>
                                    <w:t xml:space="preserve">Houdbaarheidsdatum </w:t>
                                  </w:r>
                                  <w:r w:rsidRPr="006320B0">
                                    <w:t>op etiket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6B8ECC3" id="_x0000_t202" coordsize="21600,21600" o:spt="202" path="m,l,21600r21600,l21600,xe">
                      <v:stroke joinstyle="miter"/>
                      <v:path gradientshapeok="t" o:connecttype="rect"/>
                    </v:shapetype>
                    <v:shape id="Text Box 2" o:spid="_x0000_s1026" type="#_x0000_t202" style="position:absolute;margin-left:103.15pt;margin-top:205.85pt;width:109pt;height:19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" filled="f" stroked="f">
                      <v:textbox style="mso-fit-shape-to-text:t" inset="0,0,0,0">
                        <w:txbxContent>
                          <w:p w14:paraId="7A8B3700" w14:textId="77777777" w:rsidR="008B184C" w:rsidRPr="006320B0" w:rsidRDefault="008B184C" w:rsidP="008B184C">
                            <w:r w:rsidRPr="006320B0">
                              <w:rPr>
                                <w:b/>
                                <w:bCs/>
                              </w:rPr>
                              <w:t xml:space="preserve">Houdbaarheidsdatum </w:t>
                            </w:r>
                            <w:r w:rsidRPr="006320B0">
                              <w:t>op etiket</w:t>
                            </w:r>
                          </w:p>
                        </w:txbxContent>
                      </v:textbox>
                      <w10:wrap type="square"/>
                    </v:shape>
                  </w:pict>
                </mc:Fallback>
              </mc:AlternateContent>
            </w:r>
            <w:r w:rsidRPr="006320B0">
              <w:rPr>
                <w:noProof/>
                <w:lang w:eastAsia="pl-PL"/>
              </w:rPr>
              <w:drawing>
                <wp:anchor distT="0" distB="0" distL="114300" distR="114300" simplePos="0" relativeHeight="251684352" behindDoc="1" locked="0" layoutInCell="1" allowOverlap="1" wp14:anchorId="7C79D8FF" wp14:editId="6986A8D8">
                  <wp:simplePos x="0" y="0"/>
                  <wp:positionH relativeFrom="column">
                    <wp:posOffset>-50800</wp:posOffset>
                  </wp:positionH>
                  <wp:positionV relativeFrom="paragraph">
                    <wp:posOffset>4445</wp:posOffset>
                  </wp:positionV>
                  <wp:extent cx="1701800" cy="4166235"/>
                  <wp:effectExtent l="0" t="0" r="0" b="5715"/>
                  <wp:wrapTopAndBottom/>
                  <wp:docPr id="760691281" name="Picture 1" descr="Afbeelding met schets, tekening, gereedschap,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691281" name="Picture 1" descr="Afbeelding met schets, tekening, gereedschap, illustratie&#10;&#10;Door AI gegenereerde inhoud is mogelijk onjuist."/>
                          <pic:cNvPicPr/>
                        </pic:nvPicPr>
                        <pic:blipFill>
                          <a:blip r:embed="rId19">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320B0">
              <w:rPr>
                <w:noProof/>
                <w:lang w:eastAsia="pl-PL"/>
              </w:rPr>
              <mc:AlternateContent>
                <mc:Choice Requires="wps">
                  <w:drawing>
                    <wp:anchor distT="45720" distB="45720" distL="114300" distR="114300" simplePos="0" relativeHeight="251690496" behindDoc="0" locked="0" layoutInCell="1" allowOverlap="1" wp14:anchorId="6E084A32" wp14:editId="4F13574D">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49C9E2C7" w14:textId="77777777" w:rsidR="008B184C" w:rsidRPr="006320B0" w:rsidRDefault="008B184C" w:rsidP="008B184C">
                                  <w:r w:rsidRPr="006320B0">
                                    <w:rPr>
                                      <w:b/>
                                      <w:bCs/>
                                    </w:rPr>
                                    <w:t>Cilinder van de spuit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E084A32" id="_x0000_s1027" type="#_x0000_t202" style="position:absolute;margin-left:102.95pt;margin-top:236.3pt;width:88.5pt;height:19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" filled="f" stroked="f">
                      <v:textbox style="mso-fit-shape-to-text:t" inset="0,0,0,0">
                        <w:txbxContent>
                          <w:p w14:paraId="49C9E2C7" w14:textId="77777777" w:rsidR="008B184C" w:rsidRPr="006320B0" w:rsidRDefault="008B184C" w:rsidP="008B184C">
                            <w:r w:rsidRPr="006320B0">
                              <w:rPr>
                                <w:b/>
                                <w:bCs/>
                              </w:rPr>
                              <w:t>Cilinder van de spuit</w:t>
                            </w:r>
                          </w:p>
                        </w:txbxContent>
                      </v:textbox>
                      <w10:wrap type="square"/>
                    </v:shape>
                  </w:pict>
                </mc:Fallback>
              </mc:AlternateContent>
            </w:r>
            <w:r w:rsidRPr="006320B0">
              <w:rPr>
                <w:noProof/>
                <w:lang w:eastAsia="pl-PL"/>
              </w:rPr>
              <mc:AlternateContent>
                <mc:Choice Requires="wps">
                  <w:drawing>
                    <wp:anchor distT="45720" distB="45720" distL="114300" distR="114300" simplePos="0" relativeHeight="251691520" behindDoc="0" locked="0" layoutInCell="1" allowOverlap="1" wp14:anchorId="3408F79F" wp14:editId="57104FA6">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610DB5CC" w14:textId="77777777" w:rsidR="008B184C" w:rsidRPr="006320B0" w:rsidRDefault="008B184C" w:rsidP="008B184C">
                                  <w:pPr>
                                    <w:rPr>
                                      <w:b/>
                                      <w:bCs/>
                                    </w:rPr>
                                  </w:pPr>
                                  <w:r w:rsidRPr="006320B0">
                                    <w:rPr>
                                      <w:b/>
                                      <w:bCs/>
                                    </w:rPr>
                                    <w:t>Grijze naalddop</w:t>
                                  </w:r>
                                </w:p>
                                <w:p w14:paraId="66043437" w14:textId="77777777" w:rsidR="008B184C" w:rsidRPr="006320B0" w:rsidRDefault="008B184C" w:rsidP="008B184C">
                                  <w:r w:rsidRPr="006320B0">
                                    <w:rPr>
                                      <w:b/>
                                      <w:bCs/>
                                    </w:rPr>
                                    <w:t xml:space="preserve">Belangrijk: </w:t>
                                  </w:r>
                                  <w:r w:rsidRPr="006320B0">
                                    <w:t>Houd de grijze naalddop erop totdat u klaar bent om te injecteren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408F79F" id="_x0000_s1028" type="#_x0000_t202" style="position:absolute;margin-left:102.95pt;margin-top:276.8pt;width:112.5pt;height:19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" filled="f" stroked="f">
                      <v:textbox style="mso-fit-shape-to-text:t" inset="0,0,0,0">
                        <w:txbxContent>
                          <w:p w14:paraId="610DB5CC" w14:textId="77777777" w:rsidR="008B184C" w:rsidRPr="006320B0" w:rsidRDefault="008B184C" w:rsidP="008B184C">
                            <w:pPr>
                              <w:rPr>
                                <w:b/>
                                <w:bCs/>
                              </w:rPr>
                            </w:pPr>
                            <w:r w:rsidRPr="006320B0">
                              <w:rPr>
                                <w:b/>
                                <w:bCs/>
                              </w:rPr>
                              <w:t>Grijze naalddop</w:t>
                            </w:r>
                          </w:p>
                          <w:p w14:paraId="66043437" w14:textId="77777777" w:rsidR="008B184C" w:rsidRPr="006320B0" w:rsidRDefault="008B184C" w:rsidP="008B184C">
                            <w:r w:rsidRPr="006320B0">
                              <w:rPr>
                                <w:b/>
                                <w:bCs/>
                              </w:rPr>
                              <w:t xml:space="preserve">Belangrijk: </w:t>
                            </w:r>
                            <w:r w:rsidRPr="006320B0">
                              <w:t>Houd de grijze naalddop erop totdat u klaar bent om te injecteren</w:t>
                            </w:r>
                          </w:p>
                        </w:txbxContent>
                      </v:textbox>
                      <w10:wrap type="square"/>
                    </v:shape>
                  </w:pict>
                </mc:Fallback>
              </mc:AlternateContent>
            </w:r>
            <w:r w:rsidRPr="006320B0">
              <w:rPr>
                <w:noProof/>
                <w:lang w:eastAsia="pl-PL"/>
              </w:rPr>
              <mc:AlternateContent>
                <mc:Choice Requires="wps">
                  <w:drawing>
                    <wp:anchor distT="45720" distB="45720" distL="114300" distR="114300" simplePos="0" relativeHeight="251688448" behindDoc="0" locked="0" layoutInCell="1" allowOverlap="1" wp14:anchorId="27CC78AF" wp14:editId="6A3EA232">
                      <wp:simplePos x="0" y="0"/>
                      <wp:positionH relativeFrom="column">
                        <wp:posOffset>1306830</wp:posOffset>
                      </wp:positionH>
                      <wp:positionV relativeFrom="paragraph">
                        <wp:posOffset>1884045</wp:posOffset>
                      </wp:positionV>
                      <wp:extent cx="831850" cy="241300"/>
                      <wp:effectExtent l="0" t="0" r="6350"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4A540B67" w14:textId="77777777" w:rsidR="008B184C" w:rsidRPr="006320B0" w:rsidRDefault="008B184C" w:rsidP="008B184C">
                                  <w:r w:rsidRPr="006320B0">
                                    <w:rPr>
                                      <w:b/>
                                      <w:bCs/>
                                    </w:rPr>
                                    <w:t>Transparante beschermkap</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7CC78AF" id="_x0000_s1029" type="#_x0000_t202" style="position:absolute;margin-left:102.9pt;margin-top:148.35pt;width:65.5pt;height:19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" filled="f" stroked="f">
                      <v:textbox style="mso-fit-shape-to-text:t" inset="0,0,0,0">
                        <w:txbxContent>
                          <w:p w14:paraId="4A540B67" w14:textId="77777777" w:rsidR="008B184C" w:rsidRPr="006320B0" w:rsidRDefault="008B184C" w:rsidP="008B184C">
                            <w:r w:rsidRPr="006320B0">
                              <w:rPr>
                                <w:b/>
                                <w:bCs/>
                              </w:rPr>
                              <w:t>Transparante beschermkap</w:t>
                            </w:r>
                          </w:p>
                        </w:txbxContent>
                      </v:textbox>
                      <w10:wrap type="square"/>
                    </v:shape>
                  </w:pict>
                </mc:Fallback>
              </mc:AlternateContent>
            </w:r>
            <w:r w:rsidRPr="006320B0">
              <w:rPr>
                <w:noProof/>
                <w:lang w:eastAsia="pl-PL"/>
              </w:rPr>
              <mc:AlternateContent>
                <mc:Choice Requires="wps">
                  <w:drawing>
                    <wp:anchor distT="45720" distB="45720" distL="114300" distR="114300" simplePos="0" relativeHeight="251687424" behindDoc="0" locked="0" layoutInCell="1" allowOverlap="1" wp14:anchorId="7FE14315" wp14:editId="7FD7848C">
                      <wp:simplePos x="0" y="0"/>
                      <wp:positionH relativeFrom="column">
                        <wp:posOffset>1307465</wp:posOffset>
                      </wp:positionH>
                      <wp:positionV relativeFrom="paragraph">
                        <wp:posOffset>1007110</wp:posOffset>
                      </wp:positionV>
                      <wp:extent cx="831850" cy="241300"/>
                      <wp:effectExtent l="0" t="0" r="635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15465E10" w14:textId="77777777" w:rsidR="008B184C" w:rsidRPr="006320B0" w:rsidRDefault="008B184C" w:rsidP="008B184C">
                                  <w:r w:rsidRPr="006320B0">
                                    <w:rPr>
                                      <w:b/>
                                      <w:bCs/>
                                    </w:rPr>
                                    <w:t>Vingergreep</w:t>
                                  </w:r>
                                </w:p>
                                <w:p w14:paraId="47935804" w14:textId="77777777" w:rsidR="008B184C" w:rsidRPr="006320B0" w:rsidRDefault="008B184C" w:rsidP="008B184C"/>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FE14315" id="_x0000_s1030" type="#_x0000_t202" style="position:absolute;margin-left:102.95pt;margin-top:79.3pt;width:65.5pt;height:19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" filled="f" stroked="f">
                      <v:textbox style="mso-fit-shape-to-text:t" inset="0,0,0,0">
                        <w:txbxContent>
                          <w:p w14:paraId="15465E10" w14:textId="77777777" w:rsidR="008B184C" w:rsidRPr="006320B0" w:rsidRDefault="008B184C" w:rsidP="008B184C">
                            <w:r w:rsidRPr="006320B0">
                              <w:rPr>
                                <w:b/>
                                <w:bCs/>
                              </w:rPr>
                              <w:t>Vingergreep</w:t>
                            </w:r>
                          </w:p>
                          <w:p w14:paraId="47935804" w14:textId="77777777" w:rsidR="008B184C" w:rsidRPr="006320B0" w:rsidRDefault="008B184C" w:rsidP="008B184C"/>
                        </w:txbxContent>
                      </v:textbox>
                      <w10:wrap type="square"/>
                    </v:shape>
                  </w:pict>
                </mc:Fallback>
              </mc:AlternateContent>
            </w:r>
            <w:r w:rsidRPr="006320B0">
              <w:rPr>
                <w:noProof/>
                <w:lang w:eastAsia="pl-PL"/>
              </w:rPr>
              <mc:AlternateContent>
                <mc:Choice Requires="wps">
                  <w:drawing>
                    <wp:anchor distT="45720" distB="45720" distL="114300" distR="114300" simplePos="0" relativeHeight="251686400" behindDoc="0" locked="0" layoutInCell="1" allowOverlap="1" wp14:anchorId="0A04DBE2" wp14:editId="77742BAA">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7AA460E0" w14:textId="77777777" w:rsidR="008B184C" w:rsidRPr="006320B0" w:rsidRDefault="008B184C" w:rsidP="008B184C">
                                  <w:pPr>
                                    <w:rPr>
                                      <w:b/>
                                      <w:bCs/>
                                    </w:rPr>
                                  </w:pPr>
                                  <w:r w:rsidRPr="006320B0">
                                    <w:rPr>
                                      <w:b/>
                                      <w:bCs/>
                                    </w:rPr>
                                    <w:t>Zuiger</w:t>
                                  </w:r>
                                </w:p>
                                <w:p w14:paraId="0F255FE6" w14:textId="77777777" w:rsidR="008B184C" w:rsidRPr="006320B0" w:rsidRDefault="008B184C" w:rsidP="008B184C">
                                  <w:r w:rsidRPr="006320B0">
                                    <w:rPr>
                                      <w:b/>
                                      <w:bCs/>
                                    </w:rPr>
                                    <w:t>Houd</w:t>
                                  </w:r>
                                  <w:r w:rsidRPr="006320B0">
                                    <w:t xml:space="preserve"> de zuiger op geen enkel moment vast en trek er ook niet aan.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A04DBE2" id="_x0000_s1031" type="#_x0000_t202" style="position:absolute;margin-left:102.95pt;margin-top:2.8pt;width:109pt;height:45.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7AA460E0" w14:textId="77777777" w:rsidR="008B184C" w:rsidRPr="006320B0" w:rsidRDefault="008B184C" w:rsidP="008B184C">
                            <w:pPr>
                              <w:rPr>
                                <w:b/>
                                <w:bCs/>
                              </w:rPr>
                            </w:pPr>
                            <w:r w:rsidRPr="006320B0">
                              <w:rPr>
                                <w:b/>
                                <w:bCs/>
                              </w:rPr>
                              <w:t>Zuiger</w:t>
                            </w:r>
                          </w:p>
                          <w:p w14:paraId="0F255FE6" w14:textId="77777777" w:rsidR="008B184C" w:rsidRPr="006320B0" w:rsidRDefault="008B184C" w:rsidP="008B184C">
                            <w:r w:rsidRPr="006320B0">
                              <w:rPr>
                                <w:b/>
                                <w:bCs/>
                              </w:rPr>
                              <w:t>Houd</w:t>
                            </w:r>
                            <w:r w:rsidRPr="006320B0">
                              <w:t xml:space="preserve"> de zuiger op geen enkel moment vast en trek er ook niet aan.</w:t>
                            </w:r>
                          </w:p>
                        </w:txbxContent>
                      </v:textbox>
                      <w10:wrap type="square"/>
                    </v:shape>
                  </w:pict>
                </mc:Fallback>
              </mc:AlternateContent>
            </w:r>
          </w:p>
        </w:tc>
        <w:tc>
          <w:tcPr>
            <w:tcW w:w="4387" w:type="dxa"/>
            <w:tcBorders>
              <w:top w:val="single" w:sz="4" w:space="0" w:color="000000"/>
              <w:left w:val="single" w:sz="4" w:space="0" w:color="000000"/>
              <w:bottom w:val="single" w:sz="4" w:space="0" w:color="000000"/>
              <w:right w:val="single" w:sz="4" w:space="0" w:color="000000"/>
            </w:tcBorders>
          </w:tcPr>
          <w:p w14:paraId="1EC08409" w14:textId="77777777" w:rsidR="008B184C" w:rsidRPr="006320B0" w:rsidRDefault="008B184C" w:rsidP="008A2BB8">
            <w:r w:rsidRPr="006320B0">
              <w:rPr>
                <w:noProof/>
                <w:lang w:eastAsia="pl-PL"/>
              </w:rPr>
              <mc:AlternateContent>
                <mc:Choice Requires="wps">
                  <w:drawing>
                    <wp:anchor distT="45720" distB="45720" distL="114300" distR="114300" simplePos="0" relativeHeight="251694592" behindDoc="0" locked="0" layoutInCell="1" allowOverlap="1" wp14:anchorId="3EBC0C4C" wp14:editId="4F309D0B">
                      <wp:simplePos x="0" y="0"/>
                      <wp:positionH relativeFrom="column">
                        <wp:posOffset>635000</wp:posOffset>
                      </wp:positionH>
                      <wp:positionV relativeFrom="paragraph">
                        <wp:posOffset>3542665</wp:posOffset>
                      </wp:positionV>
                      <wp:extent cx="923925" cy="241300"/>
                      <wp:effectExtent l="0" t="0" r="9525" b="1905"/>
                      <wp:wrapSquare wrapText="bothSides"/>
                      <wp:docPr id="1231782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27DCAB09" w14:textId="77777777" w:rsidR="008B184C" w:rsidRPr="006320B0" w:rsidRDefault="008B184C" w:rsidP="008B184C">
                                  <w:r w:rsidRPr="006320B0">
                                    <w:t>Naald trekt zich terug in de transparante beschermkap</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EBC0C4C" id="Text Box 5" o:spid="_x0000_s1032" type="#_x0000_t202" style="position:absolute;margin-left:50pt;margin-top:278.95pt;width:72.75pt;height:19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" filled="f" stroked="f">
                      <v:textbox style="mso-fit-shape-to-text:t" inset="0,0,0,0">
                        <w:txbxContent>
                          <w:p w14:paraId="27DCAB09" w14:textId="77777777" w:rsidR="008B184C" w:rsidRPr="006320B0" w:rsidRDefault="008B184C" w:rsidP="008B184C">
                            <w:r w:rsidRPr="006320B0">
                              <w:t>Naald trekt zich terug in de transparante beschermkap</w:t>
                            </w:r>
                          </w:p>
                        </w:txbxContent>
                      </v:textbox>
                      <w10:wrap type="square"/>
                    </v:shape>
                  </w:pict>
                </mc:Fallback>
              </mc:AlternateContent>
            </w:r>
            <w:r w:rsidRPr="006320B0">
              <w:rPr>
                <w:noProof/>
                <w:lang w:eastAsia="pl-PL"/>
              </w:rPr>
              <mc:AlternateContent>
                <mc:Choice Requires="wps">
                  <w:drawing>
                    <wp:anchor distT="45720" distB="45720" distL="114300" distR="114300" simplePos="0" relativeHeight="251693568" behindDoc="0" locked="0" layoutInCell="1" allowOverlap="1" wp14:anchorId="17059C3F" wp14:editId="4D47C9EB">
                      <wp:simplePos x="0" y="0"/>
                      <wp:positionH relativeFrom="column">
                        <wp:posOffset>1387475</wp:posOffset>
                      </wp:positionH>
                      <wp:positionV relativeFrom="paragraph">
                        <wp:posOffset>680085</wp:posOffset>
                      </wp:positionV>
                      <wp:extent cx="923925" cy="241300"/>
                      <wp:effectExtent l="0" t="0" r="9525" b="1905"/>
                      <wp:wrapSquare wrapText="bothSides"/>
                      <wp:docPr id="8232391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579A3FC0" w14:textId="77777777" w:rsidR="008B184C" w:rsidRPr="006320B0" w:rsidRDefault="008B184C" w:rsidP="008B184C">
                                  <w:r w:rsidRPr="006320B0">
                                    <w:t>Veiligheidsveer activeert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7059C3F" id="Text Box 3" o:spid="_x0000_s1033" type="#_x0000_t202" style="position:absolute;margin-left:109.25pt;margin-top:53.55pt;width:72.75pt;height:19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" filled="f" stroked="f">
                      <v:textbox style="mso-fit-shape-to-text:t" inset="0,0,0,0">
                        <w:txbxContent>
                          <w:p w14:paraId="579A3FC0" w14:textId="77777777" w:rsidR="008B184C" w:rsidRPr="006320B0" w:rsidRDefault="008B184C" w:rsidP="008B184C">
                            <w:r w:rsidRPr="006320B0">
                              <w:t>Veiligheidsveer activeert</w:t>
                            </w:r>
                          </w:p>
                        </w:txbxContent>
                      </v:textbox>
                      <w10:wrap type="square"/>
                    </v:shape>
                  </w:pict>
                </mc:Fallback>
              </mc:AlternateContent>
            </w:r>
            <w:r w:rsidRPr="006320B0">
              <w:rPr>
                <w:noProof/>
                <w:lang w:eastAsia="pl-PL"/>
              </w:rPr>
              <mc:AlternateContent>
                <mc:Choice Requires="wps">
                  <w:drawing>
                    <wp:anchor distT="45720" distB="45720" distL="114300" distR="114300" simplePos="0" relativeHeight="251692544" behindDoc="0" locked="0" layoutInCell="1" allowOverlap="1" wp14:anchorId="561A1C94" wp14:editId="42C73C4C">
                      <wp:simplePos x="0" y="0"/>
                      <wp:positionH relativeFrom="column">
                        <wp:posOffset>1303020</wp:posOffset>
                      </wp:positionH>
                      <wp:positionV relativeFrom="paragraph">
                        <wp:posOffset>116205</wp:posOffset>
                      </wp:positionV>
                      <wp:extent cx="923925" cy="241300"/>
                      <wp:effectExtent l="0" t="0" r="9525" b="1905"/>
                      <wp:wrapSquare wrapText="bothSides"/>
                      <wp:docPr id="199715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538C8D87" w14:textId="77777777" w:rsidR="008B184C" w:rsidRPr="006320B0" w:rsidRDefault="008B184C" w:rsidP="008B184C">
                                  <w:r w:rsidRPr="006320B0">
                                    <w:t>Zuiger blokkeert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61A1C94" id="_x0000_s1034" type="#_x0000_t202" style="position:absolute;margin-left:102.6pt;margin-top:9.15pt;width:72.75pt;height:19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" filled="f" stroked="f">
                      <v:textbox style="mso-fit-shape-to-text:t" inset="0,0,0,0">
                        <w:txbxContent>
                          <w:p w14:paraId="538C8D87" w14:textId="77777777" w:rsidR="008B184C" w:rsidRPr="006320B0" w:rsidRDefault="008B184C" w:rsidP="008B184C">
                            <w:r w:rsidRPr="006320B0">
                              <w:t>Zuiger blokkeert</w:t>
                            </w:r>
                          </w:p>
                        </w:txbxContent>
                      </v:textbox>
                      <w10:wrap type="square"/>
                    </v:shape>
                  </w:pict>
                </mc:Fallback>
              </mc:AlternateContent>
            </w:r>
            <w:r w:rsidRPr="006320B0">
              <w:rPr>
                <w:noProof/>
                <w:lang w:eastAsia="pl-PL"/>
              </w:rPr>
              <w:drawing>
                <wp:anchor distT="0" distB="0" distL="114300" distR="114300" simplePos="0" relativeHeight="251685376" behindDoc="1" locked="0" layoutInCell="1" allowOverlap="1" wp14:anchorId="706103FA" wp14:editId="54E27BE4">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descr="Afbeelding met schets, tekening, illustratie,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 name="Picture 7465" descr="Afbeelding met schets, tekening, illustratie, kunst&#10;&#10;Door AI gegenereerde inhoud is mogelijk onjuis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4C983828" w14:textId="77777777" w:rsidR="008B184C" w:rsidRPr="006320B0" w:rsidRDefault="008B184C" w:rsidP="008B184C"/>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559"/>
        <w:gridCol w:w="8402"/>
      </w:tblGrid>
      <w:tr w:rsidR="008B184C" w:rsidRPr="006320B0" w14:paraId="0847508D" w14:textId="77777777" w:rsidTr="008A2BB8">
        <w:trPr>
          <w:cantSplit/>
          <w:trHeight w:val="57"/>
        </w:trPr>
        <w:tc>
          <w:tcPr>
            <w:tcW w:w="5000" w:type="pct"/>
            <w:gridSpan w:val="2"/>
            <w:tcBorders>
              <w:bottom w:val="single" w:sz="4" w:space="0" w:color="auto"/>
            </w:tcBorders>
            <w:tcMar>
              <w:top w:w="57" w:type="dxa"/>
              <w:left w:w="57" w:type="dxa"/>
              <w:bottom w:w="57" w:type="dxa"/>
              <w:right w:w="57" w:type="dxa"/>
            </w:tcMar>
          </w:tcPr>
          <w:p w14:paraId="06AF25BC" w14:textId="77777777" w:rsidR="008B184C" w:rsidRPr="006320B0" w:rsidRDefault="008B184C" w:rsidP="008A2BB8">
            <w:pPr>
              <w:keepNext/>
              <w:jc w:val="center"/>
              <w:rPr>
                <w:b/>
                <w:bCs/>
              </w:rPr>
            </w:pPr>
            <w:r w:rsidRPr="006320B0">
              <w:rPr>
                <w:b/>
              </w:rPr>
              <w:t>Belangrijk</w:t>
            </w:r>
          </w:p>
        </w:tc>
      </w:tr>
      <w:tr w:rsidR="008B184C" w:rsidRPr="006320B0" w14:paraId="535BE8A9" w14:textId="77777777" w:rsidTr="008A2BB8">
        <w:trPr>
          <w:cantSplit/>
          <w:trHeight w:val="57"/>
        </w:trPr>
        <w:tc>
          <w:tcPr>
            <w:tcW w:w="5000" w:type="pct"/>
            <w:gridSpan w:val="2"/>
            <w:tcBorders>
              <w:bottom w:val="nil"/>
            </w:tcBorders>
            <w:tcMar>
              <w:top w:w="57" w:type="dxa"/>
              <w:left w:w="57" w:type="dxa"/>
              <w:bottom w:w="57" w:type="dxa"/>
              <w:right w:w="57" w:type="dxa"/>
            </w:tcMar>
          </w:tcPr>
          <w:p w14:paraId="32E9EDFE" w14:textId="52C98D53" w:rsidR="008B184C" w:rsidRPr="006320B0" w:rsidRDefault="008B184C" w:rsidP="008A2BB8">
            <w:pPr>
              <w:keepNext/>
              <w:tabs>
                <w:tab w:val="clear" w:pos="567"/>
              </w:tabs>
              <w:rPr>
                <w:b/>
                <w:bCs/>
              </w:rPr>
            </w:pPr>
            <w:r w:rsidRPr="006320B0">
              <w:rPr>
                <w:b/>
              </w:rPr>
              <w:t>Lees eerst deze belangrijke informatie voordat u een Kefdensis voorgevulde spuit met automatische naaldbeschermer gebruikt:</w:t>
            </w:r>
          </w:p>
        </w:tc>
      </w:tr>
      <w:tr w:rsidR="008B184C" w:rsidRPr="006320B0" w14:paraId="3A145B97" w14:textId="77777777" w:rsidTr="008A2BB8">
        <w:trPr>
          <w:cantSplit/>
          <w:trHeight w:val="57"/>
        </w:trPr>
        <w:tc>
          <w:tcPr>
            <w:tcW w:w="312" w:type="pct"/>
            <w:tcBorders>
              <w:top w:val="nil"/>
              <w:bottom w:val="nil"/>
              <w:right w:val="nil"/>
            </w:tcBorders>
          </w:tcPr>
          <w:p w14:paraId="07F98EDD" w14:textId="77777777" w:rsidR="008B184C" w:rsidRPr="006320B0" w:rsidRDefault="008B184C" w:rsidP="008B184C">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0BEA643E" w14:textId="77777777" w:rsidR="008B184C" w:rsidRPr="006320B0" w:rsidRDefault="008B184C" w:rsidP="008A2BB8">
            <w:pPr>
              <w:keepNext/>
            </w:pPr>
            <w:r w:rsidRPr="006320B0">
              <w:t>Het is belangrijk dat u niet probeert uzelf te injecteren voordat uw arts of andere zorgverlener u dit heeft geleerd.</w:t>
            </w:r>
          </w:p>
        </w:tc>
      </w:tr>
      <w:tr w:rsidR="008B184C" w:rsidRPr="006320B0" w14:paraId="14CAEF8F" w14:textId="77777777" w:rsidTr="008A2BB8">
        <w:trPr>
          <w:cantSplit/>
          <w:trHeight w:val="57"/>
        </w:trPr>
        <w:tc>
          <w:tcPr>
            <w:tcW w:w="312" w:type="pct"/>
            <w:tcBorders>
              <w:top w:val="nil"/>
              <w:bottom w:val="nil"/>
              <w:right w:val="nil"/>
            </w:tcBorders>
          </w:tcPr>
          <w:p w14:paraId="3A0A8B1E" w14:textId="77777777" w:rsidR="008B184C" w:rsidRPr="006320B0" w:rsidRDefault="008B184C" w:rsidP="008B184C">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4187E0E1" w14:textId="193F8B3C" w:rsidR="008B184C" w:rsidRPr="006320B0" w:rsidRDefault="008B184C" w:rsidP="008A2BB8">
            <w:pPr>
              <w:keepNext/>
            </w:pPr>
            <w:r w:rsidRPr="006320B0">
              <w:t>Kefdensis wordt toegediend als een injectie in het weefsel vlak onder de huid (subcutane injectie).</w:t>
            </w:r>
          </w:p>
        </w:tc>
      </w:tr>
      <w:tr w:rsidR="008B184C" w:rsidRPr="006320B0" w14:paraId="7ECF1E03" w14:textId="77777777" w:rsidTr="008A2BB8">
        <w:trPr>
          <w:cantSplit/>
          <w:trHeight w:val="57"/>
        </w:trPr>
        <w:tc>
          <w:tcPr>
            <w:tcW w:w="312" w:type="pct"/>
            <w:tcBorders>
              <w:top w:val="nil"/>
              <w:bottom w:val="nil"/>
              <w:right w:val="nil"/>
            </w:tcBorders>
          </w:tcPr>
          <w:p w14:paraId="4854EFEE" w14:textId="77777777" w:rsidR="008B184C" w:rsidRPr="006320B0" w:rsidRDefault="008B184C" w:rsidP="008A2BB8">
            <w:pPr>
              <w:keepNext/>
            </w:pPr>
            <w:r w:rsidRPr="006320B0">
              <w:rPr>
                <w:noProof/>
              </w:rPr>
              <w:drawing>
                <wp:anchor distT="0" distB="0" distL="114300" distR="114300" simplePos="0" relativeHeight="251668992" behindDoc="0" locked="0" layoutInCell="1" allowOverlap="1" wp14:anchorId="0FB7AD3A" wp14:editId="147D43EB">
                  <wp:simplePos x="0" y="0"/>
                  <wp:positionH relativeFrom="column">
                    <wp:posOffset>14605</wp:posOffset>
                  </wp:positionH>
                  <wp:positionV relativeFrom="paragraph">
                    <wp:posOffset>22225</wp:posOffset>
                  </wp:positionV>
                  <wp:extent cx="119380" cy="119380"/>
                  <wp:effectExtent l="0" t="0" r="0" b="0"/>
                  <wp:wrapNone/>
                  <wp:docPr id="39"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7D855307" w14:textId="77777777" w:rsidR="008B184C" w:rsidRPr="006320B0" w:rsidRDefault="008B184C" w:rsidP="008A2BB8">
            <w:pPr>
              <w:keepNext/>
            </w:pPr>
            <w:r w:rsidRPr="006320B0">
              <w:rPr>
                <w:b/>
              </w:rPr>
              <w:t>Verwijder</w:t>
            </w:r>
            <w:r w:rsidRPr="006320B0">
              <w:t xml:space="preserve"> de grijze naalddop van de voorgevulde spuit </w:t>
            </w:r>
            <w:r w:rsidRPr="006320B0">
              <w:rPr>
                <w:b/>
              </w:rPr>
              <w:t>niet</w:t>
            </w:r>
            <w:r w:rsidRPr="006320B0">
              <w:t xml:space="preserve"> voordat u klaar bent om te injecteren.</w:t>
            </w:r>
          </w:p>
        </w:tc>
      </w:tr>
      <w:tr w:rsidR="008B184C" w:rsidRPr="006320B0" w14:paraId="7CE9E549" w14:textId="77777777" w:rsidTr="008A2BB8">
        <w:trPr>
          <w:cantSplit/>
          <w:trHeight w:val="57"/>
        </w:trPr>
        <w:tc>
          <w:tcPr>
            <w:tcW w:w="312" w:type="pct"/>
            <w:tcBorders>
              <w:top w:val="nil"/>
              <w:bottom w:val="nil"/>
              <w:right w:val="nil"/>
            </w:tcBorders>
          </w:tcPr>
          <w:p w14:paraId="6ABF5DA3" w14:textId="77777777" w:rsidR="008B184C" w:rsidRPr="006320B0" w:rsidRDefault="008B184C" w:rsidP="008A2BB8">
            <w:pPr>
              <w:keepNext/>
            </w:pPr>
            <w:r w:rsidRPr="006320B0">
              <w:rPr>
                <w:noProof/>
              </w:rPr>
              <w:drawing>
                <wp:anchor distT="0" distB="0" distL="114300" distR="114300" simplePos="0" relativeHeight="251670016" behindDoc="0" locked="0" layoutInCell="1" allowOverlap="1" wp14:anchorId="24A34A8A" wp14:editId="276F6481">
                  <wp:simplePos x="0" y="0"/>
                  <wp:positionH relativeFrom="column">
                    <wp:posOffset>14605</wp:posOffset>
                  </wp:positionH>
                  <wp:positionV relativeFrom="paragraph">
                    <wp:posOffset>22225</wp:posOffset>
                  </wp:positionV>
                  <wp:extent cx="119380" cy="119380"/>
                  <wp:effectExtent l="0" t="0" r="0" b="0"/>
                  <wp:wrapNone/>
                  <wp:docPr id="40"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4A781C7E" w14:textId="77777777" w:rsidR="008B184C" w:rsidRPr="006320B0" w:rsidRDefault="008B184C" w:rsidP="008A2BB8">
            <w:pPr>
              <w:keepNext/>
            </w:pPr>
            <w:r w:rsidRPr="006320B0">
              <w:rPr>
                <w:b/>
              </w:rPr>
              <w:t>Gebruik</w:t>
            </w:r>
            <w:r w:rsidRPr="006320B0">
              <w:t xml:space="preserve"> de voorgevulde spuit </w:t>
            </w:r>
            <w:r w:rsidRPr="006320B0">
              <w:rPr>
                <w:b/>
              </w:rPr>
              <w:t>niet</w:t>
            </w:r>
            <w:r w:rsidRPr="006320B0">
              <w:t xml:space="preserve"> als deze op een hard oppervlak is gevallen. Gebruik een nieuwe voorgevulde spuit en neem contact op met uw arts of andere zorgverlener.</w:t>
            </w:r>
          </w:p>
        </w:tc>
      </w:tr>
      <w:tr w:rsidR="008B184C" w:rsidRPr="006320B0" w14:paraId="5FDD9340" w14:textId="77777777" w:rsidTr="008A2BB8">
        <w:trPr>
          <w:cantSplit/>
          <w:trHeight w:val="57"/>
        </w:trPr>
        <w:tc>
          <w:tcPr>
            <w:tcW w:w="312" w:type="pct"/>
            <w:tcBorders>
              <w:top w:val="nil"/>
              <w:bottom w:val="nil"/>
              <w:right w:val="nil"/>
            </w:tcBorders>
          </w:tcPr>
          <w:p w14:paraId="340E27B8" w14:textId="77777777" w:rsidR="008B184C" w:rsidRPr="006320B0" w:rsidRDefault="008B184C" w:rsidP="008A2BB8">
            <w:pPr>
              <w:keepNext/>
            </w:pPr>
            <w:r w:rsidRPr="006320B0">
              <w:rPr>
                <w:noProof/>
              </w:rPr>
              <w:drawing>
                <wp:anchor distT="0" distB="0" distL="114300" distR="114300" simplePos="0" relativeHeight="251671040" behindDoc="0" locked="0" layoutInCell="1" allowOverlap="1" wp14:anchorId="776F7091" wp14:editId="093E645D">
                  <wp:simplePos x="0" y="0"/>
                  <wp:positionH relativeFrom="column">
                    <wp:posOffset>14605</wp:posOffset>
                  </wp:positionH>
                  <wp:positionV relativeFrom="paragraph">
                    <wp:posOffset>22225</wp:posOffset>
                  </wp:positionV>
                  <wp:extent cx="119380" cy="119380"/>
                  <wp:effectExtent l="0" t="0" r="0" b="0"/>
                  <wp:wrapNone/>
                  <wp:docPr id="41"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1E167D9C" w14:textId="77777777" w:rsidR="008B184C" w:rsidRPr="006320B0" w:rsidRDefault="008B184C" w:rsidP="008A2BB8">
            <w:pPr>
              <w:keepNext/>
            </w:pPr>
            <w:r w:rsidRPr="006320B0">
              <w:rPr>
                <w:b/>
              </w:rPr>
              <w:t>Probeer niet</w:t>
            </w:r>
            <w:r w:rsidRPr="006320B0">
              <w:t xml:space="preserve"> om de voorgevulde spuit te activeren voordat u de injectie gaat toedienen.</w:t>
            </w:r>
          </w:p>
        </w:tc>
      </w:tr>
      <w:tr w:rsidR="008B184C" w:rsidRPr="006320B0" w14:paraId="7A88C928" w14:textId="77777777" w:rsidTr="008A2BB8">
        <w:trPr>
          <w:cantSplit/>
          <w:trHeight w:val="57"/>
        </w:trPr>
        <w:tc>
          <w:tcPr>
            <w:tcW w:w="312" w:type="pct"/>
            <w:tcBorders>
              <w:top w:val="nil"/>
              <w:bottom w:val="nil"/>
              <w:right w:val="nil"/>
            </w:tcBorders>
          </w:tcPr>
          <w:p w14:paraId="5266E653" w14:textId="77777777" w:rsidR="008B184C" w:rsidRPr="006320B0" w:rsidRDefault="008B184C" w:rsidP="008A2BB8">
            <w:pPr>
              <w:keepNext/>
            </w:pPr>
            <w:r w:rsidRPr="006320B0">
              <w:rPr>
                <w:noProof/>
              </w:rPr>
              <w:drawing>
                <wp:anchor distT="0" distB="0" distL="114300" distR="114300" simplePos="0" relativeHeight="251672064" behindDoc="0" locked="0" layoutInCell="1" allowOverlap="1" wp14:anchorId="399CF6AA" wp14:editId="55AF980C">
                  <wp:simplePos x="0" y="0"/>
                  <wp:positionH relativeFrom="column">
                    <wp:posOffset>14605</wp:posOffset>
                  </wp:positionH>
                  <wp:positionV relativeFrom="paragraph">
                    <wp:posOffset>22225</wp:posOffset>
                  </wp:positionV>
                  <wp:extent cx="119380" cy="119380"/>
                  <wp:effectExtent l="0" t="0" r="0" b="0"/>
                  <wp:wrapNone/>
                  <wp:docPr id="42"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509EE374" w14:textId="77777777" w:rsidR="008B184C" w:rsidRPr="006320B0" w:rsidRDefault="008B184C" w:rsidP="008A2BB8">
            <w:pPr>
              <w:keepNext/>
            </w:pPr>
            <w:r w:rsidRPr="006320B0">
              <w:rPr>
                <w:b/>
              </w:rPr>
              <w:t>Probeer niet</w:t>
            </w:r>
            <w:r w:rsidRPr="006320B0">
              <w:t xml:space="preserve"> om de doorzichtige naaldbeschermer van de voorgevulde spuit af te halen.</w:t>
            </w:r>
          </w:p>
        </w:tc>
      </w:tr>
      <w:tr w:rsidR="008B184C" w:rsidRPr="006320B0" w14:paraId="68FBD2BB" w14:textId="77777777" w:rsidTr="008A2BB8">
        <w:trPr>
          <w:cantSplit/>
          <w:trHeight w:val="57"/>
        </w:trPr>
        <w:tc>
          <w:tcPr>
            <w:tcW w:w="5000" w:type="pct"/>
            <w:gridSpan w:val="2"/>
            <w:tcBorders>
              <w:top w:val="nil"/>
            </w:tcBorders>
            <w:tcMar>
              <w:top w:w="57" w:type="dxa"/>
              <w:left w:w="57" w:type="dxa"/>
              <w:bottom w:w="57" w:type="dxa"/>
              <w:right w:w="57" w:type="dxa"/>
            </w:tcMar>
          </w:tcPr>
          <w:p w14:paraId="6C99F293" w14:textId="77777777" w:rsidR="008B184C" w:rsidRPr="006320B0" w:rsidRDefault="008B184C" w:rsidP="008A2BB8">
            <w:pPr>
              <w:keepNext/>
            </w:pPr>
            <w:r w:rsidRPr="006320B0">
              <w:t>Neem contact op met uw arts of andere zorgverlener als u nog vragen heeft.</w:t>
            </w:r>
          </w:p>
        </w:tc>
      </w:tr>
    </w:tbl>
    <w:p w14:paraId="1FD04E57" w14:textId="77777777" w:rsidR="008B184C" w:rsidRPr="006320B0" w:rsidRDefault="008B184C" w:rsidP="008B184C">
      <w:pPr>
        <w:keepNext/>
      </w:pPr>
    </w:p>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9"/>
        <w:gridCol w:w="21"/>
        <w:gridCol w:w="8389"/>
      </w:tblGrid>
      <w:tr w:rsidR="008B184C" w:rsidRPr="006320B0" w14:paraId="3E1061FB" w14:textId="77777777" w:rsidTr="008A2BB8">
        <w:trPr>
          <w:cantSplit/>
          <w:trHeight w:val="57"/>
        </w:trPr>
        <w:tc>
          <w:tcPr>
            <w:tcW w:w="5000" w:type="pct"/>
            <w:gridSpan w:val="3"/>
            <w:tcBorders>
              <w:top w:val="single" w:sz="4" w:space="0" w:color="auto"/>
            </w:tcBorders>
            <w:tcMar>
              <w:top w:w="28" w:type="dxa"/>
              <w:left w:w="57" w:type="dxa"/>
              <w:bottom w:w="28" w:type="dxa"/>
              <w:right w:w="57" w:type="dxa"/>
            </w:tcMar>
          </w:tcPr>
          <w:p w14:paraId="155A237E" w14:textId="77777777" w:rsidR="008B184C" w:rsidRPr="006320B0" w:rsidRDefault="008B184C" w:rsidP="008A2BB8">
            <w:pPr>
              <w:keepNext/>
              <w:jc w:val="center"/>
            </w:pPr>
            <w:r w:rsidRPr="006320B0">
              <w:t xml:space="preserve">Stap 1: </w:t>
            </w:r>
            <w:r w:rsidRPr="006320B0">
              <w:rPr>
                <w:b/>
              </w:rPr>
              <w:t>Voorbereiden</w:t>
            </w:r>
          </w:p>
        </w:tc>
      </w:tr>
      <w:tr w:rsidR="008B184C" w:rsidRPr="006320B0" w14:paraId="5D4393A7" w14:textId="77777777" w:rsidTr="008A2BB8">
        <w:trPr>
          <w:cantSplit/>
          <w:trHeight w:val="57"/>
        </w:trPr>
        <w:tc>
          <w:tcPr>
            <w:tcW w:w="313" w:type="pct"/>
            <w:gridSpan w:val="2"/>
            <w:tcBorders>
              <w:bottom w:val="single" w:sz="4" w:space="0" w:color="auto"/>
            </w:tcBorders>
            <w:tcMar>
              <w:top w:w="28" w:type="dxa"/>
              <w:left w:w="57" w:type="dxa"/>
              <w:bottom w:w="28" w:type="dxa"/>
              <w:right w:w="57" w:type="dxa"/>
            </w:tcMar>
          </w:tcPr>
          <w:p w14:paraId="158B9F6C" w14:textId="77777777" w:rsidR="008B184C" w:rsidRPr="006320B0" w:rsidRDefault="008B184C" w:rsidP="008A2BB8">
            <w:pPr>
              <w:keepNext/>
            </w:pPr>
            <w:r w:rsidRPr="006320B0">
              <w:t>A</w:t>
            </w:r>
          </w:p>
        </w:tc>
        <w:tc>
          <w:tcPr>
            <w:tcW w:w="4687" w:type="pct"/>
            <w:tcBorders>
              <w:bottom w:val="single" w:sz="4" w:space="0" w:color="auto"/>
            </w:tcBorders>
            <w:tcMar>
              <w:top w:w="28" w:type="dxa"/>
              <w:left w:w="57" w:type="dxa"/>
              <w:bottom w:w="28" w:type="dxa"/>
              <w:right w:w="57" w:type="dxa"/>
            </w:tcMar>
          </w:tcPr>
          <w:p w14:paraId="286F9F6B" w14:textId="77777777" w:rsidR="008B184C" w:rsidRPr="006320B0" w:rsidRDefault="008B184C" w:rsidP="008A2BB8">
            <w:pPr>
              <w:keepNext/>
            </w:pPr>
            <w:r w:rsidRPr="006320B0">
              <w:t>Haal de blister met voorgevulde spuit uit de verpakking en leg klaar wat u nodig heeft voor uw injectie: alcoholdoekjes, een watje of gaasje, een pleister en een naaldcontainer (niet inbegrepen).</w:t>
            </w:r>
          </w:p>
        </w:tc>
      </w:tr>
      <w:tr w:rsidR="008B184C" w:rsidRPr="006320B0" w14:paraId="6090125B" w14:textId="77777777" w:rsidTr="008A2BB8">
        <w:trPr>
          <w:cantSplit/>
          <w:trHeight w:val="57"/>
        </w:trPr>
        <w:tc>
          <w:tcPr>
            <w:tcW w:w="5000" w:type="pct"/>
            <w:gridSpan w:val="3"/>
            <w:tcBorders>
              <w:bottom w:val="nil"/>
            </w:tcBorders>
            <w:tcMar>
              <w:top w:w="28" w:type="dxa"/>
              <w:left w:w="57" w:type="dxa"/>
              <w:bottom w:w="28" w:type="dxa"/>
              <w:right w:w="57" w:type="dxa"/>
            </w:tcMar>
          </w:tcPr>
          <w:p w14:paraId="048447F6" w14:textId="77777777" w:rsidR="008B184C" w:rsidRPr="006320B0" w:rsidRDefault="008B184C" w:rsidP="008A2BB8">
            <w:pPr>
              <w:keepNext/>
            </w:pPr>
            <w:r w:rsidRPr="006320B0">
              <w:t>Laat de voorgevulde spuit gedurende 30 minuten op kamertemperatuur komen. Hierdoor zal de injectie comfortabeler zijn. Was uw handen grondig met water en zeep.</w:t>
            </w:r>
          </w:p>
          <w:p w14:paraId="61C9571F" w14:textId="77777777" w:rsidR="008B184C" w:rsidRPr="006320B0" w:rsidRDefault="008B184C" w:rsidP="008A2BB8">
            <w:pPr>
              <w:keepNext/>
            </w:pPr>
          </w:p>
          <w:p w14:paraId="0420274B" w14:textId="77777777" w:rsidR="008B184C" w:rsidRPr="006320B0" w:rsidRDefault="008B184C" w:rsidP="008A2BB8">
            <w:pPr>
              <w:keepNext/>
            </w:pPr>
            <w:r w:rsidRPr="006320B0">
              <w:t>Leg de nieuwe voorgevulde spuit en de andere benodigdheden op een schoon en goed verlicht oppervlak.</w:t>
            </w:r>
          </w:p>
        </w:tc>
      </w:tr>
      <w:tr w:rsidR="008B184C" w:rsidRPr="006320B0" w14:paraId="37DE24DE" w14:textId="77777777" w:rsidTr="008A2BB8">
        <w:trPr>
          <w:cantSplit/>
          <w:trHeight w:val="57"/>
        </w:trPr>
        <w:tc>
          <w:tcPr>
            <w:tcW w:w="301" w:type="pct"/>
            <w:tcBorders>
              <w:top w:val="nil"/>
              <w:bottom w:val="nil"/>
              <w:right w:val="nil"/>
            </w:tcBorders>
            <w:tcMar>
              <w:top w:w="28" w:type="dxa"/>
              <w:left w:w="57" w:type="dxa"/>
              <w:bottom w:w="28" w:type="dxa"/>
              <w:right w:w="57" w:type="dxa"/>
            </w:tcMar>
          </w:tcPr>
          <w:p w14:paraId="121D0A0C" w14:textId="77777777" w:rsidR="008B184C" w:rsidRPr="006320B0" w:rsidRDefault="008B184C" w:rsidP="008A2BB8">
            <w:pPr>
              <w:keepNext/>
              <w:suppressAutoHyphens/>
              <w:autoSpaceDE w:val="0"/>
              <w:autoSpaceDN w:val="0"/>
              <w:adjustRightInd w:val="0"/>
              <w:textAlignment w:val="center"/>
            </w:pPr>
            <w:r w:rsidRPr="006320B0">
              <w:rPr>
                <w:noProof/>
              </w:rPr>
              <w:drawing>
                <wp:anchor distT="0" distB="0" distL="114300" distR="114300" simplePos="0" relativeHeight="251673088" behindDoc="0" locked="0" layoutInCell="1" allowOverlap="1" wp14:anchorId="4C68D85B" wp14:editId="6D40E649">
                  <wp:simplePos x="0" y="0"/>
                  <wp:positionH relativeFrom="column">
                    <wp:posOffset>14605</wp:posOffset>
                  </wp:positionH>
                  <wp:positionV relativeFrom="paragraph">
                    <wp:posOffset>22225</wp:posOffset>
                  </wp:positionV>
                  <wp:extent cx="119380" cy="119380"/>
                  <wp:effectExtent l="0" t="0" r="0" b="0"/>
                  <wp:wrapNone/>
                  <wp:docPr id="43"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7F1731CB" w14:textId="77777777" w:rsidR="008B184C" w:rsidRPr="006320B0" w:rsidRDefault="008B184C" w:rsidP="008A2BB8">
            <w:pPr>
              <w:keepNext/>
            </w:pPr>
            <w:r w:rsidRPr="006320B0">
              <w:rPr>
                <w:b/>
              </w:rPr>
              <w:t>Probeer niet</w:t>
            </w:r>
            <w:r w:rsidRPr="006320B0">
              <w:t xml:space="preserve"> om de spuit door middel van een warmtebron, zoals heet water of de magnetron, op te warmen.</w:t>
            </w:r>
          </w:p>
        </w:tc>
      </w:tr>
      <w:tr w:rsidR="008B184C" w:rsidRPr="006320B0" w14:paraId="58ADA3E5" w14:textId="77777777" w:rsidTr="008A2BB8">
        <w:trPr>
          <w:cantSplit/>
          <w:trHeight w:val="57"/>
        </w:trPr>
        <w:tc>
          <w:tcPr>
            <w:tcW w:w="301" w:type="pct"/>
            <w:tcBorders>
              <w:top w:val="nil"/>
              <w:bottom w:val="nil"/>
              <w:right w:val="nil"/>
            </w:tcBorders>
            <w:tcMar>
              <w:top w:w="28" w:type="dxa"/>
              <w:left w:w="57" w:type="dxa"/>
              <w:bottom w:w="28" w:type="dxa"/>
              <w:right w:w="57" w:type="dxa"/>
            </w:tcMar>
          </w:tcPr>
          <w:p w14:paraId="603936AF" w14:textId="77777777" w:rsidR="008B184C" w:rsidRPr="006320B0" w:rsidRDefault="008B184C" w:rsidP="008A2BB8">
            <w:pPr>
              <w:keepNext/>
              <w:suppressAutoHyphens/>
              <w:autoSpaceDE w:val="0"/>
              <w:autoSpaceDN w:val="0"/>
              <w:adjustRightInd w:val="0"/>
              <w:textAlignment w:val="center"/>
            </w:pPr>
            <w:r w:rsidRPr="006320B0">
              <w:rPr>
                <w:noProof/>
              </w:rPr>
              <w:drawing>
                <wp:anchor distT="0" distB="0" distL="114300" distR="114300" simplePos="0" relativeHeight="251674112" behindDoc="0" locked="0" layoutInCell="1" allowOverlap="1" wp14:anchorId="6DCF6671" wp14:editId="4899FADB">
                  <wp:simplePos x="0" y="0"/>
                  <wp:positionH relativeFrom="column">
                    <wp:posOffset>14605</wp:posOffset>
                  </wp:positionH>
                  <wp:positionV relativeFrom="paragraph">
                    <wp:posOffset>22225</wp:posOffset>
                  </wp:positionV>
                  <wp:extent cx="119380" cy="119380"/>
                  <wp:effectExtent l="0" t="0" r="0" b="0"/>
                  <wp:wrapNone/>
                  <wp:docPr id="44"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0DF3AFD8" w14:textId="77777777" w:rsidR="008B184C" w:rsidRPr="006320B0" w:rsidRDefault="008B184C" w:rsidP="008A2BB8">
            <w:pPr>
              <w:keepNext/>
            </w:pPr>
            <w:r w:rsidRPr="006320B0">
              <w:t xml:space="preserve">De voorgevulde spuit </w:t>
            </w:r>
            <w:r w:rsidRPr="006320B0">
              <w:rPr>
                <w:b/>
              </w:rPr>
              <w:t>niet</w:t>
            </w:r>
            <w:r w:rsidRPr="006320B0">
              <w:t xml:space="preserve"> blootstellen aan direct zonlicht.</w:t>
            </w:r>
          </w:p>
        </w:tc>
      </w:tr>
      <w:tr w:rsidR="008B184C" w:rsidRPr="006320B0" w14:paraId="57B8217D" w14:textId="77777777" w:rsidTr="008A2BB8">
        <w:trPr>
          <w:cantSplit/>
          <w:trHeight w:val="57"/>
        </w:trPr>
        <w:tc>
          <w:tcPr>
            <w:tcW w:w="301" w:type="pct"/>
            <w:tcBorders>
              <w:top w:val="nil"/>
              <w:bottom w:val="nil"/>
              <w:right w:val="nil"/>
            </w:tcBorders>
            <w:tcMar>
              <w:top w:w="28" w:type="dxa"/>
              <w:left w:w="57" w:type="dxa"/>
              <w:bottom w:w="28" w:type="dxa"/>
              <w:right w:w="57" w:type="dxa"/>
            </w:tcMar>
          </w:tcPr>
          <w:p w14:paraId="18756B66" w14:textId="77777777" w:rsidR="008B184C" w:rsidRPr="006320B0" w:rsidRDefault="008B184C" w:rsidP="008A2BB8">
            <w:pPr>
              <w:keepNext/>
              <w:suppressAutoHyphens/>
              <w:autoSpaceDE w:val="0"/>
              <w:autoSpaceDN w:val="0"/>
              <w:adjustRightInd w:val="0"/>
              <w:textAlignment w:val="center"/>
            </w:pPr>
            <w:r w:rsidRPr="006320B0">
              <w:rPr>
                <w:noProof/>
              </w:rPr>
              <w:drawing>
                <wp:anchor distT="0" distB="0" distL="114300" distR="114300" simplePos="0" relativeHeight="251675136" behindDoc="0" locked="0" layoutInCell="1" allowOverlap="1" wp14:anchorId="56397C7F" wp14:editId="766A0547">
                  <wp:simplePos x="0" y="0"/>
                  <wp:positionH relativeFrom="column">
                    <wp:posOffset>14605</wp:posOffset>
                  </wp:positionH>
                  <wp:positionV relativeFrom="paragraph">
                    <wp:posOffset>22225</wp:posOffset>
                  </wp:positionV>
                  <wp:extent cx="119380" cy="119380"/>
                  <wp:effectExtent l="0" t="0" r="0" b="0"/>
                  <wp:wrapNone/>
                  <wp:docPr id="45"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6BA5EE69" w14:textId="77777777" w:rsidR="008B184C" w:rsidRPr="006320B0" w:rsidRDefault="008B184C" w:rsidP="008A2BB8">
            <w:pPr>
              <w:keepNext/>
            </w:pPr>
            <w:r w:rsidRPr="006320B0">
              <w:t xml:space="preserve">De voorgevulde spuit </w:t>
            </w:r>
            <w:r w:rsidRPr="006320B0">
              <w:rPr>
                <w:b/>
              </w:rPr>
              <w:t>niet schudden.</w:t>
            </w:r>
          </w:p>
        </w:tc>
      </w:tr>
      <w:tr w:rsidR="008B184C" w:rsidRPr="006320B0" w14:paraId="15F11580" w14:textId="77777777" w:rsidTr="008A2BB8">
        <w:trPr>
          <w:cantSplit/>
          <w:trHeight w:val="57"/>
        </w:trPr>
        <w:tc>
          <w:tcPr>
            <w:tcW w:w="301" w:type="pct"/>
            <w:tcBorders>
              <w:top w:val="nil"/>
              <w:bottom w:val="single" w:sz="4" w:space="0" w:color="auto"/>
              <w:right w:val="nil"/>
            </w:tcBorders>
            <w:tcMar>
              <w:top w:w="28" w:type="dxa"/>
              <w:left w:w="57" w:type="dxa"/>
              <w:bottom w:w="28" w:type="dxa"/>
              <w:right w:w="57" w:type="dxa"/>
            </w:tcMar>
          </w:tcPr>
          <w:p w14:paraId="4DE98F40" w14:textId="77777777" w:rsidR="008B184C" w:rsidRPr="006320B0" w:rsidRDefault="008B184C" w:rsidP="008B184C">
            <w:pPr>
              <w:keepNext/>
              <w:numPr>
                <w:ilvl w:val="0"/>
                <w:numId w:val="54"/>
              </w:numPr>
              <w:tabs>
                <w:tab w:val="clear" w:pos="567"/>
              </w:tabs>
              <w:ind w:left="567" w:hanging="567"/>
            </w:pPr>
          </w:p>
        </w:tc>
        <w:tc>
          <w:tcPr>
            <w:tcW w:w="4699" w:type="pct"/>
            <w:gridSpan w:val="2"/>
            <w:tcBorders>
              <w:top w:val="nil"/>
              <w:left w:val="nil"/>
              <w:bottom w:val="single" w:sz="4" w:space="0" w:color="auto"/>
            </w:tcBorders>
            <w:tcMar>
              <w:left w:w="0" w:type="dxa"/>
            </w:tcMar>
          </w:tcPr>
          <w:p w14:paraId="14297819" w14:textId="77777777" w:rsidR="008B184C" w:rsidRPr="006320B0" w:rsidRDefault="008B184C" w:rsidP="008A2BB8">
            <w:pPr>
              <w:keepNext/>
              <w:rPr>
                <w:b/>
                <w:bCs/>
              </w:rPr>
            </w:pPr>
            <w:r w:rsidRPr="006320B0">
              <w:rPr>
                <w:b/>
              </w:rPr>
              <w:t>De voorgevulde spuit buiten het zicht en bereik van kinderen houden.</w:t>
            </w:r>
          </w:p>
        </w:tc>
      </w:tr>
    </w:tbl>
    <w:p w14:paraId="5CD28EBD" w14:textId="77777777" w:rsidR="008B184C" w:rsidRPr="006320B0" w:rsidRDefault="008B184C" w:rsidP="008B184C"/>
    <w:tbl>
      <w:tblPr>
        <w:tblW w:w="4910"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6"/>
        <w:gridCol w:w="14"/>
        <w:gridCol w:w="8350"/>
      </w:tblGrid>
      <w:tr w:rsidR="008B184C" w:rsidRPr="006320B0" w14:paraId="4E784A51" w14:textId="77777777" w:rsidTr="008A2BB8">
        <w:trPr>
          <w:cantSplit/>
          <w:trHeight w:val="57"/>
        </w:trPr>
        <w:tc>
          <w:tcPr>
            <w:tcW w:w="309" w:type="pct"/>
            <w:gridSpan w:val="2"/>
            <w:tcMar>
              <w:top w:w="28" w:type="dxa"/>
              <w:left w:w="57" w:type="dxa"/>
              <w:bottom w:w="28" w:type="dxa"/>
              <w:right w:w="57" w:type="dxa"/>
            </w:tcMar>
          </w:tcPr>
          <w:p w14:paraId="14BACE31" w14:textId="77777777" w:rsidR="008B184C" w:rsidRPr="006320B0" w:rsidRDefault="008B184C" w:rsidP="008A2BB8">
            <w:pPr>
              <w:keepNext/>
            </w:pPr>
            <w:r w:rsidRPr="006320B0">
              <w:t>B</w:t>
            </w:r>
          </w:p>
        </w:tc>
        <w:tc>
          <w:tcPr>
            <w:tcW w:w="4691" w:type="pct"/>
            <w:tcMar>
              <w:left w:w="57" w:type="dxa"/>
            </w:tcMar>
          </w:tcPr>
          <w:p w14:paraId="5D84E5FF" w14:textId="77777777" w:rsidR="008B184C" w:rsidRPr="006320B0" w:rsidRDefault="008B184C" w:rsidP="008A2BB8">
            <w:pPr>
              <w:keepNext/>
            </w:pPr>
            <w:r w:rsidRPr="006320B0">
              <w:t>Open de blisterverpakking door de afsluitfolie los te trekken. Pak de voorgevulde spuit op bij de naaldbeschermer om deze uit de verpakking te halen.</w:t>
            </w:r>
          </w:p>
        </w:tc>
      </w:tr>
      <w:tr w:rsidR="008B184C" w:rsidRPr="006320B0" w14:paraId="4B11D6C3" w14:textId="77777777" w:rsidTr="008A2BB8">
        <w:trPr>
          <w:cantSplit/>
          <w:trHeight w:val="57"/>
        </w:trPr>
        <w:tc>
          <w:tcPr>
            <w:tcW w:w="5000" w:type="pct"/>
            <w:gridSpan w:val="3"/>
            <w:tcBorders>
              <w:bottom w:val="nil"/>
            </w:tcBorders>
            <w:tcMar>
              <w:top w:w="28" w:type="dxa"/>
              <w:left w:w="57" w:type="dxa"/>
              <w:bottom w:w="28" w:type="dxa"/>
              <w:right w:w="57" w:type="dxa"/>
            </w:tcMar>
          </w:tcPr>
          <w:p w14:paraId="77C7E7BB" w14:textId="3ABA7F3A" w:rsidR="008B184C" w:rsidRPr="006320B0" w:rsidRDefault="00EF2264" w:rsidP="008A2BB8">
            <w:pPr>
              <w:keepNext/>
              <w:suppressAutoHyphens/>
              <w:autoSpaceDE w:val="0"/>
              <w:autoSpaceDN w:val="0"/>
              <w:adjustRightInd w:val="0"/>
              <w:jc w:val="center"/>
              <w:textAlignment w:val="center"/>
            </w:pPr>
            <w:r w:rsidRPr="006320B0">
              <w:rPr>
                <w:noProof/>
              </w:rPr>
              <mc:AlternateContent>
                <mc:Choice Requires="wps">
                  <w:drawing>
                    <wp:anchor distT="45720" distB="45720" distL="114300" distR="114300" simplePos="0" relativeHeight="251723264" behindDoc="0" locked="0" layoutInCell="1" allowOverlap="1" wp14:anchorId="1FAFAB84" wp14:editId="49372F1A">
                      <wp:simplePos x="0" y="0"/>
                      <wp:positionH relativeFrom="column">
                        <wp:posOffset>1958975</wp:posOffset>
                      </wp:positionH>
                      <wp:positionV relativeFrom="paragraph">
                        <wp:posOffset>2597785</wp:posOffset>
                      </wp:positionV>
                      <wp:extent cx="1114425" cy="1404620"/>
                      <wp:effectExtent l="0" t="0" r="28575" b="24765"/>
                      <wp:wrapSquare wrapText="bothSides"/>
                      <wp:docPr id="14134068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4620"/>
                              </a:xfrm>
                              <a:prstGeom prst="rect">
                                <a:avLst/>
                              </a:prstGeom>
                              <a:solidFill>
                                <a:srgbClr val="FFFFFF"/>
                              </a:solidFill>
                              <a:ln w="9525">
                                <a:solidFill>
                                  <a:srgbClr val="000000"/>
                                </a:solidFill>
                                <a:miter lim="800000"/>
                                <a:headEnd/>
                                <a:tailEnd/>
                              </a:ln>
                            </wps:spPr>
                            <wps:txbx>
                              <w:txbxContent>
                                <w:p w14:paraId="7B4254C2" w14:textId="08B2AA36" w:rsidR="00EF2264" w:rsidRPr="006320B0" w:rsidRDefault="00EF2264">
                                  <w:r w:rsidRPr="006320B0">
                                    <w:rPr>
                                      <w:bCs/>
                                    </w:rPr>
                                    <w:t>Hier vastpakken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AFAB84" id="Tekstvak 2" o:spid="_x0000_s1035" type="#_x0000_t202" style="position:absolute;left:0;text-align:left;margin-left:154.25pt;margin-top:204.55pt;width:87.75pt;height:110.6pt;z-index:251723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">
                      <v:textbox style="mso-fit-shape-to-text:t">
                        <w:txbxContent>
                          <w:p w14:paraId="7B4254C2" w14:textId="08B2AA36" w:rsidR="00EF2264" w:rsidRPr="006320B0" w:rsidRDefault="00EF2264">
                            <w:r w:rsidRPr="006320B0">
                              <w:rPr>
                                <w:bCs/>
                              </w:rPr>
                              <w:t>Hier vastpakken</w:t>
                            </w:r>
                          </w:p>
                        </w:txbxContent>
                      </v:textbox>
                      <w10:wrap type="square"/>
                    </v:shape>
                  </w:pict>
                </mc:Fallback>
              </mc:AlternateContent>
            </w:r>
            <w:r w:rsidR="008B184C" w:rsidRPr="006320B0">
              <w:rPr>
                <w:noProof/>
                <w:lang w:eastAsia="pl-PL"/>
              </w:rPr>
              <w:drawing>
                <wp:anchor distT="0" distB="0" distL="114300" distR="114300" simplePos="0" relativeHeight="251702784" behindDoc="1" locked="0" layoutInCell="1" allowOverlap="1" wp14:anchorId="5C595945" wp14:editId="6AC29C3B">
                  <wp:simplePos x="0" y="0"/>
                  <wp:positionH relativeFrom="margin">
                    <wp:posOffset>967740</wp:posOffset>
                  </wp:positionH>
                  <wp:positionV relativeFrom="paragraph">
                    <wp:posOffset>83820</wp:posOffset>
                  </wp:positionV>
                  <wp:extent cx="3060000" cy="2907646"/>
                  <wp:effectExtent l="0" t="0" r="7620" b="7620"/>
                  <wp:wrapTopAndBottom/>
                  <wp:docPr id="6" name="Picture 6" descr="Afbeelding met schets, tekening, clipar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fbeelding met schets, tekening, clipart, ontwerp&#10;&#10;Door AI gegenereerde inhoud is mogelijk onjuis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p>
        </w:tc>
      </w:tr>
      <w:tr w:rsidR="008B184C" w:rsidRPr="006320B0" w14:paraId="7D3FFEB5" w14:textId="77777777" w:rsidTr="008A2BB8">
        <w:trPr>
          <w:cantSplit/>
          <w:trHeight w:val="57"/>
        </w:trPr>
        <w:tc>
          <w:tcPr>
            <w:tcW w:w="5000" w:type="pct"/>
            <w:gridSpan w:val="3"/>
            <w:tcBorders>
              <w:top w:val="nil"/>
              <w:bottom w:val="nil"/>
            </w:tcBorders>
            <w:tcMar>
              <w:top w:w="28" w:type="dxa"/>
              <w:left w:w="57" w:type="dxa"/>
              <w:bottom w:w="28" w:type="dxa"/>
              <w:right w:w="57" w:type="dxa"/>
            </w:tcMar>
          </w:tcPr>
          <w:p w14:paraId="0668CAFD" w14:textId="464C616C" w:rsidR="008B184C" w:rsidRPr="006320B0" w:rsidRDefault="008B184C" w:rsidP="008A2BB8">
            <w:pPr>
              <w:keepNext/>
              <w:jc w:val="center"/>
              <w:rPr>
                <w:bCs/>
              </w:rPr>
            </w:pPr>
          </w:p>
        </w:tc>
      </w:tr>
      <w:tr w:rsidR="008B184C" w:rsidRPr="006320B0" w14:paraId="06036FAB" w14:textId="77777777" w:rsidTr="008A2BB8">
        <w:trPr>
          <w:cantSplit/>
          <w:trHeight w:val="57"/>
        </w:trPr>
        <w:tc>
          <w:tcPr>
            <w:tcW w:w="5000" w:type="pct"/>
            <w:gridSpan w:val="3"/>
            <w:tcBorders>
              <w:top w:val="nil"/>
              <w:left w:val="single" w:sz="4" w:space="0" w:color="auto"/>
              <w:bottom w:val="nil"/>
            </w:tcBorders>
            <w:tcMar>
              <w:top w:w="28" w:type="dxa"/>
              <w:left w:w="57" w:type="dxa"/>
              <w:bottom w:w="28" w:type="dxa"/>
              <w:right w:w="57" w:type="dxa"/>
            </w:tcMar>
          </w:tcPr>
          <w:p w14:paraId="1B1B6BCE" w14:textId="77777777" w:rsidR="008B184C" w:rsidRPr="006320B0" w:rsidRDefault="008B184C" w:rsidP="008A2BB8">
            <w:pPr>
              <w:keepNext/>
            </w:pPr>
            <w:r w:rsidRPr="006320B0">
              <w:t>Om redenen van veiligheid:</w:t>
            </w:r>
          </w:p>
        </w:tc>
      </w:tr>
      <w:tr w:rsidR="008B184C" w:rsidRPr="006320B0" w14:paraId="01260DB5" w14:textId="77777777" w:rsidTr="008A2BB8">
        <w:trPr>
          <w:cantSplit/>
          <w:trHeight w:val="57"/>
        </w:trPr>
        <w:tc>
          <w:tcPr>
            <w:tcW w:w="301" w:type="pct"/>
            <w:tcBorders>
              <w:top w:val="nil"/>
              <w:left w:val="single" w:sz="4" w:space="0" w:color="auto"/>
              <w:bottom w:val="nil"/>
              <w:right w:val="nil"/>
            </w:tcBorders>
            <w:tcMar>
              <w:top w:w="28" w:type="dxa"/>
              <w:left w:w="57" w:type="dxa"/>
              <w:bottom w:w="28" w:type="dxa"/>
              <w:right w:w="57" w:type="dxa"/>
            </w:tcMar>
          </w:tcPr>
          <w:p w14:paraId="4CDF9E94" w14:textId="77777777" w:rsidR="008B184C" w:rsidRPr="006320B0" w:rsidRDefault="008B184C" w:rsidP="008A2BB8">
            <w:pPr>
              <w:keepNext/>
              <w:suppressAutoHyphens/>
              <w:autoSpaceDE w:val="0"/>
              <w:autoSpaceDN w:val="0"/>
              <w:adjustRightInd w:val="0"/>
              <w:textAlignment w:val="center"/>
            </w:pPr>
            <w:r w:rsidRPr="006320B0">
              <w:rPr>
                <w:noProof/>
              </w:rPr>
              <w:drawing>
                <wp:anchor distT="0" distB="0" distL="114300" distR="114300" simplePos="0" relativeHeight="251676160" behindDoc="0" locked="0" layoutInCell="1" allowOverlap="1" wp14:anchorId="46F0806A" wp14:editId="137B3B73">
                  <wp:simplePos x="0" y="0"/>
                  <wp:positionH relativeFrom="column">
                    <wp:posOffset>14605</wp:posOffset>
                  </wp:positionH>
                  <wp:positionV relativeFrom="paragraph">
                    <wp:posOffset>22225</wp:posOffset>
                  </wp:positionV>
                  <wp:extent cx="119380" cy="119380"/>
                  <wp:effectExtent l="0" t="0" r="0" b="0"/>
                  <wp:wrapNone/>
                  <wp:docPr id="46"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39D37B18" w14:textId="77777777" w:rsidR="008B184C" w:rsidRPr="006320B0" w:rsidRDefault="008B184C" w:rsidP="008A2BB8">
            <w:pPr>
              <w:pStyle w:val="ListParagraph"/>
              <w:keepNext/>
              <w:suppressAutoHyphens/>
              <w:autoSpaceDE w:val="0"/>
              <w:autoSpaceDN w:val="0"/>
              <w:adjustRightInd w:val="0"/>
              <w:ind w:left="0"/>
              <w:textAlignment w:val="center"/>
              <w:rPr>
                <w:sz w:val="22"/>
                <w:szCs w:val="22"/>
              </w:rPr>
            </w:pPr>
            <w:r w:rsidRPr="006320B0">
              <w:rPr>
                <w:b/>
                <w:sz w:val="22"/>
              </w:rPr>
              <w:t>Niet</w:t>
            </w:r>
            <w:r w:rsidRPr="006320B0">
              <w:rPr>
                <w:sz w:val="22"/>
              </w:rPr>
              <w:t xml:space="preserve"> de zuiger vastpakken.</w:t>
            </w:r>
          </w:p>
        </w:tc>
      </w:tr>
      <w:tr w:rsidR="008B184C" w:rsidRPr="006320B0" w14:paraId="1901A12A" w14:textId="77777777" w:rsidTr="008A2BB8">
        <w:trPr>
          <w:cantSplit/>
          <w:trHeight w:val="57"/>
        </w:trPr>
        <w:tc>
          <w:tcPr>
            <w:tcW w:w="301" w:type="pct"/>
            <w:tcBorders>
              <w:top w:val="nil"/>
              <w:left w:val="single" w:sz="4" w:space="0" w:color="auto"/>
              <w:bottom w:val="single" w:sz="4" w:space="0" w:color="auto"/>
              <w:right w:val="nil"/>
            </w:tcBorders>
            <w:tcMar>
              <w:top w:w="28" w:type="dxa"/>
              <w:left w:w="57" w:type="dxa"/>
              <w:bottom w:w="28" w:type="dxa"/>
              <w:right w:w="57" w:type="dxa"/>
            </w:tcMar>
          </w:tcPr>
          <w:p w14:paraId="2BE87EE5" w14:textId="77777777" w:rsidR="008B184C" w:rsidRPr="006320B0" w:rsidRDefault="008B184C" w:rsidP="008A2BB8">
            <w:pPr>
              <w:keepNext/>
              <w:suppressAutoHyphens/>
              <w:autoSpaceDE w:val="0"/>
              <w:autoSpaceDN w:val="0"/>
              <w:adjustRightInd w:val="0"/>
              <w:textAlignment w:val="center"/>
            </w:pPr>
            <w:r w:rsidRPr="006320B0">
              <w:rPr>
                <w:noProof/>
              </w:rPr>
              <w:drawing>
                <wp:anchor distT="0" distB="0" distL="114300" distR="114300" simplePos="0" relativeHeight="251677184" behindDoc="0" locked="0" layoutInCell="1" allowOverlap="1" wp14:anchorId="79A4758D" wp14:editId="353EAD11">
                  <wp:simplePos x="0" y="0"/>
                  <wp:positionH relativeFrom="column">
                    <wp:posOffset>14605</wp:posOffset>
                  </wp:positionH>
                  <wp:positionV relativeFrom="paragraph">
                    <wp:posOffset>22225</wp:posOffset>
                  </wp:positionV>
                  <wp:extent cx="119380" cy="119380"/>
                  <wp:effectExtent l="0" t="0" r="0" b="0"/>
                  <wp:wrapNone/>
                  <wp:docPr id="47"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single" w:sz="4" w:space="0" w:color="auto"/>
            </w:tcBorders>
            <w:tcMar>
              <w:left w:w="0" w:type="dxa"/>
            </w:tcMar>
          </w:tcPr>
          <w:p w14:paraId="1158DC21" w14:textId="77777777" w:rsidR="008B184C" w:rsidRPr="006320B0" w:rsidRDefault="008B184C" w:rsidP="008A2BB8">
            <w:pPr>
              <w:keepNext/>
              <w:suppressAutoHyphens/>
              <w:autoSpaceDE w:val="0"/>
              <w:autoSpaceDN w:val="0"/>
              <w:adjustRightInd w:val="0"/>
              <w:textAlignment w:val="center"/>
            </w:pPr>
            <w:r w:rsidRPr="006320B0">
              <w:rPr>
                <w:b/>
              </w:rPr>
              <w:t>Niet</w:t>
            </w:r>
            <w:r w:rsidRPr="006320B0">
              <w:t xml:space="preserve"> de grijze naalddop vastpakken.</w:t>
            </w:r>
          </w:p>
        </w:tc>
      </w:tr>
    </w:tbl>
    <w:p w14:paraId="6E9088CE" w14:textId="77777777" w:rsidR="008B184C" w:rsidRPr="006320B0" w:rsidRDefault="008B184C" w:rsidP="008B184C"/>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84"/>
        <w:gridCol w:w="2688"/>
        <w:gridCol w:w="5677"/>
      </w:tblGrid>
      <w:tr w:rsidR="008B184C" w:rsidRPr="006320B0" w14:paraId="2B278176" w14:textId="77777777" w:rsidTr="008A2BB8">
        <w:trPr>
          <w:cantSplit/>
          <w:trHeight w:val="57"/>
        </w:trPr>
        <w:tc>
          <w:tcPr>
            <w:tcW w:w="326" w:type="pct"/>
            <w:tcBorders>
              <w:bottom w:val="single" w:sz="4" w:space="0" w:color="auto"/>
            </w:tcBorders>
            <w:tcMar>
              <w:top w:w="28" w:type="dxa"/>
              <w:left w:w="57" w:type="dxa"/>
              <w:bottom w:w="28" w:type="dxa"/>
              <w:right w:w="57" w:type="dxa"/>
            </w:tcMar>
          </w:tcPr>
          <w:p w14:paraId="39DD4667" w14:textId="77777777" w:rsidR="008B184C" w:rsidRPr="006320B0" w:rsidRDefault="008B184C" w:rsidP="008A2BB8">
            <w:pPr>
              <w:keepNext/>
            </w:pPr>
            <w:r w:rsidRPr="006320B0">
              <w:t>C</w:t>
            </w:r>
          </w:p>
        </w:tc>
        <w:tc>
          <w:tcPr>
            <w:tcW w:w="4674" w:type="pct"/>
            <w:gridSpan w:val="2"/>
            <w:tcBorders>
              <w:bottom w:val="single" w:sz="4" w:space="0" w:color="auto"/>
            </w:tcBorders>
            <w:tcMar>
              <w:left w:w="57" w:type="dxa"/>
              <w:right w:w="57" w:type="dxa"/>
            </w:tcMar>
          </w:tcPr>
          <w:p w14:paraId="78E2AD83" w14:textId="77777777" w:rsidR="008B184C" w:rsidRPr="006320B0" w:rsidRDefault="008B184C" w:rsidP="008A2BB8">
            <w:pPr>
              <w:keepNext/>
            </w:pPr>
            <w:r w:rsidRPr="006320B0">
              <w:t>Controleer het geneesmiddel en de voorgevulde spuit.</w:t>
            </w:r>
          </w:p>
        </w:tc>
      </w:tr>
      <w:tr w:rsidR="008B184C" w:rsidRPr="006320B0" w14:paraId="7B9CF99C" w14:textId="77777777" w:rsidTr="008A2BB8">
        <w:trPr>
          <w:cantSplit/>
          <w:trHeight w:val="57"/>
        </w:trPr>
        <w:tc>
          <w:tcPr>
            <w:tcW w:w="1828" w:type="pct"/>
            <w:gridSpan w:val="2"/>
            <w:tcBorders>
              <w:bottom w:val="nil"/>
              <w:right w:val="nil"/>
            </w:tcBorders>
            <w:tcMar>
              <w:top w:w="28" w:type="dxa"/>
              <w:left w:w="57" w:type="dxa"/>
              <w:bottom w:w="28" w:type="dxa"/>
              <w:right w:w="57" w:type="dxa"/>
            </w:tcMar>
          </w:tcPr>
          <w:p w14:paraId="259E63E9" w14:textId="3A4205F8" w:rsidR="008B184C" w:rsidRPr="006320B0" w:rsidRDefault="008B184C" w:rsidP="008A2BB8">
            <w:pPr>
              <w:keepNext/>
              <w:suppressAutoHyphens/>
              <w:autoSpaceDE w:val="0"/>
              <w:autoSpaceDN w:val="0"/>
              <w:adjustRightInd w:val="0"/>
              <w:textAlignment w:val="center"/>
              <w:rPr>
                <w:lang w:eastAsia="zh-TW"/>
              </w:rPr>
            </w:pPr>
          </w:p>
        </w:tc>
        <w:tc>
          <w:tcPr>
            <w:tcW w:w="3172" w:type="pct"/>
            <w:tcBorders>
              <w:left w:val="nil"/>
              <w:bottom w:val="nil"/>
            </w:tcBorders>
          </w:tcPr>
          <w:p w14:paraId="52C21B45" w14:textId="208CBB64" w:rsidR="008B184C" w:rsidRPr="006320B0" w:rsidRDefault="008B184C" w:rsidP="008A2BB8">
            <w:pPr>
              <w:keepNext/>
            </w:pPr>
          </w:p>
        </w:tc>
      </w:tr>
      <w:tr w:rsidR="008B184C" w:rsidRPr="006320B0" w14:paraId="1405035E" w14:textId="77777777" w:rsidTr="008A2BB8">
        <w:trPr>
          <w:cantSplit/>
          <w:trHeight w:val="57"/>
        </w:trPr>
        <w:tc>
          <w:tcPr>
            <w:tcW w:w="5000" w:type="pct"/>
            <w:gridSpan w:val="3"/>
            <w:tcBorders>
              <w:top w:val="nil"/>
              <w:bottom w:val="single" w:sz="4" w:space="0" w:color="auto"/>
            </w:tcBorders>
            <w:tcMar>
              <w:top w:w="28" w:type="dxa"/>
              <w:left w:w="57" w:type="dxa"/>
              <w:bottom w:w="28" w:type="dxa"/>
              <w:right w:w="57" w:type="dxa"/>
            </w:tcMar>
          </w:tcPr>
          <w:p w14:paraId="5020C3D1" w14:textId="554E9F40" w:rsidR="008B184C" w:rsidRPr="006320B0" w:rsidRDefault="00552A0B" w:rsidP="008A2BB8">
            <w:pPr>
              <w:keepNext/>
              <w:suppressAutoHyphens/>
              <w:autoSpaceDE w:val="0"/>
              <w:autoSpaceDN w:val="0"/>
              <w:adjustRightInd w:val="0"/>
              <w:textAlignment w:val="center"/>
            </w:pPr>
            <w:r w:rsidRPr="006320B0">
              <w:rPr>
                <w:noProof/>
              </w:rPr>
              <mc:AlternateContent>
                <mc:Choice Requires="wps">
                  <w:drawing>
                    <wp:anchor distT="0" distB="0" distL="114300" distR="114300" simplePos="0" relativeHeight="251707904" behindDoc="0" locked="0" layoutInCell="1" allowOverlap="1" wp14:anchorId="44403331" wp14:editId="33F530A6">
                      <wp:simplePos x="0" y="0"/>
                      <wp:positionH relativeFrom="column">
                        <wp:posOffset>2311400</wp:posOffset>
                      </wp:positionH>
                      <wp:positionV relativeFrom="paragraph">
                        <wp:posOffset>2390775</wp:posOffset>
                      </wp:positionV>
                      <wp:extent cx="1400175" cy="419735"/>
                      <wp:effectExtent l="0" t="0" r="28575" b="18415"/>
                      <wp:wrapThrough wrapText="bothSides">
                        <wp:wrapPolygon edited="0">
                          <wp:start x="0" y="0"/>
                          <wp:lineTo x="0" y="21567"/>
                          <wp:lineTo x="21747" y="21567"/>
                          <wp:lineTo x="21747" y="0"/>
                          <wp:lineTo x="0" y="0"/>
                        </wp:wrapPolygon>
                      </wp:wrapThrough>
                      <wp:docPr id="393107298" name="Tekstvak 1"/>
                      <wp:cNvGraphicFramePr/>
                      <a:graphic xmlns:a="http://schemas.openxmlformats.org/drawingml/2006/main">
                        <a:graphicData uri="http://schemas.microsoft.com/office/word/2010/wordprocessingShape">
                          <wps:wsp>
                            <wps:cNvSpPr txBox="1"/>
                            <wps:spPr>
                              <a:xfrm>
                                <a:off x="0" y="0"/>
                                <a:ext cx="1400175" cy="419735"/>
                              </a:xfrm>
                              <a:prstGeom prst="rect">
                                <a:avLst/>
                              </a:prstGeom>
                              <a:solidFill>
                                <a:schemeClr val="lt1"/>
                              </a:solidFill>
                              <a:ln w="6350">
                                <a:solidFill>
                                  <a:prstClr val="black"/>
                                </a:solidFill>
                              </a:ln>
                            </wps:spPr>
                            <wps:txbx>
                              <w:txbxContent>
                                <w:p w14:paraId="678ADD09" w14:textId="51FDBCC6" w:rsidR="00552A0B" w:rsidRPr="006320B0" w:rsidRDefault="00552A0B" w:rsidP="00552A0B">
                                  <w:r w:rsidRPr="006320B0">
                                    <w:t>Etiket en uiterste houdbaarheidsdatum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03331" id="Tekstvak 1" o:spid="_x0000_s1036" type="#_x0000_t202" style="position:absolute;margin-left:182pt;margin-top:188.25pt;width:110.25pt;height:33.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" fillcolor="white [3201]" strokeweight=".5pt">
                      <v:textbox>
                        <w:txbxContent>
                          <w:p w14:paraId="678ADD09" w14:textId="51FDBCC6" w:rsidR="00552A0B" w:rsidRPr="006320B0" w:rsidRDefault="00552A0B" w:rsidP="00552A0B">
                            <w:r w:rsidRPr="006320B0">
                              <w:t>Etiket en uiterste houdbaarheidsdatum</w:t>
                            </w:r>
                          </w:p>
                        </w:txbxContent>
                      </v:textbox>
                      <w10:wrap type="through"/>
                    </v:shape>
                  </w:pict>
                </mc:Fallback>
              </mc:AlternateContent>
            </w:r>
            <w:r w:rsidRPr="006320B0">
              <w:rPr>
                <w:noProof/>
              </w:rPr>
              <mc:AlternateContent>
                <mc:Choice Requires="wps">
                  <w:drawing>
                    <wp:anchor distT="0" distB="0" distL="114300" distR="114300" simplePos="0" relativeHeight="251705856" behindDoc="0" locked="0" layoutInCell="1" allowOverlap="1" wp14:anchorId="37F75E62" wp14:editId="70786ACE">
                      <wp:simplePos x="0" y="0"/>
                      <wp:positionH relativeFrom="column">
                        <wp:posOffset>1720850</wp:posOffset>
                      </wp:positionH>
                      <wp:positionV relativeFrom="paragraph">
                        <wp:posOffset>485775</wp:posOffset>
                      </wp:positionV>
                      <wp:extent cx="1256400" cy="266400"/>
                      <wp:effectExtent l="0" t="0" r="20320" b="19685"/>
                      <wp:wrapNone/>
                      <wp:docPr id="1684099255" name="Tekstvak 1"/>
                      <wp:cNvGraphicFramePr/>
                      <a:graphic xmlns:a="http://schemas.openxmlformats.org/drawingml/2006/main">
                        <a:graphicData uri="http://schemas.microsoft.com/office/word/2010/wordprocessingShape">
                          <wps:wsp>
                            <wps:cNvSpPr txBox="1"/>
                            <wps:spPr>
                              <a:xfrm>
                                <a:off x="0" y="0"/>
                                <a:ext cx="1256400" cy="266400"/>
                              </a:xfrm>
                              <a:prstGeom prst="rect">
                                <a:avLst/>
                              </a:prstGeom>
                              <a:solidFill>
                                <a:schemeClr val="lt1"/>
                              </a:solidFill>
                              <a:ln w="6350">
                                <a:solidFill>
                                  <a:prstClr val="black"/>
                                </a:solidFill>
                              </a:ln>
                            </wps:spPr>
                            <wps:txbx>
                              <w:txbxContent>
                                <w:p w14:paraId="5CFA89DD" w14:textId="60CFEC84" w:rsidR="00552A0B" w:rsidRPr="006320B0" w:rsidRDefault="00552A0B" w:rsidP="00552A0B">
                                  <w:pPr>
                                    <w:keepNext/>
                                  </w:pPr>
                                  <w:r w:rsidRPr="006320B0">
                                    <w:t>Geneesmiddel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75E62" id="_x0000_s1037" type="#_x0000_t202" style="position:absolute;margin-left:135.5pt;margin-top:38.25pt;width:98.95pt;height:2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" fillcolor="white [3201]" strokeweight=".5pt">
                      <v:textbox>
                        <w:txbxContent>
                          <w:p w14:paraId="5CFA89DD" w14:textId="60CFEC84" w:rsidR="00552A0B" w:rsidRPr="006320B0" w:rsidRDefault="00552A0B" w:rsidP="00552A0B">
                            <w:pPr>
                              <w:keepNext/>
                            </w:pPr>
                            <w:r w:rsidRPr="006320B0">
                              <w:t>Geneesmiddel</w:t>
                            </w:r>
                          </w:p>
                        </w:txbxContent>
                      </v:textbox>
                    </v:shape>
                  </w:pict>
                </mc:Fallback>
              </mc:AlternateContent>
            </w:r>
            <w:r w:rsidR="00A31B76" w:rsidRPr="006320B0">
              <w:rPr>
                <w:noProof/>
              </w:rPr>
              <mc:AlternateContent>
                <mc:Choice Requires="wps">
                  <w:drawing>
                    <wp:anchor distT="45720" distB="45720" distL="114300" distR="114300" simplePos="0" relativeHeight="251704832" behindDoc="0" locked="0" layoutInCell="1" allowOverlap="1" wp14:anchorId="53E1D158" wp14:editId="656F9BDE">
                      <wp:simplePos x="0" y="0"/>
                      <wp:positionH relativeFrom="column">
                        <wp:posOffset>528955</wp:posOffset>
                      </wp:positionH>
                      <wp:positionV relativeFrom="paragraph">
                        <wp:posOffset>1411605</wp:posOffset>
                      </wp:positionV>
                      <wp:extent cx="1191600" cy="1404620"/>
                      <wp:effectExtent l="0" t="0" r="27940" b="24765"/>
                      <wp:wrapThrough wrapText="bothSides">
                        <wp:wrapPolygon edited="0">
                          <wp:start x="0" y="0"/>
                          <wp:lineTo x="0" y="22073"/>
                          <wp:lineTo x="21761" y="22073"/>
                          <wp:lineTo x="21761" y="0"/>
                          <wp:lineTo x="0" y="0"/>
                        </wp:wrapPolygon>
                      </wp:wrapThrough>
                      <wp:docPr id="1323328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600" cy="1404620"/>
                              </a:xfrm>
                              <a:prstGeom prst="rect">
                                <a:avLst/>
                              </a:prstGeom>
                              <a:solidFill>
                                <a:srgbClr val="FFFFFF"/>
                              </a:solidFill>
                              <a:ln w="9525">
                                <a:solidFill>
                                  <a:srgbClr val="000000"/>
                                </a:solidFill>
                                <a:miter lim="800000"/>
                                <a:headEnd/>
                                <a:tailEnd/>
                              </a:ln>
                            </wps:spPr>
                            <wps:txbx>
                              <w:txbxContent>
                                <w:p w14:paraId="45E80503" w14:textId="08F28881" w:rsidR="00A31B76" w:rsidRPr="006320B0" w:rsidRDefault="00A31B76">
                                  <w:r w:rsidRPr="006320B0">
                                    <w:t>Grijze naalddop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E1D158" id="_x0000_s1038" type="#_x0000_t202" style="position:absolute;margin-left:41.65pt;margin-top:111.15pt;width:93.85pt;height:110.6pt;z-index:251704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">
                      <v:textbox style="mso-fit-shape-to-text:t">
                        <w:txbxContent>
                          <w:p w14:paraId="45E80503" w14:textId="08F28881" w:rsidR="00A31B76" w:rsidRPr="006320B0" w:rsidRDefault="00A31B76">
                            <w:r w:rsidRPr="006320B0">
                              <w:t>Grijze naalddop</w:t>
                            </w:r>
                          </w:p>
                        </w:txbxContent>
                      </v:textbox>
                      <w10:wrap type="through"/>
                    </v:shape>
                  </w:pict>
                </mc:Fallback>
              </mc:AlternateContent>
            </w:r>
            <w:r w:rsidR="008B184C" w:rsidRPr="006320B0">
              <w:rPr>
                <w:noProof/>
                <w:lang w:eastAsia="pl-PL"/>
              </w:rPr>
              <w:drawing>
                <wp:anchor distT="0" distB="0" distL="114300" distR="114300" simplePos="0" relativeHeight="251695616" behindDoc="1" locked="0" layoutInCell="1" allowOverlap="1" wp14:anchorId="40822EFB" wp14:editId="5D5129CD">
                  <wp:simplePos x="0" y="0"/>
                  <wp:positionH relativeFrom="margin">
                    <wp:posOffset>1215390</wp:posOffset>
                  </wp:positionH>
                  <wp:positionV relativeFrom="paragraph">
                    <wp:posOffset>76835</wp:posOffset>
                  </wp:positionV>
                  <wp:extent cx="3060000" cy="2734396"/>
                  <wp:effectExtent l="0" t="0" r="7620" b="8890"/>
                  <wp:wrapTopAndBottom/>
                  <wp:docPr id="118810562" name="Picture 13" descr="Afbeelding met schets, tekening, wapen, gereedscha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fbeelding met schets, tekening, wapen, gereedschap&#10;&#10;Door AI gegenereerde inhoud is mogelijk onjuis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p>
        </w:tc>
      </w:tr>
      <w:tr w:rsidR="008B184C" w:rsidRPr="006320B0" w14:paraId="365DEB0D" w14:textId="77777777" w:rsidTr="008A2BB8">
        <w:trPr>
          <w:cantSplit/>
          <w:trHeight w:val="57"/>
        </w:trPr>
        <w:tc>
          <w:tcPr>
            <w:tcW w:w="326" w:type="pct"/>
            <w:tcBorders>
              <w:bottom w:val="nil"/>
              <w:right w:val="nil"/>
            </w:tcBorders>
            <w:tcMar>
              <w:top w:w="28" w:type="dxa"/>
              <w:left w:w="57" w:type="dxa"/>
              <w:bottom w:w="28" w:type="dxa"/>
              <w:right w:w="57" w:type="dxa"/>
            </w:tcMar>
          </w:tcPr>
          <w:p w14:paraId="1F5EE9D8" w14:textId="77777777" w:rsidR="008B184C" w:rsidRPr="006320B0" w:rsidRDefault="008B184C" w:rsidP="008A2BB8">
            <w:pPr>
              <w:keepNext/>
              <w:suppressAutoHyphens/>
              <w:autoSpaceDE w:val="0"/>
              <w:autoSpaceDN w:val="0"/>
              <w:adjustRightInd w:val="0"/>
              <w:textAlignment w:val="center"/>
            </w:pPr>
            <w:r w:rsidRPr="006320B0">
              <w:rPr>
                <w:noProof/>
              </w:rPr>
              <w:drawing>
                <wp:anchor distT="0" distB="0" distL="114300" distR="114300" simplePos="0" relativeHeight="251678208" behindDoc="0" locked="0" layoutInCell="1" allowOverlap="1" wp14:anchorId="0DBD766A" wp14:editId="38748B49">
                  <wp:simplePos x="0" y="0"/>
                  <wp:positionH relativeFrom="column">
                    <wp:posOffset>14605</wp:posOffset>
                  </wp:positionH>
                  <wp:positionV relativeFrom="paragraph">
                    <wp:posOffset>22225</wp:posOffset>
                  </wp:positionV>
                  <wp:extent cx="119380" cy="119380"/>
                  <wp:effectExtent l="0" t="0" r="0" b="0"/>
                  <wp:wrapNone/>
                  <wp:docPr id="48"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74" w:type="pct"/>
            <w:gridSpan w:val="2"/>
            <w:tcBorders>
              <w:left w:val="nil"/>
              <w:bottom w:val="nil"/>
            </w:tcBorders>
            <w:tcMar>
              <w:left w:w="0" w:type="dxa"/>
            </w:tcMar>
          </w:tcPr>
          <w:p w14:paraId="173DBBE4" w14:textId="77777777" w:rsidR="008B184C" w:rsidRPr="006320B0" w:rsidRDefault="008B184C" w:rsidP="008A2BB8">
            <w:pPr>
              <w:keepNext/>
            </w:pPr>
            <w:r w:rsidRPr="006320B0">
              <w:t xml:space="preserve">De voorgevulde spuit </w:t>
            </w:r>
            <w:r w:rsidRPr="006320B0">
              <w:rPr>
                <w:b/>
              </w:rPr>
              <w:t>niet gebruiken</w:t>
            </w:r>
            <w:r w:rsidRPr="006320B0">
              <w:t xml:space="preserve"> indien:</w:t>
            </w:r>
          </w:p>
        </w:tc>
      </w:tr>
      <w:tr w:rsidR="008B184C" w:rsidRPr="006320B0" w14:paraId="3494EFF2" w14:textId="77777777" w:rsidTr="008A2BB8">
        <w:trPr>
          <w:cantSplit/>
          <w:trHeight w:val="57"/>
        </w:trPr>
        <w:tc>
          <w:tcPr>
            <w:tcW w:w="5000" w:type="pct"/>
            <w:gridSpan w:val="3"/>
            <w:tcBorders>
              <w:top w:val="nil"/>
              <w:bottom w:val="nil"/>
            </w:tcBorders>
            <w:tcMar>
              <w:top w:w="28" w:type="dxa"/>
              <w:left w:w="567" w:type="dxa"/>
              <w:bottom w:w="28" w:type="dxa"/>
              <w:right w:w="57" w:type="dxa"/>
            </w:tcMar>
          </w:tcPr>
          <w:p w14:paraId="4C0F27AA" w14:textId="1FBBD307" w:rsidR="008B184C" w:rsidRPr="006320B0" w:rsidRDefault="008B184C" w:rsidP="008B184C">
            <w:pPr>
              <w:keepNext/>
              <w:numPr>
                <w:ilvl w:val="0"/>
                <w:numId w:val="54"/>
              </w:numPr>
              <w:tabs>
                <w:tab w:val="clear" w:pos="567"/>
              </w:tabs>
              <w:ind w:left="567" w:hanging="567"/>
            </w:pPr>
            <w:r w:rsidRPr="006320B0">
              <w:t>Het geneesmiddel troebel is of deeltjes bevat. De vloeistof moet helder en kleurloos tot lichtgeel zijn.</w:t>
            </w:r>
          </w:p>
          <w:p w14:paraId="7C718BB5" w14:textId="77777777" w:rsidR="008B184C" w:rsidRPr="006320B0" w:rsidRDefault="008B184C" w:rsidP="008B184C">
            <w:pPr>
              <w:keepNext/>
              <w:numPr>
                <w:ilvl w:val="0"/>
                <w:numId w:val="54"/>
              </w:numPr>
              <w:tabs>
                <w:tab w:val="clear" w:pos="567"/>
              </w:tabs>
              <w:ind w:left="567" w:hanging="567"/>
            </w:pPr>
            <w:r w:rsidRPr="006320B0">
              <w:t>Er een onderdeel gebarsten of kapot lijkt te zijn.</w:t>
            </w:r>
          </w:p>
          <w:p w14:paraId="2B098EA0" w14:textId="38EBB2B2" w:rsidR="008B184C" w:rsidRPr="006320B0" w:rsidRDefault="008B184C" w:rsidP="008B184C">
            <w:pPr>
              <w:keepNext/>
              <w:numPr>
                <w:ilvl w:val="0"/>
                <w:numId w:val="54"/>
              </w:numPr>
              <w:tabs>
                <w:tab w:val="clear" w:pos="567"/>
              </w:tabs>
              <w:ind w:left="567" w:hanging="567"/>
            </w:pPr>
            <w:r w:rsidRPr="006320B0">
              <w:t>De grijze naalddop ontbreekt of niet goed vastzit.</w:t>
            </w:r>
          </w:p>
          <w:p w14:paraId="28B14AF2" w14:textId="77777777" w:rsidR="008B184C" w:rsidRPr="006320B0" w:rsidRDefault="008B184C" w:rsidP="008B184C">
            <w:pPr>
              <w:keepNext/>
              <w:numPr>
                <w:ilvl w:val="0"/>
                <w:numId w:val="54"/>
              </w:numPr>
              <w:tabs>
                <w:tab w:val="clear" w:pos="567"/>
              </w:tabs>
              <w:ind w:left="567" w:hanging="567"/>
            </w:pPr>
            <w:r w:rsidRPr="006320B0">
              <w:t>De uiterste houdbaarheidsdatum op het etiket is verstreken tot na de laatste dag van de genoemde maand.</w:t>
            </w:r>
          </w:p>
        </w:tc>
      </w:tr>
      <w:tr w:rsidR="008B184C" w:rsidRPr="006320B0" w14:paraId="5198917A" w14:textId="77777777" w:rsidTr="008A2BB8">
        <w:trPr>
          <w:cantSplit/>
          <w:trHeight w:val="57"/>
        </w:trPr>
        <w:tc>
          <w:tcPr>
            <w:tcW w:w="5000" w:type="pct"/>
            <w:gridSpan w:val="3"/>
            <w:tcBorders>
              <w:top w:val="nil"/>
              <w:bottom w:val="single" w:sz="4" w:space="0" w:color="auto"/>
            </w:tcBorders>
            <w:tcMar>
              <w:top w:w="28" w:type="dxa"/>
              <w:left w:w="57" w:type="dxa"/>
              <w:bottom w:w="28" w:type="dxa"/>
              <w:right w:w="57" w:type="dxa"/>
            </w:tcMar>
          </w:tcPr>
          <w:p w14:paraId="50C5DC12" w14:textId="39062260" w:rsidR="008B184C" w:rsidRPr="006320B0" w:rsidRDefault="008B184C" w:rsidP="008A2BB8">
            <w:pPr>
              <w:keepNext/>
            </w:pPr>
            <w:r w:rsidRPr="006320B0">
              <w:t>Neem in alle bovengenoemde gevallen contact op met uw arts of andere zorgverlener.</w:t>
            </w:r>
          </w:p>
        </w:tc>
      </w:tr>
    </w:tbl>
    <w:p w14:paraId="6511E796" w14:textId="77777777" w:rsidR="008B184C" w:rsidRPr="006320B0" w:rsidRDefault="008B184C" w:rsidP="008B184C"/>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530"/>
        <w:gridCol w:w="5842"/>
      </w:tblGrid>
      <w:tr w:rsidR="008B184C" w:rsidRPr="006320B0" w14:paraId="2103516C" w14:textId="77777777" w:rsidTr="00EF2264">
        <w:trPr>
          <w:cantSplit/>
          <w:trHeight w:val="57"/>
        </w:trPr>
        <w:tc>
          <w:tcPr>
            <w:tcW w:w="5000" w:type="pct"/>
            <w:gridSpan w:val="3"/>
            <w:tcMar>
              <w:top w:w="28" w:type="dxa"/>
              <w:bottom w:w="28" w:type="dxa"/>
            </w:tcMar>
          </w:tcPr>
          <w:p w14:paraId="7AEE3F67" w14:textId="77777777" w:rsidR="008B184C" w:rsidRPr="006320B0" w:rsidRDefault="008B184C" w:rsidP="008A2BB8">
            <w:pPr>
              <w:keepNext/>
              <w:jc w:val="center"/>
            </w:pPr>
            <w:r w:rsidRPr="006320B0">
              <w:t xml:space="preserve">Stap 2: </w:t>
            </w:r>
            <w:r w:rsidRPr="006320B0">
              <w:rPr>
                <w:b/>
              </w:rPr>
              <w:t>Zich klaarmaken voor de injectie</w:t>
            </w:r>
          </w:p>
        </w:tc>
      </w:tr>
      <w:tr w:rsidR="008B184C" w:rsidRPr="006320B0" w14:paraId="5A58775A" w14:textId="77777777" w:rsidTr="00EF2264">
        <w:trPr>
          <w:cantSplit/>
          <w:trHeight w:val="57"/>
        </w:trPr>
        <w:tc>
          <w:tcPr>
            <w:tcW w:w="328" w:type="pct"/>
            <w:tcBorders>
              <w:bottom w:val="single" w:sz="4" w:space="0" w:color="auto"/>
            </w:tcBorders>
            <w:tcMar>
              <w:left w:w="57" w:type="dxa"/>
            </w:tcMar>
          </w:tcPr>
          <w:p w14:paraId="17577195" w14:textId="77777777" w:rsidR="008B184C" w:rsidRPr="006320B0" w:rsidRDefault="008B184C" w:rsidP="008A2BB8">
            <w:pPr>
              <w:keepNext/>
            </w:pPr>
            <w:r w:rsidRPr="006320B0">
              <w:t>A</w:t>
            </w:r>
          </w:p>
        </w:tc>
        <w:tc>
          <w:tcPr>
            <w:tcW w:w="4672" w:type="pct"/>
            <w:gridSpan w:val="2"/>
            <w:tcBorders>
              <w:bottom w:val="single" w:sz="4" w:space="0" w:color="auto"/>
            </w:tcBorders>
            <w:tcMar>
              <w:top w:w="28" w:type="dxa"/>
              <w:left w:w="57" w:type="dxa"/>
              <w:bottom w:w="28" w:type="dxa"/>
              <w:right w:w="57" w:type="dxa"/>
            </w:tcMar>
          </w:tcPr>
          <w:p w14:paraId="10AD1056" w14:textId="76E47641" w:rsidR="008B184C" w:rsidRPr="006320B0" w:rsidRDefault="008B184C" w:rsidP="008A2BB8">
            <w:pPr>
              <w:keepNext/>
            </w:pPr>
            <w:r w:rsidRPr="006320B0">
              <w:t>Was uw handen grondig. Reinig de injectieplaats.</w:t>
            </w:r>
          </w:p>
        </w:tc>
      </w:tr>
      <w:tr w:rsidR="00E91248" w:rsidRPr="006320B0" w14:paraId="264EF6D6" w14:textId="77777777" w:rsidTr="00EF2264">
        <w:trPr>
          <w:cantSplit/>
          <w:trHeight w:val="1219"/>
        </w:trPr>
        <w:tc>
          <w:tcPr>
            <w:tcW w:w="1740" w:type="pct"/>
            <w:gridSpan w:val="2"/>
            <w:vMerge w:val="restart"/>
            <w:tcBorders>
              <w:bottom w:val="nil"/>
              <w:right w:val="nil"/>
            </w:tcBorders>
            <w:tcMar>
              <w:top w:w="28" w:type="dxa"/>
              <w:left w:w="57" w:type="dxa"/>
              <w:bottom w:w="28" w:type="dxa"/>
              <w:right w:w="57" w:type="dxa"/>
            </w:tcMar>
            <w:vAlign w:val="bottom"/>
          </w:tcPr>
          <w:p w14:paraId="0EE795CF" w14:textId="30454E42" w:rsidR="00E91248" w:rsidRPr="006320B0" w:rsidRDefault="00E91248" w:rsidP="008A2BB8">
            <w:pPr>
              <w:keepNext/>
              <w:rPr>
                <w:b/>
                <w:bCs/>
              </w:rPr>
            </w:pPr>
            <w:r w:rsidRPr="006320B0">
              <w:rPr>
                <w:b/>
              </w:rPr>
              <w:t>U kunt de injectie toedienen op:</w:t>
            </w:r>
          </w:p>
        </w:tc>
        <w:tc>
          <w:tcPr>
            <w:tcW w:w="3260" w:type="pct"/>
            <w:vMerge w:val="restart"/>
            <w:tcBorders>
              <w:left w:val="nil"/>
              <w:bottom w:val="nil"/>
              <w:right w:val="single" w:sz="4" w:space="0" w:color="auto"/>
            </w:tcBorders>
            <w:tcMar>
              <w:top w:w="28" w:type="dxa"/>
              <w:left w:w="57" w:type="dxa"/>
              <w:bottom w:w="28" w:type="dxa"/>
              <w:right w:w="57" w:type="dxa"/>
            </w:tcMar>
          </w:tcPr>
          <w:p w14:paraId="656ADF11" w14:textId="343EA165" w:rsidR="00E91248" w:rsidRPr="006320B0" w:rsidRDefault="00EF2264" w:rsidP="008A2BB8">
            <w:pPr>
              <w:keepNext/>
            </w:pPr>
            <w:r w:rsidRPr="006320B0">
              <w:rPr>
                <w:b/>
                <w:noProof/>
                <w:lang w:eastAsia="pl-PL"/>
              </w:rPr>
              <w:drawing>
                <wp:anchor distT="0" distB="0" distL="114300" distR="114300" simplePos="0" relativeHeight="251667967" behindDoc="0" locked="0" layoutInCell="1" allowOverlap="1" wp14:anchorId="35D52A4C" wp14:editId="711339FC">
                  <wp:simplePos x="0" y="0"/>
                  <wp:positionH relativeFrom="margin">
                    <wp:posOffset>-36195</wp:posOffset>
                  </wp:positionH>
                  <wp:positionV relativeFrom="paragraph">
                    <wp:posOffset>51435</wp:posOffset>
                  </wp:positionV>
                  <wp:extent cx="3059430" cy="2919095"/>
                  <wp:effectExtent l="0" t="0" r="762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5223" name=""/>
                          <pic:cNvPicPr/>
                        </pic:nvPicPr>
                        <pic:blipFill>
                          <a:blip r:embed="rId24">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r w:rsidR="00E91248" w:rsidRPr="006320B0">
              <w:rPr>
                <w:noProof/>
              </w:rPr>
              <mc:AlternateContent>
                <mc:Choice Requires="wps">
                  <w:drawing>
                    <wp:anchor distT="0" distB="0" distL="114300" distR="114300" simplePos="0" relativeHeight="251717120" behindDoc="0" locked="0" layoutInCell="1" allowOverlap="1" wp14:anchorId="74A15145" wp14:editId="7E07B934">
                      <wp:simplePos x="0" y="0"/>
                      <wp:positionH relativeFrom="column">
                        <wp:posOffset>-34290</wp:posOffset>
                      </wp:positionH>
                      <wp:positionV relativeFrom="paragraph">
                        <wp:posOffset>555625</wp:posOffset>
                      </wp:positionV>
                      <wp:extent cx="809625" cy="276225"/>
                      <wp:effectExtent l="0" t="0" r="28575" b="28575"/>
                      <wp:wrapThrough wrapText="bothSides">
                        <wp:wrapPolygon edited="0">
                          <wp:start x="0" y="0"/>
                          <wp:lineTo x="0" y="22345"/>
                          <wp:lineTo x="21854" y="22345"/>
                          <wp:lineTo x="21854" y="0"/>
                          <wp:lineTo x="0" y="0"/>
                        </wp:wrapPolygon>
                      </wp:wrapThrough>
                      <wp:docPr id="426235463" name="Tekstvak 1"/>
                      <wp:cNvGraphicFramePr/>
                      <a:graphic xmlns:a="http://schemas.openxmlformats.org/drawingml/2006/main">
                        <a:graphicData uri="http://schemas.microsoft.com/office/word/2010/wordprocessingShape">
                          <wps:wsp>
                            <wps:cNvSpPr txBox="1"/>
                            <wps:spPr>
                              <a:xfrm>
                                <a:off x="0" y="0"/>
                                <a:ext cx="809625" cy="276225"/>
                              </a:xfrm>
                              <a:prstGeom prst="rect">
                                <a:avLst/>
                              </a:prstGeom>
                              <a:solidFill>
                                <a:sysClr val="window" lastClr="FFFFFF"/>
                              </a:solidFill>
                              <a:ln w="6350">
                                <a:solidFill>
                                  <a:prstClr val="black"/>
                                </a:solidFill>
                              </a:ln>
                            </wps:spPr>
                            <wps:txbx>
                              <w:txbxContent>
                                <w:p w14:paraId="773ED71D" w14:textId="0F8DA76E" w:rsidR="00E91248" w:rsidRPr="006320B0" w:rsidRDefault="00E91248" w:rsidP="00E91248">
                                  <w:pPr>
                                    <w:keepNext/>
                                  </w:pPr>
                                  <w:r w:rsidRPr="006320B0">
                                    <w:t>Bovenarm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15145" id="_x0000_s1039" type="#_x0000_t202" style="position:absolute;margin-left:-2.7pt;margin-top:43.75pt;width:63.75pt;height:21.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" fillcolor="window" strokeweight=".5pt">
                      <v:textbox>
                        <w:txbxContent>
                          <w:p w14:paraId="773ED71D" w14:textId="0F8DA76E" w:rsidR="00E91248" w:rsidRPr="006320B0" w:rsidRDefault="00E91248" w:rsidP="00E91248">
                            <w:pPr>
                              <w:keepNext/>
                            </w:pPr>
                            <w:r w:rsidRPr="006320B0">
                              <w:t>Bovenarm</w:t>
                            </w:r>
                          </w:p>
                        </w:txbxContent>
                      </v:textbox>
                      <w10:wrap type="through"/>
                    </v:shape>
                  </w:pict>
                </mc:Fallback>
              </mc:AlternateContent>
            </w:r>
            <w:r w:rsidR="00E91248" w:rsidRPr="006320B0">
              <w:rPr>
                <w:noProof/>
              </w:rPr>
              <mc:AlternateContent>
                <mc:Choice Requires="wps">
                  <w:drawing>
                    <wp:anchor distT="0" distB="0" distL="114300" distR="114300" simplePos="0" relativeHeight="251718144" behindDoc="0" locked="0" layoutInCell="1" allowOverlap="1" wp14:anchorId="7B82726C" wp14:editId="4356CE15">
                      <wp:simplePos x="0" y="0"/>
                      <wp:positionH relativeFrom="column">
                        <wp:posOffset>-34290</wp:posOffset>
                      </wp:positionH>
                      <wp:positionV relativeFrom="paragraph">
                        <wp:posOffset>1536700</wp:posOffset>
                      </wp:positionV>
                      <wp:extent cx="476250" cy="276225"/>
                      <wp:effectExtent l="0" t="0" r="19050" b="28575"/>
                      <wp:wrapThrough wrapText="bothSides">
                        <wp:wrapPolygon edited="0">
                          <wp:start x="0" y="0"/>
                          <wp:lineTo x="0" y="22345"/>
                          <wp:lineTo x="21600" y="22345"/>
                          <wp:lineTo x="21600" y="0"/>
                          <wp:lineTo x="0" y="0"/>
                        </wp:wrapPolygon>
                      </wp:wrapThrough>
                      <wp:docPr id="2003640317" name="Tekstvak 1"/>
                      <wp:cNvGraphicFramePr/>
                      <a:graphic xmlns:a="http://schemas.openxmlformats.org/drawingml/2006/main">
                        <a:graphicData uri="http://schemas.microsoft.com/office/word/2010/wordprocessingShape">
                          <wps:wsp>
                            <wps:cNvSpPr txBox="1"/>
                            <wps:spPr>
                              <a:xfrm>
                                <a:off x="0" y="0"/>
                                <a:ext cx="476250" cy="276225"/>
                              </a:xfrm>
                              <a:prstGeom prst="rect">
                                <a:avLst/>
                              </a:prstGeom>
                              <a:solidFill>
                                <a:sysClr val="window" lastClr="FFFFFF"/>
                              </a:solidFill>
                              <a:ln w="6350">
                                <a:solidFill>
                                  <a:prstClr val="black"/>
                                </a:solidFill>
                              </a:ln>
                            </wps:spPr>
                            <wps:txbx>
                              <w:txbxContent>
                                <w:p w14:paraId="69A722A5" w14:textId="51782370" w:rsidR="00E91248" w:rsidRPr="006320B0" w:rsidRDefault="00E91248" w:rsidP="00E91248">
                                  <w:pPr>
                                    <w:keepNext/>
                                  </w:pPr>
                                  <w:r w:rsidRPr="006320B0">
                                    <w:t>Buik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726C" id="_x0000_s1040" type="#_x0000_t202" style="position:absolute;margin-left:-2.7pt;margin-top:121pt;width:37.5pt;height:21.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" fillcolor="window" strokeweight=".5pt">
                      <v:textbox>
                        <w:txbxContent>
                          <w:p w14:paraId="69A722A5" w14:textId="51782370" w:rsidR="00E91248" w:rsidRPr="006320B0" w:rsidRDefault="00E91248" w:rsidP="00E91248">
                            <w:pPr>
                              <w:keepNext/>
                            </w:pPr>
                            <w:r w:rsidRPr="006320B0">
                              <w:t>Buik</w:t>
                            </w:r>
                          </w:p>
                        </w:txbxContent>
                      </v:textbox>
                      <w10:wrap type="through"/>
                    </v:shape>
                  </w:pict>
                </mc:Fallback>
              </mc:AlternateContent>
            </w:r>
            <w:r w:rsidR="00E91248" w:rsidRPr="006320B0">
              <w:rPr>
                <w:noProof/>
              </w:rPr>
              <mc:AlternateContent>
                <mc:Choice Requires="wps">
                  <w:drawing>
                    <wp:anchor distT="0" distB="0" distL="114300" distR="114300" simplePos="0" relativeHeight="251719168" behindDoc="0" locked="0" layoutInCell="1" allowOverlap="1" wp14:anchorId="7867AF30" wp14:editId="248E5DD5">
                      <wp:simplePos x="0" y="0"/>
                      <wp:positionH relativeFrom="column">
                        <wp:posOffset>-34290</wp:posOffset>
                      </wp:positionH>
                      <wp:positionV relativeFrom="paragraph">
                        <wp:posOffset>2089150</wp:posOffset>
                      </wp:positionV>
                      <wp:extent cx="638175" cy="276225"/>
                      <wp:effectExtent l="0" t="0" r="28575" b="28575"/>
                      <wp:wrapNone/>
                      <wp:docPr id="1512348253" name="Tekstvak 1"/>
                      <wp:cNvGraphicFramePr/>
                      <a:graphic xmlns:a="http://schemas.openxmlformats.org/drawingml/2006/main">
                        <a:graphicData uri="http://schemas.microsoft.com/office/word/2010/wordprocessingShape">
                          <wps:wsp>
                            <wps:cNvSpPr txBox="1"/>
                            <wps:spPr>
                              <a:xfrm>
                                <a:off x="0" y="0"/>
                                <a:ext cx="638175" cy="276225"/>
                              </a:xfrm>
                              <a:prstGeom prst="rect">
                                <a:avLst/>
                              </a:prstGeom>
                              <a:solidFill>
                                <a:sysClr val="window" lastClr="FFFFFF"/>
                              </a:solidFill>
                              <a:ln w="6350">
                                <a:solidFill>
                                  <a:prstClr val="black"/>
                                </a:solidFill>
                              </a:ln>
                            </wps:spPr>
                            <wps:txbx>
                              <w:txbxContent>
                                <w:p w14:paraId="2C64E9C1" w14:textId="41C027B1" w:rsidR="00E91248" w:rsidRPr="006320B0" w:rsidRDefault="00E91248" w:rsidP="00E91248">
                                  <w:pPr>
                                    <w:keepNext/>
                                  </w:pPr>
                                  <w:r w:rsidRPr="006320B0">
                                    <w:t>Dijbeen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AF30" id="_x0000_s1041" type="#_x0000_t202" style="position:absolute;margin-left:-2.7pt;margin-top:164.5pt;width:50.25pt;height:21.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" fillcolor="window" strokeweight=".5pt">
                      <v:textbox>
                        <w:txbxContent>
                          <w:p w14:paraId="2C64E9C1" w14:textId="41C027B1" w:rsidR="00E91248" w:rsidRPr="006320B0" w:rsidRDefault="00E91248" w:rsidP="00E91248">
                            <w:pPr>
                              <w:keepNext/>
                            </w:pPr>
                            <w:r w:rsidRPr="006320B0">
                              <w:t>Dijbeen</w:t>
                            </w:r>
                          </w:p>
                        </w:txbxContent>
                      </v:textbox>
                    </v:shape>
                  </w:pict>
                </mc:Fallback>
              </mc:AlternateContent>
            </w:r>
          </w:p>
        </w:tc>
      </w:tr>
      <w:tr w:rsidR="00E91248" w:rsidRPr="006320B0" w14:paraId="74D5E542" w14:textId="77777777" w:rsidTr="00EF2264">
        <w:trPr>
          <w:cantSplit/>
          <w:trHeight w:val="376"/>
        </w:trPr>
        <w:tc>
          <w:tcPr>
            <w:tcW w:w="1740" w:type="pct"/>
            <w:gridSpan w:val="2"/>
            <w:vMerge/>
            <w:tcBorders>
              <w:top w:val="nil"/>
              <w:bottom w:val="nil"/>
              <w:right w:val="nil"/>
            </w:tcBorders>
            <w:tcMar>
              <w:top w:w="28" w:type="dxa"/>
              <w:left w:w="57" w:type="dxa"/>
              <w:bottom w:w="28" w:type="dxa"/>
              <w:right w:w="57" w:type="dxa"/>
            </w:tcMar>
            <w:vAlign w:val="bottom"/>
          </w:tcPr>
          <w:p w14:paraId="3E603294" w14:textId="77777777" w:rsidR="00E91248" w:rsidRPr="006320B0" w:rsidRDefault="00E91248" w:rsidP="008A2BB8">
            <w:pPr>
              <w:keepNext/>
              <w:suppressAutoHyphens/>
              <w:autoSpaceDE w:val="0"/>
              <w:autoSpaceDN w:val="0"/>
              <w:adjustRightInd w:val="0"/>
              <w:textAlignment w:val="center"/>
              <w:rPr>
                <w:b/>
                <w:bCs/>
              </w:rPr>
            </w:pPr>
          </w:p>
        </w:tc>
        <w:tc>
          <w:tcPr>
            <w:tcW w:w="3260" w:type="pct"/>
            <w:vMerge/>
            <w:tcBorders>
              <w:top w:val="nil"/>
              <w:left w:val="nil"/>
              <w:bottom w:val="nil"/>
              <w:right w:val="single" w:sz="4" w:space="0" w:color="auto"/>
            </w:tcBorders>
            <w:tcMar>
              <w:top w:w="28" w:type="dxa"/>
              <w:left w:w="57" w:type="dxa"/>
              <w:bottom w:w="28" w:type="dxa"/>
              <w:right w:w="57" w:type="dxa"/>
            </w:tcMar>
          </w:tcPr>
          <w:p w14:paraId="0B813282" w14:textId="77777777" w:rsidR="00E91248" w:rsidRPr="006320B0" w:rsidRDefault="00E91248" w:rsidP="008A2BB8">
            <w:pPr>
              <w:pStyle w:val="BULLETED"/>
              <w:keepNext/>
              <w:widowControl/>
              <w:numPr>
                <w:ilvl w:val="0"/>
                <w:numId w:val="0"/>
              </w:numPr>
              <w:tabs>
                <w:tab w:val="clear" w:pos="810"/>
              </w:tabs>
              <w:spacing w:before="0" w:line="240" w:lineRule="auto"/>
              <w:rPr>
                <w:color w:val="auto"/>
                <w:sz w:val="22"/>
                <w:szCs w:val="22"/>
                <w:lang w:eastAsia="zh-TW"/>
              </w:rPr>
            </w:pPr>
          </w:p>
        </w:tc>
      </w:tr>
      <w:tr w:rsidR="00E91248" w:rsidRPr="006320B0" w14:paraId="43D18C54" w14:textId="77777777" w:rsidTr="00EF2264">
        <w:trPr>
          <w:cantSplit/>
          <w:trHeight w:val="1172"/>
        </w:trPr>
        <w:tc>
          <w:tcPr>
            <w:tcW w:w="1740" w:type="pct"/>
            <w:gridSpan w:val="2"/>
            <w:vMerge/>
            <w:tcBorders>
              <w:top w:val="nil"/>
              <w:bottom w:val="nil"/>
              <w:right w:val="nil"/>
            </w:tcBorders>
            <w:tcMar>
              <w:top w:w="28" w:type="dxa"/>
              <w:left w:w="57" w:type="dxa"/>
              <w:bottom w:w="28" w:type="dxa"/>
              <w:right w:w="57" w:type="dxa"/>
            </w:tcMar>
            <w:vAlign w:val="bottom"/>
          </w:tcPr>
          <w:p w14:paraId="4CC90E23" w14:textId="77777777" w:rsidR="00E91248" w:rsidRPr="006320B0" w:rsidRDefault="00E91248" w:rsidP="008A2BB8">
            <w:pPr>
              <w:keepNext/>
              <w:suppressAutoHyphens/>
              <w:autoSpaceDE w:val="0"/>
              <w:autoSpaceDN w:val="0"/>
              <w:adjustRightInd w:val="0"/>
              <w:textAlignment w:val="center"/>
              <w:rPr>
                <w:b/>
                <w:bCs/>
              </w:rPr>
            </w:pPr>
          </w:p>
        </w:tc>
        <w:tc>
          <w:tcPr>
            <w:tcW w:w="3260" w:type="pct"/>
            <w:vMerge/>
            <w:tcBorders>
              <w:top w:val="nil"/>
              <w:left w:val="nil"/>
              <w:bottom w:val="nil"/>
              <w:right w:val="single" w:sz="4" w:space="0" w:color="auto"/>
            </w:tcBorders>
            <w:tcMar>
              <w:top w:w="28" w:type="dxa"/>
              <w:left w:w="57" w:type="dxa"/>
              <w:bottom w:w="28" w:type="dxa"/>
              <w:right w:w="57" w:type="dxa"/>
            </w:tcMar>
          </w:tcPr>
          <w:p w14:paraId="5830239D" w14:textId="77777777" w:rsidR="00E91248" w:rsidRPr="006320B0" w:rsidRDefault="00E91248" w:rsidP="008A2BB8">
            <w:pPr>
              <w:pStyle w:val="BULLETED"/>
              <w:keepNext/>
              <w:widowControl/>
              <w:numPr>
                <w:ilvl w:val="0"/>
                <w:numId w:val="0"/>
              </w:numPr>
              <w:tabs>
                <w:tab w:val="clear" w:pos="810"/>
              </w:tabs>
              <w:spacing w:before="0" w:line="240" w:lineRule="auto"/>
              <w:rPr>
                <w:color w:val="auto"/>
                <w:sz w:val="22"/>
                <w:szCs w:val="22"/>
                <w:lang w:eastAsia="zh-TW"/>
              </w:rPr>
            </w:pPr>
          </w:p>
        </w:tc>
      </w:tr>
      <w:tr w:rsidR="00E91248" w:rsidRPr="006320B0" w14:paraId="144B5D91" w14:textId="77777777" w:rsidTr="00EF2264">
        <w:trPr>
          <w:cantSplit/>
          <w:trHeight w:val="253"/>
        </w:trPr>
        <w:tc>
          <w:tcPr>
            <w:tcW w:w="1740" w:type="pct"/>
            <w:gridSpan w:val="2"/>
            <w:vMerge/>
            <w:tcBorders>
              <w:top w:val="nil"/>
              <w:bottom w:val="nil"/>
              <w:right w:val="nil"/>
            </w:tcBorders>
            <w:tcMar>
              <w:top w:w="28" w:type="dxa"/>
              <w:left w:w="57" w:type="dxa"/>
              <w:bottom w:w="28" w:type="dxa"/>
              <w:right w:w="57" w:type="dxa"/>
            </w:tcMar>
            <w:vAlign w:val="bottom"/>
          </w:tcPr>
          <w:p w14:paraId="590156C5" w14:textId="77777777" w:rsidR="00E91248" w:rsidRPr="006320B0" w:rsidRDefault="00E91248" w:rsidP="008A2BB8">
            <w:pPr>
              <w:keepNext/>
              <w:suppressAutoHyphens/>
              <w:autoSpaceDE w:val="0"/>
              <w:autoSpaceDN w:val="0"/>
              <w:adjustRightInd w:val="0"/>
              <w:textAlignment w:val="center"/>
              <w:rPr>
                <w:b/>
                <w:bCs/>
              </w:rPr>
            </w:pPr>
          </w:p>
        </w:tc>
        <w:tc>
          <w:tcPr>
            <w:tcW w:w="3260" w:type="pct"/>
            <w:vMerge/>
            <w:tcBorders>
              <w:top w:val="nil"/>
              <w:left w:val="nil"/>
              <w:bottom w:val="nil"/>
              <w:right w:val="single" w:sz="4" w:space="0" w:color="auto"/>
            </w:tcBorders>
            <w:tcMar>
              <w:top w:w="28" w:type="dxa"/>
              <w:left w:w="57" w:type="dxa"/>
              <w:bottom w:w="28" w:type="dxa"/>
              <w:right w:w="57" w:type="dxa"/>
            </w:tcMar>
          </w:tcPr>
          <w:p w14:paraId="236A9EC2" w14:textId="77777777" w:rsidR="00E91248" w:rsidRPr="006320B0" w:rsidRDefault="00E91248" w:rsidP="008A2BB8">
            <w:pPr>
              <w:pStyle w:val="BULLETED"/>
              <w:keepNext/>
              <w:widowControl/>
              <w:numPr>
                <w:ilvl w:val="0"/>
                <w:numId w:val="0"/>
              </w:numPr>
              <w:tabs>
                <w:tab w:val="clear" w:pos="810"/>
              </w:tabs>
              <w:spacing w:before="0" w:line="240" w:lineRule="auto"/>
              <w:rPr>
                <w:color w:val="auto"/>
                <w:sz w:val="22"/>
                <w:szCs w:val="22"/>
                <w:lang w:eastAsia="zh-TW"/>
              </w:rPr>
            </w:pPr>
          </w:p>
        </w:tc>
      </w:tr>
      <w:tr w:rsidR="008B184C" w:rsidRPr="006320B0" w14:paraId="0F9E6A2F" w14:textId="77777777" w:rsidTr="00EF2264">
        <w:trPr>
          <w:cantSplit/>
          <w:trHeight w:val="57"/>
        </w:trPr>
        <w:tc>
          <w:tcPr>
            <w:tcW w:w="5000" w:type="pct"/>
            <w:gridSpan w:val="3"/>
            <w:tcBorders>
              <w:top w:val="nil"/>
              <w:bottom w:val="nil"/>
            </w:tcBorders>
            <w:tcMar>
              <w:top w:w="28" w:type="dxa"/>
              <w:left w:w="57" w:type="dxa"/>
              <w:bottom w:w="28" w:type="dxa"/>
              <w:right w:w="57" w:type="dxa"/>
            </w:tcMar>
          </w:tcPr>
          <w:p w14:paraId="2A513248" w14:textId="77777777" w:rsidR="008B184C" w:rsidRPr="006320B0" w:rsidRDefault="008B184C" w:rsidP="008B184C">
            <w:pPr>
              <w:keepNext/>
              <w:numPr>
                <w:ilvl w:val="0"/>
                <w:numId w:val="54"/>
              </w:numPr>
              <w:tabs>
                <w:tab w:val="clear" w:pos="567"/>
              </w:tabs>
              <w:ind w:left="567" w:hanging="567"/>
            </w:pPr>
            <w:r w:rsidRPr="006320B0">
              <w:t>De bovenzijde van het dijbeen.</w:t>
            </w:r>
          </w:p>
          <w:p w14:paraId="0802CD40" w14:textId="77777777" w:rsidR="008B184C" w:rsidRPr="006320B0" w:rsidRDefault="008B184C" w:rsidP="008B184C">
            <w:pPr>
              <w:keepNext/>
              <w:numPr>
                <w:ilvl w:val="0"/>
                <w:numId w:val="54"/>
              </w:numPr>
              <w:tabs>
                <w:tab w:val="clear" w:pos="567"/>
              </w:tabs>
              <w:ind w:left="567" w:hanging="567"/>
            </w:pPr>
            <w:r w:rsidRPr="006320B0">
              <w:t>De buik, echter niet binnen 5 cm rond de navel.</w:t>
            </w:r>
          </w:p>
          <w:p w14:paraId="6E88C299" w14:textId="77777777" w:rsidR="008B184C" w:rsidRPr="006320B0" w:rsidRDefault="008B184C" w:rsidP="008B184C">
            <w:pPr>
              <w:keepNext/>
              <w:numPr>
                <w:ilvl w:val="0"/>
                <w:numId w:val="54"/>
              </w:numPr>
              <w:tabs>
                <w:tab w:val="clear" w:pos="567"/>
              </w:tabs>
              <w:ind w:left="567" w:hanging="567"/>
            </w:pPr>
            <w:r w:rsidRPr="006320B0">
              <w:t>De buitenzijde van de bovenarm (alleen als iemand anders de injectie toedient).</w:t>
            </w:r>
          </w:p>
        </w:tc>
      </w:tr>
      <w:tr w:rsidR="008B184C" w:rsidRPr="006320B0" w14:paraId="309A8B10" w14:textId="77777777" w:rsidTr="00EF2264">
        <w:trPr>
          <w:cantSplit/>
          <w:trHeight w:val="57"/>
        </w:trPr>
        <w:tc>
          <w:tcPr>
            <w:tcW w:w="5000" w:type="pct"/>
            <w:gridSpan w:val="3"/>
            <w:tcBorders>
              <w:top w:val="nil"/>
              <w:bottom w:val="nil"/>
            </w:tcBorders>
            <w:tcMar>
              <w:top w:w="28" w:type="dxa"/>
              <w:left w:w="57" w:type="dxa"/>
              <w:bottom w:w="28" w:type="dxa"/>
              <w:right w:w="57" w:type="dxa"/>
            </w:tcMar>
          </w:tcPr>
          <w:p w14:paraId="4B5C57A1" w14:textId="77777777" w:rsidR="008B184C" w:rsidRPr="006320B0" w:rsidRDefault="008B184C" w:rsidP="008A2BB8">
            <w:pPr>
              <w:keepNext/>
            </w:pPr>
            <w:r w:rsidRPr="006320B0">
              <w:t>Maak de huid op de injectieplaats schoon met een alcoholdoekje. Laat de huid opdrogen.</w:t>
            </w:r>
          </w:p>
        </w:tc>
      </w:tr>
      <w:tr w:rsidR="008B184C" w:rsidRPr="006320B0" w14:paraId="4E40DA76" w14:textId="77777777" w:rsidTr="00EF2264">
        <w:trPr>
          <w:cantSplit/>
          <w:trHeight w:val="57"/>
        </w:trPr>
        <w:tc>
          <w:tcPr>
            <w:tcW w:w="328" w:type="pct"/>
            <w:tcBorders>
              <w:top w:val="nil"/>
              <w:bottom w:val="nil"/>
              <w:right w:val="nil"/>
            </w:tcBorders>
            <w:tcMar>
              <w:top w:w="28" w:type="dxa"/>
              <w:left w:w="57" w:type="dxa"/>
              <w:bottom w:w="28" w:type="dxa"/>
              <w:right w:w="57" w:type="dxa"/>
            </w:tcMar>
          </w:tcPr>
          <w:p w14:paraId="33D5BAE8" w14:textId="77777777" w:rsidR="008B184C" w:rsidRPr="006320B0" w:rsidRDefault="008B184C" w:rsidP="008A2BB8">
            <w:pPr>
              <w:pStyle w:val="BULLETED"/>
              <w:keepNext/>
              <w:widowControl/>
              <w:numPr>
                <w:ilvl w:val="0"/>
                <w:numId w:val="0"/>
              </w:numPr>
              <w:tabs>
                <w:tab w:val="clear" w:pos="810"/>
              </w:tabs>
              <w:spacing w:before="0" w:line="240" w:lineRule="auto"/>
              <w:rPr>
                <w:color w:val="auto"/>
                <w:sz w:val="22"/>
                <w:szCs w:val="22"/>
              </w:rPr>
            </w:pPr>
            <w:r w:rsidRPr="006320B0">
              <w:rPr>
                <w:noProof/>
              </w:rPr>
              <w:drawing>
                <wp:anchor distT="0" distB="0" distL="114300" distR="114300" simplePos="0" relativeHeight="251679232" behindDoc="0" locked="0" layoutInCell="1" allowOverlap="1" wp14:anchorId="5579CE95" wp14:editId="3CF70731">
                  <wp:simplePos x="0" y="0"/>
                  <wp:positionH relativeFrom="column">
                    <wp:posOffset>14605</wp:posOffset>
                  </wp:positionH>
                  <wp:positionV relativeFrom="paragraph">
                    <wp:posOffset>22225</wp:posOffset>
                  </wp:positionV>
                  <wp:extent cx="119380" cy="119380"/>
                  <wp:effectExtent l="0" t="0" r="0" b="0"/>
                  <wp:wrapNone/>
                  <wp:docPr id="49"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72" w:type="pct"/>
            <w:gridSpan w:val="2"/>
            <w:tcBorders>
              <w:top w:val="nil"/>
              <w:left w:val="nil"/>
              <w:bottom w:val="nil"/>
            </w:tcBorders>
            <w:tcMar>
              <w:left w:w="0" w:type="dxa"/>
            </w:tcMar>
          </w:tcPr>
          <w:p w14:paraId="297024CF" w14:textId="77777777" w:rsidR="008B184C" w:rsidRPr="006320B0" w:rsidRDefault="008B184C" w:rsidP="008A2BB8">
            <w:pPr>
              <w:keepNext/>
              <w:ind w:left="107"/>
            </w:pPr>
            <w:r w:rsidRPr="006320B0">
              <w:t>De injectieplaats</w:t>
            </w:r>
            <w:r w:rsidRPr="006320B0">
              <w:rPr>
                <w:b/>
              </w:rPr>
              <w:t xml:space="preserve"> niet meer aanraken </w:t>
            </w:r>
            <w:r w:rsidRPr="006320B0">
              <w:t>voordat u de injectie toedient.</w:t>
            </w:r>
          </w:p>
        </w:tc>
      </w:tr>
      <w:tr w:rsidR="008B184C" w:rsidRPr="006320B0" w14:paraId="2AC9084A" w14:textId="77777777" w:rsidTr="00EF2264">
        <w:trPr>
          <w:cantSplit/>
          <w:trHeight w:val="57"/>
        </w:trPr>
        <w:tc>
          <w:tcPr>
            <w:tcW w:w="328" w:type="pct"/>
            <w:tcBorders>
              <w:top w:val="nil"/>
              <w:bottom w:val="single" w:sz="4" w:space="0" w:color="auto"/>
              <w:right w:val="nil"/>
            </w:tcBorders>
            <w:tcMar>
              <w:top w:w="28" w:type="dxa"/>
              <w:left w:w="57" w:type="dxa"/>
              <w:bottom w:w="28" w:type="dxa"/>
              <w:right w:w="57" w:type="dxa"/>
            </w:tcMar>
          </w:tcPr>
          <w:p w14:paraId="2909C2BA" w14:textId="77777777" w:rsidR="008B184C" w:rsidRPr="006320B0" w:rsidRDefault="008B184C" w:rsidP="008A2BB8">
            <w:pPr>
              <w:pStyle w:val="BULLETED"/>
              <w:keepNext/>
              <w:widowControl/>
              <w:numPr>
                <w:ilvl w:val="0"/>
                <w:numId w:val="0"/>
              </w:numPr>
              <w:tabs>
                <w:tab w:val="clear" w:pos="810"/>
              </w:tabs>
              <w:spacing w:before="0" w:line="240" w:lineRule="auto"/>
              <w:rPr>
                <w:color w:val="auto"/>
                <w:sz w:val="22"/>
                <w:szCs w:val="22"/>
              </w:rPr>
            </w:pPr>
            <w:r w:rsidRPr="006320B0">
              <w:rPr>
                <w:noProof/>
              </w:rPr>
              <w:drawing>
                <wp:inline distT="0" distB="0" distL="0" distR="0" wp14:anchorId="6BDBAD34" wp14:editId="65908BE4">
                  <wp:extent cx="276225" cy="276225"/>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c>
          <w:tcPr>
            <w:tcW w:w="4672" w:type="pct"/>
            <w:gridSpan w:val="2"/>
            <w:tcBorders>
              <w:top w:val="nil"/>
              <w:left w:val="nil"/>
              <w:bottom w:val="single" w:sz="4" w:space="0" w:color="auto"/>
            </w:tcBorders>
          </w:tcPr>
          <w:p w14:paraId="76801596" w14:textId="77777777" w:rsidR="008B184C" w:rsidRPr="006320B0" w:rsidRDefault="008B184C" w:rsidP="008A2BB8">
            <w:pPr>
              <w:keepNext/>
            </w:pPr>
            <w:r w:rsidRPr="006320B0">
              <w:rPr>
                <w:b/>
              </w:rPr>
              <w:t>Niet</w:t>
            </w:r>
            <w:r w:rsidRPr="006320B0">
              <w:t xml:space="preserve"> injecteren op plaatsen waar de huid gevoelig, rood of hard is of op een blauwe plek. Vermijd gebieden met littekens of striae.</w:t>
            </w:r>
          </w:p>
        </w:tc>
      </w:tr>
    </w:tbl>
    <w:p w14:paraId="7D4FCED4" w14:textId="77777777" w:rsidR="008B184C" w:rsidRPr="006320B0" w:rsidRDefault="008B184C" w:rsidP="008B184C"/>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8355"/>
      </w:tblGrid>
      <w:tr w:rsidR="008B184C" w:rsidRPr="006320B0" w14:paraId="43346444" w14:textId="77777777" w:rsidTr="008A2BB8">
        <w:trPr>
          <w:cantSplit/>
          <w:trHeight w:val="57"/>
        </w:trPr>
        <w:tc>
          <w:tcPr>
            <w:tcW w:w="332" w:type="pct"/>
            <w:tcMar>
              <w:top w:w="28" w:type="dxa"/>
              <w:left w:w="57" w:type="dxa"/>
              <w:bottom w:w="28" w:type="dxa"/>
              <w:right w:w="57" w:type="dxa"/>
            </w:tcMar>
          </w:tcPr>
          <w:p w14:paraId="79BE93F2" w14:textId="77777777" w:rsidR="008B184C" w:rsidRPr="006320B0" w:rsidRDefault="008B184C" w:rsidP="008A2BB8">
            <w:pPr>
              <w:keepNext/>
            </w:pPr>
            <w:r w:rsidRPr="006320B0">
              <w:t>B</w:t>
            </w:r>
          </w:p>
        </w:tc>
        <w:tc>
          <w:tcPr>
            <w:tcW w:w="4668" w:type="pct"/>
            <w:tcMar>
              <w:left w:w="57" w:type="dxa"/>
              <w:right w:w="57" w:type="dxa"/>
            </w:tcMar>
          </w:tcPr>
          <w:p w14:paraId="1F3EB1B6" w14:textId="77777777" w:rsidR="008B184C" w:rsidRPr="006320B0" w:rsidRDefault="008B184C" w:rsidP="008A2BB8">
            <w:pPr>
              <w:keepNext/>
            </w:pPr>
            <w:r w:rsidRPr="006320B0">
              <w:t>Trek voorzichtig de grijze naalddop recht van de naald, van het lichaam af gericht.</w:t>
            </w:r>
          </w:p>
        </w:tc>
      </w:tr>
      <w:tr w:rsidR="008B184C" w:rsidRPr="006320B0" w14:paraId="6A51FEEB" w14:textId="77777777" w:rsidTr="008A2BB8">
        <w:trPr>
          <w:cantSplit/>
          <w:trHeight w:val="57"/>
        </w:trPr>
        <w:tc>
          <w:tcPr>
            <w:tcW w:w="5000" w:type="pct"/>
            <w:gridSpan w:val="2"/>
            <w:tcBorders>
              <w:bottom w:val="single" w:sz="4" w:space="0" w:color="auto"/>
            </w:tcBorders>
            <w:tcMar>
              <w:top w:w="28" w:type="dxa"/>
              <w:left w:w="57" w:type="dxa"/>
              <w:bottom w:w="28" w:type="dxa"/>
              <w:right w:w="57" w:type="dxa"/>
            </w:tcMar>
          </w:tcPr>
          <w:p w14:paraId="4BF753AD" w14:textId="77777777" w:rsidR="008B184C" w:rsidRPr="006320B0" w:rsidRDefault="008B184C" w:rsidP="008A2BB8">
            <w:pPr>
              <w:pStyle w:val="BULLETED"/>
              <w:keepNext/>
              <w:widowControl/>
              <w:numPr>
                <w:ilvl w:val="0"/>
                <w:numId w:val="0"/>
              </w:numPr>
              <w:tabs>
                <w:tab w:val="clear" w:pos="810"/>
              </w:tabs>
              <w:spacing w:before="0" w:line="240" w:lineRule="auto"/>
              <w:rPr>
                <w:color w:val="auto"/>
                <w:sz w:val="22"/>
                <w:szCs w:val="22"/>
              </w:rPr>
            </w:pPr>
            <w:r w:rsidRPr="006320B0">
              <w:rPr>
                <w:noProof/>
                <w:lang w:eastAsia="pl-PL"/>
              </w:rPr>
              <w:drawing>
                <wp:anchor distT="0" distB="0" distL="114300" distR="114300" simplePos="0" relativeHeight="251697664" behindDoc="0" locked="0" layoutInCell="1" allowOverlap="1" wp14:anchorId="75538829" wp14:editId="209B8109">
                  <wp:simplePos x="0" y="0"/>
                  <wp:positionH relativeFrom="margin">
                    <wp:posOffset>1119505</wp:posOffset>
                  </wp:positionH>
                  <wp:positionV relativeFrom="paragraph">
                    <wp:posOffset>0</wp:posOffset>
                  </wp:positionV>
                  <wp:extent cx="3060000" cy="2905370"/>
                  <wp:effectExtent l="0" t="0" r="7620" b="0"/>
                  <wp:wrapTopAndBottom/>
                  <wp:docPr id="20" name="Picture 20" descr="Afbeelding met tekening, schets, clipart, Lijnillustrati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fbeelding met tekening, schets, clipart, Lijnillustraties&#10;&#10;Door AI gegenereerde inhoud is mogelijk onjuist."/>
                          <pic:cNvPicPr/>
                        </pic:nvPicPr>
                        <pic:blipFill>
                          <a:blip r:embed="rId26">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bl>
    <w:p w14:paraId="66AD6CDD" w14:textId="77777777" w:rsidR="008B184C" w:rsidRPr="006320B0" w:rsidRDefault="008B184C" w:rsidP="008B184C"/>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8368"/>
      </w:tblGrid>
      <w:tr w:rsidR="008B184C" w:rsidRPr="006320B0" w14:paraId="665AAA41" w14:textId="77777777" w:rsidTr="008A2BB8">
        <w:trPr>
          <w:cantSplit/>
          <w:trHeight w:val="57"/>
        </w:trPr>
        <w:tc>
          <w:tcPr>
            <w:tcW w:w="331" w:type="pct"/>
            <w:tcMar>
              <w:top w:w="28" w:type="dxa"/>
              <w:left w:w="57" w:type="dxa"/>
              <w:bottom w:w="28" w:type="dxa"/>
              <w:right w:w="57" w:type="dxa"/>
            </w:tcMar>
          </w:tcPr>
          <w:p w14:paraId="26363EEA" w14:textId="77777777" w:rsidR="008B184C" w:rsidRPr="006320B0" w:rsidRDefault="008B184C" w:rsidP="008A2BB8">
            <w:pPr>
              <w:keepNext/>
            </w:pPr>
            <w:r w:rsidRPr="006320B0">
              <w:t>C</w:t>
            </w:r>
          </w:p>
        </w:tc>
        <w:tc>
          <w:tcPr>
            <w:tcW w:w="4669" w:type="pct"/>
            <w:tcMar>
              <w:left w:w="57" w:type="dxa"/>
              <w:right w:w="57" w:type="dxa"/>
            </w:tcMar>
          </w:tcPr>
          <w:p w14:paraId="0A186EAD" w14:textId="77777777" w:rsidR="008B184C" w:rsidRPr="006320B0" w:rsidRDefault="008B184C" w:rsidP="008A2BB8">
            <w:pPr>
              <w:keepNext/>
            </w:pPr>
            <w:r w:rsidRPr="006320B0">
              <w:t>Trek de huid op de injectieplaats tussen duim en wijsvinger omhoog om de huid te spannen.</w:t>
            </w:r>
          </w:p>
        </w:tc>
      </w:tr>
      <w:tr w:rsidR="008B184C" w:rsidRPr="006320B0" w14:paraId="7006E1F5" w14:textId="77777777" w:rsidTr="008A2BB8">
        <w:trPr>
          <w:cantSplit/>
          <w:trHeight w:val="57"/>
        </w:trPr>
        <w:tc>
          <w:tcPr>
            <w:tcW w:w="5000" w:type="pct"/>
            <w:gridSpan w:val="2"/>
            <w:tcBorders>
              <w:bottom w:val="nil"/>
            </w:tcBorders>
            <w:tcMar>
              <w:top w:w="28" w:type="dxa"/>
              <w:left w:w="57" w:type="dxa"/>
              <w:bottom w:w="28" w:type="dxa"/>
              <w:right w:w="57" w:type="dxa"/>
            </w:tcMar>
          </w:tcPr>
          <w:p w14:paraId="3F425D6D" w14:textId="77777777" w:rsidR="008B184C" w:rsidRPr="006320B0" w:rsidRDefault="008B184C" w:rsidP="008A2BB8">
            <w:pPr>
              <w:pStyle w:val="BULLETED"/>
              <w:keepNext/>
              <w:widowControl/>
              <w:numPr>
                <w:ilvl w:val="0"/>
                <w:numId w:val="0"/>
              </w:numPr>
              <w:tabs>
                <w:tab w:val="clear" w:pos="810"/>
              </w:tabs>
              <w:spacing w:before="0" w:line="240" w:lineRule="auto"/>
              <w:jc w:val="center"/>
              <w:rPr>
                <w:color w:val="auto"/>
                <w:sz w:val="22"/>
                <w:szCs w:val="22"/>
              </w:rPr>
            </w:pPr>
            <w:r w:rsidRPr="006320B0">
              <w:rPr>
                <w:noProof/>
                <w:lang w:eastAsia="pl-PL"/>
              </w:rPr>
              <w:drawing>
                <wp:anchor distT="0" distB="0" distL="114300" distR="114300" simplePos="0" relativeHeight="251698688" behindDoc="0" locked="0" layoutInCell="1" allowOverlap="1" wp14:anchorId="08B1FEBB" wp14:editId="2F85F1D9">
                  <wp:simplePos x="0" y="0"/>
                  <wp:positionH relativeFrom="margin">
                    <wp:posOffset>1024255</wp:posOffset>
                  </wp:positionH>
                  <wp:positionV relativeFrom="paragraph">
                    <wp:posOffset>0</wp:posOffset>
                  </wp:positionV>
                  <wp:extent cx="3059430" cy="2887980"/>
                  <wp:effectExtent l="0" t="0" r="7620" b="7620"/>
                  <wp:wrapTopAndBottom/>
                  <wp:docPr id="21" name="Picture 21" descr="Afbeelding met schets, tekening, Lijnillustraties, Kleurb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fbeelding met schets, tekening, Lijnillustraties, Kleurboek&#10;&#10;Door AI gegenereerde inhoud is mogelijk onjuist."/>
                          <pic:cNvPicPr/>
                        </pic:nvPicPr>
                        <pic:blipFill>
                          <a:blip r:embed="rId27">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p>
        </w:tc>
      </w:tr>
      <w:tr w:rsidR="008B184C" w:rsidRPr="006320B0" w14:paraId="1F4F58B4" w14:textId="77777777" w:rsidTr="008A2BB8">
        <w:trPr>
          <w:cantSplit/>
          <w:trHeight w:val="57"/>
        </w:trPr>
        <w:tc>
          <w:tcPr>
            <w:tcW w:w="331" w:type="pct"/>
            <w:tcBorders>
              <w:top w:val="nil"/>
              <w:right w:val="nil"/>
            </w:tcBorders>
            <w:tcMar>
              <w:top w:w="28" w:type="dxa"/>
              <w:left w:w="57" w:type="dxa"/>
              <w:bottom w:w="28" w:type="dxa"/>
              <w:right w:w="57" w:type="dxa"/>
            </w:tcMar>
          </w:tcPr>
          <w:p w14:paraId="53175928" w14:textId="77777777" w:rsidR="008B184C" w:rsidRPr="006320B0" w:rsidRDefault="008B184C" w:rsidP="008A2BB8">
            <w:pPr>
              <w:pStyle w:val="BULLETED"/>
              <w:keepNext/>
              <w:widowControl/>
              <w:numPr>
                <w:ilvl w:val="0"/>
                <w:numId w:val="0"/>
              </w:numPr>
              <w:tabs>
                <w:tab w:val="clear" w:pos="810"/>
              </w:tabs>
              <w:spacing w:before="0" w:line="240" w:lineRule="auto"/>
              <w:rPr>
                <w:color w:val="auto"/>
                <w:sz w:val="22"/>
                <w:szCs w:val="22"/>
              </w:rPr>
            </w:pPr>
            <w:r w:rsidRPr="006320B0">
              <w:rPr>
                <w:noProof/>
              </w:rPr>
              <w:drawing>
                <wp:inline distT="0" distB="0" distL="0" distR="0" wp14:anchorId="409BE83A" wp14:editId="3828BD1B">
                  <wp:extent cx="276225" cy="276225"/>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c>
          <w:tcPr>
            <w:tcW w:w="4669" w:type="pct"/>
            <w:tcBorders>
              <w:top w:val="nil"/>
              <w:left w:val="nil"/>
            </w:tcBorders>
            <w:vAlign w:val="center"/>
          </w:tcPr>
          <w:p w14:paraId="41C435C3" w14:textId="77777777" w:rsidR="008B184C" w:rsidRPr="006320B0" w:rsidRDefault="008B184C" w:rsidP="008A2BB8">
            <w:pPr>
              <w:keepNext/>
            </w:pPr>
            <w:r w:rsidRPr="006320B0">
              <w:t>Het is belangrijk om de huidplooi te blijven vasthouden tijdens de injectie.</w:t>
            </w:r>
          </w:p>
        </w:tc>
      </w:tr>
    </w:tbl>
    <w:p w14:paraId="420AA338" w14:textId="77777777" w:rsidR="008B184C" w:rsidRPr="006320B0" w:rsidRDefault="008B184C" w:rsidP="008B184C"/>
    <w:tbl>
      <w:tblPr>
        <w:tblW w:w="491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270"/>
      </w:tblGrid>
      <w:tr w:rsidR="008B184C" w:rsidRPr="006320B0" w14:paraId="697CCB95" w14:textId="77777777" w:rsidTr="008A2BB8">
        <w:trPr>
          <w:cantSplit/>
          <w:trHeight w:val="57"/>
        </w:trPr>
        <w:tc>
          <w:tcPr>
            <w:tcW w:w="5000" w:type="pct"/>
            <w:gridSpan w:val="2"/>
            <w:tcBorders>
              <w:bottom w:val="single" w:sz="4" w:space="0" w:color="auto"/>
            </w:tcBorders>
            <w:tcMar>
              <w:top w:w="28" w:type="dxa"/>
              <w:left w:w="57" w:type="dxa"/>
              <w:bottom w:w="28" w:type="dxa"/>
            </w:tcMar>
          </w:tcPr>
          <w:p w14:paraId="2D246D2B" w14:textId="77777777" w:rsidR="008B184C" w:rsidRPr="006320B0" w:rsidRDefault="008B184C" w:rsidP="008A2BB8">
            <w:pPr>
              <w:keepNext/>
              <w:jc w:val="center"/>
            </w:pPr>
            <w:r w:rsidRPr="006320B0">
              <w:t xml:space="preserve">Stap 3: </w:t>
            </w:r>
            <w:r w:rsidRPr="006320B0">
              <w:rPr>
                <w:b/>
              </w:rPr>
              <w:t>Injecteren</w:t>
            </w:r>
          </w:p>
        </w:tc>
      </w:tr>
      <w:tr w:rsidR="008B184C" w:rsidRPr="006320B0" w14:paraId="0663DEAA" w14:textId="77777777" w:rsidTr="008A2BB8">
        <w:trPr>
          <w:cantSplit/>
          <w:trHeight w:val="57"/>
        </w:trPr>
        <w:tc>
          <w:tcPr>
            <w:tcW w:w="354" w:type="pct"/>
            <w:tcBorders>
              <w:bottom w:val="single" w:sz="4" w:space="0" w:color="auto"/>
            </w:tcBorders>
            <w:tcMar>
              <w:top w:w="28" w:type="dxa"/>
              <w:left w:w="57" w:type="dxa"/>
              <w:bottom w:w="28" w:type="dxa"/>
            </w:tcMar>
          </w:tcPr>
          <w:p w14:paraId="739AFF79" w14:textId="77777777" w:rsidR="008B184C" w:rsidRPr="006320B0" w:rsidRDefault="008B184C" w:rsidP="008A2BB8">
            <w:pPr>
              <w:keepNext/>
            </w:pPr>
            <w:r w:rsidRPr="006320B0">
              <w:t>A</w:t>
            </w:r>
          </w:p>
        </w:tc>
        <w:tc>
          <w:tcPr>
            <w:tcW w:w="4646" w:type="pct"/>
            <w:tcBorders>
              <w:bottom w:val="single" w:sz="4" w:space="0" w:color="auto"/>
            </w:tcBorders>
            <w:tcMar>
              <w:left w:w="57" w:type="dxa"/>
              <w:right w:w="57" w:type="dxa"/>
            </w:tcMar>
          </w:tcPr>
          <w:p w14:paraId="1C47B7D3" w14:textId="77777777" w:rsidR="008B184C" w:rsidRPr="006320B0" w:rsidRDefault="008B184C" w:rsidP="008A2BB8">
            <w:pPr>
              <w:keepNext/>
            </w:pPr>
            <w:r w:rsidRPr="006320B0">
              <w:t>Houd de huidplooi vast. STEEK de naald in de huid.</w:t>
            </w:r>
          </w:p>
        </w:tc>
      </w:tr>
      <w:tr w:rsidR="008B184C" w:rsidRPr="006320B0" w14:paraId="059DC334" w14:textId="77777777" w:rsidTr="008A2BB8">
        <w:trPr>
          <w:cantSplit/>
          <w:trHeight w:val="57"/>
        </w:trPr>
        <w:tc>
          <w:tcPr>
            <w:tcW w:w="5000" w:type="pct"/>
            <w:gridSpan w:val="2"/>
            <w:tcBorders>
              <w:top w:val="single" w:sz="4" w:space="0" w:color="auto"/>
              <w:bottom w:val="nil"/>
            </w:tcBorders>
            <w:tcMar>
              <w:top w:w="28" w:type="dxa"/>
              <w:left w:w="57" w:type="dxa"/>
              <w:bottom w:w="28" w:type="dxa"/>
            </w:tcMar>
          </w:tcPr>
          <w:p w14:paraId="4061DE66" w14:textId="77777777" w:rsidR="008B184C" w:rsidRPr="006320B0" w:rsidRDefault="008B184C" w:rsidP="008A2BB8">
            <w:pPr>
              <w:pStyle w:val="BULLETED"/>
              <w:keepNext/>
              <w:widowControl/>
              <w:numPr>
                <w:ilvl w:val="0"/>
                <w:numId w:val="0"/>
              </w:numPr>
              <w:tabs>
                <w:tab w:val="clear" w:pos="810"/>
              </w:tabs>
              <w:spacing w:before="0" w:line="240" w:lineRule="auto"/>
              <w:jc w:val="center"/>
              <w:rPr>
                <w:color w:val="auto"/>
                <w:sz w:val="22"/>
                <w:szCs w:val="22"/>
              </w:rPr>
            </w:pPr>
            <w:r w:rsidRPr="006320B0">
              <w:rPr>
                <w:noProof/>
                <w:lang w:eastAsia="pl-PL"/>
              </w:rPr>
              <w:drawing>
                <wp:anchor distT="0" distB="0" distL="114300" distR="114300" simplePos="0" relativeHeight="251699712" behindDoc="0" locked="0" layoutInCell="1" allowOverlap="1" wp14:anchorId="0DEB8BF4" wp14:editId="2064CCA2">
                  <wp:simplePos x="0" y="0"/>
                  <wp:positionH relativeFrom="margin">
                    <wp:posOffset>1071880</wp:posOffset>
                  </wp:positionH>
                  <wp:positionV relativeFrom="paragraph">
                    <wp:posOffset>0</wp:posOffset>
                  </wp:positionV>
                  <wp:extent cx="3059430" cy="2867660"/>
                  <wp:effectExtent l="0" t="0" r="7620" b="8890"/>
                  <wp:wrapTopAndBottom/>
                  <wp:docPr id="23" name="Picture 23" descr="Afbeelding met tekening, schets, Lijnillustratie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fbeelding met tekening, schets, Lijnillustraties, clipart&#10;&#10;Door AI gegenereerde inhoud is mogelijk onjuist."/>
                          <pic:cNvPicPr/>
                        </pic:nvPicPr>
                        <pic:blipFill>
                          <a:blip r:embed="rId28">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p>
        </w:tc>
      </w:tr>
      <w:tr w:rsidR="008B184C" w:rsidRPr="006320B0" w14:paraId="0D4C40AA" w14:textId="77777777" w:rsidTr="008A2BB8">
        <w:trPr>
          <w:cantSplit/>
          <w:trHeight w:val="57"/>
        </w:trPr>
        <w:tc>
          <w:tcPr>
            <w:tcW w:w="354" w:type="pct"/>
            <w:tcBorders>
              <w:top w:val="nil"/>
              <w:bottom w:val="single" w:sz="4" w:space="0" w:color="auto"/>
              <w:right w:val="nil"/>
            </w:tcBorders>
            <w:tcMar>
              <w:top w:w="28" w:type="dxa"/>
              <w:left w:w="57" w:type="dxa"/>
              <w:bottom w:w="28" w:type="dxa"/>
            </w:tcMar>
          </w:tcPr>
          <w:p w14:paraId="105654B2" w14:textId="77777777" w:rsidR="008B184C" w:rsidRPr="006320B0" w:rsidRDefault="008B184C" w:rsidP="008A2BB8">
            <w:pPr>
              <w:pStyle w:val="BULLETED"/>
              <w:keepNext/>
              <w:widowControl/>
              <w:numPr>
                <w:ilvl w:val="0"/>
                <w:numId w:val="0"/>
              </w:numPr>
              <w:tabs>
                <w:tab w:val="clear" w:pos="810"/>
              </w:tabs>
              <w:spacing w:before="0" w:line="240" w:lineRule="auto"/>
              <w:rPr>
                <w:color w:val="auto"/>
                <w:sz w:val="22"/>
                <w:szCs w:val="22"/>
              </w:rPr>
            </w:pPr>
            <w:r w:rsidRPr="006320B0">
              <w:rPr>
                <w:noProof/>
              </w:rPr>
              <w:drawing>
                <wp:anchor distT="0" distB="0" distL="114300" distR="114300" simplePos="0" relativeHeight="251680256" behindDoc="0" locked="0" layoutInCell="1" allowOverlap="1" wp14:anchorId="560B3725" wp14:editId="074F6D8C">
                  <wp:simplePos x="0" y="0"/>
                  <wp:positionH relativeFrom="column">
                    <wp:posOffset>14605</wp:posOffset>
                  </wp:positionH>
                  <wp:positionV relativeFrom="paragraph">
                    <wp:posOffset>22225</wp:posOffset>
                  </wp:positionV>
                  <wp:extent cx="119380" cy="119380"/>
                  <wp:effectExtent l="0" t="0" r="0" b="0"/>
                  <wp:wrapNone/>
                  <wp:docPr id="50"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tcPr>
          <w:p w14:paraId="5AFBE9FC" w14:textId="77777777" w:rsidR="008B184C" w:rsidRPr="006320B0" w:rsidRDefault="008B184C" w:rsidP="008A2BB8">
            <w:pPr>
              <w:keepNext/>
            </w:pPr>
            <w:r w:rsidRPr="006320B0">
              <w:t xml:space="preserve">Het gereinigde huidgebied hierbij </w:t>
            </w:r>
            <w:r w:rsidRPr="006320B0">
              <w:rPr>
                <w:b/>
              </w:rPr>
              <w:t>niet</w:t>
            </w:r>
            <w:r w:rsidRPr="006320B0">
              <w:t xml:space="preserve"> aanraken.</w:t>
            </w:r>
          </w:p>
        </w:tc>
      </w:tr>
    </w:tbl>
    <w:p w14:paraId="4159849D" w14:textId="77777777" w:rsidR="008B184C" w:rsidRPr="006320B0" w:rsidRDefault="008B184C" w:rsidP="008B184C"/>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8328"/>
      </w:tblGrid>
      <w:tr w:rsidR="008B184C" w:rsidRPr="006320B0" w14:paraId="57B8FD09" w14:textId="77777777" w:rsidTr="008A2BB8">
        <w:trPr>
          <w:cantSplit/>
          <w:trHeight w:val="57"/>
        </w:trPr>
        <w:tc>
          <w:tcPr>
            <w:tcW w:w="347" w:type="pct"/>
            <w:tcBorders>
              <w:bottom w:val="single" w:sz="4" w:space="0" w:color="auto"/>
            </w:tcBorders>
            <w:tcMar>
              <w:top w:w="28" w:type="dxa"/>
              <w:left w:w="57" w:type="dxa"/>
              <w:bottom w:w="28" w:type="dxa"/>
            </w:tcMar>
          </w:tcPr>
          <w:p w14:paraId="2241401F" w14:textId="77777777" w:rsidR="008B184C" w:rsidRPr="006320B0" w:rsidRDefault="008B184C" w:rsidP="008A2BB8">
            <w:pPr>
              <w:keepNext/>
            </w:pPr>
            <w:r w:rsidRPr="006320B0">
              <w:t>B</w:t>
            </w:r>
          </w:p>
        </w:tc>
        <w:tc>
          <w:tcPr>
            <w:tcW w:w="4653" w:type="pct"/>
            <w:tcBorders>
              <w:bottom w:val="single" w:sz="4" w:space="0" w:color="auto"/>
            </w:tcBorders>
            <w:tcMar>
              <w:left w:w="57" w:type="dxa"/>
              <w:right w:w="57" w:type="dxa"/>
            </w:tcMar>
          </w:tcPr>
          <w:p w14:paraId="3C45AADF" w14:textId="030D1977" w:rsidR="008B184C" w:rsidRPr="006320B0" w:rsidRDefault="008B184C" w:rsidP="008A2BB8">
            <w:pPr>
              <w:keepNext/>
            </w:pPr>
            <w:r w:rsidRPr="006320B0">
              <w:t>DUW de zuiger langzaam en met constante druk naar beneden totdat de zuiger helemaal naar beneden is.</w:t>
            </w:r>
          </w:p>
        </w:tc>
      </w:tr>
      <w:tr w:rsidR="008B184C" w:rsidRPr="006320B0" w14:paraId="40C7B05C" w14:textId="77777777" w:rsidTr="008A2BB8">
        <w:trPr>
          <w:cantSplit/>
          <w:trHeight w:val="57"/>
        </w:trPr>
        <w:tc>
          <w:tcPr>
            <w:tcW w:w="5000" w:type="pct"/>
            <w:gridSpan w:val="2"/>
            <w:tcBorders>
              <w:bottom w:val="nil"/>
            </w:tcBorders>
            <w:tcMar>
              <w:top w:w="28" w:type="dxa"/>
              <w:left w:w="57" w:type="dxa"/>
              <w:bottom w:w="28" w:type="dxa"/>
            </w:tcMar>
          </w:tcPr>
          <w:p w14:paraId="6ED01BCE" w14:textId="42139A06" w:rsidR="008B184C" w:rsidRPr="006320B0" w:rsidRDefault="00EF2264" w:rsidP="008A2BB8">
            <w:pPr>
              <w:pStyle w:val="BULLETED"/>
              <w:keepNext/>
              <w:widowControl/>
              <w:numPr>
                <w:ilvl w:val="0"/>
                <w:numId w:val="0"/>
              </w:numPr>
              <w:tabs>
                <w:tab w:val="clear" w:pos="810"/>
              </w:tabs>
              <w:spacing w:before="60" w:line="240" w:lineRule="auto"/>
              <w:rPr>
                <w:color w:val="auto"/>
                <w:sz w:val="22"/>
                <w:szCs w:val="22"/>
              </w:rPr>
            </w:pPr>
            <w:r w:rsidRPr="006320B0">
              <w:rPr>
                <w:noProof/>
                <w:lang w:eastAsia="pl-PL"/>
              </w:rPr>
              <w:drawing>
                <wp:anchor distT="0" distB="0" distL="114300" distR="114300" simplePos="0" relativeHeight="251721216" behindDoc="0" locked="0" layoutInCell="1" allowOverlap="1" wp14:anchorId="0508BF5C" wp14:editId="1B7B43E2">
                  <wp:simplePos x="0" y="0"/>
                  <wp:positionH relativeFrom="margin">
                    <wp:posOffset>1043305</wp:posOffset>
                  </wp:positionH>
                  <wp:positionV relativeFrom="paragraph">
                    <wp:posOffset>55245</wp:posOffset>
                  </wp:positionV>
                  <wp:extent cx="3059430" cy="2914015"/>
                  <wp:effectExtent l="0" t="0" r="7620" b="63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29">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tc>
      </w:tr>
    </w:tbl>
    <w:p w14:paraId="47C5A372" w14:textId="77777777" w:rsidR="008B184C" w:rsidRPr="006320B0" w:rsidRDefault="008B184C" w:rsidP="008B184C"/>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8315"/>
      </w:tblGrid>
      <w:tr w:rsidR="008B184C" w:rsidRPr="006320B0" w14:paraId="64B21FB4" w14:textId="77777777" w:rsidTr="008A2BB8">
        <w:trPr>
          <w:cantSplit/>
          <w:trHeight w:val="57"/>
        </w:trPr>
        <w:tc>
          <w:tcPr>
            <w:tcW w:w="354" w:type="pct"/>
            <w:tcBorders>
              <w:bottom w:val="single" w:sz="4" w:space="0" w:color="auto"/>
            </w:tcBorders>
            <w:tcMar>
              <w:top w:w="28" w:type="dxa"/>
              <w:left w:w="57" w:type="dxa"/>
              <w:bottom w:w="28" w:type="dxa"/>
            </w:tcMar>
            <w:vAlign w:val="center"/>
          </w:tcPr>
          <w:p w14:paraId="041C2715" w14:textId="77777777" w:rsidR="008B184C" w:rsidRPr="006320B0" w:rsidRDefault="008B184C" w:rsidP="008A2BB8">
            <w:pPr>
              <w:keepNext/>
            </w:pPr>
            <w:r w:rsidRPr="006320B0">
              <w:t>C</w:t>
            </w:r>
          </w:p>
        </w:tc>
        <w:tc>
          <w:tcPr>
            <w:tcW w:w="4646" w:type="pct"/>
            <w:tcBorders>
              <w:bottom w:val="single" w:sz="4" w:space="0" w:color="auto"/>
            </w:tcBorders>
            <w:tcMar>
              <w:top w:w="28" w:type="dxa"/>
              <w:left w:w="57" w:type="dxa"/>
              <w:bottom w:w="28" w:type="dxa"/>
              <w:right w:w="57" w:type="dxa"/>
            </w:tcMar>
            <w:vAlign w:val="center"/>
          </w:tcPr>
          <w:p w14:paraId="4713FBDD" w14:textId="5B7ABE9E" w:rsidR="008B184C" w:rsidRPr="006320B0" w:rsidRDefault="008B184C" w:rsidP="008A2BB8">
            <w:pPr>
              <w:keepNext/>
            </w:pPr>
            <w:r w:rsidRPr="006320B0">
              <w:t xml:space="preserve">LAAT uw duim </w:t>
            </w:r>
            <w:r w:rsidR="00EF2264" w:rsidRPr="006320B0">
              <w:t>LOS</w:t>
            </w:r>
            <w:r w:rsidRPr="006320B0">
              <w:t>. TIL dan pas de spuit op, van de huid af.</w:t>
            </w:r>
          </w:p>
        </w:tc>
      </w:tr>
      <w:tr w:rsidR="008B184C" w:rsidRPr="006320B0" w14:paraId="183CF1D3" w14:textId="77777777" w:rsidTr="008A2BB8">
        <w:trPr>
          <w:cantSplit/>
          <w:trHeight w:val="57"/>
        </w:trPr>
        <w:tc>
          <w:tcPr>
            <w:tcW w:w="5000" w:type="pct"/>
            <w:gridSpan w:val="2"/>
            <w:tcBorders>
              <w:bottom w:val="nil"/>
            </w:tcBorders>
            <w:tcMar>
              <w:top w:w="28" w:type="dxa"/>
              <w:left w:w="57" w:type="dxa"/>
              <w:bottom w:w="28" w:type="dxa"/>
            </w:tcMar>
          </w:tcPr>
          <w:p w14:paraId="2077351A" w14:textId="77777777" w:rsidR="008B184C" w:rsidRPr="006320B0" w:rsidRDefault="008B184C" w:rsidP="008A2BB8">
            <w:pPr>
              <w:pStyle w:val="BULLETED"/>
              <w:keepNext/>
              <w:widowControl/>
              <w:numPr>
                <w:ilvl w:val="0"/>
                <w:numId w:val="0"/>
              </w:numPr>
              <w:tabs>
                <w:tab w:val="clear" w:pos="810"/>
              </w:tabs>
              <w:spacing w:before="0" w:line="240" w:lineRule="auto"/>
              <w:jc w:val="center"/>
              <w:rPr>
                <w:color w:val="auto"/>
                <w:sz w:val="22"/>
                <w:szCs w:val="22"/>
              </w:rPr>
            </w:pPr>
            <w:r w:rsidRPr="006320B0">
              <w:rPr>
                <w:noProof/>
                <w:lang w:eastAsia="pl-PL"/>
              </w:rPr>
              <w:drawing>
                <wp:anchor distT="0" distB="0" distL="114300" distR="114300" simplePos="0" relativeHeight="251700736" behindDoc="0" locked="0" layoutInCell="1" allowOverlap="1" wp14:anchorId="0D2A44F1" wp14:editId="29A3840E">
                  <wp:simplePos x="0" y="0"/>
                  <wp:positionH relativeFrom="margin">
                    <wp:posOffset>1043305</wp:posOffset>
                  </wp:positionH>
                  <wp:positionV relativeFrom="paragraph">
                    <wp:posOffset>0</wp:posOffset>
                  </wp:positionV>
                  <wp:extent cx="3059430" cy="2923540"/>
                  <wp:effectExtent l="0" t="0" r="7620" b="0"/>
                  <wp:wrapTopAndBottom/>
                  <wp:docPr id="26" name="Picture 26" descr="Afbeelding met schets, tekening, clipart, Lijnillustrati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fbeelding met schets, tekening, clipart, Lijnillustraties&#10;&#10;Door AI gegenereerde inhoud is mogelijk onjuist."/>
                          <pic:cNvPicPr/>
                        </pic:nvPicPr>
                        <pic:blipFill>
                          <a:blip r:embed="rId30">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tc>
      </w:tr>
      <w:tr w:rsidR="008B184C" w:rsidRPr="006320B0" w14:paraId="6750D64A" w14:textId="77777777" w:rsidTr="008A2BB8">
        <w:trPr>
          <w:cantSplit/>
          <w:trHeight w:val="57"/>
        </w:trPr>
        <w:tc>
          <w:tcPr>
            <w:tcW w:w="5000" w:type="pct"/>
            <w:gridSpan w:val="2"/>
            <w:tcBorders>
              <w:top w:val="nil"/>
              <w:bottom w:val="nil"/>
            </w:tcBorders>
            <w:tcMar>
              <w:top w:w="28" w:type="dxa"/>
              <w:left w:w="57" w:type="dxa"/>
              <w:bottom w:w="28" w:type="dxa"/>
            </w:tcMar>
          </w:tcPr>
          <w:p w14:paraId="7515FB26" w14:textId="77777777" w:rsidR="008B184C" w:rsidRPr="006320B0" w:rsidRDefault="008B184C" w:rsidP="008A2BB8">
            <w:pPr>
              <w:keepNext/>
            </w:pPr>
            <w:r w:rsidRPr="006320B0">
              <w:t>Nadat u de zuiger heeft losgelaten, zal de naaldbeschermer van de voorgevulde spuit de gehele naald afschermen.</w:t>
            </w:r>
          </w:p>
        </w:tc>
      </w:tr>
      <w:tr w:rsidR="008B184C" w:rsidRPr="006320B0" w14:paraId="3F9063A5" w14:textId="77777777" w:rsidTr="008A2BB8">
        <w:trPr>
          <w:cantSplit/>
          <w:trHeight w:val="57"/>
        </w:trPr>
        <w:tc>
          <w:tcPr>
            <w:tcW w:w="354" w:type="pct"/>
            <w:tcBorders>
              <w:top w:val="nil"/>
              <w:bottom w:val="single" w:sz="4" w:space="0" w:color="auto"/>
              <w:right w:val="nil"/>
            </w:tcBorders>
            <w:tcMar>
              <w:top w:w="28" w:type="dxa"/>
              <w:left w:w="57" w:type="dxa"/>
              <w:bottom w:w="28" w:type="dxa"/>
            </w:tcMar>
          </w:tcPr>
          <w:p w14:paraId="2339CDE5" w14:textId="77777777" w:rsidR="008B184C" w:rsidRPr="006320B0" w:rsidRDefault="008B184C" w:rsidP="008A2BB8">
            <w:pPr>
              <w:pStyle w:val="BULLETED"/>
              <w:keepNext/>
              <w:widowControl/>
              <w:numPr>
                <w:ilvl w:val="0"/>
                <w:numId w:val="0"/>
              </w:numPr>
              <w:tabs>
                <w:tab w:val="clear" w:pos="810"/>
              </w:tabs>
              <w:spacing w:before="0" w:line="240" w:lineRule="auto"/>
              <w:rPr>
                <w:color w:val="auto"/>
                <w:sz w:val="22"/>
                <w:szCs w:val="22"/>
              </w:rPr>
            </w:pPr>
            <w:r w:rsidRPr="006320B0">
              <w:rPr>
                <w:noProof/>
              </w:rPr>
              <w:drawing>
                <wp:anchor distT="0" distB="0" distL="114300" distR="114300" simplePos="0" relativeHeight="251681280" behindDoc="0" locked="0" layoutInCell="1" allowOverlap="1" wp14:anchorId="010DD0E6" wp14:editId="0A13C9CB">
                  <wp:simplePos x="0" y="0"/>
                  <wp:positionH relativeFrom="column">
                    <wp:posOffset>14605</wp:posOffset>
                  </wp:positionH>
                  <wp:positionV relativeFrom="paragraph">
                    <wp:posOffset>22225</wp:posOffset>
                  </wp:positionV>
                  <wp:extent cx="119380" cy="119380"/>
                  <wp:effectExtent l="0" t="0" r="0" b="0"/>
                  <wp:wrapNone/>
                  <wp:docPr id="51"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vAlign w:val="center"/>
          </w:tcPr>
          <w:p w14:paraId="7B9C8B13" w14:textId="77777777" w:rsidR="008B184C" w:rsidRPr="006320B0" w:rsidRDefault="008B184C" w:rsidP="008A2BB8">
            <w:pPr>
              <w:keepNext/>
            </w:pPr>
            <w:r w:rsidRPr="006320B0">
              <w:t xml:space="preserve">De grijze naalddop </w:t>
            </w:r>
            <w:r w:rsidRPr="006320B0">
              <w:rPr>
                <w:b/>
              </w:rPr>
              <w:t>niet</w:t>
            </w:r>
            <w:r w:rsidRPr="006320B0">
              <w:t xml:space="preserve"> terugplaatsen op gebruikte voorgevulde spuiten.</w:t>
            </w:r>
          </w:p>
        </w:tc>
      </w:tr>
    </w:tbl>
    <w:p w14:paraId="214B81A4" w14:textId="77777777" w:rsidR="008B184C" w:rsidRPr="006320B0" w:rsidRDefault="008B184C" w:rsidP="008B184C"/>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8B184C" w:rsidRPr="006320B0" w14:paraId="2543B53F" w14:textId="77777777" w:rsidTr="008A2BB8">
        <w:trPr>
          <w:cantSplit/>
          <w:trHeight w:val="57"/>
        </w:trPr>
        <w:tc>
          <w:tcPr>
            <w:tcW w:w="5000" w:type="pct"/>
            <w:gridSpan w:val="2"/>
            <w:tcMar>
              <w:top w:w="28" w:type="dxa"/>
              <w:left w:w="57" w:type="dxa"/>
              <w:bottom w:w="28" w:type="dxa"/>
              <w:right w:w="57" w:type="dxa"/>
            </w:tcMar>
          </w:tcPr>
          <w:p w14:paraId="68B93C1B" w14:textId="77777777" w:rsidR="008B184C" w:rsidRPr="006320B0" w:rsidRDefault="008B184C" w:rsidP="008A2BB8">
            <w:pPr>
              <w:keepNext/>
              <w:jc w:val="center"/>
            </w:pPr>
            <w:r w:rsidRPr="006320B0">
              <w:t xml:space="preserve">Stap 4: </w:t>
            </w:r>
            <w:r w:rsidRPr="006320B0">
              <w:rPr>
                <w:b/>
              </w:rPr>
              <w:t>Verwijderen</w:t>
            </w:r>
          </w:p>
        </w:tc>
      </w:tr>
      <w:tr w:rsidR="008B184C" w:rsidRPr="006320B0" w14:paraId="456A6D93" w14:textId="77777777" w:rsidTr="008A2BB8">
        <w:trPr>
          <w:cantSplit/>
          <w:trHeight w:val="57"/>
        </w:trPr>
        <w:tc>
          <w:tcPr>
            <w:tcW w:w="294" w:type="pct"/>
            <w:tcBorders>
              <w:bottom w:val="single" w:sz="4" w:space="0" w:color="auto"/>
            </w:tcBorders>
            <w:tcMar>
              <w:top w:w="28" w:type="dxa"/>
              <w:left w:w="57" w:type="dxa"/>
              <w:bottom w:w="28" w:type="dxa"/>
              <w:right w:w="57" w:type="dxa"/>
            </w:tcMar>
          </w:tcPr>
          <w:p w14:paraId="318CF8C5" w14:textId="77777777" w:rsidR="008B184C" w:rsidRPr="006320B0" w:rsidRDefault="008B184C" w:rsidP="008A2BB8">
            <w:pPr>
              <w:keepNext/>
            </w:pPr>
            <w:r w:rsidRPr="006320B0">
              <w:t>A</w:t>
            </w:r>
          </w:p>
        </w:tc>
        <w:tc>
          <w:tcPr>
            <w:tcW w:w="4706" w:type="pct"/>
            <w:tcBorders>
              <w:bottom w:val="single" w:sz="4" w:space="0" w:color="auto"/>
            </w:tcBorders>
            <w:tcMar>
              <w:left w:w="57" w:type="dxa"/>
              <w:right w:w="57" w:type="dxa"/>
            </w:tcMar>
          </w:tcPr>
          <w:p w14:paraId="083070F7" w14:textId="77777777" w:rsidR="008B184C" w:rsidRPr="006320B0" w:rsidRDefault="008B184C" w:rsidP="008A2BB8">
            <w:pPr>
              <w:keepNext/>
            </w:pPr>
            <w:r w:rsidRPr="006320B0">
              <w:t>Gooi de gebruikte voorgevulde spuit en andere injectiebenodigdheden weg in de naaldcontainer.</w:t>
            </w:r>
          </w:p>
        </w:tc>
      </w:tr>
      <w:tr w:rsidR="008B184C" w:rsidRPr="006320B0" w14:paraId="0B7DDF32" w14:textId="77777777" w:rsidTr="008A2BB8">
        <w:trPr>
          <w:cantSplit/>
          <w:trHeight w:val="57"/>
        </w:trPr>
        <w:tc>
          <w:tcPr>
            <w:tcW w:w="5000" w:type="pct"/>
            <w:gridSpan w:val="2"/>
            <w:tcBorders>
              <w:bottom w:val="nil"/>
            </w:tcBorders>
            <w:tcMar>
              <w:top w:w="28" w:type="dxa"/>
              <w:left w:w="57" w:type="dxa"/>
              <w:bottom w:w="28" w:type="dxa"/>
              <w:right w:w="57" w:type="dxa"/>
            </w:tcMar>
          </w:tcPr>
          <w:p w14:paraId="1EFA82EF" w14:textId="77777777" w:rsidR="008B184C" w:rsidRPr="006320B0" w:rsidRDefault="008B184C" w:rsidP="008A2BB8">
            <w:pPr>
              <w:pStyle w:val="BULLETED"/>
              <w:keepNext/>
              <w:widowControl/>
              <w:numPr>
                <w:ilvl w:val="0"/>
                <w:numId w:val="0"/>
              </w:numPr>
              <w:spacing w:before="0" w:line="240" w:lineRule="auto"/>
              <w:jc w:val="center"/>
              <w:rPr>
                <w:color w:val="auto"/>
                <w:sz w:val="22"/>
                <w:szCs w:val="22"/>
              </w:rPr>
            </w:pPr>
            <w:r w:rsidRPr="006320B0">
              <w:rPr>
                <w:noProof/>
                <w:lang w:eastAsia="pl-PL"/>
              </w:rPr>
              <w:drawing>
                <wp:anchor distT="0" distB="0" distL="114300" distR="114300" simplePos="0" relativeHeight="251701760" behindDoc="0" locked="0" layoutInCell="1" allowOverlap="1" wp14:anchorId="34313A1A" wp14:editId="5F8ED61E">
                  <wp:simplePos x="0" y="0"/>
                  <wp:positionH relativeFrom="margin">
                    <wp:posOffset>1157605</wp:posOffset>
                  </wp:positionH>
                  <wp:positionV relativeFrom="paragraph">
                    <wp:posOffset>0</wp:posOffset>
                  </wp:positionV>
                  <wp:extent cx="3060000" cy="2906494"/>
                  <wp:effectExtent l="0" t="0" r="7620" b="8255"/>
                  <wp:wrapTopAndBottom/>
                  <wp:docPr id="27" name="Picture 27" descr="Afbeelding met schets, tekening, clipart, tekenfil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fbeelding met schets, tekening, clipart, tekenfilm&#10;&#10;Door AI gegenereerde inhoud is mogelijk onjuist."/>
                          <pic:cNvPicPr/>
                        </pic:nvPicPr>
                        <pic:blipFill>
                          <a:blip r:embed="rId31">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tc>
      </w:tr>
      <w:tr w:rsidR="008B184C" w:rsidRPr="006320B0" w14:paraId="1F7EF98D" w14:textId="77777777" w:rsidTr="008A2BB8">
        <w:trPr>
          <w:cantSplit/>
          <w:trHeight w:val="57"/>
        </w:trPr>
        <w:tc>
          <w:tcPr>
            <w:tcW w:w="5000" w:type="pct"/>
            <w:gridSpan w:val="2"/>
            <w:tcBorders>
              <w:top w:val="nil"/>
              <w:bottom w:val="nil"/>
            </w:tcBorders>
            <w:tcMar>
              <w:top w:w="28" w:type="dxa"/>
              <w:left w:w="57" w:type="dxa"/>
              <w:bottom w:w="28" w:type="dxa"/>
              <w:right w:w="57" w:type="dxa"/>
            </w:tcMar>
          </w:tcPr>
          <w:p w14:paraId="76E848DE" w14:textId="77777777" w:rsidR="008B184C" w:rsidRPr="006320B0" w:rsidRDefault="008B184C" w:rsidP="008A2BB8">
            <w:pPr>
              <w:keepNext/>
            </w:pPr>
            <w:r w:rsidRPr="006320B0">
              <w:t>Geneesmiddelen dienen te worden vernietigd overeenkomstig lokale voorschriften. Vraag uw apotheker wat u met geneesmiddelen moet doen die u niet meer gebruikt. Ze worden dan op een verantwoorde manier vernietigd en komen niet in het milieu terecht.</w:t>
            </w:r>
          </w:p>
          <w:p w14:paraId="48406655" w14:textId="77777777" w:rsidR="008B184C" w:rsidRPr="006320B0" w:rsidRDefault="008B184C" w:rsidP="008A2BB8">
            <w:pPr>
              <w:keepNext/>
            </w:pPr>
          </w:p>
          <w:p w14:paraId="69A2A41E" w14:textId="77777777" w:rsidR="008B184C" w:rsidRPr="006320B0" w:rsidRDefault="008B184C" w:rsidP="008A2BB8">
            <w:pPr>
              <w:keepNext/>
            </w:pPr>
            <w:r w:rsidRPr="006320B0">
              <w:t>De spuit en de naaldcontainer buiten het zicht en bereik van kinderen houden.</w:t>
            </w:r>
          </w:p>
        </w:tc>
      </w:tr>
      <w:tr w:rsidR="008B184C" w:rsidRPr="006320B0" w14:paraId="4C5C15F7" w14:textId="77777777" w:rsidTr="008A2BB8">
        <w:trPr>
          <w:cantSplit/>
          <w:trHeight w:val="57"/>
        </w:trPr>
        <w:tc>
          <w:tcPr>
            <w:tcW w:w="294" w:type="pct"/>
            <w:tcBorders>
              <w:top w:val="nil"/>
              <w:bottom w:val="nil"/>
              <w:right w:val="nil"/>
            </w:tcBorders>
            <w:tcMar>
              <w:top w:w="28" w:type="dxa"/>
              <w:left w:w="57" w:type="dxa"/>
              <w:bottom w:w="28" w:type="dxa"/>
              <w:right w:w="57" w:type="dxa"/>
            </w:tcMar>
          </w:tcPr>
          <w:p w14:paraId="65386A37" w14:textId="77777777" w:rsidR="008B184C" w:rsidRPr="006320B0" w:rsidRDefault="008B184C" w:rsidP="008A2BB8">
            <w:pPr>
              <w:pStyle w:val="BULLETED"/>
              <w:keepNext/>
              <w:widowControl/>
              <w:numPr>
                <w:ilvl w:val="0"/>
                <w:numId w:val="0"/>
              </w:numPr>
              <w:spacing w:before="0" w:line="240" w:lineRule="auto"/>
              <w:rPr>
                <w:color w:val="auto"/>
                <w:sz w:val="22"/>
                <w:szCs w:val="22"/>
              </w:rPr>
            </w:pPr>
            <w:r w:rsidRPr="006320B0">
              <w:rPr>
                <w:noProof/>
              </w:rPr>
              <w:drawing>
                <wp:anchor distT="0" distB="0" distL="114300" distR="114300" simplePos="0" relativeHeight="251682304" behindDoc="0" locked="0" layoutInCell="1" allowOverlap="1" wp14:anchorId="05B916DB" wp14:editId="28AE722D">
                  <wp:simplePos x="0" y="0"/>
                  <wp:positionH relativeFrom="column">
                    <wp:posOffset>14605</wp:posOffset>
                  </wp:positionH>
                  <wp:positionV relativeFrom="paragraph">
                    <wp:posOffset>22225</wp:posOffset>
                  </wp:positionV>
                  <wp:extent cx="119380" cy="119380"/>
                  <wp:effectExtent l="0" t="0" r="0" b="0"/>
                  <wp:wrapNone/>
                  <wp:docPr id="52"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nil"/>
            </w:tcBorders>
            <w:tcMar>
              <w:left w:w="0" w:type="dxa"/>
              <w:right w:w="57" w:type="dxa"/>
            </w:tcMar>
          </w:tcPr>
          <w:p w14:paraId="404FB192" w14:textId="77777777" w:rsidR="008B184C" w:rsidRPr="006320B0" w:rsidRDefault="008B184C" w:rsidP="008A2BB8">
            <w:pPr>
              <w:keepNext/>
            </w:pPr>
            <w:r w:rsidRPr="006320B0">
              <w:t xml:space="preserve">De voorgevulde spuit na gebruik </w:t>
            </w:r>
            <w:r w:rsidRPr="006320B0">
              <w:rPr>
                <w:b/>
              </w:rPr>
              <w:t>niet opnieuw gebruiken.</w:t>
            </w:r>
          </w:p>
        </w:tc>
      </w:tr>
      <w:tr w:rsidR="008B184C" w:rsidRPr="006320B0" w14:paraId="309F111E" w14:textId="77777777" w:rsidTr="008A2BB8">
        <w:trPr>
          <w:cantSplit/>
          <w:trHeight w:val="57"/>
        </w:trPr>
        <w:tc>
          <w:tcPr>
            <w:tcW w:w="294" w:type="pct"/>
            <w:tcBorders>
              <w:top w:val="nil"/>
              <w:bottom w:val="single" w:sz="4" w:space="0" w:color="auto"/>
              <w:right w:val="nil"/>
            </w:tcBorders>
            <w:tcMar>
              <w:top w:w="28" w:type="dxa"/>
              <w:left w:w="57" w:type="dxa"/>
              <w:bottom w:w="28" w:type="dxa"/>
              <w:right w:w="57" w:type="dxa"/>
            </w:tcMar>
          </w:tcPr>
          <w:p w14:paraId="03C37C1A" w14:textId="77777777" w:rsidR="008B184C" w:rsidRPr="006320B0" w:rsidRDefault="008B184C" w:rsidP="008A2BB8">
            <w:pPr>
              <w:pStyle w:val="BULLETED"/>
              <w:keepNext/>
              <w:widowControl/>
              <w:numPr>
                <w:ilvl w:val="0"/>
                <w:numId w:val="0"/>
              </w:numPr>
              <w:spacing w:before="0" w:line="240" w:lineRule="auto"/>
              <w:rPr>
                <w:color w:val="auto"/>
                <w:sz w:val="22"/>
                <w:szCs w:val="22"/>
              </w:rPr>
            </w:pPr>
            <w:r w:rsidRPr="006320B0">
              <w:rPr>
                <w:noProof/>
              </w:rPr>
              <w:drawing>
                <wp:anchor distT="0" distB="0" distL="114300" distR="114300" simplePos="0" relativeHeight="251683328" behindDoc="0" locked="0" layoutInCell="1" allowOverlap="1" wp14:anchorId="475EFF0A" wp14:editId="226B028B">
                  <wp:simplePos x="0" y="0"/>
                  <wp:positionH relativeFrom="column">
                    <wp:posOffset>14605</wp:posOffset>
                  </wp:positionH>
                  <wp:positionV relativeFrom="paragraph">
                    <wp:posOffset>22225</wp:posOffset>
                  </wp:positionV>
                  <wp:extent cx="119380" cy="119380"/>
                  <wp:effectExtent l="0" t="0" r="0" b="0"/>
                  <wp:wrapNone/>
                  <wp:docPr id="53"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single" w:sz="4" w:space="0" w:color="auto"/>
            </w:tcBorders>
            <w:tcMar>
              <w:left w:w="0" w:type="dxa"/>
              <w:right w:w="57" w:type="dxa"/>
            </w:tcMar>
          </w:tcPr>
          <w:p w14:paraId="7D7C9CFA" w14:textId="77777777" w:rsidR="008B184C" w:rsidRPr="006320B0" w:rsidRDefault="008B184C" w:rsidP="008A2BB8">
            <w:pPr>
              <w:keepNext/>
            </w:pPr>
            <w:r w:rsidRPr="006320B0">
              <w:t xml:space="preserve">Voorgevulde spuiten na gebruik </w:t>
            </w:r>
            <w:r w:rsidRPr="006320B0">
              <w:rPr>
                <w:b/>
              </w:rPr>
              <w:t>niet</w:t>
            </w:r>
            <w:r w:rsidRPr="006320B0">
              <w:t xml:space="preserve"> recyclen en niet in de vuilnisbak gooien.</w:t>
            </w:r>
          </w:p>
        </w:tc>
      </w:tr>
    </w:tbl>
    <w:p w14:paraId="61606DC2" w14:textId="77777777" w:rsidR="008B184C" w:rsidRPr="006320B0" w:rsidRDefault="008B184C" w:rsidP="008B184C"/>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8B184C" w:rsidRPr="006320B0" w14:paraId="1CEE3F69" w14:textId="77777777" w:rsidTr="008A2BB8">
        <w:trPr>
          <w:cantSplit/>
          <w:trHeight w:val="57"/>
        </w:trPr>
        <w:tc>
          <w:tcPr>
            <w:tcW w:w="294" w:type="pct"/>
            <w:tcMar>
              <w:top w:w="28" w:type="dxa"/>
              <w:left w:w="57" w:type="dxa"/>
              <w:bottom w:w="28" w:type="dxa"/>
              <w:right w:w="57" w:type="dxa"/>
            </w:tcMar>
          </w:tcPr>
          <w:p w14:paraId="4B5F9EB7" w14:textId="77777777" w:rsidR="008B184C" w:rsidRPr="006320B0" w:rsidRDefault="008B184C" w:rsidP="008A2BB8">
            <w:pPr>
              <w:keepNext/>
            </w:pPr>
            <w:r w:rsidRPr="006320B0">
              <w:t>B</w:t>
            </w:r>
          </w:p>
        </w:tc>
        <w:tc>
          <w:tcPr>
            <w:tcW w:w="4706" w:type="pct"/>
            <w:tcMar>
              <w:left w:w="57" w:type="dxa"/>
              <w:right w:w="57" w:type="dxa"/>
            </w:tcMar>
          </w:tcPr>
          <w:p w14:paraId="2E58BA42" w14:textId="77777777" w:rsidR="008B184C" w:rsidRPr="006320B0" w:rsidRDefault="008B184C" w:rsidP="008A2BB8">
            <w:pPr>
              <w:keepNext/>
            </w:pPr>
            <w:r w:rsidRPr="006320B0">
              <w:t>Bekijk de injectieplaats.</w:t>
            </w:r>
          </w:p>
        </w:tc>
      </w:tr>
      <w:tr w:rsidR="008B184C" w:rsidRPr="006320B0" w14:paraId="4990EEEA" w14:textId="77777777" w:rsidTr="008A2BB8">
        <w:trPr>
          <w:cantSplit/>
          <w:trHeight w:val="57"/>
        </w:trPr>
        <w:tc>
          <w:tcPr>
            <w:tcW w:w="5000" w:type="pct"/>
            <w:gridSpan w:val="2"/>
            <w:tcMar>
              <w:top w:w="28" w:type="dxa"/>
              <w:left w:w="57" w:type="dxa"/>
              <w:bottom w:w="28" w:type="dxa"/>
              <w:right w:w="57" w:type="dxa"/>
            </w:tcMar>
          </w:tcPr>
          <w:p w14:paraId="7B0352EB" w14:textId="1657A761" w:rsidR="008B184C" w:rsidRPr="006320B0" w:rsidRDefault="008B184C" w:rsidP="008A2BB8">
            <w:pPr>
              <w:keepNext/>
            </w:pPr>
            <w:r w:rsidRPr="006320B0">
              <w:t xml:space="preserve">Als u een druppeltje bloed ziet, kunt u dat voorzichtig wegdeppen met een watje of een gaasje. </w:t>
            </w:r>
            <w:r w:rsidRPr="006320B0">
              <w:rPr>
                <w:b/>
              </w:rPr>
              <w:t>Wrijf niet</w:t>
            </w:r>
            <w:r w:rsidRPr="006320B0">
              <w:t xml:space="preserve"> over de injectieplaats. Gebruik een pleister indien nodig.</w:t>
            </w:r>
          </w:p>
        </w:tc>
      </w:tr>
    </w:tbl>
    <w:p w14:paraId="582A766D" w14:textId="77777777" w:rsidR="008B184C" w:rsidRPr="00D91E74" w:rsidRDefault="008B184C" w:rsidP="008B184C"/>
    <w:sectPr w:rsidR="008B184C" w:rsidRPr="00D91E74" w:rsidSect="005C3FEA">
      <w:footerReference w:type="default" r:id="rId32"/>
      <w:footerReference w:type="first" r:id="rId33"/>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D906" w14:textId="77777777" w:rsidR="00B76EA2" w:rsidRPr="006320B0" w:rsidRDefault="00B76EA2">
      <w:r w:rsidRPr="006320B0">
        <w:separator/>
      </w:r>
    </w:p>
  </w:endnote>
  <w:endnote w:type="continuationSeparator" w:id="0">
    <w:p w14:paraId="347849F5" w14:textId="77777777" w:rsidR="00B76EA2" w:rsidRPr="006320B0" w:rsidRDefault="00B76EA2">
      <w:r w:rsidRPr="006320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2D1296" w:rsidRPr="006320B0" w:rsidRDefault="002D1296" w:rsidP="00D364A0">
    <w:pPr>
      <w:jc w:val="center"/>
      <w:rPr>
        <w:rFonts w:ascii="Arial" w:hAnsi="Arial" w:cs="Arial"/>
        <w:sz w:val="16"/>
        <w:szCs w:val="16"/>
      </w:rPr>
    </w:pPr>
    <w:r w:rsidRPr="006320B0">
      <w:rPr>
        <w:rFonts w:ascii="Arial" w:hAnsi="Arial" w:cs="Arial"/>
        <w:sz w:val="16"/>
      </w:rPr>
      <w:fldChar w:fldCharType="begin"/>
    </w:r>
    <w:r w:rsidRPr="006320B0">
      <w:rPr>
        <w:rFonts w:ascii="Arial" w:hAnsi="Arial" w:cs="Arial"/>
        <w:sz w:val="16"/>
      </w:rPr>
      <w:instrText xml:space="preserve"> EQ </w:instrText>
    </w:r>
    <w:r w:rsidRPr="006320B0">
      <w:rPr>
        <w:rFonts w:ascii="Arial" w:hAnsi="Arial" w:cs="Arial"/>
        <w:sz w:val="16"/>
      </w:rPr>
      <w:fldChar w:fldCharType="end"/>
    </w:r>
    <w:r w:rsidRPr="006320B0">
      <w:rPr>
        <w:rFonts w:ascii="Arial" w:hAnsi="Arial" w:cs="Arial"/>
        <w:sz w:val="16"/>
      </w:rPr>
      <w:fldChar w:fldCharType="begin"/>
    </w:r>
    <w:r w:rsidRPr="006320B0">
      <w:rPr>
        <w:rFonts w:ascii="Arial" w:hAnsi="Arial" w:cs="Arial"/>
        <w:sz w:val="16"/>
      </w:rPr>
      <w:instrText xml:space="preserve">PAGE  </w:instrText>
    </w:r>
    <w:r w:rsidRPr="006320B0">
      <w:rPr>
        <w:rFonts w:ascii="Arial" w:hAnsi="Arial" w:cs="Arial"/>
        <w:sz w:val="16"/>
      </w:rPr>
      <w:fldChar w:fldCharType="separate"/>
    </w:r>
    <w:r w:rsidRPr="006320B0">
      <w:rPr>
        <w:rFonts w:ascii="Arial" w:hAnsi="Arial" w:cs="Arial"/>
        <w:sz w:val="16"/>
      </w:rPr>
      <w:t>5</w:t>
    </w:r>
    <w:r w:rsidRPr="006320B0">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2D1296" w:rsidRPr="006320B0" w:rsidRDefault="002D1296">
    <w:pPr>
      <w:pStyle w:val="Footer"/>
      <w:tabs>
        <w:tab w:val="clear" w:pos="8930"/>
        <w:tab w:val="right" w:pos="8931"/>
      </w:tabs>
      <w:ind w:right="96"/>
      <w:jc w:val="center"/>
    </w:pPr>
    <w:r w:rsidRPr="006320B0">
      <w:fldChar w:fldCharType="begin"/>
    </w:r>
    <w:r w:rsidRPr="006320B0">
      <w:instrText xml:space="preserve"> EQ </w:instrText>
    </w:r>
    <w:r w:rsidRPr="006320B0">
      <w:fldChar w:fldCharType="end"/>
    </w:r>
    <w:r w:rsidRPr="006320B0">
      <w:fldChar w:fldCharType="begin"/>
    </w:r>
    <w:r w:rsidRPr="006320B0">
      <w:instrText xml:space="preserve">PAGE  </w:instrText>
    </w:r>
    <w:r w:rsidRPr="006320B0">
      <w:fldChar w:fldCharType="separate"/>
    </w:r>
    <w:r w:rsidRPr="006320B0">
      <w:t>1</w:t>
    </w:r>
    <w:r w:rsidRPr="006320B0">
      <w:fldChar w:fldCharType="end"/>
    </w:r>
  </w:p>
  <w:p w14:paraId="303D73E5" w14:textId="77777777" w:rsidR="002D1296" w:rsidRPr="006320B0" w:rsidRDefault="002D1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F5D98" w14:textId="77777777" w:rsidR="00B76EA2" w:rsidRPr="006320B0" w:rsidRDefault="00B76EA2">
      <w:r w:rsidRPr="006320B0">
        <w:separator/>
      </w:r>
    </w:p>
  </w:footnote>
  <w:footnote w:type="continuationSeparator" w:id="0">
    <w:p w14:paraId="38072F93" w14:textId="77777777" w:rsidR="00B76EA2" w:rsidRPr="006320B0" w:rsidRDefault="00B76EA2">
      <w:r w:rsidRPr="006320B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7"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6"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8"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3"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30532133">
    <w:abstractNumId w:val="46"/>
  </w:num>
  <w:num w:numId="2" w16cid:durableId="921333077">
    <w:abstractNumId w:val="32"/>
  </w:num>
  <w:num w:numId="3" w16cid:durableId="68887210">
    <w:abstractNumId w:val="20"/>
  </w:num>
  <w:num w:numId="4" w16cid:durableId="496849323">
    <w:abstractNumId w:val="19"/>
  </w:num>
  <w:num w:numId="5" w16cid:durableId="864248086">
    <w:abstractNumId w:val="13"/>
  </w:num>
  <w:num w:numId="6" w16cid:durableId="811673859">
    <w:abstractNumId w:val="54"/>
  </w:num>
  <w:num w:numId="7" w16cid:durableId="338237799">
    <w:abstractNumId w:val="17"/>
  </w:num>
  <w:num w:numId="8" w16cid:durableId="1713576977">
    <w:abstractNumId w:val="44"/>
  </w:num>
  <w:num w:numId="9" w16cid:durableId="1502354924">
    <w:abstractNumId w:val="25"/>
  </w:num>
  <w:num w:numId="10" w16cid:durableId="808473423">
    <w:abstractNumId w:val="1"/>
  </w:num>
  <w:num w:numId="11" w16cid:durableId="1686785174">
    <w:abstractNumId w:val="0"/>
    <w:lvlOverride w:ilvl="0">
      <w:lvl w:ilvl="0">
        <w:start w:val="1"/>
        <w:numFmt w:val="bullet"/>
        <w:lvlText w:val="-"/>
        <w:legacy w:legacy="1" w:legacySpace="0" w:legacyIndent="360"/>
        <w:lvlJc w:val="left"/>
        <w:pPr>
          <w:ind w:left="360" w:hanging="360"/>
        </w:pPr>
      </w:lvl>
    </w:lvlOverride>
  </w:num>
  <w:num w:numId="12" w16cid:durableId="1497375666">
    <w:abstractNumId w:val="42"/>
  </w:num>
  <w:num w:numId="13" w16cid:durableId="1654067556">
    <w:abstractNumId w:val="29"/>
  </w:num>
  <w:num w:numId="14" w16cid:durableId="2135784883">
    <w:abstractNumId w:val="50"/>
  </w:num>
  <w:num w:numId="15" w16cid:durableId="663246906">
    <w:abstractNumId w:val="14"/>
  </w:num>
  <w:num w:numId="16" w16cid:durableId="1081487886">
    <w:abstractNumId w:val="48"/>
  </w:num>
  <w:num w:numId="17" w16cid:durableId="1450198500">
    <w:abstractNumId w:val="36"/>
  </w:num>
  <w:num w:numId="18" w16cid:durableId="1541360744">
    <w:abstractNumId w:val="16"/>
  </w:num>
  <w:num w:numId="19" w16cid:durableId="1393696662">
    <w:abstractNumId w:val="27"/>
  </w:num>
  <w:num w:numId="20" w16cid:durableId="1827432290">
    <w:abstractNumId w:val="3"/>
  </w:num>
  <w:num w:numId="21" w16cid:durableId="546917420">
    <w:abstractNumId w:val="43"/>
  </w:num>
  <w:num w:numId="22" w16cid:durableId="596063425">
    <w:abstractNumId w:val="22"/>
  </w:num>
  <w:num w:numId="23" w16cid:durableId="2099863900">
    <w:abstractNumId w:val="23"/>
  </w:num>
  <w:num w:numId="24" w16cid:durableId="299967142">
    <w:abstractNumId w:val="47"/>
  </w:num>
  <w:num w:numId="25" w16cid:durableId="159390521">
    <w:abstractNumId w:val="7"/>
  </w:num>
  <w:num w:numId="26" w16cid:durableId="2133549475">
    <w:abstractNumId w:val="8"/>
  </w:num>
  <w:num w:numId="27" w16cid:durableId="1652438293">
    <w:abstractNumId w:val="0"/>
    <w:lvlOverride w:ilvl="0">
      <w:lvl w:ilvl="0">
        <w:start w:val="1"/>
        <w:numFmt w:val="bullet"/>
        <w:lvlText w:val="-"/>
        <w:legacy w:legacy="1" w:legacySpace="0" w:legacyIndent="360"/>
        <w:lvlJc w:val="left"/>
        <w:pPr>
          <w:ind w:left="360" w:hanging="360"/>
        </w:pPr>
      </w:lvl>
    </w:lvlOverride>
  </w:num>
  <w:num w:numId="28" w16cid:durableId="2104913828">
    <w:abstractNumId w:val="37"/>
  </w:num>
  <w:num w:numId="29" w16cid:durableId="1727025477">
    <w:abstractNumId w:val="11"/>
  </w:num>
  <w:num w:numId="30" w16cid:durableId="1592735535">
    <w:abstractNumId w:val="49"/>
  </w:num>
  <w:num w:numId="31" w16cid:durableId="1869678063">
    <w:abstractNumId w:val="9"/>
  </w:num>
  <w:num w:numId="32" w16cid:durableId="1599022517">
    <w:abstractNumId w:val="26"/>
  </w:num>
  <w:num w:numId="33" w16cid:durableId="827667544">
    <w:abstractNumId w:val="41"/>
  </w:num>
  <w:num w:numId="34" w16cid:durableId="825241201">
    <w:abstractNumId w:val="4"/>
  </w:num>
  <w:num w:numId="35" w16cid:durableId="1565026687">
    <w:abstractNumId w:val="10"/>
  </w:num>
  <w:num w:numId="36" w16cid:durableId="1572155949">
    <w:abstractNumId w:val="33"/>
  </w:num>
  <w:num w:numId="37" w16cid:durableId="1305770230">
    <w:abstractNumId w:val="35"/>
  </w:num>
  <w:num w:numId="38" w16cid:durableId="1968854344">
    <w:abstractNumId w:val="45"/>
  </w:num>
  <w:num w:numId="39" w16cid:durableId="2019044628">
    <w:abstractNumId w:val="15"/>
  </w:num>
  <w:num w:numId="40" w16cid:durableId="1294605049">
    <w:abstractNumId w:val="31"/>
  </w:num>
  <w:num w:numId="41" w16cid:durableId="2101750568">
    <w:abstractNumId w:val="21"/>
  </w:num>
  <w:num w:numId="42" w16cid:durableId="1883396771">
    <w:abstractNumId w:val="6"/>
  </w:num>
  <w:num w:numId="43" w16cid:durableId="614868358">
    <w:abstractNumId w:val="53"/>
  </w:num>
  <w:num w:numId="44" w16cid:durableId="68120740">
    <w:abstractNumId w:val="2"/>
  </w:num>
  <w:num w:numId="45" w16cid:durableId="1669016719">
    <w:abstractNumId w:val="34"/>
  </w:num>
  <w:num w:numId="46" w16cid:durableId="1317877584">
    <w:abstractNumId w:val="5"/>
  </w:num>
  <w:num w:numId="47" w16cid:durableId="130903491">
    <w:abstractNumId w:val="38"/>
  </w:num>
  <w:num w:numId="48" w16cid:durableId="1950357357">
    <w:abstractNumId w:val="18"/>
  </w:num>
  <w:num w:numId="49" w16cid:durableId="513998994">
    <w:abstractNumId w:val="52"/>
  </w:num>
  <w:num w:numId="50" w16cid:durableId="71511180">
    <w:abstractNumId w:val="51"/>
  </w:num>
  <w:num w:numId="51" w16cid:durableId="396393528">
    <w:abstractNumId w:val="39"/>
  </w:num>
  <w:num w:numId="52" w16cid:durableId="1215044790">
    <w:abstractNumId w:val="12"/>
  </w:num>
  <w:num w:numId="53" w16cid:durableId="1918243750">
    <w:abstractNumId w:val="30"/>
  </w:num>
  <w:num w:numId="54" w16cid:durableId="1193613249">
    <w:abstractNumId w:val="28"/>
  </w:num>
  <w:num w:numId="55" w16cid:durableId="1636645198">
    <w:abstractNumId w:val="24"/>
  </w:num>
  <w:num w:numId="56" w16cid:durableId="1903369485">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5938"/>
    <w:rsid w:val="00005A1A"/>
    <w:rsid w:val="00010746"/>
    <w:rsid w:val="00010BF4"/>
    <w:rsid w:val="000139CB"/>
    <w:rsid w:val="00014F4A"/>
    <w:rsid w:val="00016C89"/>
    <w:rsid w:val="0001794F"/>
    <w:rsid w:val="00017D88"/>
    <w:rsid w:val="00020257"/>
    <w:rsid w:val="0002130D"/>
    <w:rsid w:val="0002185E"/>
    <w:rsid w:val="00022A78"/>
    <w:rsid w:val="00022F7A"/>
    <w:rsid w:val="000239F8"/>
    <w:rsid w:val="00023BE0"/>
    <w:rsid w:val="00024B36"/>
    <w:rsid w:val="000267A0"/>
    <w:rsid w:val="00027E6B"/>
    <w:rsid w:val="000304BA"/>
    <w:rsid w:val="00030536"/>
    <w:rsid w:val="000308F1"/>
    <w:rsid w:val="00030FC6"/>
    <w:rsid w:val="0003165E"/>
    <w:rsid w:val="000331D8"/>
    <w:rsid w:val="00033F55"/>
    <w:rsid w:val="0003759D"/>
    <w:rsid w:val="00040D7A"/>
    <w:rsid w:val="00042245"/>
    <w:rsid w:val="00042C47"/>
    <w:rsid w:val="0004321A"/>
    <w:rsid w:val="00043BA2"/>
    <w:rsid w:val="000451A6"/>
    <w:rsid w:val="00046171"/>
    <w:rsid w:val="000471F1"/>
    <w:rsid w:val="00047748"/>
    <w:rsid w:val="00053150"/>
    <w:rsid w:val="00053CE5"/>
    <w:rsid w:val="0005683F"/>
    <w:rsid w:val="00057C86"/>
    <w:rsid w:val="000636A8"/>
    <w:rsid w:val="0006658D"/>
    <w:rsid w:val="000675CA"/>
    <w:rsid w:val="000702E8"/>
    <w:rsid w:val="00070483"/>
    <w:rsid w:val="00071108"/>
    <w:rsid w:val="00073A3B"/>
    <w:rsid w:val="000743B6"/>
    <w:rsid w:val="00074A66"/>
    <w:rsid w:val="00074AA9"/>
    <w:rsid w:val="00074BAC"/>
    <w:rsid w:val="0007656E"/>
    <w:rsid w:val="00076B25"/>
    <w:rsid w:val="0008020A"/>
    <w:rsid w:val="000806DD"/>
    <w:rsid w:val="00080C15"/>
    <w:rsid w:val="00081A47"/>
    <w:rsid w:val="000828BF"/>
    <w:rsid w:val="0008478A"/>
    <w:rsid w:val="00084EAB"/>
    <w:rsid w:val="00084ED6"/>
    <w:rsid w:val="00085792"/>
    <w:rsid w:val="00086126"/>
    <w:rsid w:val="00086B9E"/>
    <w:rsid w:val="00086F4D"/>
    <w:rsid w:val="00087883"/>
    <w:rsid w:val="00091513"/>
    <w:rsid w:val="0009329A"/>
    <w:rsid w:val="000954A4"/>
    <w:rsid w:val="00096097"/>
    <w:rsid w:val="000A1C5A"/>
    <w:rsid w:val="000A6641"/>
    <w:rsid w:val="000A7A9A"/>
    <w:rsid w:val="000A7D42"/>
    <w:rsid w:val="000B1429"/>
    <w:rsid w:val="000B7C9E"/>
    <w:rsid w:val="000C1222"/>
    <w:rsid w:val="000C454F"/>
    <w:rsid w:val="000C6AB1"/>
    <w:rsid w:val="000D121E"/>
    <w:rsid w:val="000D29E9"/>
    <w:rsid w:val="000D3F93"/>
    <w:rsid w:val="000D54CF"/>
    <w:rsid w:val="000D5B3E"/>
    <w:rsid w:val="000D5C39"/>
    <w:rsid w:val="000D65DF"/>
    <w:rsid w:val="000D6C0B"/>
    <w:rsid w:val="000E0610"/>
    <w:rsid w:val="000E129B"/>
    <w:rsid w:val="000E1563"/>
    <w:rsid w:val="000E3DC2"/>
    <w:rsid w:val="000E4004"/>
    <w:rsid w:val="000E4C92"/>
    <w:rsid w:val="000E53BA"/>
    <w:rsid w:val="000E57A6"/>
    <w:rsid w:val="000F0F39"/>
    <w:rsid w:val="000F2042"/>
    <w:rsid w:val="000F3A5B"/>
    <w:rsid w:val="000F3E57"/>
    <w:rsid w:val="001019D8"/>
    <w:rsid w:val="00101E2E"/>
    <w:rsid w:val="00104562"/>
    <w:rsid w:val="00105FE9"/>
    <w:rsid w:val="00106C0F"/>
    <w:rsid w:val="00110044"/>
    <w:rsid w:val="0011117C"/>
    <w:rsid w:val="0011220E"/>
    <w:rsid w:val="001176A6"/>
    <w:rsid w:val="00120834"/>
    <w:rsid w:val="001218D8"/>
    <w:rsid w:val="00121DEE"/>
    <w:rsid w:val="00123F5B"/>
    <w:rsid w:val="0012465F"/>
    <w:rsid w:val="00130DA4"/>
    <w:rsid w:val="00130E73"/>
    <w:rsid w:val="00131255"/>
    <w:rsid w:val="0013214E"/>
    <w:rsid w:val="00132CCE"/>
    <w:rsid w:val="00140BD1"/>
    <w:rsid w:val="00142605"/>
    <w:rsid w:val="001434DB"/>
    <w:rsid w:val="001444F9"/>
    <w:rsid w:val="00145F0F"/>
    <w:rsid w:val="00145F24"/>
    <w:rsid w:val="00146B38"/>
    <w:rsid w:val="00151538"/>
    <w:rsid w:val="00151B64"/>
    <w:rsid w:val="00153917"/>
    <w:rsid w:val="001541F7"/>
    <w:rsid w:val="00154ABB"/>
    <w:rsid w:val="001550AA"/>
    <w:rsid w:val="00155A9E"/>
    <w:rsid w:val="001571D5"/>
    <w:rsid w:val="00157DA9"/>
    <w:rsid w:val="00161EEB"/>
    <w:rsid w:val="00164B93"/>
    <w:rsid w:val="001704E7"/>
    <w:rsid w:val="00170558"/>
    <w:rsid w:val="001712A0"/>
    <w:rsid w:val="0017147C"/>
    <w:rsid w:val="00171B00"/>
    <w:rsid w:val="001735EA"/>
    <w:rsid w:val="001746CE"/>
    <w:rsid w:val="00174ABF"/>
    <w:rsid w:val="00176FD0"/>
    <w:rsid w:val="001773B9"/>
    <w:rsid w:val="001778E4"/>
    <w:rsid w:val="00177EBD"/>
    <w:rsid w:val="0018177D"/>
    <w:rsid w:val="00181C4E"/>
    <w:rsid w:val="001823F6"/>
    <w:rsid w:val="001828BA"/>
    <w:rsid w:val="00183963"/>
    <w:rsid w:val="00183F7E"/>
    <w:rsid w:val="0018450B"/>
    <w:rsid w:val="0018530D"/>
    <w:rsid w:val="0018683C"/>
    <w:rsid w:val="00190E15"/>
    <w:rsid w:val="0019129C"/>
    <w:rsid w:val="00192094"/>
    <w:rsid w:val="00192516"/>
    <w:rsid w:val="0019272C"/>
    <w:rsid w:val="00196376"/>
    <w:rsid w:val="001A06C8"/>
    <w:rsid w:val="001A0B55"/>
    <w:rsid w:val="001A2A51"/>
    <w:rsid w:val="001A371B"/>
    <w:rsid w:val="001A52A5"/>
    <w:rsid w:val="001A5931"/>
    <w:rsid w:val="001A5A88"/>
    <w:rsid w:val="001A6F24"/>
    <w:rsid w:val="001B2529"/>
    <w:rsid w:val="001B2B97"/>
    <w:rsid w:val="001B3E6F"/>
    <w:rsid w:val="001B6C45"/>
    <w:rsid w:val="001B7BA5"/>
    <w:rsid w:val="001C1E21"/>
    <w:rsid w:val="001C2651"/>
    <w:rsid w:val="001C27D0"/>
    <w:rsid w:val="001C6D37"/>
    <w:rsid w:val="001C704C"/>
    <w:rsid w:val="001D03FE"/>
    <w:rsid w:val="001D053D"/>
    <w:rsid w:val="001D13A5"/>
    <w:rsid w:val="001D16D5"/>
    <w:rsid w:val="001D1E25"/>
    <w:rsid w:val="001D2430"/>
    <w:rsid w:val="001D26E4"/>
    <w:rsid w:val="001D272E"/>
    <w:rsid w:val="001D47FC"/>
    <w:rsid w:val="001D5DBA"/>
    <w:rsid w:val="001D6DCC"/>
    <w:rsid w:val="001D7336"/>
    <w:rsid w:val="001D7EBF"/>
    <w:rsid w:val="001E1124"/>
    <w:rsid w:val="001E1D64"/>
    <w:rsid w:val="001E418D"/>
    <w:rsid w:val="001E5F45"/>
    <w:rsid w:val="001E6F05"/>
    <w:rsid w:val="001F01DB"/>
    <w:rsid w:val="001F24BD"/>
    <w:rsid w:val="001F27C0"/>
    <w:rsid w:val="00200E31"/>
    <w:rsid w:val="0020101B"/>
    <w:rsid w:val="00202DF8"/>
    <w:rsid w:val="00203018"/>
    <w:rsid w:val="00203494"/>
    <w:rsid w:val="0021038D"/>
    <w:rsid w:val="00210844"/>
    <w:rsid w:val="00216211"/>
    <w:rsid w:val="00216A2F"/>
    <w:rsid w:val="002176A4"/>
    <w:rsid w:val="00220C70"/>
    <w:rsid w:val="00222B2B"/>
    <w:rsid w:val="00223986"/>
    <w:rsid w:val="00224831"/>
    <w:rsid w:val="00225894"/>
    <w:rsid w:val="00226058"/>
    <w:rsid w:val="00227A8E"/>
    <w:rsid w:val="00233FFD"/>
    <w:rsid w:val="00237B97"/>
    <w:rsid w:val="002409B1"/>
    <w:rsid w:val="00240EDC"/>
    <w:rsid w:val="00241EEB"/>
    <w:rsid w:val="002434C2"/>
    <w:rsid w:val="0024391D"/>
    <w:rsid w:val="00243CD6"/>
    <w:rsid w:val="00243D11"/>
    <w:rsid w:val="002476C3"/>
    <w:rsid w:val="002479B4"/>
    <w:rsid w:val="00250AC1"/>
    <w:rsid w:val="00252372"/>
    <w:rsid w:val="0025247B"/>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50BD"/>
    <w:rsid w:val="0026611A"/>
    <w:rsid w:val="00267FAC"/>
    <w:rsid w:val="0027072E"/>
    <w:rsid w:val="00271127"/>
    <w:rsid w:val="00271BA8"/>
    <w:rsid w:val="00271ECF"/>
    <w:rsid w:val="002723A8"/>
    <w:rsid w:val="00272E90"/>
    <w:rsid w:val="002730D9"/>
    <w:rsid w:val="00275FE7"/>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26C0"/>
    <w:rsid w:val="0029617F"/>
    <w:rsid w:val="002966DF"/>
    <w:rsid w:val="002A385F"/>
    <w:rsid w:val="002A40AD"/>
    <w:rsid w:val="002A5F7F"/>
    <w:rsid w:val="002B1704"/>
    <w:rsid w:val="002B1D4E"/>
    <w:rsid w:val="002B4B55"/>
    <w:rsid w:val="002B525F"/>
    <w:rsid w:val="002B7455"/>
    <w:rsid w:val="002C07EC"/>
    <w:rsid w:val="002C0F20"/>
    <w:rsid w:val="002C1D27"/>
    <w:rsid w:val="002C23AB"/>
    <w:rsid w:val="002C2616"/>
    <w:rsid w:val="002C455F"/>
    <w:rsid w:val="002C54B7"/>
    <w:rsid w:val="002C6719"/>
    <w:rsid w:val="002C7BCD"/>
    <w:rsid w:val="002D003E"/>
    <w:rsid w:val="002D1296"/>
    <w:rsid w:val="002D1FE1"/>
    <w:rsid w:val="002D27AA"/>
    <w:rsid w:val="002D45C7"/>
    <w:rsid w:val="002D5916"/>
    <w:rsid w:val="002D682E"/>
    <w:rsid w:val="002E1AF1"/>
    <w:rsid w:val="002E1C81"/>
    <w:rsid w:val="002E2281"/>
    <w:rsid w:val="002E3196"/>
    <w:rsid w:val="002E540C"/>
    <w:rsid w:val="002E5861"/>
    <w:rsid w:val="002E5C1E"/>
    <w:rsid w:val="002E5DBA"/>
    <w:rsid w:val="002E7CDB"/>
    <w:rsid w:val="002F1576"/>
    <w:rsid w:val="002F357A"/>
    <w:rsid w:val="002F463A"/>
    <w:rsid w:val="002F5859"/>
    <w:rsid w:val="002F61D8"/>
    <w:rsid w:val="002F6B21"/>
    <w:rsid w:val="002F79E3"/>
    <w:rsid w:val="002F7CD6"/>
    <w:rsid w:val="00300F45"/>
    <w:rsid w:val="00301C6B"/>
    <w:rsid w:val="00303011"/>
    <w:rsid w:val="003050CD"/>
    <w:rsid w:val="00306FD3"/>
    <w:rsid w:val="00307BCD"/>
    <w:rsid w:val="00311824"/>
    <w:rsid w:val="00311899"/>
    <w:rsid w:val="003123D9"/>
    <w:rsid w:val="00313F2C"/>
    <w:rsid w:val="0031467B"/>
    <w:rsid w:val="00323A98"/>
    <w:rsid w:val="00325458"/>
    <w:rsid w:val="00325B08"/>
    <w:rsid w:val="00330331"/>
    <w:rsid w:val="00333488"/>
    <w:rsid w:val="003343C1"/>
    <w:rsid w:val="00334F3C"/>
    <w:rsid w:val="0033590D"/>
    <w:rsid w:val="00336B20"/>
    <w:rsid w:val="00341752"/>
    <w:rsid w:val="003420D3"/>
    <w:rsid w:val="0034359F"/>
    <w:rsid w:val="003445BC"/>
    <w:rsid w:val="0034537A"/>
    <w:rsid w:val="00346342"/>
    <w:rsid w:val="0034707A"/>
    <w:rsid w:val="0034742F"/>
    <w:rsid w:val="0034753A"/>
    <w:rsid w:val="00347980"/>
    <w:rsid w:val="00350F50"/>
    <w:rsid w:val="00356435"/>
    <w:rsid w:val="00356AD0"/>
    <w:rsid w:val="00357068"/>
    <w:rsid w:val="00365253"/>
    <w:rsid w:val="00365A14"/>
    <w:rsid w:val="003661F1"/>
    <w:rsid w:val="00367FF0"/>
    <w:rsid w:val="0037058C"/>
    <w:rsid w:val="00370D00"/>
    <w:rsid w:val="00370F37"/>
    <w:rsid w:val="003737E8"/>
    <w:rsid w:val="00375FAA"/>
    <w:rsid w:val="003769EE"/>
    <w:rsid w:val="0038171B"/>
    <w:rsid w:val="0038297B"/>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36C8"/>
    <w:rsid w:val="003946CC"/>
    <w:rsid w:val="00394CCD"/>
    <w:rsid w:val="00395165"/>
    <w:rsid w:val="00395FD8"/>
    <w:rsid w:val="0039643F"/>
    <w:rsid w:val="003974A9"/>
    <w:rsid w:val="00397619"/>
    <w:rsid w:val="003A0EB1"/>
    <w:rsid w:val="003A48B8"/>
    <w:rsid w:val="003B0291"/>
    <w:rsid w:val="003B1662"/>
    <w:rsid w:val="003B271B"/>
    <w:rsid w:val="003B39F4"/>
    <w:rsid w:val="003B4B70"/>
    <w:rsid w:val="003B4DE8"/>
    <w:rsid w:val="003B7343"/>
    <w:rsid w:val="003B7A5C"/>
    <w:rsid w:val="003C0814"/>
    <w:rsid w:val="003C0DAF"/>
    <w:rsid w:val="003C410D"/>
    <w:rsid w:val="003C508C"/>
    <w:rsid w:val="003C6810"/>
    <w:rsid w:val="003C6C78"/>
    <w:rsid w:val="003C7EFB"/>
    <w:rsid w:val="003D00E6"/>
    <w:rsid w:val="003D0970"/>
    <w:rsid w:val="003D0FA7"/>
    <w:rsid w:val="003D369A"/>
    <w:rsid w:val="003D5E2C"/>
    <w:rsid w:val="003D5F37"/>
    <w:rsid w:val="003E0906"/>
    <w:rsid w:val="003E24B7"/>
    <w:rsid w:val="003E2C78"/>
    <w:rsid w:val="003E3A13"/>
    <w:rsid w:val="003E3A3B"/>
    <w:rsid w:val="003E6568"/>
    <w:rsid w:val="003F0642"/>
    <w:rsid w:val="003F0A34"/>
    <w:rsid w:val="003F26F6"/>
    <w:rsid w:val="003F2741"/>
    <w:rsid w:val="003F5BA9"/>
    <w:rsid w:val="003F62C9"/>
    <w:rsid w:val="003F6F18"/>
    <w:rsid w:val="0040061E"/>
    <w:rsid w:val="00402AAF"/>
    <w:rsid w:val="00403517"/>
    <w:rsid w:val="004039DB"/>
    <w:rsid w:val="0040450D"/>
    <w:rsid w:val="004050DB"/>
    <w:rsid w:val="00405385"/>
    <w:rsid w:val="004103A2"/>
    <w:rsid w:val="0041270A"/>
    <w:rsid w:val="004144B8"/>
    <w:rsid w:val="00414EF3"/>
    <w:rsid w:val="00415D15"/>
    <w:rsid w:val="00415DB2"/>
    <w:rsid w:val="004207B8"/>
    <w:rsid w:val="00420B9A"/>
    <w:rsid w:val="00423D1F"/>
    <w:rsid w:val="00426451"/>
    <w:rsid w:val="004274EA"/>
    <w:rsid w:val="00427567"/>
    <w:rsid w:val="00427F72"/>
    <w:rsid w:val="00431758"/>
    <w:rsid w:val="00434AA6"/>
    <w:rsid w:val="00434EFF"/>
    <w:rsid w:val="00435442"/>
    <w:rsid w:val="00435DD4"/>
    <w:rsid w:val="004374A8"/>
    <w:rsid w:val="0043765E"/>
    <w:rsid w:val="0044133D"/>
    <w:rsid w:val="004439BF"/>
    <w:rsid w:val="00443D59"/>
    <w:rsid w:val="004444D9"/>
    <w:rsid w:val="004466EA"/>
    <w:rsid w:val="004469C3"/>
    <w:rsid w:val="00447E6B"/>
    <w:rsid w:val="00450C45"/>
    <w:rsid w:val="0045537A"/>
    <w:rsid w:val="00455EE8"/>
    <w:rsid w:val="0045645D"/>
    <w:rsid w:val="00456592"/>
    <w:rsid w:val="004609FB"/>
    <w:rsid w:val="00460A0C"/>
    <w:rsid w:val="0046107E"/>
    <w:rsid w:val="0046214E"/>
    <w:rsid w:val="00463A1B"/>
    <w:rsid w:val="00467221"/>
    <w:rsid w:val="0047019C"/>
    <w:rsid w:val="00470735"/>
    <w:rsid w:val="0047673E"/>
    <w:rsid w:val="004779CD"/>
    <w:rsid w:val="00480F37"/>
    <w:rsid w:val="00482FB2"/>
    <w:rsid w:val="00486695"/>
    <w:rsid w:val="00486A3B"/>
    <w:rsid w:val="004917C4"/>
    <w:rsid w:val="00492B8B"/>
    <w:rsid w:val="0049304B"/>
    <w:rsid w:val="0049304D"/>
    <w:rsid w:val="00494A5A"/>
    <w:rsid w:val="00496A2F"/>
    <w:rsid w:val="004971CF"/>
    <w:rsid w:val="004A1202"/>
    <w:rsid w:val="004A1EC5"/>
    <w:rsid w:val="004A23FC"/>
    <w:rsid w:val="004A31C2"/>
    <w:rsid w:val="004A4658"/>
    <w:rsid w:val="004A5CC6"/>
    <w:rsid w:val="004A61B9"/>
    <w:rsid w:val="004A70D0"/>
    <w:rsid w:val="004B015E"/>
    <w:rsid w:val="004B09C5"/>
    <w:rsid w:val="004B2367"/>
    <w:rsid w:val="004B39BB"/>
    <w:rsid w:val="004B5455"/>
    <w:rsid w:val="004B7A56"/>
    <w:rsid w:val="004C046F"/>
    <w:rsid w:val="004C17EB"/>
    <w:rsid w:val="004C1DEE"/>
    <w:rsid w:val="004C2642"/>
    <w:rsid w:val="004C37A6"/>
    <w:rsid w:val="004C4000"/>
    <w:rsid w:val="004C4930"/>
    <w:rsid w:val="004D05A3"/>
    <w:rsid w:val="004D1912"/>
    <w:rsid w:val="004D4AE0"/>
    <w:rsid w:val="004D7E06"/>
    <w:rsid w:val="004E0B94"/>
    <w:rsid w:val="004E0DE6"/>
    <w:rsid w:val="004E197E"/>
    <w:rsid w:val="004E2181"/>
    <w:rsid w:val="004E300A"/>
    <w:rsid w:val="004E3BD3"/>
    <w:rsid w:val="004E4D49"/>
    <w:rsid w:val="004E6103"/>
    <w:rsid w:val="004E7E55"/>
    <w:rsid w:val="004F065F"/>
    <w:rsid w:val="004F1E02"/>
    <w:rsid w:val="004F7040"/>
    <w:rsid w:val="004F7580"/>
    <w:rsid w:val="0050071F"/>
    <w:rsid w:val="00502193"/>
    <w:rsid w:val="00502346"/>
    <w:rsid w:val="00502A61"/>
    <w:rsid w:val="00503EAF"/>
    <w:rsid w:val="0050412D"/>
    <w:rsid w:val="0050626B"/>
    <w:rsid w:val="0050635E"/>
    <w:rsid w:val="00506539"/>
    <w:rsid w:val="00511EFE"/>
    <w:rsid w:val="0051227B"/>
    <w:rsid w:val="00512B71"/>
    <w:rsid w:val="00512CAD"/>
    <w:rsid w:val="00513A66"/>
    <w:rsid w:val="00513AC0"/>
    <w:rsid w:val="00513D77"/>
    <w:rsid w:val="00513F9D"/>
    <w:rsid w:val="00515D72"/>
    <w:rsid w:val="005163F3"/>
    <w:rsid w:val="005207CE"/>
    <w:rsid w:val="0052167B"/>
    <w:rsid w:val="00521E30"/>
    <w:rsid w:val="00523406"/>
    <w:rsid w:val="005239E8"/>
    <w:rsid w:val="005300A6"/>
    <w:rsid w:val="00531950"/>
    <w:rsid w:val="00531E6E"/>
    <w:rsid w:val="00531FCD"/>
    <w:rsid w:val="00532614"/>
    <w:rsid w:val="0053262B"/>
    <w:rsid w:val="0053394E"/>
    <w:rsid w:val="00534818"/>
    <w:rsid w:val="00537D4D"/>
    <w:rsid w:val="00540270"/>
    <w:rsid w:val="00540CC2"/>
    <w:rsid w:val="00541997"/>
    <w:rsid w:val="00542618"/>
    <w:rsid w:val="00543A49"/>
    <w:rsid w:val="0054401F"/>
    <w:rsid w:val="00545E71"/>
    <w:rsid w:val="00546236"/>
    <w:rsid w:val="0054637A"/>
    <w:rsid w:val="00546B5A"/>
    <w:rsid w:val="0055112C"/>
    <w:rsid w:val="0055215B"/>
    <w:rsid w:val="005527CB"/>
    <w:rsid w:val="00552A0B"/>
    <w:rsid w:val="00553ECF"/>
    <w:rsid w:val="005542A6"/>
    <w:rsid w:val="00555733"/>
    <w:rsid w:val="00556366"/>
    <w:rsid w:val="005564EF"/>
    <w:rsid w:val="00556CD9"/>
    <w:rsid w:val="00556EDC"/>
    <w:rsid w:val="00557EB8"/>
    <w:rsid w:val="00562A73"/>
    <w:rsid w:val="00565075"/>
    <w:rsid w:val="005660AA"/>
    <w:rsid w:val="00566365"/>
    <w:rsid w:val="005676B5"/>
    <w:rsid w:val="00570502"/>
    <w:rsid w:val="00570BE6"/>
    <w:rsid w:val="00570F8A"/>
    <w:rsid w:val="005712B1"/>
    <w:rsid w:val="005713C3"/>
    <w:rsid w:val="00572031"/>
    <w:rsid w:val="005727E1"/>
    <w:rsid w:val="00573A7B"/>
    <w:rsid w:val="005748C1"/>
    <w:rsid w:val="0057506B"/>
    <w:rsid w:val="005754FC"/>
    <w:rsid w:val="005765CB"/>
    <w:rsid w:val="00576EF9"/>
    <w:rsid w:val="005773C3"/>
    <w:rsid w:val="00577D3D"/>
    <w:rsid w:val="00580267"/>
    <w:rsid w:val="0058246E"/>
    <w:rsid w:val="00583511"/>
    <w:rsid w:val="00584322"/>
    <w:rsid w:val="005844F0"/>
    <w:rsid w:val="00590205"/>
    <w:rsid w:val="0059029C"/>
    <w:rsid w:val="005912A2"/>
    <w:rsid w:val="00591A38"/>
    <w:rsid w:val="005943F9"/>
    <w:rsid w:val="00595BBB"/>
    <w:rsid w:val="00597CB3"/>
    <w:rsid w:val="005A07F5"/>
    <w:rsid w:val="005A10E5"/>
    <w:rsid w:val="005A4886"/>
    <w:rsid w:val="005A4963"/>
    <w:rsid w:val="005A78C9"/>
    <w:rsid w:val="005B3367"/>
    <w:rsid w:val="005B3534"/>
    <w:rsid w:val="005B3BA7"/>
    <w:rsid w:val="005B4E04"/>
    <w:rsid w:val="005B5976"/>
    <w:rsid w:val="005B6E10"/>
    <w:rsid w:val="005B768D"/>
    <w:rsid w:val="005B7A51"/>
    <w:rsid w:val="005B7D63"/>
    <w:rsid w:val="005C041F"/>
    <w:rsid w:val="005C2D22"/>
    <w:rsid w:val="005C305E"/>
    <w:rsid w:val="005C3FEA"/>
    <w:rsid w:val="005C41B7"/>
    <w:rsid w:val="005C47A5"/>
    <w:rsid w:val="005C4D80"/>
    <w:rsid w:val="005D2152"/>
    <w:rsid w:val="005D370F"/>
    <w:rsid w:val="005D7ABD"/>
    <w:rsid w:val="005E5A84"/>
    <w:rsid w:val="005F6B3F"/>
    <w:rsid w:val="005F719A"/>
    <w:rsid w:val="005F7D81"/>
    <w:rsid w:val="00600C45"/>
    <w:rsid w:val="00601A36"/>
    <w:rsid w:val="00603171"/>
    <w:rsid w:val="0060439F"/>
    <w:rsid w:val="0060456C"/>
    <w:rsid w:val="00605B82"/>
    <w:rsid w:val="006079AB"/>
    <w:rsid w:val="00607A0C"/>
    <w:rsid w:val="00607C10"/>
    <w:rsid w:val="00610748"/>
    <w:rsid w:val="006119B3"/>
    <w:rsid w:val="006126B7"/>
    <w:rsid w:val="006138A2"/>
    <w:rsid w:val="006167DC"/>
    <w:rsid w:val="00617973"/>
    <w:rsid w:val="00617D01"/>
    <w:rsid w:val="00620328"/>
    <w:rsid w:val="00620EB8"/>
    <w:rsid w:val="00621A05"/>
    <w:rsid w:val="00630A19"/>
    <w:rsid w:val="00630E37"/>
    <w:rsid w:val="006312C3"/>
    <w:rsid w:val="00631948"/>
    <w:rsid w:val="006320B0"/>
    <w:rsid w:val="00632169"/>
    <w:rsid w:val="00635CB3"/>
    <w:rsid w:val="00635E3F"/>
    <w:rsid w:val="006369FF"/>
    <w:rsid w:val="00637AAB"/>
    <w:rsid w:val="006401D2"/>
    <w:rsid w:val="0064292F"/>
    <w:rsid w:val="00645A91"/>
    <w:rsid w:val="00650335"/>
    <w:rsid w:val="0065298A"/>
    <w:rsid w:val="00654166"/>
    <w:rsid w:val="006553D0"/>
    <w:rsid w:val="006606E8"/>
    <w:rsid w:val="00660D79"/>
    <w:rsid w:val="0066191A"/>
    <w:rsid w:val="00662C55"/>
    <w:rsid w:val="00663B5E"/>
    <w:rsid w:val="006658CD"/>
    <w:rsid w:val="00666C7C"/>
    <w:rsid w:val="00666F4D"/>
    <w:rsid w:val="00667DFA"/>
    <w:rsid w:val="0067031D"/>
    <w:rsid w:val="00670FB0"/>
    <w:rsid w:val="00673029"/>
    <w:rsid w:val="00675C43"/>
    <w:rsid w:val="00676E1B"/>
    <w:rsid w:val="00677126"/>
    <w:rsid w:val="00680B23"/>
    <w:rsid w:val="00681E81"/>
    <w:rsid w:val="00682756"/>
    <w:rsid w:val="00682758"/>
    <w:rsid w:val="0068312B"/>
    <w:rsid w:val="00683555"/>
    <w:rsid w:val="0068384A"/>
    <w:rsid w:val="00683D37"/>
    <w:rsid w:val="00683F11"/>
    <w:rsid w:val="006842DA"/>
    <w:rsid w:val="00685410"/>
    <w:rsid w:val="0069202F"/>
    <w:rsid w:val="00692E63"/>
    <w:rsid w:val="0069335B"/>
    <w:rsid w:val="00696486"/>
    <w:rsid w:val="0069755A"/>
    <w:rsid w:val="00697D1B"/>
    <w:rsid w:val="006A0CEE"/>
    <w:rsid w:val="006A12AB"/>
    <w:rsid w:val="006A17D4"/>
    <w:rsid w:val="006A1E6E"/>
    <w:rsid w:val="006A21CD"/>
    <w:rsid w:val="006A3142"/>
    <w:rsid w:val="006A3C2F"/>
    <w:rsid w:val="006A5C2E"/>
    <w:rsid w:val="006A6CB0"/>
    <w:rsid w:val="006B0507"/>
    <w:rsid w:val="006B4203"/>
    <w:rsid w:val="006B592F"/>
    <w:rsid w:val="006B70C1"/>
    <w:rsid w:val="006B79BF"/>
    <w:rsid w:val="006C15EE"/>
    <w:rsid w:val="006C2BD9"/>
    <w:rsid w:val="006C48B0"/>
    <w:rsid w:val="006C4A6F"/>
    <w:rsid w:val="006C5D21"/>
    <w:rsid w:val="006C6ECE"/>
    <w:rsid w:val="006C6FD9"/>
    <w:rsid w:val="006D023A"/>
    <w:rsid w:val="006D1725"/>
    <w:rsid w:val="006D19EB"/>
    <w:rsid w:val="006D3004"/>
    <w:rsid w:val="006D6245"/>
    <w:rsid w:val="006D7371"/>
    <w:rsid w:val="006D7966"/>
    <w:rsid w:val="006E0369"/>
    <w:rsid w:val="006E2DD1"/>
    <w:rsid w:val="006E30D3"/>
    <w:rsid w:val="006E32CF"/>
    <w:rsid w:val="006E6621"/>
    <w:rsid w:val="006E69E2"/>
    <w:rsid w:val="006F14FC"/>
    <w:rsid w:val="006F5C0A"/>
    <w:rsid w:val="006F6052"/>
    <w:rsid w:val="006F60B2"/>
    <w:rsid w:val="006F6ACA"/>
    <w:rsid w:val="006F73A7"/>
    <w:rsid w:val="006F777D"/>
    <w:rsid w:val="00700A50"/>
    <w:rsid w:val="007014DF"/>
    <w:rsid w:val="00701B19"/>
    <w:rsid w:val="00702A4F"/>
    <w:rsid w:val="007039B1"/>
    <w:rsid w:val="00705215"/>
    <w:rsid w:val="007064D1"/>
    <w:rsid w:val="007067D5"/>
    <w:rsid w:val="00707432"/>
    <w:rsid w:val="00710638"/>
    <w:rsid w:val="00713E1D"/>
    <w:rsid w:val="00715473"/>
    <w:rsid w:val="007212E3"/>
    <w:rsid w:val="0072489B"/>
    <w:rsid w:val="00725A2D"/>
    <w:rsid w:val="007274D8"/>
    <w:rsid w:val="007340B6"/>
    <w:rsid w:val="0073453F"/>
    <w:rsid w:val="00736455"/>
    <w:rsid w:val="00741A7D"/>
    <w:rsid w:val="007429AD"/>
    <w:rsid w:val="0074341B"/>
    <w:rsid w:val="0074576A"/>
    <w:rsid w:val="0074665A"/>
    <w:rsid w:val="00750787"/>
    <w:rsid w:val="00751313"/>
    <w:rsid w:val="00753546"/>
    <w:rsid w:val="00753EA5"/>
    <w:rsid w:val="00754990"/>
    <w:rsid w:val="0076008C"/>
    <w:rsid w:val="0076110E"/>
    <w:rsid w:val="00764AFE"/>
    <w:rsid w:val="00764FAF"/>
    <w:rsid w:val="00765B7F"/>
    <w:rsid w:val="00767E83"/>
    <w:rsid w:val="00771809"/>
    <w:rsid w:val="00772E28"/>
    <w:rsid w:val="00773B9A"/>
    <w:rsid w:val="007746E7"/>
    <w:rsid w:val="00775CD9"/>
    <w:rsid w:val="00776FB8"/>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67F0"/>
    <w:rsid w:val="00796DEC"/>
    <w:rsid w:val="007A07AF"/>
    <w:rsid w:val="007A09DF"/>
    <w:rsid w:val="007A0B47"/>
    <w:rsid w:val="007A0BB2"/>
    <w:rsid w:val="007A255F"/>
    <w:rsid w:val="007A5B45"/>
    <w:rsid w:val="007A6528"/>
    <w:rsid w:val="007A7CED"/>
    <w:rsid w:val="007B2137"/>
    <w:rsid w:val="007B21F7"/>
    <w:rsid w:val="007B2A55"/>
    <w:rsid w:val="007B31F2"/>
    <w:rsid w:val="007B456B"/>
    <w:rsid w:val="007B4A60"/>
    <w:rsid w:val="007B5D4C"/>
    <w:rsid w:val="007B6756"/>
    <w:rsid w:val="007B7D22"/>
    <w:rsid w:val="007C1B45"/>
    <w:rsid w:val="007C4974"/>
    <w:rsid w:val="007C4F37"/>
    <w:rsid w:val="007D2F3D"/>
    <w:rsid w:val="007D3AB9"/>
    <w:rsid w:val="007D3CC0"/>
    <w:rsid w:val="007D7AF6"/>
    <w:rsid w:val="007E1C60"/>
    <w:rsid w:val="007E2131"/>
    <w:rsid w:val="007E35DB"/>
    <w:rsid w:val="007E3A1A"/>
    <w:rsid w:val="007E53D0"/>
    <w:rsid w:val="007E5A93"/>
    <w:rsid w:val="007F18C0"/>
    <w:rsid w:val="007F18D8"/>
    <w:rsid w:val="007F4444"/>
    <w:rsid w:val="007F49ED"/>
    <w:rsid w:val="007F4A78"/>
    <w:rsid w:val="007F615E"/>
    <w:rsid w:val="007F6CA6"/>
    <w:rsid w:val="007F7749"/>
    <w:rsid w:val="0080087F"/>
    <w:rsid w:val="008011D6"/>
    <w:rsid w:val="00801635"/>
    <w:rsid w:val="008038D4"/>
    <w:rsid w:val="0081033D"/>
    <w:rsid w:val="008111A8"/>
    <w:rsid w:val="008132C0"/>
    <w:rsid w:val="008141AE"/>
    <w:rsid w:val="00814BDE"/>
    <w:rsid w:val="00815607"/>
    <w:rsid w:val="0081632F"/>
    <w:rsid w:val="00816FE9"/>
    <w:rsid w:val="0082029B"/>
    <w:rsid w:val="008203F7"/>
    <w:rsid w:val="00821A88"/>
    <w:rsid w:val="00822173"/>
    <w:rsid w:val="0082295E"/>
    <w:rsid w:val="0082430B"/>
    <w:rsid w:val="00825B2E"/>
    <w:rsid w:val="008320CE"/>
    <w:rsid w:val="00832837"/>
    <w:rsid w:val="008332E9"/>
    <w:rsid w:val="00834859"/>
    <w:rsid w:val="00834B99"/>
    <w:rsid w:val="0083571E"/>
    <w:rsid w:val="00835F12"/>
    <w:rsid w:val="00836604"/>
    <w:rsid w:val="00840536"/>
    <w:rsid w:val="0084221F"/>
    <w:rsid w:val="00842C98"/>
    <w:rsid w:val="00842F0F"/>
    <w:rsid w:val="00844BC4"/>
    <w:rsid w:val="00845B88"/>
    <w:rsid w:val="00845C42"/>
    <w:rsid w:val="00846E74"/>
    <w:rsid w:val="00847B2B"/>
    <w:rsid w:val="008506B2"/>
    <w:rsid w:val="00854732"/>
    <w:rsid w:val="00857CFA"/>
    <w:rsid w:val="008603DE"/>
    <w:rsid w:val="008604A5"/>
    <w:rsid w:val="00860989"/>
    <w:rsid w:val="0086249C"/>
    <w:rsid w:val="00866169"/>
    <w:rsid w:val="00866C7D"/>
    <w:rsid w:val="00866E26"/>
    <w:rsid w:val="008701A6"/>
    <w:rsid w:val="00870635"/>
    <w:rsid w:val="008719A4"/>
    <w:rsid w:val="0087200F"/>
    <w:rsid w:val="00872484"/>
    <w:rsid w:val="0087371C"/>
    <w:rsid w:val="00876575"/>
    <w:rsid w:val="008766C5"/>
    <w:rsid w:val="00877662"/>
    <w:rsid w:val="00880B13"/>
    <w:rsid w:val="008814A7"/>
    <w:rsid w:val="008825E1"/>
    <w:rsid w:val="008828A9"/>
    <w:rsid w:val="0088377F"/>
    <w:rsid w:val="0088390B"/>
    <w:rsid w:val="0088443E"/>
    <w:rsid w:val="00884E6E"/>
    <w:rsid w:val="00885203"/>
    <w:rsid w:val="00886ECF"/>
    <w:rsid w:val="008870FE"/>
    <w:rsid w:val="0088725D"/>
    <w:rsid w:val="008907B5"/>
    <w:rsid w:val="0089083C"/>
    <w:rsid w:val="00892389"/>
    <w:rsid w:val="00894085"/>
    <w:rsid w:val="00896B0E"/>
    <w:rsid w:val="00897E79"/>
    <w:rsid w:val="008A3961"/>
    <w:rsid w:val="008A5448"/>
    <w:rsid w:val="008B184C"/>
    <w:rsid w:val="008B4ED7"/>
    <w:rsid w:val="008B6872"/>
    <w:rsid w:val="008B68D7"/>
    <w:rsid w:val="008B6BBF"/>
    <w:rsid w:val="008C2AB7"/>
    <w:rsid w:val="008C3202"/>
    <w:rsid w:val="008C399E"/>
    <w:rsid w:val="008C4E67"/>
    <w:rsid w:val="008C5ACD"/>
    <w:rsid w:val="008C61C9"/>
    <w:rsid w:val="008C6FD9"/>
    <w:rsid w:val="008C7431"/>
    <w:rsid w:val="008D20F2"/>
    <w:rsid w:val="008D2947"/>
    <w:rsid w:val="008D2CB3"/>
    <w:rsid w:val="008D2D4C"/>
    <w:rsid w:val="008D3463"/>
    <w:rsid w:val="008D5181"/>
    <w:rsid w:val="008D54FD"/>
    <w:rsid w:val="008D72D9"/>
    <w:rsid w:val="008D7BC4"/>
    <w:rsid w:val="008E037B"/>
    <w:rsid w:val="008E0F57"/>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C99"/>
    <w:rsid w:val="009040E3"/>
    <w:rsid w:val="00906A1D"/>
    <w:rsid w:val="00907BCD"/>
    <w:rsid w:val="009125CD"/>
    <w:rsid w:val="00915994"/>
    <w:rsid w:val="00915A41"/>
    <w:rsid w:val="00915A56"/>
    <w:rsid w:val="00920C0C"/>
    <w:rsid w:val="009214A2"/>
    <w:rsid w:val="009247D4"/>
    <w:rsid w:val="00925343"/>
    <w:rsid w:val="00926A1A"/>
    <w:rsid w:val="00926B2A"/>
    <w:rsid w:val="0092748E"/>
    <w:rsid w:val="00927DFC"/>
    <w:rsid w:val="0093094E"/>
    <w:rsid w:val="0093516D"/>
    <w:rsid w:val="00935D11"/>
    <w:rsid w:val="00940216"/>
    <w:rsid w:val="00941359"/>
    <w:rsid w:val="00941571"/>
    <w:rsid w:val="00942BF7"/>
    <w:rsid w:val="009436C7"/>
    <w:rsid w:val="00943A8E"/>
    <w:rsid w:val="00946139"/>
    <w:rsid w:val="00946823"/>
    <w:rsid w:val="00946B73"/>
    <w:rsid w:val="00947CF3"/>
    <w:rsid w:val="00951F81"/>
    <w:rsid w:val="00952113"/>
    <w:rsid w:val="00952BCE"/>
    <w:rsid w:val="009530D5"/>
    <w:rsid w:val="00955695"/>
    <w:rsid w:val="00960173"/>
    <w:rsid w:val="0096019B"/>
    <w:rsid w:val="00960675"/>
    <w:rsid w:val="009608FC"/>
    <w:rsid w:val="00962743"/>
    <w:rsid w:val="00971888"/>
    <w:rsid w:val="0097208F"/>
    <w:rsid w:val="00972A53"/>
    <w:rsid w:val="009732F7"/>
    <w:rsid w:val="00973357"/>
    <w:rsid w:val="00983B38"/>
    <w:rsid w:val="00985DD9"/>
    <w:rsid w:val="009872DC"/>
    <w:rsid w:val="009921A0"/>
    <w:rsid w:val="009921F2"/>
    <w:rsid w:val="00992811"/>
    <w:rsid w:val="00992A6A"/>
    <w:rsid w:val="00997081"/>
    <w:rsid w:val="009970B7"/>
    <w:rsid w:val="009A1AD8"/>
    <w:rsid w:val="009A3971"/>
    <w:rsid w:val="009A3D9B"/>
    <w:rsid w:val="009A555D"/>
    <w:rsid w:val="009A6895"/>
    <w:rsid w:val="009A72A7"/>
    <w:rsid w:val="009B0D43"/>
    <w:rsid w:val="009B4759"/>
    <w:rsid w:val="009B727C"/>
    <w:rsid w:val="009B7749"/>
    <w:rsid w:val="009C1C4D"/>
    <w:rsid w:val="009C2622"/>
    <w:rsid w:val="009C26FE"/>
    <w:rsid w:val="009C46BE"/>
    <w:rsid w:val="009C6C95"/>
    <w:rsid w:val="009C728B"/>
    <w:rsid w:val="009D2A31"/>
    <w:rsid w:val="009D2BE6"/>
    <w:rsid w:val="009D2C70"/>
    <w:rsid w:val="009D2E14"/>
    <w:rsid w:val="009D3B7C"/>
    <w:rsid w:val="009D4537"/>
    <w:rsid w:val="009D45F1"/>
    <w:rsid w:val="009D6983"/>
    <w:rsid w:val="009D69E7"/>
    <w:rsid w:val="009E151E"/>
    <w:rsid w:val="009E3136"/>
    <w:rsid w:val="009E53AD"/>
    <w:rsid w:val="009F00A4"/>
    <w:rsid w:val="009F1093"/>
    <w:rsid w:val="009F3EB0"/>
    <w:rsid w:val="009F617D"/>
    <w:rsid w:val="009F6344"/>
    <w:rsid w:val="009F71BA"/>
    <w:rsid w:val="009F7882"/>
    <w:rsid w:val="009F7BC4"/>
    <w:rsid w:val="00A00D43"/>
    <w:rsid w:val="00A0183F"/>
    <w:rsid w:val="00A02FB5"/>
    <w:rsid w:val="00A0539D"/>
    <w:rsid w:val="00A058A4"/>
    <w:rsid w:val="00A06849"/>
    <w:rsid w:val="00A0700F"/>
    <w:rsid w:val="00A076AD"/>
    <w:rsid w:val="00A115D1"/>
    <w:rsid w:val="00A117AB"/>
    <w:rsid w:val="00A1208F"/>
    <w:rsid w:val="00A13BD6"/>
    <w:rsid w:val="00A147EB"/>
    <w:rsid w:val="00A14BC4"/>
    <w:rsid w:val="00A17190"/>
    <w:rsid w:val="00A21CC1"/>
    <w:rsid w:val="00A25636"/>
    <w:rsid w:val="00A3163F"/>
    <w:rsid w:val="00A31B76"/>
    <w:rsid w:val="00A31D4E"/>
    <w:rsid w:val="00A32FA9"/>
    <w:rsid w:val="00A36F4E"/>
    <w:rsid w:val="00A37B08"/>
    <w:rsid w:val="00A40F30"/>
    <w:rsid w:val="00A42278"/>
    <w:rsid w:val="00A42F14"/>
    <w:rsid w:val="00A463D4"/>
    <w:rsid w:val="00A47120"/>
    <w:rsid w:val="00A47BFC"/>
    <w:rsid w:val="00A500E9"/>
    <w:rsid w:val="00A517BF"/>
    <w:rsid w:val="00A51C83"/>
    <w:rsid w:val="00A523B2"/>
    <w:rsid w:val="00A54747"/>
    <w:rsid w:val="00A55898"/>
    <w:rsid w:val="00A56542"/>
    <w:rsid w:val="00A56E01"/>
    <w:rsid w:val="00A6016E"/>
    <w:rsid w:val="00A62AA7"/>
    <w:rsid w:val="00A62B0D"/>
    <w:rsid w:val="00A63AC4"/>
    <w:rsid w:val="00A6401A"/>
    <w:rsid w:val="00A65947"/>
    <w:rsid w:val="00A67918"/>
    <w:rsid w:val="00A7073B"/>
    <w:rsid w:val="00A7491A"/>
    <w:rsid w:val="00A7647D"/>
    <w:rsid w:val="00A765FB"/>
    <w:rsid w:val="00A77D74"/>
    <w:rsid w:val="00A8136B"/>
    <w:rsid w:val="00A8252F"/>
    <w:rsid w:val="00A833BC"/>
    <w:rsid w:val="00A83640"/>
    <w:rsid w:val="00A84AF1"/>
    <w:rsid w:val="00A85DC6"/>
    <w:rsid w:val="00A86FFE"/>
    <w:rsid w:val="00A93501"/>
    <w:rsid w:val="00A936C3"/>
    <w:rsid w:val="00A95DA0"/>
    <w:rsid w:val="00A96604"/>
    <w:rsid w:val="00A9674B"/>
    <w:rsid w:val="00A96A0B"/>
    <w:rsid w:val="00A96BB4"/>
    <w:rsid w:val="00AA6DD1"/>
    <w:rsid w:val="00AB1319"/>
    <w:rsid w:val="00AB22CF"/>
    <w:rsid w:val="00AB3641"/>
    <w:rsid w:val="00AB3BF2"/>
    <w:rsid w:val="00AB50C7"/>
    <w:rsid w:val="00AB5662"/>
    <w:rsid w:val="00AC0184"/>
    <w:rsid w:val="00AC24E6"/>
    <w:rsid w:val="00AC25E1"/>
    <w:rsid w:val="00AC40D3"/>
    <w:rsid w:val="00AD2606"/>
    <w:rsid w:val="00AE18D6"/>
    <w:rsid w:val="00AE2ADC"/>
    <w:rsid w:val="00AE4410"/>
    <w:rsid w:val="00AE5429"/>
    <w:rsid w:val="00AF0488"/>
    <w:rsid w:val="00AF0909"/>
    <w:rsid w:val="00AF1274"/>
    <w:rsid w:val="00AF18CA"/>
    <w:rsid w:val="00AF2389"/>
    <w:rsid w:val="00AF2F8B"/>
    <w:rsid w:val="00AF3664"/>
    <w:rsid w:val="00AF46E4"/>
    <w:rsid w:val="00AF6E41"/>
    <w:rsid w:val="00AF7FDA"/>
    <w:rsid w:val="00B10CAE"/>
    <w:rsid w:val="00B16069"/>
    <w:rsid w:val="00B1658B"/>
    <w:rsid w:val="00B20AB2"/>
    <w:rsid w:val="00B227C6"/>
    <w:rsid w:val="00B22B6B"/>
    <w:rsid w:val="00B23D47"/>
    <w:rsid w:val="00B25630"/>
    <w:rsid w:val="00B26E3A"/>
    <w:rsid w:val="00B30AD1"/>
    <w:rsid w:val="00B33B3A"/>
    <w:rsid w:val="00B34C76"/>
    <w:rsid w:val="00B35DF8"/>
    <w:rsid w:val="00B4004B"/>
    <w:rsid w:val="00B401CC"/>
    <w:rsid w:val="00B40929"/>
    <w:rsid w:val="00B4276E"/>
    <w:rsid w:val="00B42DC6"/>
    <w:rsid w:val="00B44840"/>
    <w:rsid w:val="00B45714"/>
    <w:rsid w:val="00B45A6D"/>
    <w:rsid w:val="00B45EBE"/>
    <w:rsid w:val="00B528B8"/>
    <w:rsid w:val="00B52BA7"/>
    <w:rsid w:val="00B5435E"/>
    <w:rsid w:val="00B55F81"/>
    <w:rsid w:val="00B56935"/>
    <w:rsid w:val="00B57CCC"/>
    <w:rsid w:val="00B60469"/>
    <w:rsid w:val="00B60519"/>
    <w:rsid w:val="00B60617"/>
    <w:rsid w:val="00B61A24"/>
    <w:rsid w:val="00B62158"/>
    <w:rsid w:val="00B63DB1"/>
    <w:rsid w:val="00B63F39"/>
    <w:rsid w:val="00B67848"/>
    <w:rsid w:val="00B730DD"/>
    <w:rsid w:val="00B738DE"/>
    <w:rsid w:val="00B73E17"/>
    <w:rsid w:val="00B751E6"/>
    <w:rsid w:val="00B75396"/>
    <w:rsid w:val="00B75CCB"/>
    <w:rsid w:val="00B76EA2"/>
    <w:rsid w:val="00B81A21"/>
    <w:rsid w:val="00B81A38"/>
    <w:rsid w:val="00B82A76"/>
    <w:rsid w:val="00B85D78"/>
    <w:rsid w:val="00B85EBE"/>
    <w:rsid w:val="00B90D5A"/>
    <w:rsid w:val="00B9145E"/>
    <w:rsid w:val="00B922CF"/>
    <w:rsid w:val="00B93C59"/>
    <w:rsid w:val="00B947F4"/>
    <w:rsid w:val="00B9660B"/>
    <w:rsid w:val="00B97978"/>
    <w:rsid w:val="00B97BCE"/>
    <w:rsid w:val="00BA1C6C"/>
    <w:rsid w:val="00BA347A"/>
    <w:rsid w:val="00BA5733"/>
    <w:rsid w:val="00BA71B6"/>
    <w:rsid w:val="00BB2B95"/>
    <w:rsid w:val="00BB50DC"/>
    <w:rsid w:val="00BB527A"/>
    <w:rsid w:val="00BC29D2"/>
    <w:rsid w:val="00BC2BFA"/>
    <w:rsid w:val="00BC617A"/>
    <w:rsid w:val="00BC67C3"/>
    <w:rsid w:val="00BC6FC7"/>
    <w:rsid w:val="00BC7CF7"/>
    <w:rsid w:val="00BC7F28"/>
    <w:rsid w:val="00BD493B"/>
    <w:rsid w:val="00BD5DEE"/>
    <w:rsid w:val="00BD6E48"/>
    <w:rsid w:val="00BD7001"/>
    <w:rsid w:val="00BD74BB"/>
    <w:rsid w:val="00BD765D"/>
    <w:rsid w:val="00BD7EB3"/>
    <w:rsid w:val="00BE0489"/>
    <w:rsid w:val="00BE0FAD"/>
    <w:rsid w:val="00BE114A"/>
    <w:rsid w:val="00BE318D"/>
    <w:rsid w:val="00BE5A7E"/>
    <w:rsid w:val="00BE67EE"/>
    <w:rsid w:val="00BE776A"/>
    <w:rsid w:val="00BF0C34"/>
    <w:rsid w:val="00BF1C5E"/>
    <w:rsid w:val="00BF2579"/>
    <w:rsid w:val="00BF5188"/>
    <w:rsid w:val="00BF7EB6"/>
    <w:rsid w:val="00C0019C"/>
    <w:rsid w:val="00C02775"/>
    <w:rsid w:val="00C04E53"/>
    <w:rsid w:val="00C05A87"/>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23B7"/>
    <w:rsid w:val="00C2322D"/>
    <w:rsid w:val="00C24067"/>
    <w:rsid w:val="00C244D9"/>
    <w:rsid w:val="00C24D93"/>
    <w:rsid w:val="00C31260"/>
    <w:rsid w:val="00C31BD2"/>
    <w:rsid w:val="00C345B1"/>
    <w:rsid w:val="00C36B40"/>
    <w:rsid w:val="00C36C15"/>
    <w:rsid w:val="00C37052"/>
    <w:rsid w:val="00C41E1E"/>
    <w:rsid w:val="00C42CB7"/>
    <w:rsid w:val="00C442AB"/>
    <w:rsid w:val="00C44C25"/>
    <w:rsid w:val="00C45987"/>
    <w:rsid w:val="00C45C7F"/>
    <w:rsid w:val="00C46641"/>
    <w:rsid w:val="00C467BA"/>
    <w:rsid w:val="00C51021"/>
    <w:rsid w:val="00C526DB"/>
    <w:rsid w:val="00C5397F"/>
    <w:rsid w:val="00C54D68"/>
    <w:rsid w:val="00C5731C"/>
    <w:rsid w:val="00C57400"/>
    <w:rsid w:val="00C60143"/>
    <w:rsid w:val="00C60392"/>
    <w:rsid w:val="00C609B1"/>
    <w:rsid w:val="00C60CA0"/>
    <w:rsid w:val="00C60D71"/>
    <w:rsid w:val="00C6227F"/>
    <w:rsid w:val="00C646B5"/>
    <w:rsid w:val="00C70305"/>
    <w:rsid w:val="00C7330E"/>
    <w:rsid w:val="00C749CD"/>
    <w:rsid w:val="00C756E9"/>
    <w:rsid w:val="00C75B20"/>
    <w:rsid w:val="00C825FE"/>
    <w:rsid w:val="00C82A54"/>
    <w:rsid w:val="00C851DF"/>
    <w:rsid w:val="00C854C1"/>
    <w:rsid w:val="00C85791"/>
    <w:rsid w:val="00C87D2B"/>
    <w:rsid w:val="00C90228"/>
    <w:rsid w:val="00C9342A"/>
    <w:rsid w:val="00C942BE"/>
    <w:rsid w:val="00C94696"/>
    <w:rsid w:val="00C95230"/>
    <w:rsid w:val="00C9738C"/>
    <w:rsid w:val="00C975BD"/>
    <w:rsid w:val="00CA080E"/>
    <w:rsid w:val="00CA4F66"/>
    <w:rsid w:val="00CA69CF"/>
    <w:rsid w:val="00CA6F89"/>
    <w:rsid w:val="00CA70B1"/>
    <w:rsid w:val="00CB04D0"/>
    <w:rsid w:val="00CB050D"/>
    <w:rsid w:val="00CB07A6"/>
    <w:rsid w:val="00CB2868"/>
    <w:rsid w:val="00CB3A6D"/>
    <w:rsid w:val="00CB55BF"/>
    <w:rsid w:val="00CB627A"/>
    <w:rsid w:val="00CB6286"/>
    <w:rsid w:val="00CB6357"/>
    <w:rsid w:val="00CB648D"/>
    <w:rsid w:val="00CB6EC3"/>
    <w:rsid w:val="00CB7033"/>
    <w:rsid w:val="00CC211E"/>
    <w:rsid w:val="00CC3A37"/>
    <w:rsid w:val="00CC4376"/>
    <w:rsid w:val="00CC5509"/>
    <w:rsid w:val="00CC7348"/>
    <w:rsid w:val="00CD0319"/>
    <w:rsid w:val="00CD19B2"/>
    <w:rsid w:val="00CD25F7"/>
    <w:rsid w:val="00CD3495"/>
    <w:rsid w:val="00CD4AAE"/>
    <w:rsid w:val="00CD7841"/>
    <w:rsid w:val="00CE1174"/>
    <w:rsid w:val="00CE16C7"/>
    <w:rsid w:val="00CE1A50"/>
    <w:rsid w:val="00CE2764"/>
    <w:rsid w:val="00CE3B33"/>
    <w:rsid w:val="00CE46F0"/>
    <w:rsid w:val="00CE4ADA"/>
    <w:rsid w:val="00CE5943"/>
    <w:rsid w:val="00CE5DCE"/>
    <w:rsid w:val="00CE6442"/>
    <w:rsid w:val="00CF047C"/>
    <w:rsid w:val="00CF052D"/>
    <w:rsid w:val="00CF203D"/>
    <w:rsid w:val="00CF26EF"/>
    <w:rsid w:val="00CF358D"/>
    <w:rsid w:val="00CF470B"/>
    <w:rsid w:val="00D004A8"/>
    <w:rsid w:val="00D02CFC"/>
    <w:rsid w:val="00D02E77"/>
    <w:rsid w:val="00D0743B"/>
    <w:rsid w:val="00D1549F"/>
    <w:rsid w:val="00D16E20"/>
    <w:rsid w:val="00D17A14"/>
    <w:rsid w:val="00D20D4D"/>
    <w:rsid w:val="00D24EB2"/>
    <w:rsid w:val="00D2663C"/>
    <w:rsid w:val="00D305B4"/>
    <w:rsid w:val="00D3188E"/>
    <w:rsid w:val="00D329A6"/>
    <w:rsid w:val="00D329DB"/>
    <w:rsid w:val="00D337AB"/>
    <w:rsid w:val="00D33E81"/>
    <w:rsid w:val="00D364A0"/>
    <w:rsid w:val="00D36FA8"/>
    <w:rsid w:val="00D45170"/>
    <w:rsid w:val="00D4701B"/>
    <w:rsid w:val="00D475CF"/>
    <w:rsid w:val="00D501D7"/>
    <w:rsid w:val="00D50235"/>
    <w:rsid w:val="00D5086F"/>
    <w:rsid w:val="00D51225"/>
    <w:rsid w:val="00D51524"/>
    <w:rsid w:val="00D5172C"/>
    <w:rsid w:val="00D54812"/>
    <w:rsid w:val="00D5523B"/>
    <w:rsid w:val="00D55BAB"/>
    <w:rsid w:val="00D55DAF"/>
    <w:rsid w:val="00D55E30"/>
    <w:rsid w:val="00D60620"/>
    <w:rsid w:val="00D609AD"/>
    <w:rsid w:val="00D62F9F"/>
    <w:rsid w:val="00D65C15"/>
    <w:rsid w:val="00D65D1E"/>
    <w:rsid w:val="00D66BC5"/>
    <w:rsid w:val="00D67D34"/>
    <w:rsid w:val="00D67EA3"/>
    <w:rsid w:val="00D700AF"/>
    <w:rsid w:val="00D711D8"/>
    <w:rsid w:val="00D7661A"/>
    <w:rsid w:val="00D77D63"/>
    <w:rsid w:val="00D80954"/>
    <w:rsid w:val="00D821C6"/>
    <w:rsid w:val="00D85058"/>
    <w:rsid w:val="00D87845"/>
    <w:rsid w:val="00D91E74"/>
    <w:rsid w:val="00D92B60"/>
    <w:rsid w:val="00D95E57"/>
    <w:rsid w:val="00DA0DFA"/>
    <w:rsid w:val="00DA1FEE"/>
    <w:rsid w:val="00DA5DEC"/>
    <w:rsid w:val="00DA6115"/>
    <w:rsid w:val="00DA6977"/>
    <w:rsid w:val="00DA7FE9"/>
    <w:rsid w:val="00DB05D8"/>
    <w:rsid w:val="00DB223B"/>
    <w:rsid w:val="00DB3BE5"/>
    <w:rsid w:val="00DB780B"/>
    <w:rsid w:val="00DC117E"/>
    <w:rsid w:val="00DC16E0"/>
    <w:rsid w:val="00DC2499"/>
    <w:rsid w:val="00DC31C9"/>
    <w:rsid w:val="00DC5842"/>
    <w:rsid w:val="00DC68AC"/>
    <w:rsid w:val="00DC68CE"/>
    <w:rsid w:val="00DD1080"/>
    <w:rsid w:val="00DD1675"/>
    <w:rsid w:val="00DD1B9B"/>
    <w:rsid w:val="00DD62D4"/>
    <w:rsid w:val="00DD644A"/>
    <w:rsid w:val="00DE0863"/>
    <w:rsid w:val="00DE153E"/>
    <w:rsid w:val="00DE1BD6"/>
    <w:rsid w:val="00DE1F94"/>
    <w:rsid w:val="00DE3232"/>
    <w:rsid w:val="00DE7858"/>
    <w:rsid w:val="00DE7911"/>
    <w:rsid w:val="00DF0760"/>
    <w:rsid w:val="00DF2089"/>
    <w:rsid w:val="00DF26AB"/>
    <w:rsid w:val="00DF3394"/>
    <w:rsid w:val="00DF6C5A"/>
    <w:rsid w:val="00DF7D6E"/>
    <w:rsid w:val="00E004AB"/>
    <w:rsid w:val="00E01BF7"/>
    <w:rsid w:val="00E036D9"/>
    <w:rsid w:val="00E03BB4"/>
    <w:rsid w:val="00E03C73"/>
    <w:rsid w:val="00E04223"/>
    <w:rsid w:val="00E066C9"/>
    <w:rsid w:val="00E070C4"/>
    <w:rsid w:val="00E10E42"/>
    <w:rsid w:val="00E113CC"/>
    <w:rsid w:val="00E12724"/>
    <w:rsid w:val="00E127C0"/>
    <w:rsid w:val="00E12EE0"/>
    <w:rsid w:val="00E155B8"/>
    <w:rsid w:val="00E162DA"/>
    <w:rsid w:val="00E166B3"/>
    <w:rsid w:val="00E169E3"/>
    <w:rsid w:val="00E16AD0"/>
    <w:rsid w:val="00E226DF"/>
    <w:rsid w:val="00E22803"/>
    <w:rsid w:val="00E22884"/>
    <w:rsid w:val="00E23394"/>
    <w:rsid w:val="00E23C7E"/>
    <w:rsid w:val="00E24BBD"/>
    <w:rsid w:val="00E25784"/>
    <w:rsid w:val="00E265B0"/>
    <w:rsid w:val="00E26AA3"/>
    <w:rsid w:val="00E27684"/>
    <w:rsid w:val="00E27EC3"/>
    <w:rsid w:val="00E30845"/>
    <w:rsid w:val="00E30E15"/>
    <w:rsid w:val="00E317CF"/>
    <w:rsid w:val="00E35252"/>
    <w:rsid w:val="00E35DF6"/>
    <w:rsid w:val="00E37371"/>
    <w:rsid w:val="00E37E08"/>
    <w:rsid w:val="00E4039C"/>
    <w:rsid w:val="00E40BA3"/>
    <w:rsid w:val="00E41528"/>
    <w:rsid w:val="00E41DB2"/>
    <w:rsid w:val="00E46943"/>
    <w:rsid w:val="00E47B85"/>
    <w:rsid w:val="00E50063"/>
    <w:rsid w:val="00E50EED"/>
    <w:rsid w:val="00E51971"/>
    <w:rsid w:val="00E51D93"/>
    <w:rsid w:val="00E54693"/>
    <w:rsid w:val="00E55912"/>
    <w:rsid w:val="00E56000"/>
    <w:rsid w:val="00E603A1"/>
    <w:rsid w:val="00E622E0"/>
    <w:rsid w:val="00E702D8"/>
    <w:rsid w:val="00E703DD"/>
    <w:rsid w:val="00E72251"/>
    <w:rsid w:val="00E731DC"/>
    <w:rsid w:val="00E73A0D"/>
    <w:rsid w:val="00E74FC9"/>
    <w:rsid w:val="00E752B3"/>
    <w:rsid w:val="00E75EA6"/>
    <w:rsid w:val="00E7662C"/>
    <w:rsid w:val="00E76D1C"/>
    <w:rsid w:val="00E77AC7"/>
    <w:rsid w:val="00E80DE9"/>
    <w:rsid w:val="00E840DF"/>
    <w:rsid w:val="00E85628"/>
    <w:rsid w:val="00E87B41"/>
    <w:rsid w:val="00E9030C"/>
    <w:rsid w:val="00E91248"/>
    <w:rsid w:val="00E91E35"/>
    <w:rsid w:val="00E93E2B"/>
    <w:rsid w:val="00E969ED"/>
    <w:rsid w:val="00E97749"/>
    <w:rsid w:val="00EA1DCD"/>
    <w:rsid w:val="00EA44AB"/>
    <w:rsid w:val="00EA44AD"/>
    <w:rsid w:val="00EA4EF2"/>
    <w:rsid w:val="00EA58CC"/>
    <w:rsid w:val="00EA742A"/>
    <w:rsid w:val="00EB0B79"/>
    <w:rsid w:val="00EB13A5"/>
    <w:rsid w:val="00EB1F77"/>
    <w:rsid w:val="00EB3260"/>
    <w:rsid w:val="00EB4EE8"/>
    <w:rsid w:val="00EB4F13"/>
    <w:rsid w:val="00EB7F21"/>
    <w:rsid w:val="00EC032B"/>
    <w:rsid w:val="00EC0578"/>
    <w:rsid w:val="00EC102A"/>
    <w:rsid w:val="00EC118F"/>
    <w:rsid w:val="00EC2E36"/>
    <w:rsid w:val="00EC382C"/>
    <w:rsid w:val="00ED14D1"/>
    <w:rsid w:val="00ED391C"/>
    <w:rsid w:val="00ED5676"/>
    <w:rsid w:val="00ED7A0A"/>
    <w:rsid w:val="00EE1606"/>
    <w:rsid w:val="00EE240E"/>
    <w:rsid w:val="00EE2C00"/>
    <w:rsid w:val="00EE39C1"/>
    <w:rsid w:val="00EE3AB1"/>
    <w:rsid w:val="00EE3E2E"/>
    <w:rsid w:val="00EE695D"/>
    <w:rsid w:val="00EF0ABE"/>
    <w:rsid w:val="00EF16FD"/>
    <w:rsid w:val="00EF2264"/>
    <w:rsid w:val="00EF2D6C"/>
    <w:rsid w:val="00EF3DB7"/>
    <w:rsid w:val="00EF42C2"/>
    <w:rsid w:val="00EF4A9D"/>
    <w:rsid w:val="00EF5968"/>
    <w:rsid w:val="00EF59D5"/>
    <w:rsid w:val="00F00B70"/>
    <w:rsid w:val="00F024F0"/>
    <w:rsid w:val="00F0590E"/>
    <w:rsid w:val="00F05BE6"/>
    <w:rsid w:val="00F05C25"/>
    <w:rsid w:val="00F10C30"/>
    <w:rsid w:val="00F1348C"/>
    <w:rsid w:val="00F15B42"/>
    <w:rsid w:val="00F16704"/>
    <w:rsid w:val="00F169FF"/>
    <w:rsid w:val="00F16AEC"/>
    <w:rsid w:val="00F16BEF"/>
    <w:rsid w:val="00F17AA3"/>
    <w:rsid w:val="00F20747"/>
    <w:rsid w:val="00F21E83"/>
    <w:rsid w:val="00F23292"/>
    <w:rsid w:val="00F24300"/>
    <w:rsid w:val="00F31D40"/>
    <w:rsid w:val="00F33051"/>
    <w:rsid w:val="00F3370F"/>
    <w:rsid w:val="00F33D07"/>
    <w:rsid w:val="00F347F7"/>
    <w:rsid w:val="00F36A30"/>
    <w:rsid w:val="00F37451"/>
    <w:rsid w:val="00F41B80"/>
    <w:rsid w:val="00F41C50"/>
    <w:rsid w:val="00F41DF9"/>
    <w:rsid w:val="00F42C74"/>
    <w:rsid w:val="00F4340B"/>
    <w:rsid w:val="00F43642"/>
    <w:rsid w:val="00F4474B"/>
    <w:rsid w:val="00F453C1"/>
    <w:rsid w:val="00F51D48"/>
    <w:rsid w:val="00F51F01"/>
    <w:rsid w:val="00F51F12"/>
    <w:rsid w:val="00F526DD"/>
    <w:rsid w:val="00F548D5"/>
    <w:rsid w:val="00F54E93"/>
    <w:rsid w:val="00F54EEB"/>
    <w:rsid w:val="00F57D48"/>
    <w:rsid w:val="00F602B4"/>
    <w:rsid w:val="00F6279B"/>
    <w:rsid w:val="00F62824"/>
    <w:rsid w:val="00F6661F"/>
    <w:rsid w:val="00F67825"/>
    <w:rsid w:val="00F71582"/>
    <w:rsid w:val="00F72305"/>
    <w:rsid w:val="00F759FC"/>
    <w:rsid w:val="00F81F44"/>
    <w:rsid w:val="00F823A9"/>
    <w:rsid w:val="00F825C3"/>
    <w:rsid w:val="00F82CBC"/>
    <w:rsid w:val="00F86F7D"/>
    <w:rsid w:val="00F87D43"/>
    <w:rsid w:val="00F90D17"/>
    <w:rsid w:val="00F91032"/>
    <w:rsid w:val="00F915F4"/>
    <w:rsid w:val="00F940B8"/>
    <w:rsid w:val="00F97182"/>
    <w:rsid w:val="00F9767C"/>
    <w:rsid w:val="00F976B8"/>
    <w:rsid w:val="00FA1C35"/>
    <w:rsid w:val="00FA6870"/>
    <w:rsid w:val="00FB1218"/>
    <w:rsid w:val="00FB35A1"/>
    <w:rsid w:val="00FB41FC"/>
    <w:rsid w:val="00FB4C58"/>
    <w:rsid w:val="00FB5DA6"/>
    <w:rsid w:val="00FC4610"/>
    <w:rsid w:val="00FC4856"/>
    <w:rsid w:val="00FC59D3"/>
    <w:rsid w:val="00FC6039"/>
    <w:rsid w:val="00FC65AA"/>
    <w:rsid w:val="00FC67BB"/>
    <w:rsid w:val="00FC7175"/>
    <w:rsid w:val="00FD003F"/>
    <w:rsid w:val="00FD05F2"/>
    <w:rsid w:val="00FD1172"/>
    <w:rsid w:val="00FD211D"/>
    <w:rsid w:val="00FD4614"/>
    <w:rsid w:val="00FD54C0"/>
    <w:rsid w:val="00FD6602"/>
    <w:rsid w:val="00FD6D60"/>
    <w:rsid w:val="00FE032D"/>
    <w:rsid w:val="00FE060E"/>
    <w:rsid w:val="00FE1158"/>
    <w:rsid w:val="00FE2985"/>
    <w:rsid w:val="00FE29AF"/>
    <w:rsid w:val="00FE4860"/>
    <w:rsid w:val="00FF0CBD"/>
    <w:rsid w:val="00FF0F3D"/>
    <w:rsid w:val="00FF28F7"/>
    <w:rsid w:val="00FF415C"/>
    <w:rsid w:val="00FF5B4C"/>
    <w:rsid w:val="00FF5C63"/>
    <w:rsid w:val="00FF5C67"/>
    <w:rsid w:val="00FF5D90"/>
    <w:rsid w:val="00FF63A5"/>
    <w:rsid w:val="00FF77AC"/>
    <w:rsid w:val="056E3BCB"/>
    <w:rsid w:val="072C1CC4"/>
    <w:rsid w:val="11C09D0F"/>
    <w:rsid w:val="1777C12C"/>
    <w:rsid w:val="1EC420B9"/>
    <w:rsid w:val="34832FA9"/>
    <w:rsid w:val="39CBD50D"/>
    <w:rsid w:val="3A5A3A2F"/>
    <w:rsid w:val="3CB8F509"/>
    <w:rsid w:val="5262FA44"/>
    <w:rsid w:val="57A43279"/>
    <w:rsid w:val="68D686E1"/>
    <w:rsid w:val="6C93748A"/>
    <w:rsid w:val="6E6AE3D0"/>
    <w:rsid w:val="71315CDB"/>
    <w:rsid w:val="75EFC2D7"/>
    <w:rsid w:val="7E2935B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Date"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E3F"/>
    <w:pPr>
      <w:tabs>
        <w:tab w:val="left" w:pos="567"/>
      </w:tabs>
    </w:pPr>
    <w:rPr>
      <w:rFonts w:eastAsia="PMingLiU"/>
      <w:sz w:val="22"/>
      <w:szCs w:val="22"/>
      <w:lang w:val="nl-NL"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tabs>
        <w:tab w:val="clear" w:pos="567"/>
        <w:tab w:val="clear" w:pos="720"/>
        <w:tab w:val="num" w:pos="360"/>
      </w:tabs>
      <w:spacing w:after="120"/>
      <w:ind w:left="0" w:firstLine="0"/>
    </w:pPr>
    <w:rPr>
      <w:rFonts w:ascii="Arial" w:hAnsi="Arial" w:cs="Arial"/>
      <w:b/>
      <w:bCs/>
      <w:sz w:val="24"/>
    </w:rPr>
  </w:style>
  <w:style w:type="paragraph" w:customStyle="1" w:styleId="AHeader2">
    <w:name w:val="AHeader 2"/>
    <w:basedOn w:val="AHeader1"/>
    <w:pPr>
      <w:numPr>
        <w:ilvl w:val="1"/>
      </w:numPr>
      <w:tabs>
        <w:tab w:val="clear" w:pos="709"/>
        <w:tab w:val="num" w:pos="360"/>
        <w:tab w:val="num" w:pos="1080"/>
      </w:tabs>
      <w:ind w:left="0" w:firstLine="0"/>
    </w:pPr>
    <w:rPr>
      <w:sz w:val="22"/>
    </w:rPr>
  </w:style>
  <w:style w:type="paragraph" w:customStyle="1" w:styleId="AHeader3">
    <w:name w:val="AHeader 3"/>
    <w:basedOn w:val="AHeader2"/>
    <w:pPr>
      <w:numPr>
        <w:ilvl w:val="2"/>
      </w:numPr>
      <w:tabs>
        <w:tab w:val="clear" w:pos="1276"/>
        <w:tab w:val="num" w:pos="360"/>
        <w:tab w:val="num" w:pos="1080"/>
      </w:tabs>
      <w:ind w:left="0" w:firstLine="0"/>
    </w:pPr>
  </w:style>
  <w:style w:type="paragraph" w:customStyle="1" w:styleId="AHeader2abc">
    <w:name w:val="AHeader 2 abc"/>
    <w:basedOn w:val="AHeader3"/>
    <w:pPr>
      <w:numPr>
        <w:ilvl w:val="3"/>
      </w:numPr>
      <w:tabs>
        <w:tab w:val="clear" w:pos="1276"/>
        <w:tab w:val="num" w:pos="360"/>
        <w:tab w:val="num" w:pos="1080"/>
      </w:tabs>
      <w:jc w:val="both"/>
    </w:pPr>
    <w:rPr>
      <w:b w:val="0"/>
      <w:bCs w:val="0"/>
    </w:rPr>
  </w:style>
  <w:style w:type="paragraph" w:customStyle="1" w:styleId="AHeader3abc">
    <w:name w:val="AHeader 3 abc"/>
    <w:basedOn w:val="AHeader2abc"/>
    <w:pPr>
      <w:numPr>
        <w:ilvl w:val="4"/>
      </w:numPr>
      <w:tabs>
        <w:tab w:val="clear" w:pos="1701"/>
        <w:tab w:val="num" w:pos="360"/>
        <w:tab w:val="num" w:pos="108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nl-NL"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nl-NL"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nl-NL" w:eastAsia="en-US"/>
    </w:rPr>
  </w:style>
  <w:style w:type="character" w:customStyle="1" w:styleId="SidhuvudChar1">
    <w:name w:val="Sidhuvud Char1"/>
    <w:rPr>
      <w:rFonts w:ascii="Helvetica" w:hAnsi="Helvetica"/>
      <w:lang w:val="nl-NL"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nl-NL"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nl-NL"/>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nl-NL"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nl-NL"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nl-NL" w:eastAsia="en-US"/>
    </w:rPr>
  </w:style>
  <w:style w:type="character" w:customStyle="1" w:styleId="z3988">
    <w:name w:val="z3988"/>
    <w:basedOn w:val="DefaultParagraphFont"/>
  </w:style>
  <w:style w:type="character" w:customStyle="1" w:styleId="SidhuvudChar2">
    <w:name w:val="Sidhuvud Char2"/>
    <w:rPr>
      <w:rFonts w:ascii="Helvetica" w:hAnsi="Helvetica"/>
      <w:lang w:val="nl-NL" w:eastAsia="en-US" w:bidi="ar-SA"/>
    </w:rPr>
  </w:style>
  <w:style w:type="character" w:styleId="Strong">
    <w:name w:val="Strong"/>
    <w:uiPriority w:val="22"/>
    <w:qFormat/>
    <w:rPr>
      <w:b/>
      <w:bCs/>
    </w:rPr>
  </w:style>
  <w:style w:type="paragraph" w:styleId="Date">
    <w:name w:val="Date"/>
    <w:basedOn w:val="Normal"/>
    <w:next w:val="Normal"/>
    <w:link w:val="DateChar"/>
    <w:uiPriority w:val="99"/>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nl-NL"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nl-NL" w:eastAsia="ja-JP"/>
    </w:rPr>
  </w:style>
  <w:style w:type="paragraph" w:styleId="ListParagraph">
    <w:name w:val="List Paragraph"/>
    <w:basedOn w:val="Normal"/>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nl-NL"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nl-NL"/>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nl-NL" w:eastAsia="en-US"/>
    </w:rPr>
  </w:style>
  <w:style w:type="character" w:customStyle="1" w:styleId="Heading2Char">
    <w:name w:val="Heading 2 Char"/>
    <w:link w:val="Heading2"/>
    <w:rsid w:val="00951F81"/>
    <w:rPr>
      <w:rFonts w:ascii="Helvetica" w:eastAsia="PMingLiU" w:hAnsi="Helvetica"/>
      <w:b/>
      <w:i/>
      <w:sz w:val="24"/>
      <w:szCs w:val="22"/>
      <w:lang w:val="nl-NL" w:eastAsia="en-US"/>
    </w:rPr>
  </w:style>
  <w:style w:type="character" w:customStyle="1" w:styleId="Heading3Char">
    <w:name w:val="Heading 3 Char"/>
    <w:link w:val="Heading3"/>
    <w:rsid w:val="00951F81"/>
    <w:rPr>
      <w:rFonts w:eastAsia="PMingLiU"/>
      <w:b/>
      <w:kern w:val="28"/>
      <w:sz w:val="24"/>
      <w:szCs w:val="22"/>
      <w:lang w:val="nl-NL" w:eastAsia="en-US"/>
    </w:rPr>
  </w:style>
  <w:style w:type="character" w:customStyle="1" w:styleId="Heading4Char">
    <w:name w:val="Heading 4 Char"/>
    <w:link w:val="Heading4"/>
    <w:rsid w:val="00951F81"/>
    <w:rPr>
      <w:rFonts w:eastAsia="PMingLiU"/>
      <w:b/>
      <w:noProof/>
      <w:sz w:val="22"/>
      <w:szCs w:val="22"/>
      <w:lang w:val="nl-NL" w:eastAsia="en-US"/>
    </w:rPr>
  </w:style>
  <w:style w:type="character" w:customStyle="1" w:styleId="Heading5Char">
    <w:name w:val="Heading 5 Char"/>
    <w:link w:val="Heading5"/>
    <w:rsid w:val="00951F81"/>
    <w:rPr>
      <w:rFonts w:eastAsia="PMingLiU"/>
      <w:noProof/>
      <w:sz w:val="22"/>
      <w:szCs w:val="22"/>
      <w:lang w:val="nl-NL" w:eastAsia="en-US"/>
    </w:rPr>
  </w:style>
  <w:style w:type="character" w:customStyle="1" w:styleId="Heading6Char">
    <w:name w:val="Heading 6 Char"/>
    <w:link w:val="Heading6"/>
    <w:rsid w:val="00951F81"/>
    <w:rPr>
      <w:rFonts w:eastAsia="PMingLiU"/>
      <w:i/>
      <w:sz w:val="22"/>
      <w:szCs w:val="22"/>
      <w:lang w:val="nl-NL" w:eastAsia="en-US"/>
    </w:rPr>
  </w:style>
  <w:style w:type="character" w:customStyle="1" w:styleId="Heading7Char">
    <w:name w:val="Heading 7 Char"/>
    <w:link w:val="Heading7"/>
    <w:rsid w:val="00951F81"/>
    <w:rPr>
      <w:rFonts w:eastAsia="PMingLiU"/>
      <w:i/>
      <w:sz w:val="22"/>
      <w:szCs w:val="22"/>
      <w:lang w:val="nl-NL" w:eastAsia="en-US"/>
    </w:rPr>
  </w:style>
  <w:style w:type="character" w:customStyle="1" w:styleId="Heading8Char">
    <w:name w:val="Heading 8 Char"/>
    <w:link w:val="Heading8"/>
    <w:rsid w:val="00951F81"/>
    <w:rPr>
      <w:rFonts w:eastAsia="PMingLiU"/>
      <w:b/>
      <w:i/>
      <w:sz w:val="22"/>
      <w:szCs w:val="22"/>
      <w:lang w:val="nl-NL" w:eastAsia="en-US"/>
    </w:rPr>
  </w:style>
  <w:style w:type="character" w:customStyle="1" w:styleId="Heading9Char">
    <w:name w:val="Heading 9 Char"/>
    <w:link w:val="Heading9"/>
    <w:rsid w:val="00951F81"/>
    <w:rPr>
      <w:rFonts w:eastAsia="PMingLiU"/>
      <w:b/>
      <w:i/>
      <w:sz w:val="22"/>
      <w:szCs w:val="22"/>
      <w:lang w:val="nl-NL" w:eastAsia="en-US"/>
    </w:rPr>
  </w:style>
  <w:style w:type="character" w:customStyle="1" w:styleId="HeaderChar">
    <w:name w:val="Header Char"/>
    <w:link w:val="Header"/>
    <w:rsid w:val="00951F81"/>
    <w:rPr>
      <w:rFonts w:ascii="Helvetica" w:eastAsia="PMingLiU" w:hAnsi="Helvetica"/>
      <w:szCs w:val="22"/>
      <w:lang w:val="nl-NL" w:eastAsia="en-US"/>
    </w:rPr>
  </w:style>
  <w:style w:type="character" w:customStyle="1" w:styleId="FooterChar">
    <w:name w:val="Footer Char"/>
    <w:link w:val="Footer"/>
    <w:rsid w:val="00951F81"/>
    <w:rPr>
      <w:rFonts w:eastAsia="PMingLiU"/>
      <w:sz w:val="22"/>
      <w:szCs w:val="22"/>
      <w:lang w:val="nl-NL" w:eastAsia="en-US"/>
    </w:rPr>
  </w:style>
  <w:style w:type="character" w:customStyle="1" w:styleId="BodyTextIndentChar">
    <w:name w:val="Body Text Indent Char"/>
    <w:link w:val="BodyTextIndent"/>
    <w:rsid w:val="00951F81"/>
    <w:rPr>
      <w:rFonts w:eastAsia="PMingLiU"/>
      <w:sz w:val="22"/>
      <w:szCs w:val="22"/>
      <w:lang w:val="nl-NL" w:eastAsia="en-GB"/>
    </w:rPr>
  </w:style>
  <w:style w:type="character" w:customStyle="1" w:styleId="BodyText3Char">
    <w:name w:val="Body Text 3 Char"/>
    <w:link w:val="BodyText3"/>
    <w:rsid w:val="00951F81"/>
    <w:rPr>
      <w:rFonts w:eastAsia="PMingLiU"/>
      <w:color w:val="0000FF"/>
      <w:sz w:val="22"/>
      <w:szCs w:val="22"/>
      <w:lang w:val="nl-NL" w:eastAsia="en-GB"/>
    </w:rPr>
  </w:style>
  <w:style w:type="character" w:customStyle="1" w:styleId="BodyTextIndent2Char">
    <w:name w:val="Body Text Indent 2 Char"/>
    <w:link w:val="BodyTextIndent2"/>
    <w:rsid w:val="00951F81"/>
    <w:rPr>
      <w:rFonts w:eastAsia="PMingLiU"/>
      <w:b/>
      <w:bCs/>
      <w:color w:val="0000FF"/>
      <w:sz w:val="22"/>
      <w:szCs w:val="22"/>
      <w:lang w:val="nl-NL" w:eastAsia="en-US"/>
    </w:rPr>
  </w:style>
  <w:style w:type="character" w:customStyle="1" w:styleId="BodyTextChar">
    <w:name w:val="Body Text Char"/>
    <w:link w:val="BodyText"/>
    <w:rsid w:val="00951F81"/>
    <w:rPr>
      <w:rFonts w:eastAsia="PMingLiU"/>
      <w:i/>
      <w:color w:val="008000"/>
      <w:sz w:val="22"/>
      <w:szCs w:val="22"/>
      <w:lang w:val="nl-NL" w:eastAsia="en-US"/>
    </w:rPr>
  </w:style>
  <w:style w:type="character" w:customStyle="1" w:styleId="BodyText2Char">
    <w:name w:val="Body Text 2 Char"/>
    <w:link w:val="BodyText2"/>
    <w:rsid w:val="00951F81"/>
    <w:rPr>
      <w:rFonts w:eastAsia="PMingLiU"/>
      <w:b/>
      <w:bCs/>
      <w:color w:val="0000FF"/>
      <w:sz w:val="22"/>
      <w:szCs w:val="22"/>
      <w:u w:val="single"/>
      <w:lang w:val="nl-NL"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nl-NL" w:eastAsia="en-US"/>
    </w:rPr>
  </w:style>
  <w:style w:type="character" w:customStyle="1" w:styleId="BodyTextIndent3Char">
    <w:name w:val="Body Text Indent 3 Char"/>
    <w:link w:val="BodyTextIndent3"/>
    <w:rsid w:val="00951F81"/>
    <w:rPr>
      <w:rFonts w:eastAsia="PMingLiU"/>
      <w:sz w:val="22"/>
      <w:szCs w:val="21"/>
      <w:lang w:val="nl-NL" w:eastAsia="en-US"/>
    </w:rPr>
  </w:style>
  <w:style w:type="character" w:customStyle="1" w:styleId="BalloonTextChar">
    <w:name w:val="Balloon Text Char"/>
    <w:link w:val="BalloonText"/>
    <w:semiHidden/>
    <w:rsid w:val="00951F81"/>
    <w:rPr>
      <w:rFonts w:ascii="Tahoma" w:eastAsia="PMingLiU" w:hAnsi="Tahoma" w:cs="Tahoma"/>
      <w:sz w:val="16"/>
      <w:szCs w:val="16"/>
      <w:lang w:val="nl-NL"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nl-NL" w:eastAsia="en-US"/>
    </w:rPr>
  </w:style>
  <w:style w:type="character" w:customStyle="1" w:styleId="CommentSubjectChar">
    <w:name w:val="Comment Subject Char"/>
    <w:link w:val="CommentSubject"/>
    <w:semiHidden/>
    <w:rsid w:val="00951F81"/>
    <w:rPr>
      <w:rFonts w:eastAsia="PMingLiU"/>
      <w:b/>
      <w:bCs/>
      <w:szCs w:val="22"/>
      <w:lang w:val="nl-NL"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nl-NL" w:eastAsia="en-US"/>
    </w:rPr>
  </w:style>
  <w:style w:type="table" w:customStyle="1" w:styleId="TableGrid0">
    <w:name w:val="TableGrid"/>
    <w:rsid w:val="008B184C"/>
    <w:rPr>
      <w:rFonts w:asciiTheme="minorHAnsi" w:eastAsiaTheme="minorEastAsia" w:hAnsiTheme="minorHAnsi" w:cstheme="minorBidi"/>
      <w:kern w:val="2"/>
      <w:sz w:val="22"/>
      <w:szCs w:val="22"/>
      <w:lang w:val="de-DE" w:eastAsia="de-D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ema.europa.eu/"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kefdensis"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8.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EMADOC-1700519818-2967114</_dlc_DocId>
    <_dlc_DocIdUrl xmlns="a034c160-bfb7-45f5-8632-2eb7e0508071">
      <Url>https://euema.sharepoint.com/sites/CRM/_layouts/15/DocIdRedir.aspx?ID=EMADOC-1700519818-2967114</Url>
      <Description>EMADOC-1700519818-2967114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8BC0679-AF7A-48CC-9610-4429B0B59F5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7EDE827-405B-4875-B3FE-5D8170167AE3}">
  <ds:schemaRefs>
    <ds:schemaRef ds:uri="http://schemas.openxmlformats.org/officeDocument/2006/bibliography"/>
  </ds:schemaRefs>
</ds:datastoreItem>
</file>

<file path=customXml/itemProps4.xml><?xml version="1.0" encoding="utf-8"?>
<ds:datastoreItem xmlns:ds="http://schemas.openxmlformats.org/officeDocument/2006/customXml" ds:itemID="{94D51784-C6F6-4507-97E5-AEB6E9569ECA}"/>
</file>

<file path=customXml/itemProps5.xml><?xml version="1.0" encoding="utf-8"?>
<ds:datastoreItem xmlns:ds="http://schemas.openxmlformats.org/officeDocument/2006/customXml" ds:itemID="{3BFAE9E2-C8C2-4709-BC99-F97F644DD48C}">
  <ds:schemaRefs>
    <ds:schemaRef ds:uri="http://schemas.microsoft.com/sharepoint/v3/contenttype/forms"/>
  </ds:schemaRefs>
</ds:datastoreItem>
</file>

<file path=customXml/itemProps6.xml><?xml version="1.0" encoding="utf-8"?>
<ds:datastoreItem xmlns:ds="http://schemas.openxmlformats.org/officeDocument/2006/customXml" ds:itemID="{879B730C-C01D-4C66-9D88-E13C2976B216}"/>
</file>

<file path=docMetadata/LabelInfo.xml><?xml version="1.0" encoding="utf-8"?>
<clbl:labelList xmlns:clbl="http://schemas.microsoft.com/office/2020/mipLabelMetadata">
  <clbl:label id="{e1dffae5-ca2f-4d3f-ba95-31318bc48aae}" enabled="0" method="" siteId="{e1dffae5-ca2f-4d3f-ba95-31318bc48aa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11513</Words>
  <Characters>69313</Characters>
  <Application>Microsoft Office Word</Application>
  <DocSecurity>0</DocSecurity>
  <Lines>2038</Lines>
  <Paragraphs>908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2026-02-17T15:06:00Z</dcterms:created>
  <dcterms:modified xsi:type="dcterms:W3CDTF">2026-02-17T15:06:00Z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ocLang">
    <vt:lpwstr>nl</vt:lpwstr>
  </property>
  <property fmtid="{D5CDD505-2E9C-101B-9397-08002B2CF9AE}" pid="4" name="_dlc_DocIdItemGuid">
    <vt:lpwstr>19eaa414-b514-4856-b2c7-467040460c19</vt:lpwstr>
  </property>
</Properties>
</file>